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6BE78" w14:textId="77777777" w:rsidR="000F31AD" w:rsidRDefault="000F31AD"/>
    <w:p w14:paraId="7BB5BE5B" w14:textId="77777777" w:rsidR="000F31AD" w:rsidRDefault="00A317E5">
      <w:pPr>
        <w:jc w:val="center"/>
      </w:pPr>
      <w:r>
        <w:t>=</w:t>
      </w:r>
      <w:r>
        <w:rPr>
          <w:noProof/>
          <w:color w:val="000000"/>
        </w:rPr>
        <w:drawing>
          <wp:inline distT="0" distB="0" distL="0" distR="0" wp14:anchorId="3999044C" wp14:editId="3E46B186">
            <wp:extent cx="691593" cy="1298847"/>
            <wp:effectExtent l="0" t="0" r="0" b="0"/>
            <wp:docPr id="22" name="image2.jpg" descr="page1image29921344"/>
            <wp:cNvGraphicFramePr/>
            <a:graphic xmlns:a="http://schemas.openxmlformats.org/drawingml/2006/main">
              <a:graphicData uri="http://schemas.openxmlformats.org/drawingml/2006/picture">
                <pic:pic xmlns:pic="http://schemas.openxmlformats.org/drawingml/2006/picture">
                  <pic:nvPicPr>
                    <pic:cNvPr id="0" name="image2.jpg" descr="page1image29921344"/>
                    <pic:cNvPicPr preferRelativeResize="0"/>
                  </pic:nvPicPr>
                  <pic:blipFill>
                    <a:blip r:embed="rId12"/>
                    <a:srcRect/>
                    <a:stretch>
                      <a:fillRect/>
                    </a:stretch>
                  </pic:blipFill>
                  <pic:spPr>
                    <a:xfrm>
                      <a:off x="0" y="0"/>
                      <a:ext cx="691593" cy="1298847"/>
                    </a:xfrm>
                    <a:prstGeom prst="rect">
                      <a:avLst/>
                    </a:prstGeom>
                    <a:ln/>
                  </pic:spPr>
                </pic:pic>
              </a:graphicData>
            </a:graphic>
          </wp:inline>
        </w:drawing>
      </w:r>
      <w:r>
        <w:t xml:space="preserve">                        </w:t>
      </w:r>
      <w:r>
        <w:rPr>
          <w:noProof/>
        </w:rPr>
        <w:drawing>
          <wp:inline distT="0" distB="0" distL="0" distR="0" wp14:anchorId="39153A52" wp14:editId="7E6B310E">
            <wp:extent cx="904877" cy="1122275"/>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904877" cy="1122275"/>
                    </a:xfrm>
                    <a:prstGeom prst="rect">
                      <a:avLst/>
                    </a:prstGeom>
                    <a:ln/>
                  </pic:spPr>
                </pic:pic>
              </a:graphicData>
            </a:graphic>
          </wp:inline>
        </w:drawing>
      </w:r>
      <w:r>
        <w:t xml:space="preserve">                    </w:t>
      </w:r>
      <w:r>
        <w:rPr>
          <w:noProof/>
        </w:rPr>
        <w:drawing>
          <wp:inline distT="0" distB="0" distL="0" distR="0" wp14:anchorId="7145DB0C" wp14:editId="1FF14A08">
            <wp:extent cx="989085" cy="1045434"/>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989085" cy="1045434"/>
                    </a:xfrm>
                    <a:prstGeom prst="rect">
                      <a:avLst/>
                    </a:prstGeom>
                    <a:ln/>
                  </pic:spPr>
                </pic:pic>
              </a:graphicData>
            </a:graphic>
          </wp:inline>
        </w:drawing>
      </w:r>
    </w:p>
    <w:p w14:paraId="0654B52E" w14:textId="77777777" w:rsidR="000F31AD" w:rsidRDefault="000F31AD">
      <w:pPr>
        <w:jc w:val="center"/>
      </w:pPr>
    </w:p>
    <w:p w14:paraId="7AB74C98" w14:textId="77777777" w:rsidR="000F31AD" w:rsidRDefault="000F31AD">
      <w:pPr>
        <w:jc w:val="center"/>
      </w:pPr>
    </w:p>
    <w:p w14:paraId="65026DD6" w14:textId="77777777" w:rsidR="000F31AD" w:rsidRDefault="000F31AD">
      <w:pPr>
        <w:jc w:val="center"/>
      </w:pPr>
    </w:p>
    <w:p w14:paraId="293C8615" w14:textId="77777777" w:rsidR="000F31AD" w:rsidRDefault="000F31AD">
      <w:pPr>
        <w:jc w:val="center"/>
      </w:pPr>
    </w:p>
    <w:p w14:paraId="11F09738" w14:textId="77777777" w:rsidR="000F31AD" w:rsidRDefault="000F31AD">
      <w:pPr>
        <w:jc w:val="center"/>
      </w:pPr>
    </w:p>
    <w:p w14:paraId="55E5ECAD" w14:textId="77777777" w:rsidR="000F31AD" w:rsidRDefault="000F31AD">
      <w:pPr>
        <w:jc w:val="center"/>
        <w:rPr>
          <w:b/>
          <w:sz w:val="36"/>
          <w:szCs w:val="36"/>
        </w:rPr>
      </w:pPr>
    </w:p>
    <w:p w14:paraId="70B57E90" w14:textId="77777777" w:rsidR="000F31AD" w:rsidRDefault="00A317E5">
      <w:pPr>
        <w:jc w:val="center"/>
        <w:rPr>
          <w:rFonts w:ascii="Calibri" w:eastAsia="Calibri" w:hAnsi="Calibri" w:cs="Calibri"/>
          <w:b/>
          <w:sz w:val="36"/>
          <w:szCs w:val="36"/>
        </w:rPr>
      </w:pPr>
      <w:r>
        <w:rPr>
          <w:rFonts w:ascii="Calibri" w:eastAsia="Calibri" w:hAnsi="Calibri" w:cs="Calibri"/>
          <w:b/>
          <w:sz w:val="36"/>
          <w:szCs w:val="36"/>
        </w:rPr>
        <w:t>TERMINAL EVALUATION</w:t>
      </w:r>
    </w:p>
    <w:p w14:paraId="7DC552B8" w14:textId="77777777" w:rsidR="000F31AD" w:rsidRDefault="000F31AD">
      <w:pPr>
        <w:jc w:val="center"/>
        <w:rPr>
          <w:b/>
          <w:sz w:val="36"/>
          <w:szCs w:val="36"/>
        </w:rPr>
      </w:pPr>
    </w:p>
    <w:p w14:paraId="16035927" w14:textId="77777777" w:rsidR="000F31AD" w:rsidRDefault="000F31AD">
      <w:pPr>
        <w:jc w:val="center"/>
        <w:rPr>
          <w:sz w:val="28"/>
          <w:szCs w:val="28"/>
        </w:rPr>
      </w:pPr>
    </w:p>
    <w:p w14:paraId="197FEDD5" w14:textId="77777777" w:rsidR="000F31AD" w:rsidRDefault="00A317E5">
      <w:pPr>
        <w:jc w:val="center"/>
        <w:rPr>
          <w:rFonts w:ascii="Calibri" w:eastAsia="Calibri" w:hAnsi="Calibri" w:cs="Calibri"/>
          <w:b/>
          <w:color w:val="000000"/>
          <w:sz w:val="28"/>
          <w:szCs w:val="28"/>
        </w:rPr>
      </w:pPr>
      <w:r>
        <w:rPr>
          <w:rFonts w:ascii="Calibri" w:eastAsia="Calibri" w:hAnsi="Calibri" w:cs="Calibri"/>
          <w:b/>
          <w:color w:val="000000"/>
          <w:sz w:val="28"/>
          <w:szCs w:val="28"/>
        </w:rPr>
        <w:t>Enabling transboundary cooperation and integrated water resources management in the extended Drin River Basin (PIMS 4482)</w:t>
      </w:r>
    </w:p>
    <w:p w14:paraId="5BD3D4DA" w14:textId="77777777" w:rsidR="000F31AD" w:rsidRDefault="000F31AD">
      <w:pPr>
        <w:jc w:val="center"/>
        <w:rPr>
          <w:rFonts w:ascii="Calibri" w:eastAsia="Calibri" w:hAnsi="Calibri" w:cs="Calibri"/>
          <w:b/>
          <w:color w:val="000000"/>
          <w:sz w:val="28"/>
          <w:szCs w:val="28"/>
        </w:rPr>
      </w:pPr>
    </w:p>
    <w:p w14:paraId="68998C2E" w14:textId="77777777" w:rsidR="000F31AD" w:rsidRDefault="00A317E5">
      <w:pPr>
        <w:jc w:val="center"/>
        <w:rPr>
          <w:rFonts w:ascii="Calibri" w:eastAsia="Calibri" w:hAnsi="Calibri" w:cs="Calibri"/>
          <w:b/>
          <w:color w:val="000000"/>
          <w:sz w:val="28"/>
          <w:szCs w:val="28"/>
        </w:rPr>
      </w:pPr>
      <w:r>
        <w:rPr>
          <w:rFonts w:ascii="Calibri" w:eastAsia="Calibri" w:hAnsi="Calibri" w:cs="Calibri"/>
          <w:b/>
          <w:color w:val="000000"/>
          <w:sz w:val="28"/>
          <w:szCs w:val="28"/>
        </w:rPr>
        <w:t>and</w:t>
      </w:r>
    </w:p>
    <w:p w14:paraId="65A3AA82" w14:textId="77777777" w:rsidR="000F31AD" w:rsidRDefault="000F31AD">
      <w:pPr>
        <w:jc w:val="center"/>
        <w:rPr>
          <w:rFonts w:ascii="Calibri" w:eastAsia="Calibri" w:hAnsi="Calibri" w:cs="Calibri"/>
          <w:b/>
          <w:color w:val="000000"/>
          <w:sz w:val="28"/>
          <w:szCs w:val="28"/>
        </w:rPr>
      </w:pPr>
    </w:p>
    <w:p w14:paraId="52D12959" w14:textId="77777777" w:rsidR="000F31AD" w:rsidRDefault="00A317E5">
      <w:pPr>
        <w:pBdr>
          <w:top w:val="nil"/>
          <w:left w:val="nil"/>
          <w:bottom w:val="nil"/>
          <w:right w:val="nil"/>
          <w:between w:val="nil"/>
        </w:pBdr>
        <w:spacing w:before="120" w:after="120"/>
        <w:jc w:val="center"/>
        <w:rPr>
          <w:rFonts w:ascii="Calibri" w:eastAsia="Calibri" w:hAnsi="Calibri" w:cs="Calibri"/>
          <w:b/>
          <w:color w:val="000000"/>
          <w:sz w:val="28"/>
          <w:szCs w:val="28"/>
        </w:rPr>
      </w:pPr>
      <w:r>
        <w:rPr>
          <w:rFonts w:ascii="Calibri" w:eastAsia="Calibri" w:hAnsi="Calibri" w:cs="Calibri"/>
          <w:b/>
          <w:color w:val="000000"/>
          <w:sz w:val="28"/>
          <w:szCs w:val="28"/>
        </w:rPr>
        <w:t>Enabling transboundary cooperation and integrated water resources management in the White Drin and the extended Drin Basin (PIMS 5510)</w:t>
      </w:r>
    </w:p>
    <w:p w14:paraId="3D2C194B" w14:textId="77777777" w:rsidR="000F31AD" w:rsidRDefault="000F31AD">
      <w:pPr>
        <w:pBdr>
          <w:top w:val="nil"/>
          <w:left w:val="nil"/>
          <w:bottom w:val="nil"/>
          <w:right w:val="nil"/>
          <w:between w:val="nil"/>
        </w:pBdr>
        <w:spacing w:before="120" w:after="120"/>
        <w:jc w:val="center"/>
        <w:rPr>
          <w:rFonts w:ascii="Calibri" w:eastAsia="Calibri" w:hAnsi="Calibri" w:cs="Calibri"/>
          <w:b/>
          <w:color w:val="000000"/>
          <w:sz w:val="28"/>
          <w:szCs w:val="28"/>
        </w:rPr>
      </w:pPr>
    </w:p>
    <w:p w14:paraId="5FD3238B" w14:textId="77777777" w:rsidR="000F31AD" w:rsidRDefault="000F31AD">
      <w:pPr>
        <w:pBdr>
          <w:top w:val="nil"/>
          <w:left w:val="nil"/>
          <w:bottom w:val="nil"/>
          <w:right w:val="nil"/>
          <w:between w:val="nil"/>
        </w:pBdr>
        <w:spacing w:before="120" w:after="120"/>
        <w:jc w:val="center"/>
        <w:rPr>
          <w:rFonts w:ascii="Calibri" w:eastAsia="Calibri" w:hAnsi="Calibri" w:cs="Calibri"/>
          <w:b/>
          <w:color w:val="000000"/>
          <w:sz w:val="28"/>
          <w:szCs w:val="28"/>
        </w:rPr>
      </w:pPr>
    </w:p>
    <w:p w14:paraId="42076868" w14:textId="77777777" w:rsidR="000F31AD" w:rsidRDefault="00A317E5">
      <w:pPr>
        <w:jc w:val="center"/>
        <w:rPr>
          <w:rFonts w:ascii="Calibri" w:eastAsia="Calibri" w:hAnsi="Calibri" w:cs="Calibri"/>
          <w:b/>
          <w:sz w:val="28"/>
          <w:szCs w:val="28"/>
        </w:rPr>
      </w:pPr>
      <w:r>
        <w:rPr>
          <w:rFonts w:ascii="Calibri" w:eastAsia="Calibri" w:hAnsi="Calibri" w:cs="Calibri"/>
          <w:b/>
          <w:sz w:val="28"/>
          <w:szCs w:val="28"/>
        </w:rPr>
        <w:t xml:space="preserve">Terminal Evaluation </w:t>
      </w:r>
    </w:p>
    <w:p w14:paraId="313D409D" w14:textId="35D15A0D" w:rsidR="000F31AD" w:rsidRDefault="00393BBC">
      <w:pPr>
        <w:jc w:val="center"/>
        <w:rPr>
          <w:rFonts w:ascii="Calibri" w:eastAsia="Calibri" w:hAnsi="Calibri" w:cs="Calibri"/>
          <w:i/>
          <w:sz w:val="28"/>
          <w:szCs w:val="28"/>
        </w:rPr>
      </w:pPr>
      <w:r>
        <w:rPr>
          <w:rFonts w:ascii="Calibri" w:eastAsia="Calibri" w:hAnsi="Calibri" w:cs="Calibri"/>
          <w:i/>
          <w:sz w:val="28"/>
          <w:szCs w:val="28"/>
        </w:rPr>
        <w:t xml:space="preserve">Final </w:t>
      </w:r>
      <w:r w:rsidR="00A317E5">
        <w:rPr>
          <w:rFonts w:ascii="Calibri" w:eastAsia="Calibri" w:hAnsi="Calibri" w:cs="Calibri"/>
          <w:i/>
          <w:sz w:val="28"/>
          <w:szCs w:val="28"/>
        </w:rPr>
        <w:t>Report</w:t>
      </w:r>
    </w:p>
    <w:p w14:paraId="15E490EB" w14:textId="77777777" w:rsidR="000F31AD" w:rsidRDefault="000F31AD">
      <w:pPr>
        <w:jc w:val="center"/>
        <w:rPr>
          <w:rFonts w:ascii="Calibri" w:eastAsia="Calibri" w:hAnsi="Calibri" w:cs="Calibri"/>
          <w:b/>
          <w:sz w:val="28"/>
          <w:szCs w:val="28"/>
        </w:rPr>
      </w:pPr>
    </w:p>
    <w:p w14:paraId="7C983E97" w14:textId="77777777" w:rsidR="000F31AD" w:rsidRDefault="000F31AD">
      <w:pPr>
        <w:jc w:val="center"/>
        <w:rPr>
          <w:rFonts w:ascii="Calibri" w:eastAsia="Calibri" w:hAnsi="Calibri" w:cs="Calibri"/>
          <w:b/>
          <w:sz w:val="28"/>
          <w:szCs w:val="28"/>
        </w:rPr>
      </w:pPr>
    </w:p>
    <w:p w14:paraId="77A62209" w14:textId="77777777" w:rsidR="000F31AD" w:rsidRDefault="000F31AD">
      <w:pPr>
        <w:jc w:val="center"/>
        <w:rPr>
          <w:rFonts w:ascii="Calibri" w:eastAsia="Calibri" w:hAnsi="Calibri" w:cs="Calibri"/>
          <w:b/>
          <w:sz w:val="28"/>
          <w:szCs w:val="28"/>
        </w:rPr>
      </w:pPr>
    </w:p>
    <w:p w14:paraId="3B74A4C9" w14:textId="77777777" w:rsidR="000F31AD" w:rsidRDefault="000F31AD">
      <w:pPr>
        <w:jc w:val="center"/>
        <w:rPr>
          <w:rFonts w:ascii="Calibri" w:eastAsia="Calibri" w:hAnsi="Calibri" w:cs="Calibri"/>
          <w:b/>
          <w:sz w:val="28"/>
          <w:szCs w:val="28"/>
        </w:rPr>
      </w:pPr>
    </w:p>
    <w:p w14:paraId="04E2940E" w14:textId="77777777" w:rsidR="000F31AD" w:rsidRDefault="000F31AD">
      <w:pPr>
        <w:jc w:val="center"/>
        <w:rPr>
          <w:rFonts w:ascii="Calibri" w:eastAsia="Calibri" w:hAnsi="Calibri" w:cs="Calibri"/>
          <w:b/>
          <w:sz w:val="28"/>
          <w:szCs w:val="28"/>
        </w:rPr>
      </w:pPr>
    </w:p>
    <w:p w14:paraId="0356992F" w14:textId="77777777" w:rsidR="000F31AD" w:rsidRDefault="000F31AD">
      <w:pPr>
        <w:jc w:val="center"/>
        <w:rPr>
          <w:rFonts w:ascii="Calibri" w:eastAsia="Calibri" w:hAnsi="Calibri" w:cs="Calibri"/>
          <w:b/>
          <w:sz w:val="28"/>
          <w:szCs w:val="28"/>
        </w:rPr>
      </w:pPr>
    </w:p>
    <w:p w14:paraId="2C3F471D" w14:textId="77777777" w:rsidR="000F31AD" w:rsidRDefault="00A317E5">
      <w:pPr>
        <w:jc w:val="center"/>
        <w:rPr>
          <w:rFonts w:ascii="Calibri" w:eastAsia="Calibri" w:hAnsi="Calibri" w:cs="Calibri"/>
        </w:rPr>
      </w:pPr>
      <w:r>
        <w:rPr>
          <w:rFonts w:ascii="Calibri" w:eastAsia="Calibri" w:hAnsi="Calibri" w:cs="Calibri"/>
        </w:rPr>
        <w:t>Prepared by:</w:t>
      </w:r>
    </w:p>
    <w:p w14:paraId="1297EF5E" w14:textId="77777777" w:rsidR="000F31AD" w:rsidRDefault="000F31AD">
      <w:pPr>
        <w:jc w:val="center"/>
        <w:rPr>
          <w:rFonts w:ascii="Calibri" w:eastAsia="Calibri" w:hAnsi="Calibri" w:cs="Calibri"/>
        </w:rPr>
      </w:pPr>
    </w:p>
    <w:p w14:paraId="69C695BB" w14:textId="77777777" w:rsidR="000F31AD" w:rsidRDefault="00A317E5">
      <w:pPr>
        <w:jc w:val="center"/>
        <w:rPr>
          <w:rFonts w:ascii="Calibri" w:eastAsia="Calibri" w:hAnsi="Calibri" w:cs="Calibri"/>
        </w:rPr>
      </w:pPr>
      <w:r>
        <w:rPr>
          <w:rFonts w:ascii="Calibri" w:eastAsia="Calibri" w:hAnsi="Calibri" w:cs="Calibri"/>
        </w:rPr>
        <w:t>Ivica Trumbic</w:t>
      </w:r>
    </w:p>
    <w:p w14:paraId="026B03B3" w14:textId="77777777" w:rsidR="000F31AD" w:rsidRDefault="000F31AD">
      <w:pPr>
        <w:jc w:val="center"/>
        <w:rPr>
          <w:rFonts w:ascii="Calibri" w:eastAsia="Calibri" w:hAnsi="Calibri" w:cs="Calibri"/>
        </w:rPr>
      </w:pPr>
    </w:p>
    <w:p w14:paraId="5E79988E" w14:textId="77777777" w:rsidR="000F31AD" w:rsidRDefault="000F31AD">
      <w:pPr>
        <w:jc w:val="center"/>
        <w:rPr>
          <w:rFonts w:ascii="Calibri" w:eastAsia="Calibri" w:hAnsi="Calibri" w:cs="Calibri"/>
        </w:rPr>
      </w:pPr>
    </w:p>
    <w:p w14:paraId="79DE7812" w14:textId="77777777" w:rsidR="000F31AD" w:rsidRDefault="00A317E5">
      <w:pPr>
        <w:jc w:val="center"/>
        <w:rPr>
          <w:rFonts w:ascii="Calibri" w:eastAsia="Calibri" w:hAnsi="Calibri" w:cs="Calibri"/>
        </w:rPr>
      </w:pPr>
      <w:r>
        <w:rPr>
          <w:rFonts w:ascii="Calibri" w:eastAsia="Calibri" w:hAnsi="Calibri" w:cs="Calibri"/>
        </w:rPr>
        <w:t>July 2021</w:t>
      </w:r>
    </w:p>
    <w:p w14:paraId="66B13E60" w14:textId="77777777" w:rsidR="000F31AD" w:rsidRDefault="00A317E5">
      <w:r>
        <w:br w:type="page"/>
      </w:r>
    </w:p>
    <w:p w14:paraId="38B2E22F" w14:textId="77777777" w:rsidR="000F31AD" w:rsidRDefault="00A317E5">
      <w:pPr>
        <w:keepNext/>
        <w:keepLines/>
        <w:pBdr>
          <w:top w:val="nil"/>
          <w:left w:val="nil"/>
          <w:bottom w:val="nil"/>
          <w:right w:val="nil"/>
          <w:between w:val="nil"/>
        </w:pBdr>
        <w:spacing w:before="480" w:line="276" w:lineRule="auto"/>
        <w:rPr>
          <w:rFonts w:ascii="Calibri Light" w:eastAsia="Calibri Light" w:hAnsi="Calibri Light" w:cs="Calibri Light"/>
          <w:b/>
          <w:color w:val="2F5496"/>
          <w:sz w:val="28"/>
          <w:szCs w:val="28"/>
        </w:rPr>
      </w:pPr>
      <w:r>
        <w:rPr>
          <w:rFonts w:ascii="Calibri Light" w:eastAsia="Calibri Light" w:hAnsi="Calibri Light" w:cs="Calibri Light"/>
          <w:b/>
          <w:color w:val="2F5496"/>
          <w:sz w:val="28"/>
          <w:szCs w:val="28"/>
        </w:rPr>
        <w:lastRenderedPageBreak/>
        <w:t>Table of Contents</w:t>
      </w:r>
    </w:p>
    <w:sdt>
      <w:sdtPr>
        <w:rPr>
          <w:rFonts w:ascii="Times New Roman" w:hAnsi="Times New Roman" w:cs="Times New Roman"/>
        </w:rPr>
        <w:id w:val="-270853193"/>
        <w:docPartObj>
          <w:docPartGallery w:val="Table of Contents"/>
          <w:docPartUnique/>
        </w:docPartObj>
      </w:sdtPr>
      <w:sdtEndPr>
        <w:rPr>
          <w:b w:val="0"/>
          <w:bCs w:val="0"/>
          <w:i w:val="0"/>
          <w:iCs w:val="0"/>
        </w:rPr>
      </w:sdtEndPr>
      <w:sdtContent>
        <w:p w14:paraId="237803B9" w14:textId="7620E40E" w:rsidR="0002681F" w:rsidRDefault="00A317E5">
          <w:pPr>
            <w:pStyle w:val="TOC1"/>
            <w:rPr>
              <w:rFonts w:eastAsiaTheme="minorEastAsia" w:cstheme="minorBidi"/>
              <w:b w:val="0"/>
              <w:bCs w:val="0"/>
              <w:i w:val="0"/>
              <w:iCs w:val="0"/>
              <w:noProof/>
              <w:lang w:val="hr-HR" w:eastAsia="en-US"/>
            </w:rPr>
          </w:pPr>
          <w:r>
            <w:fldChar w:fldCharType="begin"/>
          </w:r>
          <w:r>
            <w:instrText xml:space="preserve"> TOC \h \u \z </w:instrText>
          </w:r>
          <w:r>
            <w:fldChar w:fldCharType="separate"/>
          </w:r>
          <w:hyperlink w:anchor="_Toc81335827" w:history="1">
            <w:r w:rsidR="0002681F" w:rsidRPr="006920F2">
              <w:rPr>
                <w:rStyle w:val="Hyperlink"/>
                <w:noProof/>
              </w:rPr>
              <w:t>List of Acronyms</w:t>
            </w:r>
            <w:r w:rsidR="0002681F" w:rsidRPr="006920F2">
              <w:rPr>
                <w:rStyle w:val="Hyperlink"/>
                <w:rFonts w:ascii="MS Mincho" w:eastAsia="MS Mincho" w:hAnsi="MS Mincho" w:cs="MS Mincho"/>
                <w:noProof/>
              </w:rPr>
              <w:t> </w:t>
            </w:r>
            <w:r w:rsidR="0002681F">
              <w:rPr>
                <w:noProof/>
                <w:webHidden/>
              </w:rPr>
              <w:tab/>
            </w:r>
            <w:r w:rsidR="0002681F">
              <w:rPr>
                <w:noProof/>
                <w:webHidden/>
              </w:rPr>
              <w:fldChar w:fldCharType="begin"/>
            </w:r>
            <w:r w:rsidR="0002681F">
              <w:rPr>
                <w:noProof/>
                <w:webHidden/>
              </w:rPr>
              <w:instrText xml:space="preserve"> PAGEREF _Toc81335827 \h </w:instrText>
            </w:r>
            <w:r w:rsidR="0002681F">
              <w:rPr>
                <w:noProof/>
                <w:webHidden/>
              </w:rPr>
            </w:r>
            <w:r w:rsidR="0002681F">
              <w:rPr>
                <w:noProof/>
                <w:webHidden/>
              </w:rPr>
              <w:fldChar w:fldCharType="separate"/>
            </w:r>
            <w:r w:rsidR="0002681F">
              <w:rPr>
                <w:noProof/>
                <w:webHidden/>
              </w:rPr>
              <w:t>4</w:t>
            </w:r>
            <w:r w:rsidR="0002681F">
              <w:rPr>
                <w:noProof/>
                <w:webHidden/>
              </w:rPr>
              <w:fldChar w:fldCharType="end"/>
            </w:r>
          </w:hyperlink>
        </w:p>
        <w:p w14:paraId="4E33A866" w14:textId="6B4DD079" w:rsidR="0002681F" w:rsidRDefault="0002681F">
          <w:pPr>
            <w:pStyle w:val="TOC1"/>
            <w:rPr>
              <w:rFonts w:eastAsiaTheme="minorEastAsia" w:cstheme="minorBidi"/>
              <w:b w:val="0"/>
              <w:bCs w:val="0"/>
              <w:i w:val="0"/>
              <w:iCs w:val="0"/>
              <w:noProof/>
              <w:lang w:val="hr-HR" w:eastAsia="en-US"/>
            </w:rPr>
          </w:pPr>
          <w:hyperlink w:anchor="_Toc81335828" w:history="1">
            <w:r w:rsidRPr="006920F2">
              <w:rPr>
                <w:rStyle w:val="Hyperlink"/>
                <w:noProof/>
              </w:rPr>
              <w:t>Executive summary</w:t>
            </w:r>
            <w:r>
              <w:rPr>
                <w:noProof/>
                <w:webHidden/>
              </w:rPr>
              <w:tab/>
            </w:r>
            <w:r>
              <w:rPr>
                <w:noProof/>
                <w:webHidden/>
              </w:rPr>
              <w:fldChar w:fldCharType="begin"/>
            </w:r>
            <w:r>
              <w:rPr>
                <w:noProof/>
                <w:webHidden/>
              </w:rPr>
              <w:instrText xml:space="preserve"> PAGEREF _Toc81335828 \h </w:instrText>
            </w:r>
            <w:r>
              <w:rPr>
                <w:noProof/>
                <w:webHidden/>
              </w:rPr>
            </w:r>
            <w:r>
              <w:rPr>
                <w:noProof/>
                <w:webHidden/>
              </w:rPr>
              <w:fldChar w:fldCharType="separate"/>
            </w:r>
            <w:r>
              <w:rPr>
                <w:noProof/>
                <w:webHidden/>
              </w:rPr>
              <w:t>6</w:t>
            </w:r>
            <w:r>
              <w:rPr>
                <w:noProof/>
                <w:webHidden/>
              </w:rPr>
              <w:fldChar w:fldCharType="end"/>
            </w:r>
          </w:hyperlink>
        </w:p>
        <w:p w14:paraId="2ED022E1" w14:textId="2F72A61F" w:rsidR="0002681F" w:rsidRDefault="0002681F">
          <w:pPr>
            <w:pStyle w:val="TOC1"/>
            <w:tabs>
              <w:tab w:val="left" w:pos="720"/>
            </w:tabs>
            <w:rPr>
              <w:rFonts w:eastAsiaTheme="minorEastAsia" w:cstheme="minorBidi"/>
              <w:b w:val="0"/>
              <w:bCs w:val="0"/>
              <w:i w:val="0"/>
              <w:iCs w:val="0"/>
              <w:noProof/>
              <w:lang w:val="hr-HR" w:eastAsia="en-US"/>
            </w:rPr>
          </w:pPr>
          <w:hyperlink w:anchor="_Toc81335829" w:history="1">
            <w:r w:rsidRPr="006920F2">
              <w:rPr>
                <w:rStyle w:val="Hyperlink"/>
                <w:noProof/>
              </w:rPr>
              <w:t xml:space="preserve">1. </w:t>
            </w:r>
            <w:r>
              <w:rPr>
                <w:rFonts w:eastAsiaTheme="minorEastAsia" w:cstheme="minorBidi"/>
                <w:b w:val="0"/>
                <w:bCs w:val="0"/>
                <w:i w:val="0"/>
                <w:iCs w:val="0"/>
                <w:noProof/>
                <w:lang w:val="hr-HR" w:eastAsia="en-US"/>
              </w:rPr>
              <w:tab/>
            </w:r>
            <w:r w:rsidRPr="006920F2">
              <w:rPr>
                <w:rStyle w:val="Hyperlink"/>
                <w:noProof/>
              </w:rPr>
              <w:t>Introduction</w:t>
            </w:r>
            <w:r w:rsidRPr="006920F2">
              <w:rPr>
                <w:rStyle w:val="Hyperlink"/>
                <w:rFonts w:ascii="MS Gothic" w:eastAsia="MS Gothic" w:hAnsi="MS Gothic" w:cs="MS Gothic"/>
                <w:noProof/>
              </w:rPr>
              <w:t> </w:t>
            </w:r>
            <w:r>
              <w:rPr>
                <w:noProof/>
                <w:webHidden/>
              </w:rPr>
              <w:tab/>
            </w:r>
            <w:r>
              <w:rPr>
                <w:noProof/>
                <w:webHidden/>
              </w:rPr>
              <w:fldChar w:fldCharType="begin"/>
            </w:r>
            <w:r>
              <w:rPr>
                <w:noProof/>
                <w:webHidden/>
              </w:rPr>
              <w:instrText xml:space="preserve"> PAGEREF _Toc81335829 \h </w:instrText>
            </w:r>
            <w:r>
              <w:rPr>
                <w:noProof/>
                <w:webHidden/>
              </w:rPr>
            </w:r>
            <w:r>
              <w:rPr>
                <w:noProof/>
                <w:webHidden/>
              </w:rPr>
              <w:fldChar w:fldCharType="separate"/>
            </w:r>
            <w:r>
              <w:rPr>
                <w:noProof/>
                <w:webHidden/>
              </w:rPr>
              <w:t>12</w:t>
            </w:r>
            <w:r>
              <w:rPr>
                <w:noProof/>
                <w:webHidden/>
              </w:rPr>
              <w:fldChar w:fldCharType="end"/>
            </w:r>
          </w:hyperlink>
        </w:p>
        <w:p w14:paraId="01D6D2B5" w14:textId="49DEF8DE"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30" w:history="1">
            <w:r w:rsidRPr="006920F2">
              <w:rPr>
                <w:rStyle w:val="Hyperlink"/>
                <w:noProof/>
              </w:rPr>
              <w:t>1.1.</w:t>
            </w:r>
            <w:r>
              <w:rPr>
                <w:rFonts w:eastAsiaTheme="minorEastAsia" w:cstheme="minorBidi"/>
                <w:b w:val="0"/>
                <w:bCs w:val="0"/>
                <w:noProof/>
                <w:sz w:val="24"/>
                <w:szCs w:val="24"/>
                <w:lang w:val="hr-HR" w:eastAsia="en-US"/>
              </w:rPr>
              <w:tab/>
            </w:r>
            <w:r w:rsidRPr="006920F2">
              <w:rPr>
                <w:rStyle w:val="Hyperlink"/>
                <w:noProof/>
              </w:rPr>
              <w:t>Purpose and objective of the Terminal Evaluation</w:t>
            </w:r>
            <w:r>
              <w:rPr>
                <w:noProof/>
                <w:webHidden/>
              </w:rPr>
              <w:tab/>
            </w:r>
            <w:r>
              <w:rPr>
                <w:noProof/>
                <w:webHidden/>
              </w:rPr>
              <w:fldChar w:fldCharType="begin"/>
            </w:r>
            <w:r>
              <w:rPr>
                <w:noProof/>
                <w:webHidden/>
              </w:rPr>
              <w:instrText xml:space="preserve"> PAGEREF _Toc81335830 \h </w:instrText>
            </w:r>
            <w:r>
              <w:rPr>
                <w:noProof/>
                <w:webHidden/>
              </w:rPr>
            </w:r>
            <w:r>
              <w:rPr>
                <w:noProof/>
                <w:webHidden/>
              </w:rPr>
              <w:fldChar w:fldCharType="separate"/>
            </w:r>
            <w:r>
              <w:rPr>
                <w:noProof/>
                <w:webHidden/>
              </w:rPr>
              <w:t>12</w:t>
            </w:r>
            <w:r>
              <w:rPr>
                <w:noProof/>
                <w:webHidden/>
              </w:rPr>
              <w:fldChar w:fldCharType="end"/>
            </w:r>
          </w:hyperlink>
        </w:p>
        <w:p w14:paraId="295E0960" w14:textId="3CDB638C"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31" w:history="1">
            <w:r w:rsidRPr="006920F2">
              <w:rPr>
                <w:rStyle w:val="Hyperlink"/>
                <w:noProof/>
              </w:rPr>
              <w:t>1.2.</w:t>
            </w:r>
            <w:r>
              <w:rPr>
                <w:rFonts w:eastAsiaTheme="minorEastAsia" w:cstheme="minorBidi"/>
                <w:b w:val="0"/>
                <w:bCs w:val="0"/>
                <w:noProof/>
                <w:sz w:val="24"/>
                <w:szCs w:val="24"/>
                <w:lang w:val="hr-HR" w:eastAsia="en-US"/>
              </w:rPr>
              <w:tab/>
            </w:r>
            <w:r w:rsidRPr="006920F2">
              <w:rPr>
                <w:rStyle w:val="Hyperlink"/>
                <w:noProof/>
              </w:rPr>
              <w:t>Scope</w:t>
            </w:r>
            <w:r>
              <w:rPr>
                <w:noProof/>
                <w:webHidden/>
              </w:rPr>
              <w:tab/>
            </w:r>
            <w:r>
              <w:rPr>
                <w:noProof/>
                <w:webHidden/>
              </w:rPr>
              <w:fldChar w:fldCharType="begin"/>
            </w:r>
            <w:r>
              <w:rPr>
                <w:noProof/>
                <w:webHidden/>
              </w:rPr>
              <w:instrText xml:space="preserve"> PAGEREF _Toc81335831 \h </w:instrText>
            </w:r>
            <w:r>
              <w:rPr>
                <w:noProof/>
                <w:webHidden/>
              </w:rPr>
            </w:r>
            <w:r>
              <w:rPr>
                <w:noProof/>
                <w:webHidden/>
              </w:rPr>
              <w:fldChar w:fldCharType="separate"/>
            </w:r>
            <w:r>
              <w:rPr>
                <w:noProof/>
                <w:webHidden/>
              </w:rPr>
              <w:t>12</w:t>
            </w:r>
            <w:r>
              <w:rPr>
                <w:noProof/>
                <w:webHidden/>
              </w:rPr>
              <w:fldChar w:fldCharType="end"/>
            </w:r>
          </w:hyperlink>
        </w:p>
        <w:p w14:paraId="179A7462" w14:textId="152A098A"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32" w:history="1">
            <w:r w:rsidRPr="006920F2">
              <w:rPr>
                <w:rStyle w:val="Hyperlink"/>
                <w:noProof/>
              </w:rPr>
              <w:t>1.3.</w:t>
            </w:r>
            <w:r>
              <w:rPr>
                <w:rFonts w:eastAsiaTheme="minorEastAsia" w:cstheme="minorBidi"/>
                <w:b w:val="0"/>
                <w:bCs w:val="0"/>
                <w:noProof/>
                <w:sz w:val="24"/>
                <w:szCs w:val="24"/>
                <w:lang w:val="hr-HR" w:eastAsia="en-US"/>
              </w:rPr>
              <w:tab/>
            </w:r>
            <w:r w:rsidRPr="006920F2">
              <w:rPr>
                <w:rStyle w:val="Hyperlink"/>
                <w:noProof/>
              </w:rPr>
              <w:t>Methodology</w:t>
            </w:r>
            <w:r>
              <w:rPr>
                <w:noProof/>
                <w:webHidden/>
              </w:rPr>
              <w:tab/>
            </w:r>
            <w:r>
              <w:rPr>
                <w:noProof/>
                <w:webHidden/>
              </w:rPr>
              <w:fldChar w:fldCharType="begin"/>
            </w:r>
            <w:r>
              <w:rPr>
                <w:noProof/>
                <w:webHidden/>
              </w:rPr>
              <w:instrText xml:space="preserve"> PAGEREF _Toc81335832 \h </w:instrText>
            </w:r>
            <w:r>
              <w:rPr>
                <w:noProof/>
                <w:webHidden/>
              </w:rPr>
            </w:r>
            <w:r>
              <w:rPr>
                <w:noProof/>
                <w:webHidden/>
              </w:rPr>
              <w:fldChar w:fldCharType="separate"/>
            </w:r>
            <w:r>
              <w:rPr>
                <w:noProof/>
                <w:webHidden/>
              </w:rPr>
              <w:t>13</w:t>
            </w:r>
            <w:r>
              <w:rPr>
                <w:noProof/>
                <w:webHidden/>
              </w:rPr>
              <w:fldChar w:fldCharType="end"/>
            </w:r>
          </w:hyperlink>
        </w:p>
        <w:p w14:paraId="1B6F892E" w14:textId="200BC808"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33" w:history="1">
            <w:r w:rsidRPr="006920F2">
              <w:rPr>
                <w:rStyle w:val="Hyperlink"/>
                <w:noProof/>
              </w:rPr>
              <w:t>1.4.</w:t>
            </w:r>
            <w:r>
              <w:rPr>
                <w:rFonts w:eastAsiaTheme="minorEastAsia" w:cstheme="minorBidi"/>
                <w:b w:val="0"/>
                <w:bCs w:val="0"/>
                <w:noProof/>
                <w:sz w:val="24"/>
                <w:szCs w:val="24"/>
                <w:lang w:val="hr-HR" w:eastAsia="en-US"/>
              </w:rPr>
              <w:tab/>
            </w:r>
            <w:r w:rsidRPr="006920F2">
              <w:rPr>
                <w:rStyle w:val="Hyperlink"/>
                <w:noProof/>
              </w:rPr>
              <w:t>Limitations</w:t>
            </w:r>
            <w:r>
              <w:rPr>
                <w:noProof/>
                <w:webHidden/>
              </w:rPr>
              <w:tab/>
            </w:r>
            <w:r>
              <w:rPr>
                <w:noProof/>
                <w:webHidden/>
              </w:rPr>
              <w:fldChar w:fldCharType="begin"/>
            </w:r>
            <w:r>
              <w:rPr>
                <w:noProof/>
                <w:webHidden/>
              </w:rPr>
              <w:instrText xml:space="preserve"> PAGEREF _Toc81335833 \h </w:instrText>
            </w:r>
            <w:r>
              <w:rPr>
                <w:noProof/>
                <w:webHidden/>
              </w:rPr>
            </w:r>
            <w:r>
              <w:rPr>
                <w:noProof/>
                <w:webHidden/>
              </w:rPr>
              <w:fldChar w:fldCharType="separate"/>
            </w:r>
            <w:r>
              <w:rPr>
                <w:noProof/>
                <w:webHidden/>
              </w:rPr>
              <w:t>14</w:t>
            </w:r>
            <w:r>
              <w:rPr>
                <w:noProof/>
                <w:webHidden/>
              </w:rPr>
              <w:fldChar w:fldCharType="end"/>
            </w:r>
          </w:hyperlink>
        </w:p>
        <w:p w14:paraId="20EE5852" w14:textId="12955556"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34" w:history="1">
            <w:r w:rsidRPr="006920F2">
              <w:rPr>
                <w:rStyle w:val="Hyperlink"/>
                <w:noProof/>
              </w:rPr>
              <w:t>1.5.</w:t>
            </w:r>
            <w:r>
              <w:rPr>
                <w:rFonts w:eastAsiaTheme="minorEastAsia" w:cstheme="minorBidi"/>
                <w:b w:val="0"/>
                <w:bCs w:val="0"/>
                <w:noProof/>
                <w:sz w:val="24"/>
                <w:szCs w:val="24"/>
                <w:lang w:val="hr-HR" w:eastAsia="en-US"/>
              </w:rPr>
              <w:tab/>
            </w:r>
            <w:r w:rsidRPr="006920F2">
              <w:rPr>
                <w:rStyle w:val="Hyperlink"/>
                <w:noProof/>
              </w:rPr>
              <w:t>Structure of the Terminal Evaluation Report</w:t>
            </w:r>
            <w:r>
              <w:rPr>
                <w:noProof/>
                <w:webHidden/>
              </w:rPr>
              <w:tab/>
            </w:r>
            <w:r>
              <w:rPr>
                <w:noProof/>
                <w:webHidden/>
              </w:rPr>
              <w:fldChar w:fldCharType="begin"/>
            </w:r>
            <w:r>
              <w:rPr>
                <w:noProof/>
                <w:webHidden/>
              </w:rPr>
              <w:instrText xml:space="preserve"> PAGEREF _Toc81335834 \h </w:instrText>
            </w:r>
            <w:r>
              <w:rPr>
                <w:noProof/>
                <w:webHidden/>
              </w:rPr>
            </w:r>
            <w:r>
              <w:rPr>
                <w:noProof/>
                <w:webHidden/>
              </w:rPr>
              <w:fldChar w:fldCharType="separate"/>
            </w:r>
            <w:r>
              <w:rPr>
                <w:noProof/>
                <w:webHidden/>
              </w:rPr>
              <w:t>14</w:t>
            </w:r>
            <w:r>
              <w:rPr>
                <w:noProof/>
                <w:webHidden/>
              </w:rPr>
              <w:fldChar w:fldCharType="end"/>
            </w:r>
          </w:hyperlink>
        </w:p>
        <w:p w14:paraId="72BEF483" w14:textId="350DBFA7" w:rsidR="0002681F" w:rsidRDefault="0002681F">
          <w:pPr>
            <w:pStyle w:val="TOC1"/>
            <w:tabs>
              <w:tab w:val="left" w:pos="720"/>
            </w:tabs>
            <w:rPr>
              <w:rFonts w:eastAsiaTheme="minorEastAsia" w:cstheme="minorBidi"/>
              <w:b w:val="0"/>
              <w:bCs w:val="0"/>
              <w:i w:val="0"/>
              <w:iCs w:val="0"/>
              <w:noProof/>
              <w:lang w:val="hr-HR" w:eastAsia="en-US"/>
            </w:rPr>
          </w:pPr>
          <w:hyperlink w:anchor="_Toc81335835" w:history="1">
            <w:r w:rsidRPr="006920F2">
              <w:rPr>
                <w:rStyle w:val="Hyperlink"/>
                <w:noProof/>
              </w:rPr>
              <w:t xml:space="preserve">2. </w:t>
            </w:r>
            <w:r>
              <w:rPr>
                <w:rFonts w:eastAsiaTheme="minorEastAsia" w:cstheme="minorBidi"/>
                <w:b w:val="0"/>
                <w:bCs w:val="0"/>
                <w:i w:val="0"/>
                <w:iCs w:val="0"/>
                <w:noProof/>
                <w:lang w:val="hr-HR" w:eastAsia="en-US"/>
              </w:rPr>
              <w:tab/>
            </w:r>
            <w:r w:rsidRPr="006920F2">
              <w:rPr>
                <w:rStyle w:val="Hyperlink"/>
                <w:noProof/>
              </w:rPr>
              <w:t>Project description</w:t>
            </w:r>
            <w:r>
              <w:rPr>
                <w:noProof/>
                <w:webHidden/>
              </w:rPr>
              <w:tab/>
            </w:r>
            <w:r>
              <w:rPr>
                <w:noProof/>
                <w:webHidden/>
              </w:rPr>
              <w:fldChar w:fldCharType="begin"/>
            </w:r>
            <w:r>
              <w:rPr>
                <w:noProof/>
                <w:webHidden/>
              </w:rPr>
              <w:instrText xml:space="preserve"> PAGEREF _Toc81335835 \h </w:instrText>
            </w:r>
            <w:r>
              <w:rPr>
                <w:noProof/>
                <w:webHidden/>
              </w:rPr>
            </w:r>
            <w:r>
              <w:rPr>
                <w:noProof/>
                <w:webHidden/>
              </w:rPr>
              <w:fldChar w:fldCharType="separate"/>
            </w:r>
            <w:r>
              <w:rPr>
                <w:noProof/>
                <w:webHidden/>
              </w:rPr>
              <w:t>14</w:t>
            </w:r>
            <w:r>
              <w:rPr>
                <w:noProof/>
                <w:webHidden/>
              </w:rPr>
              <w:fldChar w:fldCharType="end"/>
            </w:r>
          </w:hyperlink>
        </w:p>
        <w:p w14:paraId="22B744AC" w14:textId="07E2EB17"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36" w:history="1">
            <w:r w:rsidRPr="006920F2">
              <w:rPr>
                <w:rStyle w:val="Hyperlink"/>
                <w:noProof/>
              </w:rPr>
              <w:t>2.1.</w:t>
            </w:r>
            <w:r>
              <w:rPr>
                <w:rFonts w:eastAsiaTheme="minorEastAsia" w:cstheme="minorBidi"/>
                <w:b w:val="0"/>
                <w:bCs w:val="0"/>
                <w:noProof/>
                <w:sz w:val="24"/>
                <w:szCs w:val="24"/>
                <w:lang w:val="hr-HR" w:eastAsia="en-US"/>
              </w:rPr>
              <w:tab/>
            </w:r>
            <w:r w:rsidRPr="006920F2">
              <w:rPr>
                <w:rStyle w:val="Hyperlink"/>
                <w:noProof/>
              </w:rPr>
              <w:t>Project start and duration</w:t>
            </w:r>
            <w:r>
              <w:rPr>
                <w:noProof/>
                <w:webHidden/>
              </w:rPr>
              <w:tab/>
            </w:r>
            <w:r>
              <w:rPr>
                <w:noProof/>
                <w:webHidden/>
              </w:rPr>
              <w:fldChar w:fldCharType="begin"/>
            </w:r>
            <w:r>
              <w:rPr>
                <w:noProof/>
                <w:webHidden/>
              </w:rPr>
              <w:instrText xml:space="preserve"> PAGEREF _Toc81335836 \h </w:instrText>
            </w:r>
            <w:r>
              <w:rPr>
                <w:noProof/>
                <w:webHidden/>
              </w:rPr>
            </w:r>
            <w:r>
              <w:rPr>
                <w:noProof/>
                <w:webHidden/>
              </w:rPr>
              <w:fldChar w:fldCharType="separate"/>
            </w:r>
            <w:r>
              <w:rPr>
                <w:noProof/>
                <w:webHidden/>
              </w:rPr>
              <w:t>14</w:t>
            </w:r>
            <w:r>
              <w:rPr>
                <w:noProof/>
                <w:webHidden/>
              </w:rPr>
              <w:fldChar w:fldCharType="end"/>
            </w:r>
          </w:hyperlink>
        </w:p>
        <w:p w14:paraId="6BD2305B" w14:textId="427F06FA"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37" w:history="1">
            <w:r w:rsidRPr="006920F2">
              <w:rPr>
                <w:rStyle w:val="Hyperlink"/>
                <w:noProof/>
              </w:rPr>
              <w:t>2.2.</w:t>
            </w:r>
            <w:r>
              <w:rPr>
                <w:rFonts w:eastAsiaTheme="minorEastAsia" w:cstheme="minorBidi"/>
                <w:b w:val="0"/>
                <w:bCs w:val="0"/>
                <w:noProof/>
                <w:sz w:val="24"/>
                <w:szCs w:val="24"/>
                <w:lang w:val="hr-HR" w:eastAsia="en-US"/>
              </w:rPr>
              <w:tab/>
            </w:r>
            <w:r w:rsidRPr="006920F2">
              <w:rPr>
                <w:rStyle w:val="Hyperlink"/>
                <w:noProof/>
              </w:rPr>
              <w:t>Development context</w:t>
            </w:r>
            <w:r>
              <w:rPr>
                <w:noProof/>
                <w:webHidden/>
              </w:rPr>
              <w:tab/>
            </w:r>
            <w:r>
              <w:rPr>
                <w:noProof/>
                <w:webHidden/>
              </w:rPr>
              <w:fldChar w:fldCharType="begin"/>
            </w:r>
            <w:r>
              <w:rPr>
                <w:noProof/>
                <w:webHidden/>
              </w:rPr>
              <w:instrText xml:space="preserve"> PAGEREF _Toc81335837 \h </w:instrText>
            </w:r>
            <w:r>
              <w:rPr>
                <w:noProof/>
                <w:webHidden/>
              </w:rPr>
            </w:r>
            <w:r>
              <w:rPr>
                <w:noProof/>
                <w:webHidden/>
              </w:rPr>
              <w:fldChar w:fldCharType="separate"/>
            </w:r>
            <w:r>
              <w:rPr>
                <w:noProof/>
                <w:webHidden/>
              </w:rPr>
              <w:t>15</w:t>
            </w:r>
            <w:r>
              <w:rPr>
                <w:noProof/>
                <w:webHidden/>
              </w:rPr>
              <w:fldChar w:fldCharType="end"/>
            </w:r>
          </w:hyperlink>
        </w:p>
        <w:p w14:paraId="799603E6" w14:textId="68FF63AB"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38" w:history="1">
            <w:r w:rsidRPr="006920F2">
              <w:rPr>
                <w:rStyle w:val="Hyperlink"/>
                <w:noProof/>
              </w:rPr>
              <w:t>2.3.</w:t>
            </w:r>
            <w:r>
              <w:rPr>
                <w:rFonts w:eastAsiaTheme="minorEastAsia" w:cstheme="minorBidi"/>
                <w:b w:val="0"/>
                <w:bCs w:val="0"/>
                <w:noProof/>
                <w:sz w:val="24"/>
                <w:szCs w:val="24"/>
                <w:lang w:val="hr-HR" w:eastAsia="en-US"/>
              </w:rPr>
              <w:tab/>
            </w:r>
            <w:r w:rsidRPr="006920F2">
              <w:rPr>
                <w:rStyle w:val="Hyperlink"/>
                <w:noProof/>
              </w:rPr>
              <w:t>Problems that the project sought to address</w:t>
            </w:r>
            <w:r>
              <w:rPr>
                <w:noProof/>
                <w:webHidden/>
              </w:rPr>
              <w:tab/>
            </w:r>
            <w:r>
              <w:rPr>
                <w:noProof/>
                <w:webHidden/>
              </w:rPr>
              <w:fldChar w:fldCharType="begin"/>
            </w:r>
            <w:r>
              <w:rPr>
                <w:noProof/>
                <w:webHidden/>
              </w:rPr>
              <w:instrText xml:space="preserve"> PAGEREF _Toc81335838 \h </w:instrText>
            </w:r>
            <w:r>
              <w:rPr>
                <w:noProof/>
                <w:webHidden/>
              </w:rPr>
            </w:r>
            <w:r>
              <w:rPr>
                <w:noProof/>
                <w:webHidden/>
              </w:rPr>
              <w:fldChar w:fldCharType="separate"/>
            </w:r>
            <w:r>
              <w:rPr>
                <w:noProof/>
                <w:webHidden/>
              </w:rPr>
              <w:t>16</w:t>
            </w:r>
            <w:r>
              <w:rPr>
                <w:noProof/>
                <w:webHidden/>
              </w:rPr>
              <w:fldChar w:fldCharType="end"/>
            </w:r>
          </w:hyperlink>
        </w:p>
        <w:p w14:paraId="0B207DAD" w14:textId="23D4284C"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39" w:history="1">
            <w:r w:rsidRPr="006920F2">
              <w:rPr>
                <w:rStyle w:val="Hyperlink"/>
                <w:noProof/>
              </w:rPr>
              <w:t>2.4.</w:t>
            </w:r>
            <w:r>
              <w:rPr>
                <w:rFonts w:eastAsiaTheme="minorEastAsia" w:cstheme="minorBidi"/>
                <w:b w:val="0"/>
                <w:bCs w:val="0"/>
                <w:noProof/>
                <w:sz w:val="24"/>
                <w:szCs w:val="24"/>
                <w:lang w:val="hr-HR" w:eastAsia="en-US"/>
              </w:rPr>
              <w:tab/>
            </w:r>
            <w:r w:rsidRPr="006920F2">
              <w:rPr>
                <w:rStyle w:val="Hyperlink"/>
                <w:noProof/>
              </w:rPr>
              <w:t>Immediate and development objectives</w:t>
            </w:r>
            <w:r>
              <w:rPr>
                <w:noProof/>
                <w:webHidden/>
              </w:rPr>
              <w:tab/>
            </w:r>
            <w:r>
              <w:rPr>
                <w:noProof/>
                <w:webHidden/>
              </w:rPr>
              <w:fldChar w:fldCharType="begin"/>
            </w:r>
            <w:r>
              <w:rPr>
                <w:noProof/>
                <w:webHidden/>
              </w:rPr>
              <w:instrText xml:space="preserve"> PAGEREF _Toc81335839 \h </w:instrText>
            </w:r>
            <w:r>
              <w:rPr>
                <w:noProof/>
                <w:webHidden/>
              </w:rPr>
            </w:r>
            <w:r>
              <w:rPr>
                <w:noProof/>
                <w:webHidden/>
              </w:rPr>
              <w:fldChar w:fldCharType="separate"/>
            </w:r>
            <w:r>
              <w:rPr>
                <w:noProof/>
                <w:webHidden/>
              </w:rPr>
              <w:t>17</w:t>
            </w:r>
            <w:r>
              <w:rPr>
                <w:noProof/>
                <w:webHidden/>
              </w:rPr>
              <w:fldChar w:fldCharType="end"/>
            </w:r>
          </w:hyperlink>
        </w:p>
        <w:p w14:paraId="788217B5" w14:textId="22747FE3"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40" w:history="1">
            <w:r w:rsidRPr="006920F2">
              <w:rPr>
                <w:rStyle w:val="Hyperlink"/>
                <w:noProof/>
              </w:rPr>
              <w:t>2.5.</w:t>
            </w:r>
            <w:r>
              <w:rPr>
                <w:rFonts w:eastAsiaTheme="minorEastAsia" w:cstheme="minorBidi"/>
                <w:b w:val="0"/>
                <w:bCs w:val="0"/>
                <w:noProof/>
                <w:sz w:val="24"/>
                <w:szCs w:val="24"/>
                <w:lang w:val="hr-HR" w:eastAsia="en-US"/>
              </w:rPr>
              <w:tab/>
            </w:r>
            <w:r w:rsidRPr="006920F2">
              <w:rPr>
                <w:rStyle w:val="Hyperlink"/>
                <w:noProof/>
              </w:rPr>
              <w:t>Description of the project’s Theory of Change</w:t>
            </w:r>
            <w:r>
              <w:rPr>
                <w:noProof/>
                <w:webHidden/>
              </w:rPr>
              <w:tab/>
            </w:r>
            <w:r>
              <w:rPr>
                <w:noProof/>
                <w:webHidden/>
              </w:rPr>
              <w:fldChar w:fldCharType="begin"/>
            </w:r>
            <w:r>
              <w:rPr>
                <w:noProof/>
                <w:webHidden/>
              </w:rPr>
              <w:instrText xml:space="preserve"> PAGEREF _Toc81335840 \h </w:instrText>
            </w:r>
            <w:r>
              <w:rPr>
                <w:noProof/>
                <w:webHidden/>
              </w:rPr>
            </w:r>
            <w:r>
              <w:rPr>
                <w:noProof/>
                <w:webHidden/>
              </w:rPr>
              <w:fldChar w:fldCharType="separate"/>
            </w:r>
            <w:r>
              <w:rPr>
                <w:noProof/>
                <w:webHidden/>
              </w:rPr>
              <w:t>17</w:t>
            </w:r>
            <w:r>
              <w:rPr>
                <w:noProof/>
                <w:webHidden/>
              </w:rPr>
              <w:fldChar w:fldCharType="end"/>
            </w:r>
          </w:hyperlink>
        </w:p>
        <w:p w14:paraId="31D46DFF" w14:textId="183F6EE2"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41" w:history="1">
            <w:r w:rsidRPr="006920F2">
              <w:rPr>
                <w:rStyle w:val="Hyperlink"/>
                <w:noProof/>
              </w:rPr>
              <w:t>2.6.</w:t>
            </w:r>
            <w:r>
              <w:rPr>
                <w:rFonts w:eastAsiaTheme="minorEastAsia" w:cstheme="minorBidi"/>
                <w:b w:val="0"/>
                <w:bCs w:val="0"/>
                <w:noProof/>
                <w:sz w:val="24"/>
                <w:szCs w:val="24"/>
                <w:lang w:val="hr-HR" w:eastAsia="en-US"/>
              </w:rPr>
              <w:tab/>
            </w:r>
            <w:r w:rsidRPr="006920F2">
              <w:rPr>
                <w:rStyle w:val="Hyperlink"/>
                <w:noProof/>
              </w:rPr>
              <w:t>Expected results</w:t>
            </w:r>
            <w:r>
              <w:rPr>
                <w:noProof/>
                <w:webHidden/>
              </w:rPr>
              <w:tab/>
            </w:r>
            <w:r>
              <w:rPr>
                <w:noProof/>
                <w:webHidden/>
              </w:rPr>
              <w:fldChar w:fldCharType="begin"/>
            </w:r>
            <w:r>
              <w:rPr>
                <w:noProof/>
                <w:webHidden/>
              </w:rPr>
              <w:instrText xml:space="preserve"> PAGEREF _Toc81335841 \h </w:instrText>
            </w:r>
            <w:r>
              <w:rPr>
                <w:noProof/>
                <w:webHidden/>
              </w:rPr>
            </w:r>
            <w:r>
              <w:rPr>
                <w:noProof/>
                <w:webHidden/>
              </w:rPr>
              <w:fldChar w:fldCharType="separate"/>
            </w:r>
            <w:r>
              <w:rPr>
                <w:noProof/>
                <w:webHidden/>
              </w:rPr>
              <w:t>18</w:t>
            </w:r>
            <w:r>
              <w:rPr>
                <w:noProof/>
                <w:webHidden/>
              </w:rPr>
              <w:fldChar w:fldCharType="end"/>
            </w:r>
          </w:hyperlink>
        </w:p>
        <w:p w14:paraId="3D8C9133" w14:textId="347146F6"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42" w:history="1">
            <w:r w:rsidRPr="006920F2">
              <w:rPr>
                <w:rStyle w:val="Hyperlink"/>
                <w:noProof/>
              </w:rPr>
              <w:t>2.7.</w:t>
            </w:r>
            <w:r>
              <w:rPr>
                <w:rFonts w:eastAsiaTheme="minorEastAsia" w:cstheme="minorBidi"/>
                <w:b w:val="0"/>
                <w:bCs w:val="0"/>
                <w:noProof/>
                <w:sz w:val="24"/>
                <w:szCs w:val="24"/>
                <w:lang w:val="hr-HR" w:eastAsia="en-US"/>
              </w:rPr>
              <w:tab/>
            </w:r>
            <w:r w:rsidRPr="006920F2">
              <w:rPr>
                <w:rStyle w:val="Hyperlink"/>
                <w:noProof/>
              </w:rPr>
              <w:t>Total resources</w:t>
            </w:r>
            <w:r>
              <w:rPr>
                <w:noProof/>
                <w:webHidden/>
              </w:rPr>
              <w:tab/>
            </w:r>
            <w:r>
              <w:rPr>
                <w:noProof/>
                <w:webHidden/>
              </w:rPr>
              <w:fldChar w:fldCharType="begin"/>
            </w:r>
            <w:r>
              <w:rPr>
                <w:noProof/>
                <w:webHidden/>
              </w:rPr>
              <w:instrText xml:space="preserve"> PAGEREF _Toc81335842 \h </w:instrText>
            </w:r>
            <w:r>
              <w:rPr>
                <w:noProof/>
                <w:webHidden/>
              </w:rPr>
            </w:r>
            <w:r>
              <w:rPr>
                <w:noProof/>
                <w:webHidden/>
              </w:rPr>
              <w:fldChar w:fldCharType="separate"/>
            </w:r>
            <w:r>
              <w:rPr>
                <w:noProof/>
                <w:webHidden/>
              </w:rPr>
              <w:t>18</w:t>
            </w:r>
            <w:r>
              <w:rPr>
                <w:noProof/>
                <w:webHidden/>
              </w:rPr>
              <w:fldChar w:fldCharType="end"/>
            </w:r>
          </w:hyperlink>
        </w:p>
        <w:p w14:paraId="54AB28E5" w14:textId="75C62156"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43" w:history="1">
            <w:r w:rsidRPr="006920F2">
              <w:rPr>
                <w:rStyle w:val="Hyperlink"/>
                <w:noProof/>
              </w:rPr>
              <w:t>2.8.</w:t>
            </w:r>
            <w:r>
              <w:rPr>
                <w:rFonts w:eastAsiaTheme="minorEastAsia" w:cstheme="minorBidi"/>
                <w:b w:val="0"/>
                <w:bCs w:val="0"/>
                <w:noProof/>
                <w:sz w:val="24"/>
                <w:szCs w:val="24"/>
                <w:lang w:val="hr-HR" w:eastAsia="en-US"/>
              </w:rPr>
              <w:tab/>
            </w:r>
            <w:r w:rsidRPr="006920F2">
              <w:rPr>
                <w:rStyle w:val="Hyperlink"/>
                <w:noProof/>
              </w:rPr>
              <w:t>Main stakeholders</w:t>
            </w:r>
            <w:r>
              <w:rPr>
                <w:noProof/>
                <w:webHidden/>
              </w:rPr>
              <w:tab/>
            </w:r>
            <w:r>
              <w:rPr>
                <w:noProof/>
                <w:webHidden/>
              </w:rPr>
              <w:fldChar w:fldCharType="begin"/>
            </w:r>
            <w:r>
              <w:rPr>
                <w:noProof/>
                <w:webHidden/>
              </w:rPr>
              <w:instrText xml:space="preserve"> PAGEREF _Toc81335843 \h </w:instrText>
            </w:r>
            <w:r>
              <w:rPr>
                <w:noProof/>
                <w:webHidden/>
              </w:rPr>
            </w:r>
            <w:r>
              <w:rPr>
                <w:noProof/>
                <w:webHidden/>
              </w:rPr>
              <w:fldChar w:fldCharType="separate"/>
            </w:r>
            <w:r>
              <w:rPr>
                <w:noProof/>
                <w:webHidden/>
              </w:rPr>
              <w:t>18</w:t>
            </w:r>
            <w:r>
              <w:rPr>
                <w:noProof/>
                <w:webHidden/>
              </w:rPr>
              <w:fldChar w:fldCharType="end"/>
            </w:r>
          </w:hyperlink>
        </w:p>
        <w:p w14:paraId="454CAB17" w14:textId="46CD499C"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44" w:history="1">
            <w:r w:rsidRPr="006920F2">
              <w:rPr>
                <w:rStyle w:val="Hyperlink"/>
                <w:noProof/>
              </w:rPr>
              <w:t>2.9.</w:t>
            </w:r>
            <w:r>
              <w:rPr>
                <w:rFonts w:eastAsiaTheme="minorEastAsia" w:cstheme="minorBidi"/>
                <w:b w:val="0"/>
                <w:bCs w:val="0"/>
                <w:noProof/>
                <w:sz w:val="24"/>
                <w:szCs w:val="24"/>
                <w:lang w:val="hr-HR" w:eastAsia="en-US"/>
              </w:rPr>
              <w:tab/>
            </w:r>
            <w:r w:rsidRPr="006920F2">
              <w:rPr>
                <w:rStyle w:val="Hyperlink"/>
                <w:noProof/>
              </w:rPr>
              <w:t>Key partners in the project</w:t>
            </w:r>
            <w:r>
              <w:rPr>
                <w:noProof/>
                <w:webHidden/>
              </w:rPr>
              <w:tab/>
            </w:r>
            <w:r>
              <w:rPr>
                <w:noProof/>
                <w:webHidden/>
              </w:rPr>
              <w:fldChar w:fldCharType="begin"/>
            </w:r>
            <w:r>
              <w:rPr>
                <w:noProof/>
                <w:webHidden/>
              </w:rPr>
              <w:instrText xml:space="preserve"> PAGEREF _Toc81335844 \h </w:instrText>
            </w:r>
            <w:r>
              <w:rPr>
                <w:noProof/>
                <w:webHidden/>
              </w:rPr>
            </w:r>
            <w:r>
              <w:rPr>
                <w:noProof/>
                <w:webHidden/>
              </w:rPr>
              <w:fldChar w:fldCharType="separate"/>
            </w:r>
            <w:r>
              <w:rPr>
                <w:noProof/>
                <w:webHidden/>
              </w:rPr>
              <w:t>19</w:t>
            </w:r>
            <w:r>
              <w:rPr>
                <w:noProof/>
                <w:webHidden/>
              </w:rPr>
              <w:fldChar w:fldCharType="end"/>
            </w:r>
          </w:hyperlink>
        </w:p>
        <w:p w14:paraId="294C594A" w14:textId="75379285"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45" w:history="1">
            <w:r w:rsidRPr="006920F2">
              <w:rPr>
                <w:rStyle w:val="Hyperlink"/>
                <w:noProof/>
              </w:rPr>
              <w:t>2.10.</w:t>
            </w:r>
            <w:r>
              <w:rPr>
                <w:rFonts w:eastAsiaTheme="minorEastAsia" w:cstheme="minorBidi"/>
                <w:b w:val="0"/>
                <w:bCs w:val="0"/>
                <w:noProof/>
                <w:sz w:val="24"/>
                <w:szCs w:val="24"/>
                <w:lang w:val="hr-HR" w:eastAsia="en-US"/>
              </w:rPr>
              <w:tab/>
            </w:r>
            <w:r w:rsidRPr="006920F2">
              <w:rPr>
                <w:rStyle w:val="Hyperlink"/>
                <w:noProof/>
              </w:rPr>
              <w:t>Mid-Term Evaluation</w:t>
            </w:r>
            <w:r>
              <w:rPr>
                <w:noProof/>
                <w:webHidden/>
              </w:rPr>
              <w:tab/>
            </w:r>
            <w:r>
              <w:rPr>
                <w:noProof/>
                <w:webHidden/>
              </w:rPr>
              <w:fldChar w:fldCharType="begin"/>
            </w:r>
            <w:r>
              <w:rPr>
                <w:noProof/>
                <w:webHidden/>
              </w:rPr>
              <w:instrText xml:space="preserve"> PAGEREF _Toc81335845 \h </w:instrText>
            </w:r>
            <w:r>
              <w:rPr>
                <w:noProof/>
                <w:webHidden/>
              </w:rPr>
            </w:r>
            <w:r>
              <w:rPr>
                <w:noProof/>
                <w:webHidden/>
              </w:rPr>
              <w:fldChar w:fldCharType="separate"/>
            </w:r>
            <w:r>
              <w:rPr>
                <w:noProof/>
                <w:webHidden/>
              </w:rPr>
              <w:t>20</w:t>
            </w:r>
            <w:r>
              <w:rPr>
                <w:noProof/>
                <w:webHidden/>
              </w:rPr>
              <w:fldChar w:fldCharType="end"/>
            </w:r>
          </w:hyperlink>
        </w:p>
        <w:p w14:paraId="710A2DBE" w14:textId="697401F4" w:rsidR="0002681F" w:rsidRDefault="0002681F">
          <w:pPr>
            <w:pStyle w:val="TOC1"/>
            <w:tabs>
              <w:tab w:val="left" w:pos="720"/>
            </w:tabs>
            <w:rPr>
              <w:rFonts w:eastAsiaTheme="minorEastAsia" w:cstheme="minorBidi"/>
              <w:b w:val="0"/>
              <w:bCs w:val="0"/>
              <w:i w:val="0"/>
              <w:iCs w:val="0"/>
              <w:noProof/>
              <w:lang w:val="hr-HR" w:eastAsia="en-US"/>
            </w:rPr>
          </w:pPr>
          <w:hyperlink w:anchor="_Toc81335846" w:history="1">
            <w:r w:rsidRPr="006920F2">
              <w:rPr>
                <w:rStyle w:val="Hyperlink"/>
                <w:noProof/>
              </w:rPr>
              <w:t xml:space="preserve">3. </w:t>
            </w:r>
            <w:r>
              <w:rPr>
                <w:rFonts w:eastAsiaTheme="minorEastAsia" w:cstheme="minorBidi"/>
                <w:b w:val="0"/>
                <w:bCs w:val="0"/>
                <w:i w:val="0"/>
                <w:iCs w:val="0"/>
                <w:noProof/>
                <w:lang w:val="hr-HR" w:eastAsia="en-US"/>
              </w:rPr>
              <w:tab/>
            </w:r>
            <w:r w:rsidRPr="006920F2">
              <w:rPr>
                <w:rStyle w:val="Hyperlink"/>
                <w:noProof/>
              </w:rPr>
              <w:t>Findings</w:t>
            </w:r>
            <w:r>
              <w:rPr>
                <w:noProof/>
                <w:webHidden/>
              </w:rPr>
              <w:tab/>
            </w:r>
            <w:r>
              <w:rPr>
                <w:noProof/>
                <w:webHidden/>
              </w:rPr>
              <w:fldChar w:fldCharType="begin"/>
            </w:r>
            <w:r>
              <w:rPr>
                <w:noProof/>
                <w:webHidden/>
              </w:rPr>
              <w:instrText xml:space="preserve"> PAGEREF _Toc81335846 \h </w:instrText>
            </w:r>
            <w:r>
              <w:rPr>
                <w:noProof/>
                <w:webHidden/>
              </w:rPr>
            </w:r>
            <w:r>
              <w:rPr>
                <w:noProof/>
                <w:webHidden/>
              </w:rPr>
              <w:fldChar w:fldCharType="separate"/>
            </w:r>
            <w:r>
              <w:rPr>
                <w:noProof/>
                <w:webHidden/>
              </w:rPr>
              <w:t>20</w:t>
            </w:r>
            <w:r>
              <w:rPr>
                <w:noProof/>
                <w:webHidden/>
              </w:rPr>
              <w:fldChar w:fldCharType="end"/>
            </w:r>
          </w:hyperlink>
        </w:p>
        <w:p w14:paraId="2E89C544" w14:textId="61AB2A38"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47" w:history="1">
            <w:r w:rsidRPr="006920F2">
              <w:rPr>
                <w:rStyle w:val="Hyperlink"/>
                <w:noProof/>
              </w:rPr>
              <w:t xml:space="preserve">3.1 </w:t>
            </w:r>
            <w:r>
              <w:rPr>
                <w:rFonts w:eastAsiaTheme="minorEastAsia" w:cstheme="minorBidi"/>
                <w:b w:val="0"/>
                <w:bCs w:val="0"/>
                <w:noProof/>
                <w:sz w:val="24"/>
                <w:szCs w:val="24"/>
                <w:lang w:val="hr-HR" w:eastAsia="en-US"/>
              </w:rPr>
              <w:tab/>
            </w:r>
            <w:r w:rsidRPr="006920F2">
              <w:rPr>
                <w:rStyle w:val="Hyperlink"/>
                <w:noProof/>
              </w:rPr>
              <w:t>Project Formulation</w:t>
            </w:r>
            <w:r>
              <w:rPr>
                <w:noProof/>
                <w:webHidden/>
              </w:rPr>
              <w:tab/>
            </w:r>
            <w:r>
              <w:rPr>
                <w:noProof/>
                <w:webHidden/>
              </w:rPr>
              <w:fldChar w:fldCharType="begin"/>
            </w:r>
            <w:r>
              <w:rPr>
                <w:noProof/>
                <w:webHidden/>
              </w:rPr>
              <w:instrText xml:space="preserve"> PAGEREF _Toc81335847 \h </w:instrText>
            </w:r>
            <w:r>
              <w:rPr>
                <w:noProof/>
                <w:webHidden/>
              </w:rPr>
            </w:r>
            <w:r>
              <w:rPr>
                <w:noProof/>
                <w:webHidden/>
              </w:rPr>
              <w:fldChar w:fldCharType="separate"/>
            </w:r>
            <w:r>
              <w:rPr>
                <w:noProof/>
                <w:webHidden/>
              </w:rPr>
              <w:t>21</w:t>
            </w:r>
            <w:r>
              <w:rPr>
                <w:noProof/>
                <w:webHidden/>
              </w:rPr>
              <w:fldChar w:fldCharType="end"/>
            </w:r>
          </w:hyperlink>
        </w:p>
        <w:p w14:paraId="76618343" w14:textId="7C6D553C" w:rsidR="0002681F" w:rsidRDefault="0002681F">
          <w:pPr>
            <w:pStyle w:val="TOC3"/>
            <w:tabs>
              <w:tab w:val="left" w:pos="1200"/>
              <w:tab w:val="right" w:pos="9016"/>
            </w:tabs>
            <w:rPr>
              <w:rFonts w:eastAsiaTheme="minorEastAsia" w:cstheme="minorBidi"/>
              <w:noProof/>
              <w:sz w:val="24"/>
              <w:szCs w:val="24"/>
              <w:lang w:val="hr-HR" w:eastAsia="en-US"/>
            </w:rPr>
          </w:pPr>
          <w:hyperlink w:anchor="_Toc81335848" w:history="1">
            <w:r w:rsidRPr="006920F2">
              <w:rPr>
                <w:rStyle w:val="Hyperlink"/>
                <w:noProof/>
              </w:rPr>
              <w:t>3.1.1.</w:t>
            </w:r>
            <w:r>
              <w:rPr>
                <w:rFonts w:eastAsiaTheme="minorEastAsia" w:cstheme="minorBidi"/>
                <w:noProof/>
                <w:sz w:val="24"/>
                <w:szCs w:val="24"/>
                <w:lang w:val="hr-HR" w:eastAsia="en-US"/>
              </w:rPr>
              <w:tab/>
            </w:r>
            <w:r w:rsidRPr="006920F2">
              <w:rPr>
                <w:rStyle w:val="Hyperlink"/>
                <w:noProof/>
              </w:rPr>
              <w:t>Analysis of Results Framework</w:t>
            </w:r>
            <w:r>
              <w:rPr>
                <w:noProof/>
                <w:webHidden/>
              </w:rPr>
              <w:tab/>
            </w:r>
            <w:r>
              <w:rPr>
                <w:noProof/>
                <w:webHidden/>
              </w:rPr>
              <w:fldChar w:fldCharType="begin"/>
            </w:r>
            <w:r>
              <w:rPr>
                <w:noProof/>
                <w:webHidden/>
              </w:rPr>
              <w:instrText xml:space="preserve"> PAGEREF _Toc81335848 \h </w:instrText>
            </w:r>
            <w:r>
              <w:rPr>
                <w:noProof/>
                <w:webHidden/>
              </w:rPr>
            </w:r>
            <w:r>
              <w:rPr>
                <w:noProof/>
                <w:webHidden/>
              </w:rPr>
              <w:fldChar w:fldCharType="separate"/>
            </w:r>
            <w:r>
              <w:rPr>
                <w:noProof/>
                <w:webHidden/>
              </w:rPr>
              <w:t>21</w:t>
            </w:r>
            <w:r>
              <w:rPr>
                <w:noProof/>
                <w:webHidden/>
              </w:rPr>
              <w:fldChar w:fldCharType="end"/>
            </w:r>
          </w:hyperlink>
        </w:p>
        <w:p w14:paraId="15F59F13" w14:textId="26E92F09" w:rsidR="0002681F" w:rsidRDefault="0002681F">
          <w:pPr>
            <w:pStyle w:val="TOC3"/>
            <w:tabs>
              <w:tab w:val="left" w:pos="1200"/>
              <w:tab w:val="right" w:pos="9016"/>
            </w:tabs>
            <w:rPr>
              <w:rFonts w:eastAsiaTheme="minorEastAsia" w:cstheme="minorBidi"/>
              <w:noProof/>
              <w:sz w:val="24"/>
              <w:szCs w:val="24"/>
              <w:lang w:val="hr-HR" w:eastAsia="en-US"/>
            </w:rPr>
          </w:pPr>
          <w:hyperlink w:anchor="_Toc81335849" w:history="1">
            <w:r w:rsidRPr="006920F2">
              <w:rPr>
                <w:rStyle w:val="Hyperlink"/>
                <w:noProof/>
              </w:rPr>
              <w:t>3.1.2.</w:t>
            </w:r>
            <w:r>
              <w:rPr>
                <w:rFonts w:eastAsiaTheme="minorEastAsia" w:cstheme="minorBidi"/>
                <w:noProof/>
                <w:sz w:val="24"/>
                <w:szCs w:val="24"/>
                <w:lang w:val="hr-HR" w:eastAsia="en-US"/>
              </w:rPr>
              <w:tab/>
            </w:r>
            <w:r w:rsidRPr="006920F2">
              <w:rPr>
                <w:rStyle w:val="Hyperlink"/>
                <w:noProof/>
              </w:rPr>
              <w:t>Assumptions and risks</w:t>
            </w:r>
            <w:r>
              <w:rPr>
                <w:noProof/>
                <w:webHidden/>
              </w:rPr>
              <w:tab/>
            </w:r>
            <w:r>
              <w:rPr>
                <w:noProof/>
                <w:webHidden/>
              </w:rPr>
              <w:fldChar w:fldCharType="begin"/>
            </w:r>
            <w:r>
              <w:rPr>
                <w:noProof/>
                <w:webHidden/>
              </w:rPr>
              <w:instrText xml:space="preserve"> PAGEREF _Toc81335849 \h </w:instrText>
            </w:r>
            <w:r>
              <w:rPr>
                <w:noProof/>
                <w:webHidden/>
              </w:rPr>
            </w:r>
            <w:r>
              <w:rPr>
                <w:noProof/>
                <w:webHidden/>
              </w:rPr>
              <w:fldChar w:fldCharType="separate"/>
            </w:r>
            <w:r>
              <w:rPr>
                <w:noProof/>
                <w:webHidden/>
              </w:rPr>
              <w:t>21</w:t>
            </w:r>
            <w:r>
              <w:rPr>
                <w:noProof/>
                <w:webHidden/>
              </w:rPr>
              <w:fldChar w:fldCharType="end"/>
            </w:r>
          </w:hyperlink>
        </w:p>
        <w:p w14:paraId="0AE44797" w14:textId="0A156848" w:rsidR="0002681F" w:rsidRDefault="0002681F">
          <w:pPr>
            <w:pStyle w:val="TOC3"/>
            <w:tabs>
              <w:tab w:val="left" w:pos="1200"/>
              <w:tab w:val="right" w:pos="9016"/>
            </w:tabs>
            <w:rPr>
              <w:rFonts w:eastAsiaTheme="minorEastAsia" w:cstheme="minorBidi"/>
              <w:noProof/>
              <w:sz w:val="24"/>
              <w:szCs w:val="24"/>
              <w:lang w:val="hr-HR" w:eastAsia="en-US"/>
            </w:rPr>
          </w:pPr>
          <w:hyperlink w:anchor="_Toc81335850" w:history="1">
            <w:r w:rsidRPr="006920F2">
              <w:rPr>
                <w:rStyle w:val="Hyperlink"/>
                <w:noProof/>
              </w:rPr>
              <w:t>3.1.3.</w:t>
            </w:r>
            <w:r>
              <w:rPr>
                <w:rFonts w:eastAsiaTheme="minorEastAsia" w:cstheme="minorBidi"/>
                <w:noProof/>
                <w:sz w:val="24"/>
                <w:szCs w:val="24"/>
                <w:lang w:val="hr-HR" w:eastAsia="en-US"/>
              </w:rPr>
              <w:tab/>
            </w:r>
            <w:r w:rsidRPr="006920F2">
              <w:rPr>
                <w:rStyle w:val="Hyperlink"/>
                <w:noProof/>
              </w:rPr>
              <w:t>Lessons from other relevant projects incorporated into project design</w:t>
            </w:r>
            <w:r>
              <w:rPr>
                <w:noProof/>
                <w:webHidden/>
              </w:rPr>
              <w:tab/>
            </w:r>
            <w:r>
              <w:rPr>
                <w:noProof/>
                <w:webHidden/>
              </w:rPr>
              <w:fldChar w:fldCharType="begin"/>
            </w:r>
            <w:r>
              <w:rPr>
                <w:noProof/>
                <w:webHidden/>
              </w:rPr>
              <w:instrText xml:space="preserve"> PAGEREF _Toc81335850 \h </w:instrText>
            </w:r>
            <w:r>
              <w:rPr>
                <w:noProof/>
                <w:webHidden/>
              </w:rPr>
            </w:r>
            <w:r>
              <w:rPr>
                <w:noProof/>
                <w:webHidden/>
              </w:rPr>
              <w:fldChar w:fldCharType="separate"/>
            </w:r>
            <w:r>
              <w:rPr>
                <w:noProof/>
                <w:webHidden/>
              </w:rPr>
              <w:t>22</w:t>
            </w:r>
            <w:r>
              <w:rPr>
                <w:noProof/>
                <w:webHidden/>
              </w:rPr>
              <w:fldChar w:fldCharType="end"/>
            </w:r>
          </w:hyperlink>
        </w:p>
        <w:p w14:paraId="729B1B5B" w14:textId="7464B89B" w:rsidR="0002681F" w:rsidRDefault="0002681F">
          <w:pPr>
            <w:pStyle w:val="TOC3"/>
            <w:tabs>
              <w:tab w:val="left" w:pos="1200"/>
              <w:tab w:val="right" w:pos="9016"/>
            </w:tabs>
            <w:rPr>
              <w:rFonts w:eastAsiaTheme="minorEastAsia" w:cstheme="minorBidi"/>
              <w:noProof/>
              <w:sz w:val="24"/>
              <w:szCs w:val="24"/>
              <w:lang w:val="hr-HR" w:eastAsia="en-US"/>
            </w:rPr>
          </w:pPr>
          <w:hyperlink w:anchor="_Toc81335851" w:history="1">
            <w:r w:rsidRPr="006920F2">
              <w:rPr>
                <w:rStyle w:val="Hyperlink"/>
                <w:noProof/>
              </w:rPr>
              <w:t>3.1.4.</w:t>
            </w:r>
            <w:r>
              <w:rPr>
                <w:rFonts w:eastAsiaTheme="minorEastAsia" w:cstheme="minorBidi"/>
                <w:noProof/>
                <w:sz w:val="24"/>
                <w:szCs w:val="24"/>
                <w:lang w:val="hr-HR" w:eastAsia="en-US"/>
              </w:rPr>
              <w:tab/>
            </w:r>
            <w:r w:rsidRPr="006920F2">
              <w:rPr>
                <w:rStyle w:val="Hyperlink"/>
                <w:noProof/>
              </w:rPr>
              <w:t>Planned stakeholder participation</w:t>
            </w:r>
            <w:r>
              <w:rPr>
                <w:noProof/>
                <w:webHidden/>
              </w:rPr>
              <w:tab/>
            </w:r>
            <w:r>
              <w:rPr>
                <w:noProof/>
                <w:webHidden/>
              </w:rPr>
              <w:fldChar w:fldCharType="begin"/>
            </w:r>
            <w:r>
              <w:rPr>
                <w:noProof/>
                <w:webHidden/>
              </w:rPr>
              <w:instrText xml:space="preserve"> PAGEREF _Toc81335851 \h </w:instrText>
            </w:r>
            <w:r>
              <w:rPr>
                <w:noProof/>
                <w:webHidden/>
              </w:rPr>
            </w:r>
            <w:r>
              <w:rPr>
                <w:noProof/>
                <w:webHidden/>
              </w:rPr>
              <w:fldChar w:fldCharType="separate"/>
            </w:r>
            <w:r>
              <w:rPr>
                <w:noProof/>
                <w:webHidden/>
              </w:rPr>
              <w:t>22</w:t>
            </w:r>
            <w:r>
              <w:rPr>
                <w:noProof/>
                <w:webHidden/>
              </w:rPr>
              <w:fldChar w:fldCharType="end"/>
            </w:r>
          </w:hyperlink>
        </w:p>
        <w:p w14:paraId="43757868" w14:textId="5EB32219" w:rsidR="0002681F" w:rsidRDefault="0002681F">
          <w:pPr>
            <w:pStyle w:val="TOC3"/>
            <w:tabs>
              <w:tab w:val="left" w:pos="1200"/>
              <w:tab w:val="right" w:pos="9016"/>
            </w:tabs>
            <w:rPr>
              <w:rFonts w:eastAsiaTheme="minorEastAsia" w:cstheme="minorBidi"/>
              <w:noProof/>
              <w:sz w:val="24"/>
              <w:szCs w:val="24"/>
              <w:lang w:val="hr-HR" w:eastAsia="en-US"/>
            </w:rPr>
          </w:pPr>
          <w:hyperlink w:anchor="_Toc81335852" w:history="1">
            <w:r w:rsidRPr="006920F2">
              <w:rPr>
                <w:rStyle w:val="Hyperlink"/>
                <w:noProof/>
              </w:rPr>
              <w:t>3.1.5</w:t>
            </w:r>
            <w:r>
              <w:rPr>
                <w:rFonts w:eastAsiaTheme="minorEastAsia" w:cstheme="minorBidi"/>
                <w:noProof/>
                <w:sz w:val="24"/>
                <w:szCs w:val="24"/>
                <w:lang w:val="hr-HR" w:eastAsia="en-US"/>
              </w:rPr>
              <w:tab/>
            </w:r>
            <w:r w:rsidRPr="006920F2">
              <w:rPr>
                <w:rStyle w:val="Hyperlink"/>
                <w:noProof/>
              </w:rPr>
              <w:t>Linkages between project and other interventions within the sector</w:t>
            </w:r>
            <w:r>
              <w:rPr>
                <w:noProof/>
                <w:webHidden/>
              </w:rPr>
              <w:tab/>
            </w:r>
            <w:r>
              <w:rPr>
                <w:noProof/>
                <w:webHidden/>
              </w:rPr>
              <w:fldChar w:fldCharType="begin"/>
            </w:r>
            <w:r>
              <w:rPr>
                <w:noProof/>
                <w:webHidden/>
              </w:rPr>
              <w:instrText xml:space="preserve"> PAGEREF _Toc81335852 \h </w:instrText>
            </w:r>
            <w:r>
              <w:rPr>
                <w:noProof/>
                <w:webHidden/>
              </w:rPr>
            </w:r>
            <w:r>
              <w:rPr>
                <w:noProof/>
                <w:webHidden/>
              </w:rPr>
              <w:fldChar w:fldCharType="separate"/>
            </w:r>
            <w:r>
              <w:rPr>
                <w:noProof/>
                <w:webHidden/>
              </w:rPr>
              <w:t>22</w:t>
            </w:r>
            <w:r>
              <w:rPr>
                <w:noProof/>
                <w:webHidden/>
              </w:rPr>
              <w:fldChar w:fldCharType="end"/>
            </w:r>
          </w:hyperlink>
        </w:p>
        <w:p w14:paraId="0C98FB7C" w14:textId="5375961C" w:rsidR="0002681F" w:rsidRDefault="0002681F">
          <w:pPr>
            <w:pStyle w:val="TOC3"/>
            <w:tabs>
              <w:tab w:val="left" w:pos="1200"/>
              <w:tab w:val="right" w:pos="9016"/>
            </w:tabs>
            <w:rPr>
              <w:rFonts w:eastAsiaTheme="minorEastAsia" w:cstheme="minorBidi"/>
              <w:noProof/>
              <w:sz w:val="24"/>
              <w:szCs w:val="24"/>
              <w:lang w:val="hr-HR" w:eastAsia="en-US"/>
            </w:rPr>
          </w:pPr>
          <w:hyperlink w:anchor="_Toc81335853" w:history="1">
            <w:r w:rsidRPr="006920F2">
              <w:rPr>
                <w:rStyle w:val="Hyperlink"/>
                <w:noProof/>
              </w:rPr>
              <w:t>3.1.6.</w:t>
            </w:r>
            <w:r>
              <w:rPr>
                <w:rFonts w:eastAsiaTheme="minorEastAsia" w:cstheme="minorBidi"/>
                <w:noProof/>
                <w:sz w:val="24"/>
                <w:szCs w:val="24"/>
                <w:lang w:val="hr-HR" w:eastAsia="en-US"/>
              </w:rPr>
              <w:tab/>
            </w:r>
            <w:r w:rsidRPr="006920F2">
              <w:rPr>
                <w:rStyle w:val="Hyperlink"/>
                <w:noProof/>
              </w:rPr>
              <w:t>Gender responsiveness</w:t>
            </w:r>
            <w:r>
              <w:rPr>
                <w:noProof/>
                <w:webHidden/>
              </w:rPr>
              <w:tab/>
            </w:r>
            <w:r>
              <w:rPr>
                <w:noProof/>
                <w:webHidden/>
              </w:rPr>
              <w:fldChar w:fldCharType="begin"/>
            </w:r>
            <w:r>
              <w:rPr>
                <w:noProof/>
                <w:webHidden/>
              </w:rPr>
              <w:instrText xml:space="preserve"> PAGEREF _Toc81335853 \h </w:instrText>
            </w:r>
            <w:r>
              <w:rPr>
                <w:noProof/>
                <w:webHidden/>
              </w:rPr>
            </w:r>
            <w:r>
              <w:rPr>
                <w:noProof/>
                <w:webHidden/>
              </w:rPr>
              <w:fldChar w:fldCharType="separate"/>
            </w:r>
            <w:r>
              <w:rPr>
                <w:noProof/>
                <w:webHidden/>
              </w:rPr>
              <w:t>23</w:t>
            </w:r>
            <w:r>
              <w:rPr>
                <w:noProof/>
                <w:webHidden/>
              </w:rPr>
              <w:fldChar w:fldCharType="end"/>
            </w:r>
          </w:hyperlink>
        </w:p>
        <w:p w14:paraId="63F48562" w14:textId="0DB23604" w:rsidR="0002681F" w:rsidRDefault="0002681F">
          <w:pPr>
            <w:pStyle w:val="TOC3"/>
            <w:tabs>
              <w:tab w:val="left" w:pos="1200"/>
              <w:tab w:val="right" w:pos="9016"/>
            </w:tabs>
            <w:rPr>
              <w:rFonts w:eastAsiaTheme="minorEastAsia" w:cstheme="minorBidi"/>
              <w:noProof/>
              <w:sz w:val="24"/>
              <w:szCs w:val="24"/>
              <w:lang w:val="hr-HR" w:eastAsia="en-US"/>
            </w:rPr>
          </w:pPr>
          <w:hyperlink w:anchor="_Toc81335854" w:history="1">
            <w:r w:rsidRPr="006920F2">
              <w:rPr>
                <w:rStyle w:val="Hyperlink"/>
                <w:noProof/>
              </w:rPr>
              <w:t>3.1.7.</w:t>
            </w:r>
            <w:r>
              <w:rPr>
                <w:rFonts w:eastAsiaTheme="minorEastAsia" w:cstheme="minorBidi"/>
                <w:noProof/>
                <w:sz w:val="24"/>
                <w:szCs w:val="24"/>
                <w:lang w:val="hr-HR" w:eastAsia="en-US"/>
              </w:rPr>
              <w:tab/>
            </w:r>
            <w:r w:rsidRPr="006920F2">
              <w:rPr>
                <w:rStyle w:val="Hyperlink"/>
                <w:noProof/>
              </w:rPr>
              <w:t>Social and Environmental Safeguards</w:t>
            </w:r>
            <w:r>
              <w:rPr>
                <w:noProof/>
                <w:webHidden/>
              </w:rPr>
              <w:tab/>
            </w:r>
            <w:r>
              <w:rPr>
                <w:noProof/>
                <w:webHidden/>
              </w:rPr>
              <w:fldChar w:fldCharType="begin"/>
            </w:r>
            <w:r>
              <w:rPr>
                <w:noProof/>
                <w:webHidden/>
              </w:rPr>
              <w:instrText xml:space="preserve"> PAGEREF _Toc81335854 \h </w:instrText>
            </w:r>
            <w:r>
              <w:rPr>
                <w:noProof/>
                <w:webHidden/>
              </w:rPr>
            </w:r>
            <w:r>
              <w:rPr>
                <w:noProof/>
                <w:webHidden/>
              </w:rPr>
              <w:fldChar w:fldCharType="separate"/>
            </w:r>
            <w:r>
              <w:rPr>
                <w:noProof/>
                <w:webHidden/>
              </w:rPr>
              <w:t>24</w:t>
            </w:r>
            <w:r>
              <w:rPr>
                <w:noProof/>
                <w:webHidden/>
              </w:rPr>
              <w:fldChar w:fldCharType="end"/>
            </w:r>
          </w:hyperlink>
        </w:p>
        <w:p w14:paraId="36ADE96D" w14:textId="5A2CE13D"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55" w:history="1">
            <w:r w:rsidRPr="006920F2">
              <w:rPr>
                <w:rStyle w:val="Hyperlink"/>
                <w:noProof/>
              </w:rPr>
              <w:t xml:space="preserve">3.2. </w:t>
            </w:r>
            <w:r>
              <w:rPr>
                <w:rFonts w:eastAsiaTheme="minorEastAsia" w:cstheme="minorBidi"/>
                <w:b w:val="0"/>
                <w:bCs w:val="0"/>
                <w:noProof/>
                <w:sz w:val="24"/>
                <w:szCs w:val="24"/>
                <w:lang w:val="hr-HR" w:eastAsia="en-US"/>
              </w:rPr>
              <w:tab/>
            </w:r>
            <w:r w:rsidRPr="006920F2">
              <w:rPr>
                <w:rStyle w:val="Hyperlink"/>
                <w:noProof/>
              </w:rPr>
              <w:t xml:space="preserve">Project Implementation </w:t>
            </w:r>
            <w:r w:rsidRPr="006920F2">
              <w:rPr>
                <w:rStyle w:val="Hyperlink"/>
                <w:rFonts w:ascii="MS Gothic" w:eastAsia="MS Gothic" w:hAnsi="MS Gothic" w:cs="MS Gothic"/>
                <w:noProof/>
              </w:rPr>
              <w:t> </w:t>
            </w:r>
            <w:r>
              <w:rPr>
                <w:noProof/>
                <w:webHidden/>
              </w:rPr>
              <w:tab/>
            </w:r>
            <w:r>
              <w:rPr>
                <w:noProof/>
                <w:webHidden/>
              </w:rPr>
              <w:fldChar w:fldCharType="begin"/>
            </w:r>
            <w:r>
              <w:rPr>
                <w:noProof/>
                <w:webHidden/>
              </w:rPr>
              <w:instrText xml:space="preserve"> PAGEREF _Toc81335855 \h </w:instrText>
            </w:r>
            <w:r>
              <w:rPr>
                <w:noProof/>
                <w:webHidden/>
              </w:rPr>
            </w:r>
            <w:r>
              <w:rPr>
                <w:noProof/>
                <w:webHidden/>
              </w:rPr>
              <w:fldChar w:fldCharType="separate"/>
            </w:r>
            <w:r>
              <w:rPr>
                <w:noProof/>
                <w:webHidden/>
              </w:rPr>
              <w:t>24</w:t>
            </w:r>
            <w:r>
              <w:rPr>
                <w:noProof/>
                <w:webHidden/>
              </w:rPr>
              <w:fldChar w:fldCharType="end"/>
            </w:r>
          </w:hyperlink>
        </w:p>
        <w:p w14:paraId="48E0D8DB" w14:textId="49257FCE" w:rsidR="0002681F" w:rsidRDefault="0002681F">
          <w:pPr>
            <w:pStyle w:val="TOC3"/>
            <w:tabs>
              <w:tab w:val="left" w:pos="1200"/>
              <w:tab w:val="right" w:pos="9016"/>
            </w:tabs>
            <w:rPr>
              <w:rFonts w:eastAsiaTheme="minorEastAsia" w:cstheme="minorBidi"/>
              <w:noProof/>
              <w:sz w:val="24"/>
              <w:szCs w:val="24"/>
              <w:lang w:val="hr-HR" w:eastAsia="en-US"/>
            </w:rPr>
          </w:pPr>
          <w:hyperlink w:anchor="_Toc81335856" w:history="1">
            <w:r w:rsidRPr="006920F2">
              <w:rPr>
                <w:rStyle w:val="Hyperlink"/>
                <w:noProof/>
              </w:rPr>
              <w:t>3.2.1.</w:t>
            </w:r>
            <w:r>
              <w:rPr>
                <w:rFonts w:eastAsiaTheme="minorEastAsia" w:cstheme="minorBidi"/>
                <w:noProof/>
                <w:sz w:val="24"/>
                <w:szCs w:val="24"/>
                <w:lang w:val="hr-HR" w:eastAsia="en-US"/>
              </w:rPr>
              <w:tab/>
            </w:r>
            <w:r w:rsidRPr="006920F2">
              <w:rPr>
                <w:rStyle w:val="Hyperlink"/>
                <w:noProof/>
              </w:rPr>
              <w:t>Adaptive management</w:t>
            </w:r>
            <w:r>
              <w:rPr>
                <w:noProof/>
                <w:webHidden/>
              </w:rPr>
              <w:tab/>
            </w:r>
            <w:r>
              <w:rPr>
                <w:noProof/>
                <w:webHidden/>
              </w:rPr>
              <w:fldChar w:fldCharType="begin"/>
            </w:r>
            <w:r>
              <w:rPr>
                <w:noProof/>
                <w:webHidden/>
              </w:rPr>
              <w:instrText xml:space="preserve"> PAGEREF _Toc81335856 \h </w:instrText>
            </w:r>
            <w:r>
              <w:rPr>
                <w:noProof/>
                <w:webHidden/>
              </w:rPr>
            </w:r>
            <w:r>
              <w:rPr>
                <w:noProof/>
                <w:webHidden/>
              </w:rPr>
              <w:fldChar w:fldCharType="separate"/>
            </w:r>
            <w:r>
              <w:rPr>
                <w:noProof/>
                <w:webHidden/>
              </w:rPr>
              <w:t>24</w:t>
            </w:r>
            <w:r>
              <w:rPr>
                <w:noProof/>
                <w:webHidden/>
              </w:rPr>
              <w:fldChar w:fldCharType="end"/>
            </w:r>
          </w:hyperlink>
        </w:p>
        <w:p w14:paraId="74EC36BA" w14:textId="7A3A0919" w:rsidR="0002681F" w:rsidRDefault="0002681F">
          <w:pPr>
            <w:pStyle w:val="TOC3"/>
            <w:tabs>
              <w:tab w:val="left" w:pos="1200"/>
              <w:tab w:val="right" w:pos="9016"/>
            </w:tabs>
            <w:rPr>
              <w:rFonts w:eastAsiaTheme="minorEastAsia" w:cstheme="minorBidi"/>
              <w:noProof/>
              <w:sz w:val="24"/>
              <w:szCs w:val="24"/>
              <w:lang w:val="hr-HR" w:eastAsia="en-US"/>
            </w:rPr>
          </w:pPr>
          <w:hyperlink w:anchor="_Toc81335857" w:history="1">
            <w:r w:rsidRPr="006920F2">
              <w:rPr>
                <w:rStyle w:val="Hyperlink"/>
                <w:noProof/>
              </w:rPr>
              <w:t>3.2.2.</w:t>
            </w:r>
            <w:r>
              <w:rPr>
                <w:rFonts w:eastAsiaTheme="minorEastAsia" w:cstheme="minorBidi"/>
                <w:noProof/>
                <w:sz w:val="24"/>
                <w:szCs w:val="24"/>
                <w:lang w:val="hr-HR" w:eastAsia="en-US"/>
              </w:rPr>
              <w:tab/>
            </w:r>
            <w:r w:rsidRPr="006920F2">
              <w:rPr>
                <w:rStyle w:val="Hyperlink"/>
                <w:noProof/>
              </w:rPr>
              <w:t>Actual stakeholder participation and partnership arrangement</w:t>
            </w:r>
            <w:r>
              <w:rPr>
                <w:noProof/>
                <w:webHidden/>
              </w:rPr>
              <w:tab/>
            </w:r>
            <w:r>
              <w:rPr>
                <w:noProof/>
                <w:webHidden/>
              </w:rPr>
              <w:fldChar w:fldCharType="begin"/>
            </w:r>
            <w:r>
              <w:rPr>
                <w:noProof/>
                <w:webHidden/>
              </w:rPr>
              <w:instrText xml:space="preserve"> PAGEREF _Toc81335857 \h </w:instrText>
            </w:r>
            <w:r>
              <w:rPr>
                <w:noProof/>
                <w:webHidden/>
              </w:rPr>
            </w:r>
            <w:r>
              <w:rPr>
                <w:noProof/>
                <w:webHidden/>
              </w:rPr>
              <w:fldChar w:fldCharType="separate"/>
            </w:r>
            <w:r>
              <w:rPr>
                <w:noProof/>
                <w:webHidden/>
              </w:rPr>
              <w:t>25</w:t>
            </w:r>
            <w:r>
              <w:rPr>
                <w:noProof/>
                <w:webHidden/>
              </w:rPr>
              <w:fldChar w:fldCharType="end"/>
            </w:r>
          </w:hyperlink>
        </w:p>
        <w:p w14:paraId="24FC705D" w14:textId="54463E8B" w:rsidR="0002681F" w:rsidRDefault="0002681F">
          <w:pPr>
            <w:pStyle w:val="TOC3"/>
            <w:tabs>
              <w:tab w:val="left" w:pos="1200"/>
              <w:tab w:val="right" w:pos="9016"/>
            </w:tabs>
            <w:rPr>
              <w:rFonts w:eastAsiaTheme="minorEastAsia" w:cstheme="minorBidi"/>
              <w:noProof/>
              <w:sz w:val="24"/>
              <w:szCs w:val="24"/>
              <w:lang w:val="hr-HR" w:eastAsia="en-US"/>
            </w:rPr>
          </w:pPr>
          <w:hyperlink w:anchor="_Toc81335858" w:history="1">
            <w:r w:rsidRPr="006920F2">
              <w:rPr>
                <w:rStyle w:val="Hyperlink"/>
                <w:noProof/>
              </w:rPr>
              <w:t>3.2.3.</w:t>
            </w:r>
            <w:r>
              <w:rPr>
                <w:rFonts w:eastAsiaTheme="minorEastAsia" w:cstheme="minorBidi"/>
                <w:noProof/>
                <w:sz w:val="24"/>
                <w:szCs w:val="24"/>
                <w:lang w:val="hr-HR" w:eastAsia="en-US"/>
              </w:rPr>
              <w:tab/>
            </w:r>
            <w:r w:rsidRPr="006920F2">
              <w:rPr>
                <w:rStyle w:val="Hyperlink"/>
                <w:noProof/>
              </w:rPr>
              <w:t>Project finance and co-finance</w:t>
            </w:r>
            <w:r>
              <w:rPr>
                <w:noProof/>
                <w:webHidden/>
              </w:rPr>
              <w:tab/>
            </w:r>
            <w:r>
              <w:rPr>
                <w:noProof/>
                <w:webHidden/>
              </w:rPr>
              <w:fldChar w:fldCharType="begin"/>
            </w:r>
            <w:r>
              <w:rPr>
                <w:noProof/>
                <w:webHidden/>
              </w:rPr>
              <w:instrText xml:space="preserve"> PAGEREF _Toc81335858 \h </w:instrText>
            </w:r>
            <w:r>
              <w:rPr>
                <w:noProof/>
                <w:webHidden/>
              </w:rPr>
            </w:r>
            <w:r>
              <w:rPr>
                <w:noProof/>
                <w:webHidden/>
              </w:rPr>
              <w:fldChar w:fldCharType="separate"/>
            </w:r>
            <w:r>
              <w:rPr>
                <w:noProof/>
                <w:webHidden/>
              </w:rPr>
              <w:t>26</w:t>
            </w:r>
            <w:r>
              <w:rPr>
                <w:noProof/>
                <w:webHidden/>
              </w:rPr>
              <w:fldChar w:fldCharType="end"/>
            </w:r>
          </w:hyperlink>
        </w:p>
        <w:p w14:paraId="036F5DC1" w14:textId="58A3FDC7" w:rsidR="0002681F" w:rsidRDefault="0002681F">
          <w:pPr>
            <w:pStyle w:val="TOC3"/>
            <w:tabs>
              <w:tab w:val="left" w:pos="1200"/>
              <w:tab w:val="right" w:pos="9016"/>
            </w:tabs>
            <w:rPr>
              <w:rFonts w:eastAsiaTheme="minorEastAsia" w:cstheme="minorBidi"/>
              <w:noProof/>
              <w:sz w:val="24"/>
              <w:szCs w:val="24"/>
              <w:lang w:val="hr-HR" w:eastAsia="en-US"/>
            </w:rPr>
          </w:pPr>
          <w:hyperlink w:anchor="_Toc81335859" w:history="1">
            <w:r w:rsidRPr="006920F2">
              <w:rPr>
                <w:rStyle w:val="Hyperlink"/>
                <w:noProof/>
              </w:rPr>
              <w:t>3.2.4.</w:t>
            </w:r>
            <w:r>
              <w:rPr>
                <w:rFonts w:eastAsiaTheme="minorEastAsia" w:cstheme="minorBidi"/>
                <w:noProof/>
                <w:sz w:val="24"/>
                <w:szCs w:val="24"/>
                <w:lang w:val="hr-HR" w:eastAsia="en-US"/>
              </w:rPr>
              <w:tab/>
            </w:r>
            <w:r w:rsidRPr="006920F2">
              <w:rPr>
                <w:rStyle w:val="Hyperlink"/>
                <w:noProof/>
              </w:rPr>
              <w:t xml:space="preserve">Monitoring and evaluation </w:t>
            </w:r>
            <w:r w:rsidRPr="006920F2">
              <w:rPr>
                <w:rStyle w:val="Hyperlink"/>
                <w:rFonts w:ascii="MS Gothic" w:eastAsia="MS Gothic" w:hAnsi="MS Gothic" w:cs="MS Gothic"/>
                <w:noProof/>
              </w:rPr>
              <w:t> </w:t>
            </w:r>
            <w:r>
              <w:rPr>
                <w:noProof/>
                <w:webHidden/>
              </w:rPr>
              <w:tab/>
            </w:r>
            <w:r>
              <w:rPr>
                <w:noProof/>
                <w:webHidden/>
              </w:rPr>
              <w:fldChar w:fldCharType="begin"/>
            </w:r>
            <w:r>
              <w:rPr>
                <w:noProof/>
                <w:webHidden/>
              </w:rPr>
              <w:instrText xml:space="preserve"> PAGEREF _Toc81335859 \h </w:instrText>
            </w:r>
            <w:r>
              <w:rPr>
                <w:noProof/>
                <w:webHidden/>
              </w:rPr>
            </w:r>
            <w:r>
              <w:rPr>
                <w:noProof/>
                <w:webHidden/>
              </w:rPr>
              <w:fldChar w:fldCharType="separate"/>
            </w:r>
            <w:r>
              <w:rPr>
                <w:noProof/>
                <w:webHidden/>
              </w:rPr>
              <w:t>28</w:t>
            </w:r>
            <w:r>
              <w:rPr>
                <w:noProof/>
                <w:webHidden/>
              </w:rPr>
              <w:fldChar w:fldCharType="end"/>
            </w:r>
          </w:hyperlink>
        </w:p>
        <w:p w14:paraId="626C70E7" w14:textId="47EF712B" w:rsidR="0002681F" w:rsidRDefault="0002681F">
          <w:pPr>
            <w:pStyle w:val="TOC3"/>
            <w:tabs>
              <w:tab w:val="left" w:pos="1200"/>
              <w:tab w:val="right" w:pos="9016"/>
            </w:tabs>
            <w:rPr>
              <w:rFonts w:eastAsiaTheme="minorEastAsia" w:cstheme="minorBidi"/>
              <w:noProof/>
              <w:sz w:val="24"/>
              <w:szCs w:val="24"/>
              <w:lang w:val="hr-HR" w:eastAsia="en-US"/>
            </w:rPr>
          </w:pPr>
          <w:hyperlink w:anchor="_Toc81335860" w:history="1">
            <w:r w:rsidRPr="006920F2">
              <w:rPr>
                <w:rStyle w:val="Hyperlink"/>
                <w:noProof/>
              </w:rPr>
              <w:t>3.2.5.</w:t>
            </w:r>
            <w:r>
              <w:rPr>
                <w:rFonts w:eastAsiaTheme="minorEastAsia" w:cstheme="minorBidi"/>
                <w:noProof/>
                <w:sz w:val="24"/>
                <w:szCs w:val="24"/>
                <w:lang w:val="hr-HR" w:eastAsia="en-US"/>
              </w:rPr>
              <w:tab/>
            </w:r>
            <w:r w:rsidRPr="006920F2">
              <w:rPr>
                <w:rStyle w:val="Hyperlink"/>
                <w:noProof/>
              </w:rPr>
              <w:t>UNDP implementation/oversight</w:t>
            </w:r>
            <w:r>
              <w:rPr>
                <w:noProof/>
                <w:webHidden/>
              </w:rPr>
              <w:tab/>
            </w:r>
            <w:r>
              <w:rPr>
                <w:noProof/>
                <w:webHidden/>
              </w:rPr>
              <w:fldChar w:fldCharType="begin"/>
            </w:r>
            <w:r>
              <w:rPr>
                <w:noProof/>
                <w:webHidden/>
              </w:rPr>
              <w:instrText xml:space="preserve"> PAGEREF _Toc81335860 \h </w:instrText>
            </w:r>
            <w:r>
              <w:rPr>
                <w:noProof/>
                <w:webHidden/>
              </w:rPr>
            </w:r>
            <w:r>
              <w:rPr>
                <w:noProof/>
                <w:webHidden/>
              </w:rPr>
              <w:fldChar w:fldCharType="separate"/>
            </w:r>
            <w:r>
              <w:rPr>
                <w:noProof/>
                <w:webHidden/>
              </w:rPr>
              <w:t>29</w:t>
            </w:r>
            <w:r>
              <w:rPr>
                <w:noProof/>
                <w:webHidden/>
              </w:rPr>
              <w:fldChar w:fldCharType="end"/>
            </w:r>
          </w:hyperlink>
        </w:p>
        <w:p w14:paraId="75344C2B" w14:textId="004D0A01" w:rsidR="0002681F" w:rsidRDefault="0002681F">
          <w:pPr>
            <w:pStyle w:val="TOC3"/>
            <w:tabs>
              <w:tab w:val="left" w:pos="1200"/>
              <w:tab w:val="right" w:pos="9016"/>
            </w:tabs>
            <w:rPr>
              <w:rFonts w:eastAsiaTheme="minorEastAsia" w:cstheme="minorBidi"/>
              <w:noProof/>
              <w:sz w:val="24"/>
              <w:szCs w:val="24"/>
              <w:lang w:val="hr-HR" w:eastAsia="en-US"/>
            </w:rPr>
          </w:pPr>
          <w:hyperlink w:anchor="_Toc81335861" w:history="1">
            <w:r w:rsidRPr="006920F2">
              <w:rPr>
                <w:rStyle w:val="Hyperlink"/>
                <w:noProof/>
              </w:rPr>
              <w:t>3.2.6.</w:t>
            </w:r>
            <w:r>
              <w:rPr>
                <w:rFonts w:eastAsiaTheme="minorEastAsia" w:cstheme="minorBidi"/>
                <w:noProof/>
                <w:sz w:val="24"/>
                <w:szCs w:val="24"/>
                <w:lang w:val="hr-HR" w:eastAsia="en-US"/>
              </w:rPr>
              <w:tab/>
            </w:r>
            <w:r w:rsidRPr="006920F2">
              <w:rPr>
                <w:rStyle w:val="Hyperlink"/>
                <w:noProof/>
              </w:rPr>
              <w:t>Risk Management</w:t>
            </w:r>
            <w:r>
              <w:rPr>
                <w:noProof/>
                <w:webHidden/>
              </w:rPr>
              <w:tab/>
            </w:r>
            <w:r>
              <w:rPr>
                <w:noProof/>
                <w:webHidden/>
              </w:rPr>
              <w:fldChar w:fldCharType="begin"/>
            </w:r>
            <w:r>
              <w:rPr>
                <w:noProof/>
                <w:webHidden/>
              </w:rPr>
              <w:instrText xml:space="preserve"> PAGEREF _Toc81335861 \h </w:instrText>
            </w:r>
            <w:r>
              <w:rPr>
                <w:noProof/>
                <w:webHidden/>
              </w:rPr>
            </w:r>
            <w:r>
              <w:rPr>
                <w:noProof/>
                <w:webHidden/>
              </w:rPr>
              <w:fldChar w:fldCharType="separate"/>
            </w:r>
            <w:r>
              <w:rPr>
                <w:noProof/>
                <w:webHidden/>
              </w:rPr>
              <w:t>30</w:t>
            </w:r>
            <w:r>
              <w:rPr>
                <w:noProof/>
                <w:webHidden/>
              </w:rPr>
              <w:fldChar w:fldCharType="end"/>
            </w:r>
          </w:hyperlink>
        </w:p>
        <w:p w14:paraId="725B104B" w14:textId="07EEEF1E"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62" w:history="1">
            <w:r w:rsidRPr="006920F2">
              <w:rPr>
                <w:rStyle w:val="Hyperlink"/>
                <w:noProof/>
              </w:rPr>
              <w:t xml:space="preserve">3.3. </w:t>
            </w:r>
            <w:r>
              <w:rPr>
                <w:rFonts w:eastAsiaTheme="minorEastAsia" w:cstheme="minorBidi"/>
                <w:b w:val="0"/>
                <w:bCs w:val="0"/>
                <w:noProof/>
                <w:sz w:val="24"/>
                <w:szCs w:val="24"/>
                <w:lang w:val="hr-HR" w:eastAsia="en-US"/>
              </w:rPr>
              <w:tab/>
            </w:r>
            <w:r w:rsidRPr="006920F2">
              <w:rPr>
                <w:rStyle w:val="Hyperlink"/>
                <w:noProof/>
              </w:rPr>
              <w:t xml:space="preserve">Project results and impacts </w:t>
            </w:r>
            <w:r w:rsidRPr="006920F2">
              <w:rPr>
                <w:rStyle w:val="Hyperlink"/>
                <w:rFonts w:ascii="MS Gothic" w:eastAsia="MS Gothic" w:hAnsi="MS Gothic" w:cs="MS Gothic"/>
                <w:noProof/>
              </w:rPr>
              <w:t> </w:t>
            </w:r>
            <w:r>
              <w:rPr>
                <w:noProof/>
                <w:webHidden/>
              </w:rPr>
              <w:tab/>
            </w:r>
            <w:r>
              <w:rPr>
                <w:noProof/>
                <w:webHidden/>
              </w:rPr>
              <w:fldChar w:fldCharType="begin"/>
            </w:r>
            <w:r>
              <w:rPr>
                <w:noProof/>
                <w:webHidden/>
              </w:rPr>
              <w:instrText xml:space="preserve"> PAGEREF _Toc81335862 \h </w:instrText>
            </w:r>
            <w:r>
              <w:rPr>
                <w:noProof/>
                <w:webHidden/>
              </w:rPr>
            </w:r>
            <w:r>
              <w:rPr>
                <w:noProof/>
                <w:webHidden/>
              </w:rPr>
              <w:fldChar w:fldCharType="separate"/>
            </w:r>
            <w:r>
              <w:rPr>
                <w:noProof/>
                <w:webHidden/>
              </w:rPr>
              <w:t>31</w:t>
            </w:r>
            <w:r>
              <w:rPr>
                <w:noProof/>
                <w:webHidden/>
              </w:rPr>
              <w:fldChar w:fldCharType="end"/>
            </w:r>
          </w:hyperlink>
        </w:p>
        <w:p w14:paraId="2A8D050F" w14:textId="1DACE4F3" w:rsidR="0002681F" w:rsidRDefault="0002681F">
          <w:pPr>
            <w:pStyle w:val="TOC3"/>
            <w:tabs>
              <w:tab w:val="left" w:pos="1200"/>
              <w:tab w:val="right" w:pos="9016"/>
            </w:tabs>
            <w:rPr>
              <w:rFonts w:eastAsiaTheme="minorEastAsia" w:cstheme="minorBidi"/>
              <w:noProof/>
              <w:sz w:val="24"/>
              <w:szCs w:val="24"/>
              <w:lang w:val="hr-HR" w:eastAsia="en-US"/>
            </w:rPr>
          </w:pPr>
          <w:hyperlink w:anchor="_Toc81335863" w:history="1">
            <w:r w:rsidRPr="006920F2">
              <w:rPr>
                <w:rStyle w:val="Hyperlink"/>
                <w:rFonts w:ascii="Calibri" w:eastAsia="Calibri" w:hAnsi="Calibri" w:cs="Calibri"/>
                <w:noProof/>
              </w:rPr>
              <w:t>3.3.1.</w:t>
            </w:r>
            <w:r>
              <w:rPr>
                <w:rFonts w:eastAsiaTheme="minorEastAsia" w:cstheme="minorBidi"/>
                <w:noProof/>
                <w:sz w:val="24"/>
                <w:szCs w:val="24"/>
                <w:lang w:val="hr-HR" w:eastAsia="en-US"/>
              </w:rPr>
              <w:tab/>
            </w:r>
            <w:r w:rsidRPr="006920F2">
              <w:rPr>
                <w:rStyle w:val="Hyperlink"/>
                <w:noProof/>
              </w:rPr>
              <w:t>Progress towards objective and expected outcomes</w:t>
            </w:r>
            <w:r>
              <w:rPr>
                <w:noProof/>
                <w:webHidden/>
              </w:rPr>
              <w:tab/>
            </w:r>
            <w:r>
              <w:rPr>
                <w:noProof/>
                <w:webHidden/>
              </w:rPr>
              <w:fldChar w:fldCharType="begin"/>
            </w:r>
            <w:r>
              <w:rPr>
                <w:noProof/>
                <w:webHidden/>
              </w:rPr>
              <w:instrText xml:space="preserve"> PAGEREF _Toc81335863 \h </w:instrText>
            </w:r>
            <w:r>
              <w:rPr>
                <w:noProof/>
                <w:webHidden/>
              </w:rPr>
            </w:r>
            <w:r>
              <w:rPr>
                <w:noProof/>
                <w:webHidden/>
              </w:rPr>
              <w:fldChar w:fldCharType="separate"/>
            </w:r>
            <w:r>
              <w:rPr>
                <w:noProof/>
                <w:webHidden/>
              </w:rPr>
              <w:t>31</w:t>
            </w:r>
            <w:r>
              <w:rPr>
                <w:noProof/>
                <w:webHidden/>
              </w:rPr>
              <w:fldChar w:fldCharType="end"/>
            </w:r>
          </w:hyperlink>
        </w:p>
        <w:p w14:paraId="7F07D501" w14:textId="3066EB12" w:rsidR="0002681F" w:rsidRDefault="0002681F">
          <w:pPr>
            <w:pStyle w:val="TOC3"/>
            <w:tabs>
              <w:tab w:val="left" w:pos="1200"/>
              <w:tab w:val="right" w:pos="9016"/>
            </w:tabs>
            <w:rPr>
              <w:rFonts w:eastAsiaTheme="minorEastAsia" w:cstheme="minorBidi"/>
              <w:noProof/>
              <w:sz w:val="24"/>
              <w:szCs w:val="24"/>
              <w:lang w:val="hr-HR" w:eastAsia="en-US"/>
            </w:rPr>
          </w:pPr>
          <w:hyperlink w:anchor="_Toc81335864" w:history="1">
            <w:r w:rsidRPr="006920F2">
              <w:rPr>
                <w:rStyle w:val="Hyperlink"/>
                <w:noProof/>
              </w:rPr>
              <w:t>3.3.2.</w:t>
            </w:r>
            <w:r>
              <w:rPr>
                <w:rFonts w:eastAsiaTheme="minorEastAsia" w:cstheme="minorBidi"/>
                <w:noProof/>
                <w:sz w:val="24"/>
                <w:szCs w:val="24"/>
                <w:lang w:val="hr-HR" w:eastAsia="en-US"/>
              </w:rPr>
              <w:tab/>
            </w:r>
            <w:r w:rsidRPr="006920F2">
              <w:rPr>
                <w:rStyle w:val="Hyperlink"/>
                <w:noProof/>
              </w:rPr>
              <w:t>Relevance</w:t>
            </w:r>
            <w:r>
              <w:rPr>
                <w:noProof/>
                <w:webHidden/>
              </w:rPr>
              <w:tab/>
            </w:r>
            <w:r>
              <w:rPr>
                <w:noProof/>
                <w:webHidden/>
              </w:rPr>
              <w:fldChar w:fldCharType="begin"/>
            </w:r>
            <w:r>
              <w:rPr>
                <w:noProof/>
                <w:webHidden/>
              </w:rPr>
              <w:instrText xml:space="preserve"> PAGEREF _Toc81335864 \h </w:instrText>
            </w:r>
            <w:r>
              <w:rPr>
                <w:noProof/>
                <w:webHidden/>
              </w:rPr>
            </w:r>
            <w:r>
              <w:rPr>
                <w:noProof/>
                <w:webHidden/>
              </w:rPr>
              <w:fldChar w:fldCharType="separate"/>
            </w:r>
            <w:r>
              <w:rPr>
                <w:noProof/>
                <w:webHidden/>
              </w:rPr>
              <w:t>42</w:t>
            </w:r>
            <w:r>
              <w:rPr>
                <w:noProof/>
                <w:webHidden/>
              </w:rPr>
              <w:fldChar w:fldCharType="end"/>
            </w:r>
          </w:hyperlink>
        </w:p>
        <w:p w14:paraId="6A838F48" w14:textId="060408F5" w:rsidR="0002681F" w:rsidRDefault="0002681F">
          <w:pPr>
            <w:pStyle w:val="TOC3"/>
            <w:tabs>
              <w:tab w:val="left" w:pos="1200"/>
              <w:tab w:val="right" w:pos="9016"/>
            </w:tabs>
            <w:rPr>
              <w:rFonts w:eastAsiaTheme="minorEastAsia" w:cstheme="minorBidi"/>
              <w:noProof/>
              <w:sz w:val="24"/>
              <w:szCs w:val="24"/>
              <w:lang w:val="hr-HR" w:eastAsia="en-US"/>
            </w:rPr>
          </w:pPr>
          <w:hyperlink w:anchor="_Toc81335865" w:history="1">
            <w:r w:rsidRPr="006920F2">
              <w:rPr>
                <w:rStyle w:val="Hyperlink"/>
                <w:noProof/>
              </w:rPr>
              <w:t>3.3.3.</w:t>
            </w:r>
            <w:r>
              <w:rPr>
                <w:rFonts w:eastAsiaTheme="minorEastAsia" w:cstheme="minorBidi"/>
                <w:noProof/>
                <w:sz w:val="24"/>
                <w:szCs w:val="24"/>
                <w:lang w:val="hr-HR" w:eastAsia="en-US"/>
              </w:rPr>
              <w:tab/>
            </w:r>
            <w:r w:rsidRPr="006920F2">
              <w:rPr>
                <w:rStyle w:val="Hyperlink"/>
                <w:noProof/>
              </w:rPr>
              <w:t>Effectiveness</w:t>
            </w:r>
            <w:r>
              <w:rPr>
                <w:noProof/>
                <w:webHidden/>
              </w:rPr>
              <w:tab/>
            </w:r>
            <w:r>
              <w:rPr>
                <w:noProof/>
                <w:webHidden/>
              </w:rPr>
              <w:fldChar w:fldCharType="begin"/>
            </w:r>
            <w:r>
              <w:rPr>
                <w:noProof/>
                <w:webHidden/>
              </w:rPr>
              <w:instrText xml:space="preserve"> PAGEREF _Toc81335865 \h </w:instrText>
            </w:r>
            <w:r>
              <w:rPr>
                <w:noProof/>
                <w:webHidden/>
              </w:rPr>
            </w:r>
            <w:r>
              <w:rPr>
                <w:noProof/>
                <w:webHidden/>
              </w:rPr>
              <w:fldChar w:fldCharType="separate"/>
            </w:r>
            <w:r>
              <w:rPr>
                <w:noProof/>
                <w:webHidden/>
              </w:rPr>
              <w:t>43</w:t>
            </w:r>
            <w:r>
              <w:rPr>
                <w:noProof/>
                <w:webHidden/>
              </w:rPr>
              <w:fldChar w:fldCharType="end"/>
            </w:r>
          </w:hyperlink>
        </w:p>
        <w:p w14:paraId="541CAA2D" w14:textId="248A29D9" w:rsidR="0002681F" w:rsidRDefault="0002681F">
          <w:pPr>
            <w:pStyle w:val="TOC3"/>
            <w:tabs>
              <w:tab w:val="left" w:pos="1200"/>
              <w:tab w:val="right" w:pos="9016"/>
            </w:tabs>
            <w:rPr>
              <w:rFonts w:eastAsiaTheme="minorEastAsia" w:cstheme="minorBidi"/>
              <w:noProof/>
              <w:sz w:val="24"/>
              <w:szCs w:val="24"/>
              <w:lang w:val="hr-HR" w:eastAsia="en-US"/>
            </w:rPr>
          </w:pPr>
          <w:hyperlink w:anchor="_Toc81335866" w:history="1">
            <w:r w:rsidRPr="006920F2">
              <w:rPr>
                <w:rStyle w:val="Hyperlink"/>
                <w:noProof/>
              </w:rPr>
              <w:t>3.3.4.</w:t>
            </w:r>
            <w:r>
              <w:rPr>
                <w:rFonts w:eastAsiaTheme="minorEastAsia" w:cstheme="minorBidi"/>
                <w:noProof/>
                <w:sz w:val="24"/>
                <w:szCs w:val="24"/>
                <w:lang w:val="hr-HR" w:eastAsia="en-US"/>
              </w:rPr>
              <w:tab/>
            </w:r>
            <w:r w:rsidRPr="006920F2">
              <w:rPr>
                <w:rStyle w:val="Hyperlink"/>
                <w:noProof/>
              </w:rPr>
              <w:t>Efficiency</w:t>
            </w:r>
            <w:r>
              <w:rPr>
                <w:noProof/>
                <w:webHidden/>
              </w:rPr>
              <w:tab/>
            </w:r>
            <w:r>
              <w:rPr>
                <w:noProof/>
                <w:webHidden/>
              </w:rPr>
              <w:fldChar w:fldCharType="begin"/>
            </w:r>
            <w:r>
              <w:rPr>
                <w:noProof/>
                <w:webHidden/>
              </w:rPr>
              <w:instrText xml:space="preserve"> PAGEREF _Toc81335866 \h </w:instrText>
            </w:r>
            <w:r>
              <w:rPr>
                <w:noProof/>
                <w:webHidden/>
              </w:rPr>
            </w:r>
            <w:r>
              <w:rPr>
                <w:noProof/>
                <w:webHidden/>
              </w:rPr>
              <w:fldChar w:fldCharType="separate"/>
            </w:r>
            <w:r>
              <w:rPr>
                <w:noProof/>
                <w:webHidden/>
              </w:rPr>
              <w:t>45</w:t>
            </w:r>
            <w:r>
              <w:rPr>
                <w:noProof/>
                <w:webHidden/>
              </w:rPr>
              <w:fldChar w:fldCharType="end"/>
            </w:r>
          </w:hyperlink>
        </w:p>
        <w:p w14:paraId="6AB96533" w14:textId="048BD698" w:rsidR="0002681F" w:rsidRDefault="0002681F">
          <w:pPr>
            <w:pStyle w:val="TOC3"/>
            <w:tabs>
              <w:tab w:val="left" w:pos="1200"/>
              <w:tab w:val="right" w:pos="9016"/>
            </w:tabs>
            <w:rPr>
              <w:rFonts w:eastAsiaTheme="minorEastAsia" w:cstheme="minorBidi"/>
              <w:noProof/>
              <w:sz w:val="24"/>
              <w:szCs w:val="24"/>
              <w:lang w:val="hr-HR" w:eastAsia="en-US"/>
            </w:rPr>
          </w:pPr>
          <w:hyperlink w:anchor="_Toc81335867" w:history="1">
            <w:r w:rsidRPr="006920F2">
              <w:rPr>
                <w:rStyle w:val="Hyperlink"/>
                <w:noProof/>
              </w:rPr>
              <w:t>3.3.5.</w:t>
            </w:r>
            <w:r>
              <w:rPr>
                <w:rFonts w:eastAsiaTheme="minorEastAsia" w:cstheme="minorBidi"/>
                <w:noProof/>
                <w:sz w:val="24"/>
                <w:szCs w:val="24"/>
                <w:lang w:val="hr-HR" w:eastAsia="en-US"/>
              </w:rPr>
              <w:tab/>
            </w:r>
            <w:r w:rsidRPr="006920F2">
              <w:rPr>
                <w:rStyle w:val="Hyperlink"/>
                <w:noProof/>
              </w:rPr>
              <w:t>Overall outcome</w:t>
            </w:r>
            <w:r>
              <w:rPr>
                <w:noProof/>
                <w:webHidden/>
              </w:rPr>
              <w:tab/>
            </w:r>
            <w:r>
              <w:rPr>
                <w:noProof/>
                <w:webHidden/>
              </w:rPr>
              <w:fldChar w:fldCharType="begin"/>
            </w:r>
            <w:r>
              <w:rPr>
                <w:noProof/>
                <w:webHidden/>
              </w:rPr>
              <w:instrText xml:space="preserve"> PAGEREF _Toc81335867 \h </w:instrText>
            </w:r>
            <w:r>
              <w:rPr>
                <w:noProof/>
                <w:webHidden/>
              </w:rPr>
            </w:r>
            <w:r>
              <w:rPr>
                <w:noProof/>
                <w:webHidden/>
              </w:rPr>
              <w:fldChar w:fldCharType="separate"/>
            </w:r>
            <w:r>
              <w:rPr>
                <w:noProof/>
                <w:webHidden/>
              </w:rPr>
              <w:t>46</w:t>
            </w:r>
            <w:r>
              <w:rPr>
                <w:noProof/>
                <w:webHidden/>
              </w:rPr>
              <w:fldChar w:fldCharType="end"/>
            </w:r>
          </w:hyperlink>
        </w:p>
        <w:p w14:paraId="656C4219" w14:textId="16BDEC3E" w:rsidR="0002681F" w:rsidRDefault="0002681F">
          <w:pPr>
            <w:pStyle w:val="TOC3"/>
            <w:tabs>
              <w:tab w:val="left" w:pos="1200"/>
              <w:tab w:val="right" w:pos="9016"/>
            </w:tabs>
            <w:rPr>
              <w:rFonts w:eastAsiaTheme="minorEastAsia" w:cstheme="minorBidi"/>
              <w:noProof/>
              <w:sz w:val="24"/>
              <w:szCs w:val="24"/>
              <w:lang w:val="hr-HR" w:eastAsia="en-US"/>
            </w:rPr>
          </w:pPr>
          <w:hyperlink w:anchor="_Toc81335868" w:history="1">
            <w:r w:rsidRPr="006920F2">
              <w:rPr>
                <w:rStyle w:val="Hyperlink"/>
                <w:noProof/>
              </w:rPr>
              <w:t>3.3.6.</w:t>
            </w:r>
            <w:r>
              <w:rPr>
                <w:rFonts w:eastAsiaTheme="minorEastAsia" w:cstheme="minorBidi"/>
                <w:noProof/>
                <w:sz w:val="24"/>
                <w:szCs w:val="24"/>
                <w:lang w:val="hr-HR" w:eastAsia="en-US"/>
              </w:rPr>
              <w:tab/>
            </w:r>
            <w:r w:rsidRPr="006920F2">
              <w:rPr>
                <w:rStyle w:val="Hyperlink"/>
                <w:noProof/>
              </w:rPr>
              <w:t>Sustainability</w:t>
            </w:r>
            <w:r>
              <w:rPr>
                <w:noProof/>
                <w:webHidden/>
              </w:rPr>
              <w:tab/>
            </w:r>
            <w:r>
              <w:rPr>
                <w:noProof/>
                <w:webHidden/>
              </w:rPr>
              <w:fldChar w:fldCharType="begin"/>
            </w:r>
            <w:r>
              <w:rPr>
                <w:noProof/>
                <w:webHidden/>
              </w:rPr>
              <w:instrText xml:space="preserve"> PAGEREF _Toc81335868 \h </w:instrText>
            </w:r>
            <w:r>
              <w:rPr>
                <w:noProof/>
                <w:webHidden/>
              </w:rPr>
            </w:r>
            <w:r>
              <w:rPr>
                <w:noProof/>
                <w:webHidden/>
              </w:rPr>
              <w:fldChar w:fldCharType="separate"/>
            </w:r>
            <w:r>
              <w:rPr>
                <w:noProof/>
                <w:webHidden/>
              </w:rPr>
              <w:t>46</w:t>
            </w:r>
            <w:r>
              <w:rPr>
                <w:noProof/>
                <w:webHidden/>
              </w:rPr>
              <w:fldChar w:fldCharType="end"/>
            </w:r>
          </w:hyperlink>
        </w:p>
        <w:p w14:paraId="05309A7E" w14:textId="64D64E92" w:rsidR="0002681F" w:rsidRDefault="0002681F">
          <w:pPr>
            <w:pStyle w:val="TOC4"/>
            <w:tabs>
              <w:tab w:val="left" w:pos="1680"/>
              <w:tab w:val="right" w:pos="9016"/>
            </w:tabs>
            <w:rPr>
              <w:rFonts w:eastAsiaTheme="minorEastAsia" w:cstheme="minorBidi"/>
              <w:noProof/>
              <w:sz w:val="24"/>
              <w:szCs w:val="24"/>
              <w:lang w:val="hr-HR" w:eastAsia="en-US"/>
            </w:rPr>
          </w:pPr>
          <w:hyperlink w:anchor="_Toc81335869" w:history="1">
            <w:r w:rsidRPr="006920F2">
              <w:rPr>
                <w:rStyle w:val="Hyperlink"/>
                <w:noProof/>
              </w:rPr>
              <w:t>3.3.6.1.</w:t>
            </w:r>
            <w:r>
              <w:rPr>
                <w:rFonts w:eastAsiaTheme="minorEastAsia" w:cstheme="minorBidi"/>
                <w:noProof/>
                <w:sz w:val="24"/>
                <w:szCs w:val="24"/>
                <w:lang w:val="hr-HR" w:eastAsia="en-US"/>
              </w:rPr>
              <w:tab/>
            </w:r>
            <w:r w:rsidRPr="006920F2">
              <w:rPr>
                <w:rStyle w:val="Hyperlink"/>
                <w:noProof/>
              </w:rPr>
              <w:t>Financial sustainability</w:t>
            </w:r>
            <w:r>
              <w:rPr>
                <w:noProof/>
                <w:webHidden/>
              </w:rPr>
              <w:tab/>
            </w:r>
            <w:r>
              <w:rPr>
                <w:noProof/>
                <w:webHidden/>
              </w:rPr>
              <w:fldChar w:fldCharType="begin"/>
            </w:r>
            <w:r>
              <w:rPr>
                <w:noProof/>
                <w:webHidden/>
              </w:rPr>
              <w:instrText xml:space="preserve"> PAGEREF _Toc81335869 \h </w:instrText>
            </w:r>
            <w:r>
              <w:rPr>
                <w:noProof/>
                <w:webHidden/>
              </w:rPr>
            </w:r>
            <w:r>
              <w:rPr>
                <w:noProof/>
                <w:webHidden/>
              </w:rPr>
              <w:fldChar w:fldCharType="separate"/>
            </w:r>
            <w:r>
              <w:rPr>
                <w:noProof/>
                <w:webHidden/>
              </w:rPr>
              <w:t>46</w:t>
            </w:r>
            <w:r>
              <w:rPr>
                <w:noProof/>
                <w:webHidden/>
              </w:rPr>
              <w:fldChar w:fldCharType="end"/>
            </w:r>
          </w:hyperlink>
        </w:p>
        <w:p w14:paraId="34A38C58" w14:textId="407E20FD" w:rsidR="0002681F" w:rsidRDefault="0002681F">
          <w:pPr>
            <w:pStyle w:val="TOC4"/>
            <w:tabs>
              <w:tab w:val="left" w:pos="1680"/>
              <w:tab w:val="right" w:pos="9016"/>
            </w:tabs>
            <w:rPr>
              <w:rFonts w:eastAsiaTheme="minorEastAsia" w:cstheme="minorBidi"/>
              <w:noProof/>
              <w:sz w:val="24"/>
              <w:szCs w:val="24"/>
              <w:lang w:val="hr-HR" w:eastAsia="en-US"/>
            </w:rPr>
          </w:pPr>
          <w:hyperlink w:anchor="_Toc81335870" w:history="1">
            <w:r w:rsidRPr="006920F2">
              <w:rPr>
                <w:rStyle w:val="Hyperlink"/>
                <w:noProof/>
              </w:rPr>
              <w:t>3.3.6.2.</w:t>
            </w:r>
            <w:r>
              <w:rPr>
                <w:rFonts w:eastAsiaTheme="minorEastAsia" w:cstheme="minorBidi"/>
                <w:noProof/>
                <w:sz w:val="24"/>
                <w:szCs w:val="24"/>
                <w:lang w:val="hr-HR" w:eastAsia="en-US"/>
              </w:rPr>
              <w:tab/>
            </w:r>
            <w:r w:rsidRPr="006920F2">
              <w:rPr>
                <w:rStyle w:val="Hyperlink"/>
                <w:noProof/>
              </w:rPr>
              <w:t>Socio-political sustainability</w:t>
            </w:r>
            <w:r>
              <w:rPr>
                <w:noProof/>
                <w:webHidden/>
              </w:rPr>
              <w:tab/>
            </w:r>
            <w:r>
              <w:rPr>
                <w:noProof/>
                <w:webHidden/>
              </w:rPr>
              <w:fldChar w:fldCharType="begin"/>
            </w:r>
            <w:r>
              <w:rPr>
                <w:noProof/>
                <w:webHidden/>
              </w:rPr>
              <w:instrText xml:space="preserve"> PAGEREF _Toc81335870 \h </w:instrText>
            </w:r>
            <w:r>
              <w:rPr>
                <w:noProof/>
                <w:webHidden/>
              </w:rPr>
            </w:r>
            <w:r>
              <w:rPr>
                <w:noProof/>
                <w:webHidden/>
              </w:rPr>
              <w:fldChar w:fldCharType="separate"/>
            </w:r>
            <w:r>
              <w:rPr>
                <w:noProof/>
                <w:webHidden/>
              </w:rPr>
              <w:t>47</w:t>
            </w:r>
            <w:r>
              <w:rPr>
                <w:noProof/>
                <w:webHidden/>
              </w:rPr>
              <w:fldChar w:fldCharType="end"/>
            </w:r>
          </w:hyperlink>
        </w:p>
        <w:p w14:paraId="014BEB22" w14:textId="75D3A8B3" w:rsidR="0002681F" w:rsidRDefault="0002681F">
          <w:pPr>
            <w:pStyle w:val="TOC4"/>
            <w:tabs>
              <w:tab w:val="left" w:pos="1680"/>
              <w:tab w:val="right" w:pos="9016"/>
            </w:tabs>
            <w:rPr>
              <w:rFonts w:eastAsiaTheme="minorEastAsia" w:cstheme="minorBidi"/>
              <w:noProof/>
              <w:sz w:val="24"/>
              <w:szCs w:val="24"/>
              <w:lang w:val="hr-HR" w:eastAsia="en-US"/>
            </w:rPr>
          </w:pPr>
          <w:hyperlink w:anchor="_Toc81335871" w:history="1">
            <w:r w:rsidRPr="006920F2">
              <w:rPr>
                <w:rStyle w:val="Hyperlink"/>
                <w:noProof/>
              </w:rPr>
              <w:t>3.3.6.3.</w:t>
            </w:r>
            <w:r>
              <w:rPr>
                <w:rFonts w:eastAsiaTheme="minorEastAsia" w:cstheme="minorBidi"/>
                <w:noProof/>
                <w:sz w:val="24"/>
                <w:szCs w:val="24"/>
                <w:lang w:val="hr-HR" w:eastAsia="en-US"/>
              </w:rPr>
              <w:tab/>
            </w:r>
            <w:r w:rsidRPr="006920F2">
              <w:rPr>
                <w:rStyle w:val="Hyperlink"/>
                <w:noProof/>
              </w:rPr>
              <w:t>Institutional framework and governance</w:t>
            </w:r>
            <w:r>
              <w:rPr>
                <w:noProof/>
                <w:webHidden/>
              </w:rPr>
              <w:tab/>
            </w:r>
            <w:r>
              <w:rPr>
                <w:noProof/>
                <w:webHidden/>
              </w:rPr>
              <w:fldChar w:fldCharType="begin"/>
            </w:r>
            <w:r>
              <w:rPr>
                <w:noProof/>
                <w:webHidden/>
              </w:rPr>
              <w:instrText xml:space="preserve"> PAGEREF _Toc81335871 \h </w:instrText>
            </w:r>
            <w:r>
              <w:rPr>
                <w:noProof/>
                <w:webHidden/>
              </w:rPr>
            </w:r>
            <w:r>
              <w:rPr>
                <w:noProof/>
                <w:webHidden/>
              </w:rPr>
              <w:fldChar w:fldCharType="separate"/>
            </w:r>
            <w:r>
              <w:rPr>
                <w:noProof/>
                <w:webHidden/>
              </w:rPr>
              <w:t>47</w:t>
            </w:r>
            <w:r>
              <w:rPr>
                <w:noProof/>
                <w:webHidden/>
              </w:rPr>
              <w:fldChar w:fldCharType="end"/>
            </w:r>
          </w:hyperlink>
        </w:p>
        <w:p w14:paraId="58881EB0" w14:textId="0DA28A1A" w:rsidR="0002681F" w:rsidRDefault="0002681F">
          <w:pPr>
            <w:pStyle w:val="TOC4"/>
            <w:tabs>
              <w:tab w:val="left" w:pos="1680"/>
              <w:tab w:val="right" w:pos="9016"/>
            </w:tabs>
            <w:rPr>
              <w:rFonts w:eastAsiaTheme="minorEastAsia" w:cstheme="minorBidi"/>
              <w:noProof/>
              <w:sz w:val="24"/>
              <w:szCs w:val="24"/>
              <w:lang w:val="hr-HR" w:eastAsia="en-US"/>
            </w:rPr>
          </w:pPr>
          <w:hyperlink w:anchor="_Toc81335872" w:history="1">
            <w:r w:rsidRPr="006920F2">
              <w:rPr>
                <w:rStyle w:val="Hyperlink"/>
                <w:noProof/>
              </w:rPr>
              <w:t>3.3.6.4.</w:t>
            </w:r>
            <w:r>
              <w:rPr>
                <w:rFonts w:eastAsiaTheme="minorEastAsia" w:cstheme="minorBidi"/>
                <w:noProof/>
                <w:sz w:val="24"/>
                <w:szCs w:val="24"/>
                <w:lang w:val="hr-HR" w:eastAsia="en-US"/>
              </w:rPr>
              <w:tab/>
            </w:r>
            <w:r w:rsidRPr="006920F2">
              <w:rPr>
                <w:rStyle w:val="Hyperlink"/>
                <w:noProof/>
              </w:rPr>
              <w:t>Environmental sustainability</w:t>
            </w:r>
            <w:r>
              <w:rPr>
                <w:noProof/>
                <w:webHidden/>
              </w:rPr>
              <w:tab/>
            </w:r>
            <w:r>
              <w:rPr>
                <w:noProof/>
                <w:webHidden/>
              </w:rPr>
              <w:fldChar w:fldCharType="begin"/>
            </w:r>
            <w:r>
              <w:rPr>
                <w:noProof/>
                <w:webHidden/>
              </w:rPr>
              <w:instrText xml:space="preserve"> PAGEREF _Toc81335872 \h </w:instrText>
            </w:r>
            <w:r>
              <w:rPr>
                <w:noProof/>
                <w:webHidden/>
              </w:rPr>
            </w:r>
            <w:r>
              <w:rPr>
                <w:noProof/>
                <w:webHidden/>
              </w:rPr>
              <w:fldChar w:fldCharType="separate"/>
            </w:r>
            <w:r>
              <w:rPr>
                <w:noProof/>
                <w:webHidden/>
              </w:rPr>
              <w:t>47</w:t>
            </w:r>
            <w:r>
              <w:rPr>
                <w:noProof/>
                <w:webHidden/>
              </w:rPr>
              <w:fldChar w:fldCharType="end"/>
            </w:r>
          </w:hyperlink>
        </w:p>
        <w:p w14:paraId="790E2DA3" w14:textId="1F8FDCE1" w:rsidR="0002681F" w:rsidRDefault="0002681F">
          <w:pPr>
            <w:pStyle w:val="TOC4"/>
            <w:tabs>
              <w:tab w:val="left" w:pos="1680"/>
              <w:tab w:val="right" w:pos="9016"/>
            </w:tabs>
            <w:rPr>
              <w:rFonts w:eastAsiaTheme="minorEastAsia" w:cstheme="minorBidi"/>
              <w:noProof/>
              <w:sz w:val="24"/>
              <w:szCs w:val="24"/>
              <w:lang w:val="hr-HR" w:eastAsia="en-US"/>
            </w:rPr>
          </w:pPr>
          <w:hyperlink w:anchor="_Toc81335873" w:history="1">
            <w:r w:rsidRPr="006920F2">
              <w:rPr>
                <w:rStyle w:val="Hyperlink"/>
                <w:noProof/>
              </w:rPr>
              <w:t>3.3.6.5.</w:t>
            </w:r>
            <w:r>
              <w:rPr>
                <w:rFonts w:eastAsiaTheme="minorEastAsia" w:cstheme="minorBidi"/>
                <w:noProof/>
                <w:sz w:val="24"/>
                <w:szCs w:val="24"/>
                <w:lang w:val="hr-HR" w:eastAsia="en-US"/>
              </w:rPr>
              <w:tab/>
            </w:r>
            <w:r w:rsidRPr="006920F2">
              <w:rPr>
                <w:rStyle w:val="Hyperlink"/>
                <w:noProof/>
              </w:rPr>
              <w:t>Overall likelihood of sustainability</w:t>
            </w:r>
            <w:r>
              <w:rPr>
                <w:noProof/>
                <w:webHidden/>
              </w:rPr>
              <w:tab/>
            </w:r>
            <w:r>
              <w:rPr>
                <w:noProof/>
                <w:webHidden/>
              </w:rPr>
              <w:fldChar w:fldCharType="begin"/>
            </w:r>
            <w:r>
              <w:rPr>
                <w:noProof/>
                <w:webHidden/>
              </w:rPr>
              <w:instrText xml:space="preserve"> PAGEREF _Toc81335873 \h </w:instrText>
            </w:r>
            <w:r>
              <w:rPr>
                <w:noProof/>
                <w:webHidden/>
              </w:rPr>
            </w:r>
            <w:r>
              <w:rPr>
                <w:noProof/>
                <w:webHidden/>
              </w:rPr>
              <w:fldChar w:fldCharType="separate"/>
            </w:r>
            <w:r>
              <w:rPr>
                <w:noProof/>
                <w:webHidden/>
              </w:rPr>
              <w:t>47</w:t>
            </w:r>
            <w:r>
              <w:rPr>
                <w:noProof/>
                <w:webHidden/>
              </w:rPr>
              <w:fldChar w:fldCharType="end"/>
            </w:r>
          </w:hyperlink>
        </w:p>
        <w:p w14:paraId="2FF9BA81" w14:textId="27E996E7" w:rsidR="0002681F" w:rsidRDefault="0002681F">
          <w:pPr>
            <w:pStyle w:val="TOC3"/>
            <w:tabs>
              <w:tab w:val="left" w:pos="1200"/>
              <w:tab w:val="right" w:pos="9016"/>
            </w:tabs>
            <w:rPr>
              <w:rFonts w:eastAsiaTheme="minorEastAsia" w:cstheme="minorBidi"/>
              <w:noProof/>
              <w:sz w:val="24"/>
              <w:szCs w:val="24"/>
              <w:lang w:val="hr-HR" w:eastAsia="en-US"/>
            </w:rPr>
          </w:pPr>
          <w:hyperlink w:anchor="_Toc81335874" w:history="1">
            <w:r w:rsidRPr="006920F2">
              <w:rPr>
                <w:rStyle w:val="Hyperlink"/>
                <w:noProof/>
              </w:rPr>
              <w:t>3.3.7.</w:t>
            </w:r>
            <w:r>
              <w:rPr>
                <w:rFonts w:eastAsiaTheme="minorEastAsia" w:cstheme="minorBidi"/>
                <w:noProof/>
                <w:sz w:val="24"/>
                <w:szCs w:val="24"/>
                <w:lang w:val="hr-HR" w:eastAsia="en-US"/>
              </w:rPr>
              <w:tab/>
            </w:r>
            <w:r w:rsidRPr="006920F2">
              <w:rPr>
                <w:rStyle w:val="Hyperlink"/>
                <w:noProof/>
              </w:rPr>
              <w:t>Country ownership</w:t>
            </w:r>
            <w:r>
              <w:rPr>
                <w:noProof/>
                <w:webHidden/>
              </w:rPr>
              <w:tab/>
            </w:r>
            <w:r>
              <w:rPr>
                <w:noProof/>
                <w:webHidden/>
              </w:rPr>
              <w:fldChar w:fldCharType="begin"/>
            </w:r>
            <w:r>
              <w:rPr>
                <w:noProof/>
                <w:webHidden/>
              </w:rPr>
              <w:instrText xml:space="preserve"> PAGEREF _Toc81335874 \h </w:instrText>
            </w:r>
            <w:r>
              <w:rPr>
                <w:noProof/>
                <w:webHidden/>
              </w:rPr>
            </w:r>
            <w:r>
              <w:rPr>
                <w:noProof/>
                <w:webHidden/>
              </w:rPr>
              <w:fldChar w:fldCharType="separate"/>
            </w:r>
            <w:r>
              <w:rPr>
                <w:noProof/>
                <w:webHidden/>
              </w:rPr>
              <w:t>48</w:t>
            </w:r>
            <w:r>
              <w:rPr>
                <w:noProof/>
                <w:webHidden/>
              </w:rPr>
              <w:fldChar w:fldCharType="end"/>
            </w:r>
          </w:hyperlink>
        </w:p>
        <w:p w14:paraId="1A74BD1C" w14:textId="11D11447" w:rsidR="0002681F" w:rsidRDefault="0002681F">
          <w:pPr>
            <w:pStyle w:val="TOC3"/>
            <w:tabs>
              <w:tab w:val="left" w:pos="1200"/>
              <w:tab w:val="right" w:pos="9016"/>
            </w:tabs>
            <w:rPr>
              <w:rFonts w:eastAsiaTheme="minorEastAsia" w:cstheme="minorBidi"/>
              <w:noProof/>
              <w:sz w:val="24"/>
              <w:szCs w:val="24"/>
              <w:lang w:val="hr-HR" w:eastAsia="en-US"/>
            </w:rPr>
          </w:pPr>
          <w:hyperlink w:anchor="_Toc81335875" w:history="1">
            <w:r w:rsidRPr="006920F2">
              <w:rPr>
                <w:rStyle w:val="Hyperlink"/>
                <w:rFonts w:ascii="Calibri" w:eastAsia="Calibri" w:hAnsi="Calibri" w:cs="Calibri"/>
                <w:noProof/>
              </w:rPr>
              <w:t>3.3.8.</w:t>
            </w:r>
            <w:r>
              <w:rPr>
                <w:rFonts w:eastAsiaTheme="minorEastAsia" w:cstheme="minorBidi"/>
                <w:noProof/>
                <w:sz w:val="24"/>
                <w:szCs w:val="24"/>
                <w:lang w:val="hr-HR" w:eastAsia="en-US"/>
              </w:rPr>
              <w:tab/>
            </w:r>
            <w:r w:rsidRPr="006920F2">
              <w:rPr>
                <w:rStyle w:val="Hyperlink"/>
                <w:noProof/>
              </w:rPr>
              <w:t>Gender equality and women’s empowerment</w:t>
            </w:r>
            <w:r>
              <w:rPr>
                <w:noProof/>
                <w:webHidden/>
              </w:rPr>
              <w:tab/>
            </w:r>
            <w:r>
              <w:rPr>
                <w:noProof/>
                <w:webHidden/>
              </w:rPr>
              <w:fldChar w:fldCharType="begin"/>
            </w:r>
            <w:r>
              <w:rPr>
                <w:noProof/>
                <w:webHidden/>
              </w:rPr>
              <w:instrText xml:space="preserve"> PAGEREF _Toc81335875 \h </w:instrText>
            </w:r>
            <w:r>
              <w:rPr>
                <w:noProof/>
                <w:webHidden/>
              </w:rPr>
            </w:r>
            <w:r>
              <w:rPr>
                <w:noProof/>
                <w:webHidden/>
              </w:rPr>
              <w:fldChar w:fldCharType="separate"/>
            </w:r>
            <w:r>
              <w:rPr>
                <w:noProof/>
                <w:webHidden/>
              </w:rPr>
              <w:t>48</w:t>
            </w:r>
            <w:r>
              <w:rPr>
                <w:noProof/>
                <w:webHidden/>
              </w:rPr>
              <w:fldChar w:fldCharType="end"/>
            </w:r>
          </w:hyperlink>
        </w:p>
        <w:p w14:paraId="0B879146" w14:textId="78F3F530" w:rsidR="0002681F" w:rsidRDefault="0002681F">
          <w:pPr>
            <w:pStyle w:val="TOC3"/>
            <w:tabs>
              <w:tab w:val="left" w:pos="1200"/>
              <w:tab w:val="right" w:pos="9016"/>
            </w:tabs>
            <w:rPr>
              <w:rFonts w:eastAsiaTheme="minorEastAsia" w:cstheme="minorBidi"/>
              <w:noProof/>
              <w:sz w:val="24"/>
              <w:szCs w:val="24"/>
              <w:lang w:val="hr-HR" w:eastAsia="en-US"/>
            </w:rPr>
          </w:pPr>
          <w:hyperlink w:anchor="_Toc81335876" w:history="1">
            <w:r w:rsidRPr="006920F2">
              <w:rPr>
                <w:rStyle w:val="Hyperlink"/>
                <w:noProof/>
              </w:rPr>
              <w:t>3.3.9.</w:t>
            </w:r>
            <w:r>
              <w:rPr>
                <w:rFonts w:eastAsiaTheme="minorEastAsia" w:cstheme="minorBidi"/>
                <w:noProof/>
                <w:sz w:val="24"/>
                <w:szCs w:val="24"/>
                <w:lang w:val="hr-HR" w:eastAsia="en-US"/>
              </w:rPr>
              <w:tab/>
            </w:r>
            <w:r w:rsidRPr="006920F2">
              <w:rPr>
                <w:rStyle w:val="Hyperlink"/>
                <w:noProof/>
              </w:rPr>
              <w:t>Cross-cutting issues</w:t>
            </w:r>
            <w:r>
              <w:rPr>
                <w:noProof/>
                <w:webHidden/>
              </w:rPr>
              <w:tab/>
            </w:r>
            <w:r>
              <w:rPr>
                <w:noProof/>
                <w:webHidden/>
              </w:rPr>
              <w:fldChar w:fldCharType="begin"/>
            </w:r>
            <w:r>
              <w:rPr>
                <w:noProof/>
                <w:webHidden/>
              </w:rPr>
              <w:instrText xml:space="preserve"> PAGEREF _Toc81335876 \h </w:instrText>
            </w:r>
            <w:r>
              <w:rPr>
                <w:noProof/>
                <w:webHidden/>
              </w:rPr>
            </w:r>
            <w:r>
              <w:rPr>
                <w:noProof/>
                <w:webHidden/>
              </w:rPr>
              <w:fldChar w:fldCharType="separate"/>
            </w:r>
            <w:r>
              <w:rPr>
                <w:noProof/>
                <w:webHidden/>
              </w:rPr>
              <w:t>48</w:t>
            </w:r>
            <w:r>
              <w:rPr>
                <w:noProof/>
                <w:webHidden/>
              </w:rPr>
              <w:fldChar w:fldCharType="end"/>
            </w:r>
          </w:hyperlink>
        </w:p>
        <w:p w14:paraId="6ADCE373" w14:textId="05AB5756" w:rsidR="0002681F" w:rsidRDefault="0002681F">
          <w:pPr>
            <w:pStyle w:val="TOC3"/>
            <w:tabs>
              <w:tab w:val="left" w:pos="1440"/>
              <w:tab w:val="right" w:pos="9016"/>
            </w:tabs>
            <w:rPr>
              <w:rFonts w:eastAsiaTheme="minorEastAsia" w:cstheme="minorBidi"/>
              <w:noProof/>
              <w:sz w:val="24"/>
              <w:szCs w:val="24"/>
              <w:lang w:val="hr-HR" w:eastAsia="en-US"/>
            </w:rPr>
          </w:pPr>
          <w:hyperlink w:anchor="_Toc81335877" w:history="1">
            <w:r w:rsidRPr="006920F2">
              <w:rPr>
                <w:rStyle w:val="Hyperlink"/>
                <w:noProof/>
              </w:rPr>
              <w:t>3.3.10.</w:t>
            </w:r>
            <w:r>
              <w:rPr>
                <w:rFonts w:eastAsiaTheme="minorEastAsia" w:cstheme="minorBidi"/>
                <w:noProof/>
                <w:sz w:val="24"/>
                <w:szCs w:val="24"/>
                <w:lang w:val="hr-HR" w:eastAsia="en-US"/>
              </w:rPr>
              <w:tab/>
            </w:r>
            <w:r w:rsidRPr="006920F2">
              <w:rPr>
                <w:rStyle w:val="Hyperlink"/>
                <w:noProof/>
              </w:rPr>
              <w:t>Catalytic/replication effect</w:t>
            </w:r>
            <w:r>
              <w:rPr>
                <w:noProof/>
                <w:webHidden/>
              </w:rPr>
              <w:tab/>
            </w:r>
            <w:r>
              <w:rPr>
                <w:noProof/>
                <w:webHidden/>
              </w:rPr>
              <w:fldChar w:fldCharType="begin"/>
            </w:r>
            <w:r>
              <w:rPr>
                <w:noProof/>
                <w:webHidden/>
              </w:rPr>
              <w:instrText xml:space="preserve"> PAGEREF _Toc81335877 \h </w:instrText>
            </w:r>
            <w:r>
              <w:rPr>
                <w:noProof/>
                <w:webHidden/>
              </w:rPr>
            </w:r>
            <w:r>
              <w:rPr>
                <w:noProof/>
                <w:webHidden/>
              </w:rPr>
              <w:fldChar w:fldCharType="separate"/>
            </w:r>
            <w:r>
              <w:rPr>
                <w:noProof/>
                <w:webHidden/>
              </w:rPr>
              <w:t>49</w:t>
            </w:r>
            <w:r>
              <w:rPr>
                <w:noProof/>
                <w:webHidden/>
              </w:rPr>
              <w:fldChar w:fldCharType="end"/>
            </w:r>
          </w:hyperlink>
        </w:p>
        <w:p w14:paraId="370E9562" w14:textId="3C53277E" w:rsidR="0002681F" w:rsidRDefault="0002681F">
          <w:pPr>
            <w:pStyle w:val="TOC3"/>
            <w:tabs>
              <w:tab w:val="left" w:pos="1440"/>
              <w:tab w:val="right" w:pos="9016"/>
            </w:tabs>
            <w:rPr>
              <w:rFonts w:eastAsiaTheme="minorEastAsia" w:cstheme="minorBidi"/>
              <w:noProof/>
              <w:sz w:val="24"/>
              <w:szCs w:val="24"/>
              <w:lang w:val="hr-HR" w:eastAsia="en-US"/>
            </w:rPr>
          </w:pPr>
          <w:hyperlink w:anchor="_Toc81335878" w:history="1">
            <w:r w:rsidRPr="006920F2">
              <w:rPr>
                <w:rStyle w:val="Hyperlink"/>
                <w:noProof/>
              </w:rPr>
              <w:t>3.3.11.</w:t>
            </w:r>
            <w:r>
              <w:rPr>
                <w:rFonts w:eastAsiaTheme="minorEastAsia" w:cstheme="minorBidi"/>
                <w:noProof/>
                <w:sz w:val="24"/>
                <w:szCs w:val="24"/>
                <w:lang w:val="hr-HR" w:eastAsia="en-US"/>
              </w:rPr>
              <w:tab/>
            </w:r>
            <w:r w:rsidRPr="006920F2">
              <w:rPr>
                <w:rStyle w:val="Hyperlink"/>
                <w:noProof/>
              </w:rPr>
              <w:t>Progress to impact</w:t>
            </w:r>
            <w:r>
              <w:rPr>
                <w:noProof/>
                <w:webHidden/>
              </w:rPr>
              <w:tab/>
            </w:r>
            <w:r>
              <w:rPr>
                <w:noProof/>
                <w:webHidden/>
              </w:rPr>
              <w:fldChar w:fldCharType="begin"/>
            </w:r>
            <w:r>
              <w:rPr>
                <w:noProof/>
                <w:webHidden/>
              </w:rPr>
              <w:instrText xml:space="preserve"> PAGEREF _Toc81335878 \h </w:instrText>
            </w:r>
            <w:r>
              <w:rPr>
                <w:noProof/>
                <w:webHidden/>
              </w:rPr>
            </w:r>
            <w:r>
              <w:rPr>
                <w:noProof/>
                <w:webHidden/>
              </w:rPr>
              <w:fldChar w:fldCharType="separate"/>
            </w:r>
            <w:r>
              <w:rPr>
                <w:noProof/>
                <w:webHidden/>
              </w:rPr>
              <w:t>50</w:t>
            </w:r>
            <w:r>
              <w:rPr>
                <w:noProof/>
                <w:webHidden/>
              </w:rPr>
              <w:fldChar w:fldCharType="end"/>
            </w:r>
          </w:hyperlink>
        </w:p>
        <w:p w14:paraId="4585ABF0" w14:textId="391EA2DE" w:rsidR="0002681F" w:rsidRDefault="0002681F">
          <w:pPr>
            <w:pStyle w:val="TOC1"/>
            <w:tabs>
              <w:tab w:val="left" w:pos="720"/>
            </w:tabs>
            <w:rPr>
              <w:rFonts w:eastAsiaTheme="minorEastAsia" w:cstheme="minorBidi"/>
              <w:b w:val="0"/>
              <w:bCs w:val="0"/>
              <w:i w:val="0"/>
              <w:iCs w:val="0"/>
              <w:noProof/>
              <w:lang w:val="hr-HR" w:eastAsia="en-US"/>
            </w:rPr>
          </w:pPr>
          <w:hyperlink w:anchor="_Toc81335879" w:history="1">
            <w:r w:rsidRPr="006920F2">
              <w:rPr>
                <w:rStyle w:val="Hyperlink"/>
                <w:noProof/>
              </w:rPr>
              <w:t xml:space="preserve">4. </w:t>
            </w:r>
            <w:r>
              <w:rPr>
                <w:rFonts w:eastAsiaTheme="minorEastAsia" w:cstheme="minorBidi"/>
                <w:b w:val="0"/>
                <w:bCs w:val="0"/>
                <w:i w:val="0"/>
                <w:iCs w:val="0"/>
                <w:noProof/>
                <w:lang w:val="hr-HR" w:eastAsia="en-US"/>
              </w:rPr>
              <w:tab/>
            </w:r>
            <w:r w:rsidRPr="006920F2">
              <w:rPr>
                <w:rStyle w:val="Hyperlink"/>
                <w:noProof/>
              </w:rPr>
              <w:t>Main findings, conclusions, recommendations and lessons learned</w:t>
            </w:r>
            <w:r w:rsidRPr="006920F2">
              <w:rPr>
                <w:rStyle w:val="Hyperlink"/>
                <w:rFonts w:ascii="MS Gothic" w:eastAsia="MS Gothic" w:hAnsi="MS Gothic" w:cs="MS Gothic"/>
                <w:noProof/>
              </w:rPr>
              <w:t> </w:t>
            </w:r>
            <w:r>
              <w:rPr>
                <w:noProof/>
                <w:webHidden/>
              </w:rPr>
              <w:tab/>
            </w:r>
            <w:r>
              <w:rPr>
                <w:noProof/>
                <w:webHidden/>
              </w:rPr>
              <w:fldChar w:fldCharType="begin"/>
            </w:r>
            <w:r>
              <w:rPr>
                <w:noProof/>
                <w:webHidden/>
              </w:rPr>
              <w:instrText xml:space="preserve"> PAGEREF _Toc81335879 \h </w:instrText>
            </w:r>
            <w:r>
              <w:rPr>
                <w:noProof/>
                <w:webHidden/>
              </w:rPr>
            </w:r>
            <w:r>
              <w:rPr>
                <w:noProof/>
                <w:webHidden/>
              </w:rPr>
              <w:fldChar w:fldCharType="separate"/>
            </w:r>
            <w:r>
              <w:rPr>
                <w:noProof/>
                <w:webHidden/>
              </w:rPr>
              <w:t>51</w:t>
            </w:r>
            <w:r>
              <w:rPr>
                <w:noProof/>
                <w:webHidden/>
              </w:rPr>
              <w:fldChar w:fldCharType="end"/>
            </w:r>
          </w:hyperlink>
        </w:p>
        <w:p w14:paraId="34220023" w14:textId="652A4E9F"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80" w:history="1">
            <w:r w:rsidRPr="006920F2">
              <w:rPr>
                <w:rStyle w:val="Hyperlink"/>
                <w:noProof/>
              </w:rPr>
              <w:t>4.1.</w:t>
            </w:r>
            <w:r>
              <w:rPr>
                <w:rFonts w:eastAsiaTheme="minorEastAsia" w:cstheme="minorBidi"/>
                <w:b w:val="0"/>
                <w:bCs w:val="0"/>
                <w:noProof/>
                <w:sz w:val="24"/>
                <w:szCs w:val="24"/>
                <w:lang w:val="hr-HR" w:eastAsia="en-US"/>
              </w:rPr>
              <w:tab/>
            </w:r>
            <w:r w:rsidRPr="006920F2">
              <w:rPr>
                <w:rStyle w:val="Hyperlink"/>
                <w:noProof/>
              </w:rPr>
              <w:t xml:space="preserve">Main findings </w:t>
            </w:r>
            <w:r w:rsidRPr="006920F2">
              <w:rPr>
                <w:rStyle w:val="Hyperlink"/>
                <w:rFonts w:ascii="MS Gothic" w:eastAsia="MS Gothic" w:hAnsi="MS Gothic" w:cs="MS Gothic"/>
                <w:noProof/>
              </w:rPr>
              <w:t> </w:t>
            </w:r>
            <w:r>
              <w:rPr>
                <w:noProof/>
                <w:webHidden/>
              </w:rPr>
              <w:tab/>
            </w:r>
            <w:r>
              <w:rPr>
                <w:noProof/>
                <w:webHidden/>
              </w:rPr>
              <w:fldChar w:fldCharType="begin"/>
            </w:r>
            <w:r>
              <w:rPr>
                <w:noProof/>
                <w:webHidden/>
              </w:rPr>
              <w:instrText xml:space="preserve"> PAGEREF _Toc81335880 \h </w:instrText>
            </w:r>
            <w:r>
              <w:rPr>
                <w:noProof/>
                <w:webHidden/>
              </w:rPr>
            </w:r>
            <w:r>
              <w:rPr>
                <w:noProof/>
                <w:webHidden/>
              </w:rPr>
              <w:fldChar w:fldCharType="separate"/>
            </w:r>
            <w:r>
              <w:rPr>
                <w:noProof/>
                <w:webHidden/>
              </w:rPr>
              <w:t>51</w:t>
            </w:r>
            <w:r>
              <w:rPr>
                <w:noProof/>
                <w:webHidden/>
              </w:rPr>
              <w:fldChar w:fldCharType="end"/>
            </w:r>
          </w:hyperlink>
        </w:p>
        <w:p w14:paraId="176C126A" w14:textId="1421B907"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81" w:history="1">
            <w:r w:rsidRPr="006920F2">
              <w:rPr>
                <w:rStyle w:val="Hyperlink"/>
                <w:noProof/>
              </w:rPr>
              <w:t>4.2.</w:t>
            </w:r>
            <w:r>
              <w:rPr>
                <w:rFonts w:eastAsiaTheme="minorEastAsia" w:cstheme="minorBidi"/>
                <w:b w:val="0"/>
                <w:bCs w:val="0"/>
                <w:noProof/>
                <w:sz w:val="24"/>
                <w:szCs w:val="24"/>
                <w:lang w:val="hr-HR" w:eastAsia="en-US"/>
              </w:rPr>
              <w:tab/>
            </w:r>
            <w:r w:rsidRPr="006920F2">
              <w:rPr>
                <w:rStyle w:val="Hyperlink"/>
                <w:noProof/>
              </w:rPr>
              <w:t>Conclusions</w:t>
            </w:r>
            <w:r>
              <w:rPr>
                <w:noProof/>
                <w:webHidden/>
              </w:rPr>
              <w:tab/>
            </w:r>
            <w:r>
              <w:rPr>
                <w:noProof/>
                <w:webHidden/>
              </w:rPr>
              <w:fldChar w:fldCharType="begin"/>
            </w:r>
            <w:r>
              <w:rPr>
                <w:noProof/>
                <w:webHidden/>
              </w:rPr>
              <w:instrText xml:space="preserve"> PAGEREF _Toc81335881 \h </w:instrText>
            </w:r>
            <w:r>
              <w:rPr>
                <w:noProof/>
                <w:webHidden/>
              </w:rPr>
            </w:r>
            <w:r>
              <w:rPr>
                <w:noProof/>
                <w:webHidden/>
              </w:rPr>
              <w:fldChar w:fldCharType="separate"/>
            </w:r>
            <w:r>
              <w:rPr>
                <w:noProof/>
                <w:webHidden/>
              </w:rPr>
              <w:t>52</w:t>
            </w:r>
            <w:r>
              <w:rPr>
                <w:noProof/>
                <w:webHidden/>
              </w:rPr>
              <w:fldChar w:fldCharType="end"/>
            </w:r>
          </w:hyperlink>
        </w:p>
        <w:p w14:paraId="280B1BDD" w14:textId="15526EEE"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82" w:history="1">
            <w:r w:rsidRPr="006920F2">
              <w:rPr>
                <w:rStyle w:val="Hyperlink"/>
                <w:noProof/>
              </w:rPr>
              <w:t>4.3</w:t>
            </w:r>
            <w:r>
              <w:rPr>
                <w:rFonts w:eastAsiaTheme="minorEastAsia" w:cstheme="minorBidi"/>
                <w:b w:val="0"/>
                <w:bCs w:val="0"/>
                <w:noProof/>
                <w:sz w:val="24"/>
                <w:szCs w:val="24"/>
                <w:lang w:val="hr-HR" w:eastAsia="en-US"/>
              </w:rPr>
              <w:tab/>
            </w:r>
            <w:r w:rsidRPr="006920F2">
              <w:rPr>
                <w:rStyle w:val="Hyperlink"/>
                <w:noProof/>
              </w:rPr>
              <w:t xml:space="preserve">Recommendations </w:t>
            </w:r>
            <w:r w:rsidRPr="006920F2">
              <w:rPr>
                <w:rStyle w:val="Hyperlink"/>
                <w:rFonts w:ascii="MS Gothic" w:eastAsia="MS Gothic" w:hAnsi="MS Gothic" w:cs="MS Gothic"/>
                <w:noProof/>
              </w:rPr>
              <w:t> </w:t>
            </w:r>
            <w:r>
              <w:rPr>
                <w:noProof/>
                <w:webHidden/>
              </w:rPr>
              <w:tab/>
            </w:r>
            <w:r>
              <w:rPr>
                <w:noProof/>
                <w:webHidden/>
              </w:rPr>
              <w:fldChar w:fldCharType="begin"/>
            </w:r>
            <w:r>
              <w:rPr>
                <w:noProof/>
                <w:webHidden/>
              </w:rPr>
              <w:instrText xml:space="preserve"> PAGEREF _Toc81335882 \h </w:instrText>
            </w:r>
            <w:r>
              <w:rPr>
                <w:noProof/>
                <w:webHidden/>
              </w:rPr>
            </w:r>
            <w:r>
              <w:rPr>
                <w:noProof/>
                <w:webHidden/>
              </w:rPr>
              <w:fldChar w:fldCharType="separate"/>
            </w:r>
            <w:r>
              <w:rPr>
                <w:noProof/>
                <w:webHidden/>
              </w:rPr>
              <w:t>52</w:t>
            </w:r>
            <w:r>
              <w:rPr>
                <w:noProof/>
                <w:webHidden/>
              </w:rPr>
              <w:fldChar w:fldCharType="end"/>
            </w:r>
          </w:hyperlink>
        </w:p>
        <w:p w14:paraId="4D38BF55" w14:textId="2127BF20" w:rsidR="0002681F" w:rsidRDefault="0002681F">
          <w:pPr>
            <w:pStyle w:val="TOC2"/>
            <w:tabs>
              <w:tab w:val="left" w:pos="960"/>
              <w:tab w:val="right" w:pos="9016"/>
            </w:tabs>
            <w:rPr>
              <w:rFonts w:eastAsiaTheme="minorEastAsia" w:cstheme="minorBidi"/>
              <w:b w:val="0"/>
              <w:bCs w:val="0"/>
              <w:noProof/>
              <w:sz w:val="24"/>
              <w:szCs w:val="24"/>
              <w:lang w:val="hr-HR" w:eastAsia="en-US"/>
            </w:rPr>
          </w:pPr>
          <w:hyperlink w:anchor="_Toc81335883" w:history="1">
            <w:r w:rsidRPr="006920F2">
              <w:rPr>
                <w:rStyle w:val="Hyperlink"/>
                <w:noProof/>
              </w:rPr>
              <w:t>4.4</w:t>
            </w:r>
            <w:r>
              <w:rPr>
                <w:rFonts w:eastAsiaTheme="minorEastAsia" w:cstheme="minorBidi"/>
                <w:b w:val="0"/>
                <w:bCs w:val="0"/>
                <w:noProof/>
                <w:sz w:val="24"/>
                <w:szCs w:val="24"/>
                <w:lang w:val="hr-HR" w:eastAsia="en-US"/>
              </w:rPr>
              <w:tab/>
            </w:r>
            <w:r w:rsidRPr="006920F2">
              <w:rPr>
                <w:rStyle w:val="Hyperlink"/>
                <w:noProof/>
              </w:rPr>
              <w:t>Lessons learned</w:t>
            </w:r>
            <w:r>
              <w:rPr>
                <w:noProof/>
                <w:webHidden/>
              </w:rPr>
              <w:tab/>
            </w:r>
            <w:r>
              <w:rPr>
                <w:noProof/>
                <w:webHidden/>
              </w:rPr>
              <w:fldChar w:fldCharType="begin"/>
            </w:r>
            <w:r>
              <w:rPr>
                <w:noProof/>
                <w:webHidden/>
              </w:rPr>
              <w:instrText xml:space="preserve"> PAGEREF _Toc81335883 \h </w:instrText>
            </w:r>
            <w:r>
              <w:rPr>
                <w:noProof/>
                <w:webHidden/>
              </w:rPr>
            </w:r>
            <w:r>
              <w:rPr>
                <w:noProof/>
                <w:webHidden/>
              </w:rPr>
              <w:fldChar w:fldCharType="separate"/>
            </w:r>
            <w:r>
              <w:rPr>
                <w:noProof/>
                <w:webHidden/>
              </w:rPr>
              <w:t>53</w:t>
            </w:r>
            <w:r>
              <w:rPr>
                <w:noProof/>
                <w:webHidden/>
              </w:rPr>
              <w:fldChar w:fldCharType="end"/>
            </w:r>
          </w:hyperlink>
        </w:p>
        <w:p w14:paraId="1510F5C0" w14:textId="2D0FBE68" w:rsidR="0002681F" w:rsidRDefault="0002681F">
          <w:pPr>
            <w:pStyle w:val="TOC1"/>
            <w:rPr>
              <w:rFonts w:eastAsiaTheme="minorEastAsia" w:cstheme="minorBidi"/>
              <w:b w:val="0"/>
              <w:bCs w:val="0"/>
              <w:i w:val="0"/>
              <w:iCs w:val="0"/>
              <w:noProof/>
              <w:lang w:val="hr-HR" w:eastAsia="en-US"/>
            </w:rPr>
          </w:pPr>
          <w:hyperlink w:anchor="_Toc81335884" w:history="1">
            <w:r w:rsidRPr="006920F2">
              <w:rPr>
                <w:rStyle w:val="Hyperlink"/>
                <w:noProof/>
              </w:rPr>
              <w:t>Annexes</w:t>
            </w:r>
            <w:r>
              <w:rPr>
                <w:noProof/>
                <w:webHidden/>
              </w:rPr>
              <w:tab/>
            </w:r>
            <w:r>
              <w:rPr>
                <w:noProof/>
                <w:webHidden/>
              </w:rPr>
              <w:fldChar w:fldCharType="begin"/>
            </w:r>
            <w:r>
              <w:rPr>
                <w:noProof/>
                <w:webHidden/>
              </w:rPr>
              <w:instrText xml:space="preserve"> PAGEREF _Toc81335884 \h </w:instrText>
            </w:r>
            <w:r>
              <w:rPr>
                <w:noProof/>
                <w:webHidden/>
              </w:rPr>
            </w:r>
            <w:r>
              <w:rPr>
                <w:noProof/>
                <w:webHidden/>
              </w:rPr>
              <w:fldChar w:fldCharType="separate"/>
            </w:r>
            <w:r>
              <w:rPr>
                <w:noProof/>
                <w:webHidden/>
              </w:rPr>
              <w:t>55</w:t>
            </w:r>
            <w:r>
              <w:rPr>
                <w:noProof/>
                <w:webHidden/>
              </w:rPr>
              <w:fldChar w:fldCharType="end"/>
            </w:r>
          </w:hyperlink>
        </w:p>
        <w:p w14:paraId="46B0805F" w14:textId="4E8301C2"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85" w:history="1">
            <w:r w:rsidRPr="006920F2">
              <w:rPr>
                <w:rStyle w:val="Hyperlink"/>
                <w:noProof/>
              </w:rPr>
              <w:t>Annex 1:</w:t>
            </w:r>
            <w:r>
              <w:rPr>
                <w:rFonts w:eastAsiaTheme="minorEastAsia" w:cstheme="minorBidi"/>
                <w:b w:val="0"/>
                <w:bCs w:val="0"/>
                <w:noProof/>
                <w:sz w:val="24"/>
                <w:szCs w:val="24"/>
                <w:lang w:val="hr-HR" w:eastAsia="en-US"/>
              </w:rPr>
              <w:tab/>
            </w:r>
            <w:r w:rsidRPr="006920F2">
              <w:rPr>
                <w:rStyle w:val="Hyperlink"/>
                <w:noProof/>
              </w:rPr>
              <w:t>TE ToR (without ToR annexes)</w:t>
            </w:r>
            <w:r>
              <w:rPr>
                <w:noProof/>
                <w:webHidden/>
              </w:rPr>
              <w:tab/>
            </w:r>
            <w:r>
              <w:rPr>
                <w:noProof/>
                <w:webHidden/>
              </w:rPr>
              <w:fldChar w:fldCharType="begin"/>
            </w:r>
            <w:r>
              <w:rPr>
                <w:noProof/>
                <w:webHidden/>
              </w:rPr>
              <w:instrText xml:space="preserve"> PAGEREF _Toc81335885 \h </w:instrText>
            </w:r>
            <w:r>
              <w:rPr>
                <w:noProof/>
                <w:webHidden/>
              </w:rPr>
            </w:r>
            <w:r>
              <w:rPr>
                <w:noProof/>
                <w:webHidden/>
              </w:rPr>
              <w:fldChar w:fldCharType="separate"/>
            </w:r>
            <w:r>
              <w:rPr>
                <w:noProof/>
                <w:webHidden/>
              </w:rPr>
              <w:t>56</w:t>
            </w:r>
            <w:r>
              <w:rPr>
                <w:noProof/>
                <w:webHidden/>
              </w:rPr>
              <w:fldChar w:fldCharType="end"/>
            </w:r>
          </w:hyperlink>
        </w:p>
        <w:p w14:paraId="7C398A22" w14:textId="3C6BE4FA"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86" w:history="1">
            <w:r w:rsidRPr="006920F2">
              <w:rPr>
                <w:rStyle w:val="Hyperlink"/>
                <w:noProof/>
              </w:rPr>
              <w:t xml:space="preserve">Annex 2: </w:t>
            </w:r>
            <w:r>
              <w:rPr>
                <w:rFonts w:eastAsiaTheme="minorEastAsia" w:cstheme="minorBidi"/>
                <w:b w:val="0"/>
                <w:bCs w:val="0"/>
                <w:noProof/>
                <w:sz w:val="24"/>
                <w:szCs w:val="24"/>
                <w:lang w:val="hr-HR" w:eastAsia="en-US"/>
              </w:rPr>
              <w:tab/>
            </w:r>
            <w:r w:rsidRPr="006920F2">
              <w:rPr>
                <w:rStyle w:val="Hyperlink"/>
                <w:noProof/>
              </w:rPr>
              <w:t>TE Mission Itinerary</w:t>
            </w:r>
            <w:r>
              <w:rPr>
                <w:noProof/>
                <w:webHidden/>
              </w:rPr>
              <w:tab/>
            </w:r>
            <w:r>
              <w:rPr>
                <w:noProof/>
                <w:webHidden/>
              </w:rPr>
              <w:fldChar w:fldCharType="begin"/>
            </w:r>
            <w:r>
              <w:rPr>
                <w:noProof/>
                <w:webHidden/>
              </w:rPr>
              <w:instrText xml:space="preserve"> PAGEREF _Toc81335886 \h </w:instrText>
            </w:r>
            <w:r>
              <w:rPr>
                <w:noProof/>
                <w:webHidden/>
              </w:rPr>
            </w:r>
            <w:r>
              <w:rPr>
                <w:noProof/>
                <w:webHidden/>
              </w:rPr>
              <w:fldChar w:fldCharType="separate"/>
            </w:r>
            <w:r>
              <w:rPr>
                <w:noProof/>
                <w:webHidden/>
              </w:rPr>
              <w:t>65</w:t>
            </w:r>
            <w:r>
              <w:rPr>
                <w:noProof/>
                <w:webHidden/>
              </w:rPr>
              <w:fldChar w:fldCharType="end"/>
            </w:r>
          </w:hyperlink>
        </w:p>
        <w:p w14:paraId="46754172" w14:textId="4815F5E2"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87" w:history="1">
            <w:r w:rsidRPr="006920F2">
              <w:rPr>
                <w:rStyle w:val="Hyperlink"/>
                <w:noProof/>
              </w:rPr>
              <w:t>Annex 3:</w:t>
            </w:r>
            <w:r>
              <w:rPr>
                <w:rFonts w:eastAsiaTheme="minorEastAsia" w:cstheme="minorBidi"/>
                <w:b w:val="0"/>
                <w:bCs w:val="0"/>
                <w:noProof/>
                <w:sz w:val="24"/>
                <w:szCs w:val="24"/>
                <w:lang w:val="hr-HR" w:eastAsia="en-US"/>
              </w:rPr>
              <w:tab/>
            </w:r>
            <w:r w:rsidRPr="006920F2">
              <w:rPr>
                <w:rStyle w:val="Hyperlink"/>
                <w:noProof/>
              </w:rPr>
              <w:t>List of persons interviewed</w:t>
            </w:r>
            <w:r>
              <w:rPr>
                <w:noProof/>
                <w:webHidden/>
              </w:rPr>
              <w:tab/>
            </w:r>
            <w:r>
              <w:rPr>
                <w:noProof/>
                <w:webHidden/>
              </w:rPr>
              <w:fldChar w:fldCharType="begin"/>
            </w:r>
            <w:r>
              <w:rPr>
                <w:noProof/>
                <w:webHidden/>
              </w:rPr>
              <w:instrText xml:space="preserve"> PAGEREF _Toc81335887 \h </w:instrText>
            </w:r>
            <w:r>
              <w:rPr>
                <w:noProof/>
                <w:webHidden/>
              </w:rPr>
            </w:r>
            <w:r>
              <w:rPr>
                <w:noProof/>
                <w:webHidden/>
              </w:rPr>
              <w:fldChar w:fldCharType="separate"/>
            </w:r>
            <w:r>
              <w:rPr>
                <w:noProof/>
                <w:webHidden/>
              </w:rPr>
              <w:t>66</w:t>
            </w:r>
            <w:r>
              <w:rPr>
                <w:noProof/>
                <w:webHidden/>
              </w:rPr>
              <w:fldChar w:fldCharType="end"/>
            </w:r>
          </w:hyperlink>
        </w:p>
        <w:p w14:paraId="1B5C9F70" w14:textId="311DAFE3"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88" w:history="1">
            <w:r w:rsidRPr="006920F2">
              <w:rPr>
                <w:rStyle w:val="Hyperlink"/>
                <w:noProof/>
              </w:rPr>
              <w:t>Annex 4:</w:t>
            </w:r>
            <w:r>
              <w:rPr>
                <w:rFonts w:eastAsiaTheme="minorEastAsia" w:cstheme="minorBidi"/>
                <w:b w:val="0"/>
                <w:bCs w:val="0"/>
                <w:noProof/>
                <w:sz w:val="24"/>
                <w:szCs w:val="24"/>
                <w:lang w:val="hr-HR" w:eastAsia="en-US"/>
              </w:rPr>
              <w:tab/>
            </w:r>
            <w:r w:rsidRPr="006920F2">
              <w:rPr>
                <w:rStyle w:val="Hyperlink"/>
                <w:noProof/>
              </w:rPr>
              <w:t>List of documents reviewed</w:t>
            </w:r>
            <w:r>
              <w:rPr>
                <w:noProof/>
                <w:webHidden/>
              </w:rPr>
              <w:tab/>
            </w:r>
            <w:r>
              <w:rPr>
                <w:noProof/>
                <w:webHidden/>
              </w:rPr>
              <w:fldChar w:fldCharType="begin"/>
            </w:r>
            <w:r>
              <w:rPr>
                <w:noProof/>
                <w:webHidden/>
              </w:rPr>
              <w:instrText xml:space="preserve"> PAGEREF _Toc81335888 \h </w:instrText>
            </w:r>
            <w:r>
              <w:rPr>
                <w:noProof/>
                <w:webHidden/>
              </w:rPr>
            </w:r>
            <w:r>
              <w:rPr>
                <w:noProof/>
                <w:webHidden/>
              </w:rPr>
              <w:fldChar w:fldCharType="separate"/>
            </w:r>
            <w:r>
              <w:rPr>
                <w:noProof/>
                <w:webHidden/>
              </w:rPr>
              <w:t>67</w:t>
            </w:r>
            <w:r>
              <w:rPr>
                <w:noProof/>
                <w:webHidden/>
              </w:rPr>
              <w:fldChar w:fldCharType="end"/>
            </w:r>
          </w:hyperlink>
        </w:p>
        <w:p w14:paraId="4B5D4A2D" w14:textId="00FF3833"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89" w:history="1">
            <w:r w:rsidRPr="006920F2">
              <w:rPr>
                <w:rStyle w:val="Hyperlink"/>
                <w:noProof/>
              </w:rPr>
              <w:t>Annex 5:</w:t>
            </w:r>
            <w:r>
              <w:rPr>
                <w:rFonts w:eastAsiaTheme="minorEastAsia" w:cstheme="minorBidi"/>
                <w:b w:val="0"/>
                <w:bCs w:val="0"/>
                <w:noProof/>
                <w:sz w:val="24"/>
                <w:szCs w:val="24"/>
                <w:lang w:val="hr-HR" w:eastAsia="en-US"/>
              </w:rPr>
              <w:tab/>
            </w:r>
            <w:r w:rsidRPr="006920F2">
              <w:rPr>
                <w:rStyle w:val="Hyperlink"/>
                <w:noProof/>
              </w:rPr>
              <w:t>Evaluation question matrix</w:t>
            </w:r>
            <w:r>
              <w:rPr>
                <w:noProof/>
                <w:webHidden/>
              </w:rPr>
              <w:tab/>
            </w:r>
            <w:r>
              <w:rPr>
                <w:noProof/>
                <w:webHidden/>
              </w:rPr>
              <w:fldChar w:fldCharType="begin"/>
            </w:r>
            <w:r>
              <w:rPr>
                <w:noProof/>
                <w:webHidden/>
              </w:rPr>
              <w:instrText xml:space="preserve"> PAGEREF _Toc81335889 \h </w:instrText>
            </w:r>
            <w:r>
              <w:rPr>
                <w:noProof/>
                <w:webHidden/>
              </w:rPr>
            </w:r>
            <w:r>
              <w:rPr>
                <w:noProof/>
                <w:webHidden/>
              </w:rPr>
              <w:fldChar w:fldCharType="separate"/>
            </w:r>
            <w:r>
              <w:rPr>
                <w:noProof/>
                <w:webHidden/>
              </w:rPr>
              <w:t>68</w:t>
            </w:r>
            <w:r>
              <w:rPr>
                <w:noProof/>
                <w:webHidden/>
              </w:rPr>
              <w:fldChar w:fldCharType="end"/>
            </w:r>
          </w:hyperlink>
        </w:p>
        <w:p w14:paraId="54F38CEB" w14:textId="668C7010"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90" w:history="1">
            <w:r w:rsidRPr="006920F2">
              <w:rPr>
                <w:rStyle w:val="Hyperlink"/>
                <w:noProof/>
              </w:rPr>
              <w:t>Annex 6:</w:t>
            </w:r>
            <w:r>
              <w:rPr>
                <w:rFonts w:eastAsiaTheme="minorEastAsia" w:cstheme="minorBidi"/>
                <w:b w:val="0"/>
                <w:bCs w:val="0"/>
                <w:noProof/>
                <w:sz w:val="24"/>
                <w:szCs w:val="24"/>
                <w:lang w:val="hr-HR" w:eastAsia="en-US"/>
              </w:rPr>
              <w:tab/>
            </w:r>
            <w:r w:rsidRPr="006920F2">
              <w:rPr>
                <w:rStyle w:val="Hyperlink"/>
                <w:noProof/>
              </w:rPr>
              <w:t>MTR Recommendations</w:t>
            </w:r>
            <w:r>
              <w:rPr>
                <w:noProof/>
                <w:webHidden/>
              </w:rPr>
              <w:tab/>
            </w:r>
            <w:r>
              <w:rPr>
                <w:noProof/>
                <w:webHidden/>
              </w:rPr>
              <w:fldChar w:fldCharType="begin"/>
            </w:r>
            <w:r>
              <w:rPr>
                <w:noProof/>
                <w:webHidden/>
              </w:rPr>
              <w:instrText xml:space="preserve"> PAGEREF _Toc81335890 \h </w:instrText>
            </w:r>
            <w:r>
              <w:rPr>
                <w:noProof/>
                <w:webHidden/>
              </w:rPr>
            </w:r>
            <w:r>
              <w:rPr>
                <w:noProof/>
                <w:webHidden/>
              </w:rPr>
              <w:fldChar w:fldCharType="separate"/>
            </w:r>
            <w:r>
              <w:rPr>
                <w:noProof/>
                <w:webHidden/>
              </w:rPr>
              <w:t>74</w:t>
            </w:r>
            <w:r>
              <w:rPr>
                <w:noProof/>
                <w:webHidden/>
              </w:rPr>
              <w:fldChar w:fldCharType="end"/>
            </w:r>
          </w:hyperlink>
        </w:p>
        <w:p w14:paraId="1E71F4C8" w14:textId="2566B36B"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91" w:history="1">
            <w:r w:rsidRPr="006920F2">
              <w:rPr>
                <w:rStyle w:val="Hyperlink"/>
                <w:noProof/>
              </w:rPr>
              <w:t>Annex 7:</w:t>
            </w:r>
            <w:r>
              <w:rPr>
                <w:rFonts w:eastAsiaTheme="minorEastAsia" w:cstheme="minorBidi"/>
                <w:b w:val="0"/>
                <w:bCs w:val="0"/>
                <w:noProof/>
                <w:sz w:val="24"/>
                <w:szCs w:val="24"/>
                <w:lang w:val="hr-HR" w:eastAsia="en-US"/>
              </w:rPr>
              <w:tab/>
            </w:r>
            <w:r w:rsidRPr="006920F2">
              <w:rPr>
                <w:rStyle w:val="Hyperlink"/>
                <w:noProof/>
              </w:rPr>
              <w:t>Revised Strategic Results Framework</w:t>
            </w:r>
            <w:r>
              <w:rPr>
                <w:noProof/>
                <w:webHidden/>
              </w:rPr>
              <w:tab/>
            </w:r>
            <w:r>
              <w:rPr>
                <w:noProof/>
                <w:webHidden/>
              </w:rPr>
              <w:fldChar w:fldCharType="begin"/>
            </w:r>
            <w:r>
              <w:rPr>
                <w:noProof/>
                <w:webHidden/>
              </w:rPr>
              <w:instrText xml:space="preserve"> PAGEREF _Toc81335891 \h </w:instrText>
            </w:r>
            <w:r>
              <w:rPr>
                <w:noProof/>
                <w:webHidden/>
              </w:rPr>
            </w:r>
            <w:r>
              <w:rPr>
                <w:noProof/>
                <w:webHidden/>
              </w:rPr>
              <w:fldChar w:fldCharType="separate"/>
            </w:r>
            <w:r>
              <w:rPr>
                <w:noProof/>
                <w:webHidden/>
              </w:rPr>
              <w:t>76</w:t>
            </w:r>
            <w:r>
              <w:rPr>
                <w:noProof/>
                <w:webHidden/>
              </w:rPr>
              <w:fldChar w:fldCharType="end"/>
            </w:r>
          </w:hyperlink>
        </w:p>
        <w:p w14:paraId="14C8553B" w14:textId="2E1FCEBA"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92" w:history="1">
            <w:r w:rsidRPr="006920F2">
              <w:rPr>
                <w:rStyle w:val="Hyperlink"/>
                <w:noProof/>
              </w:rPr>
              <w:t>Annex 8:</w:t>
            </w:r>
            <w:r>
              <w:rPr>
                <w:rFonts w:eastAsiaTheme="minorEastAsia" w:cstheme="minorBidi"/>
                <w:b w:val="0"/>
                <w:bCs w:val="0"/>
                <w:noProof/>
                <w:sz w:val="24"/>
                <w:szCs w:val="24"/>
                <w:lang w:val="hr-HR" w:eastAsia="en-US"/>
              </w:rPr>
              <w:tab/>
            </w:r>
            <w:r w:rsidRPr="006920F2">
              <w:rPr>
                <w:rStyle w:val="Hyperlink"/>
                <w:noProof/>
              </w:rPr>
              <w:t>Co-financing table</w:t>
            </w:r>
            <w:r>
              <w:rPr>
                <w:noProof/>
                <w:webHidden/>
              </w:rPr>
              <w:tab/>
            </w:r>
            <w:r>
              <w:rPr>
                <w:noProof/>
                <w:webHidden/>
              </w:rPr>
              <w:fldChar w:fldCharType="begin"/>
            </w:r>
            <w:r>
              <w:rPr>
                <w:noProof/>
                <w:webHidden/>
              </w:rPr>
              <w:instrText xml:space="preserve"> PAGEREF _Toc81335892 \h </w:instrText>
            </w:r>
            <w:r>
              <w:rPr>
                <w:noProof/>
                <w:webHidden/>
              </w:rPr>
            </w:r>
            <w:r>
              <w:rPr>
                <w:noProof/>
                <w:webHidden/>
              </w:rPr>
              <w:fldChar w:fldCharType="separate"/>
            </w:r>
            <w:r>
              <w:rPr>
                <w:noProof/>
                <w:webHidden/>
              </w:rPr>
              <w:t>85</w:t>
            </w:r>
            <w:r>
              <w:rPr>
                <w:noProof/>
                <w:webHidden/>
              </w:rPr>
              <w:fldChar w:fldCharType="end"/>
            </w:r>
          </w:hyperlink>
        </w:p>
        <w:p w14:paraId="647A713A" w14:textId="2BFC89FE"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93" w:history="1">
            <w:r w:rsidRPr="006920F2">
              <w:rPr>
                <w:rStyle w:val="Hyperlink"/>
                <w:noProof/>
              </w:rPr>
              <w:t>Annex 9:</w:t>
            </w:r>
            <w:r>
              <w:rPr>
                <w:rFonts w:eastAsiaTheme="minorEastAsia" w:cstheme="minorBidi"/>
                <w:b w:val="0"/>
                <w:bCs w:val="0"/>
                <w:noProof/>
                <w:sz w:val="24"/>
                <w:szCs w:val="24"/>
                <w:lang w:val="hr-HR" w:eastAsia="en-US"/>
              </w:rPr>
              <w:tab/>
            </w:r>
            <w:r w:rsidRPr="006920F2">
              <w:rPr>
                <w:rStyle w:val="Hyperlink"/>
                <w:noProof/>
              </w:rPr>
              <w:t>TE Rating scale</w:t>
            </w:r>
            <w:r>
              <w:rPr>
                <w:noProof/>
                <w:webHidden/>
              </w:rPr>
              <w:tab/>
            </w:r>
            <w:r>
              <w:rPr>
                <w:noProof/>
                <w:webHidden/>
              </w:rPr>
              <w:fldChar w:fldCharType="begin"/>
            </w:r>
            <w:r>
              <w:rPr>
                <w:noProof/>
                <w:webHidden/>
              </w:rPr>
              <w:instrText xml:space="preserve"> PAGEREF _Toc81335893 \h </w:instrText>
            </w:r>
            <w:r>
              <w:rPr>
                <w:noProof/>
                <w:webHidden/>
              </w:rPr>
            </w:r>
            <w:r>
              <w:rPr>
                <w:noProof/>
                <w:webHidden/>
              </w:rPr>
              <w:fldChar w:fldCharType="separate"/>
            </w:r>
            <w:r>
              <w:rPr>
                <w:noProof/>
                <w:webHidden/>
              </w:rPr>
              <w:t>87</w:t>
            </w:r>
            <w:r>
              <w:rPr>
                <w:noProof/>
                <w:webHidden/>
              </w:rPr>
              <w:fldChar w:fldCharType="end"/>
            </w:r>
          </w:hyperlink>
        </w:p>
        <w:p w14:paraId="4856B222" w14:textId="4A42F49C"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94" w:history="1">
            <w:r w:rsidRPr="006920F2">
              <w:rPr>
                <w:rStyle w:val="Hyperlink"/>
                <w:noProof/>
              </w:rPr>
              <w:t>Annex 10:</w:t>
            </w:r>
            <w:r>
              <w:rPr>
                <w:rFonts w:eastAsiaTheme="minorEastAsia" w:cstheme="minorBidi"/>
                <w:b w:val="0"/>
                <w:bCs w:val="0"/>
                <w:noProof/>
                <w:sz w:val="24"/>
                <w:szCs w:val="24"/>
                <w:lang w:val="hr-HR" w:eastAsia="en-US"/>
              </w:rPr>
              <w:tab/>
            </w:r>
            <w:r w:rsidRPr="006920F2">
              <w:rPr>
                <w:rStyle w:val="Hyperlink"/>
                <w:noProof/>
              </w:rPr>
              <w:t>Signed UNEG Code of Conduct form</w:t>
            </w:r>
            <w:r>
              <w:rPr>
                <w:noProof/>
                <w:webHidden/>
              </w:rPr>
              <w:tab/>
            </w:r>
            <w:r>
              <w:rPr>
                <w:noProof/>
                <w:webHidden/>
              </w:rPr>
              <w:fldChar w:fldCharType="begin"/>
            </w:r>
            <w:r>
              <w:rPr>
                <w:noProof/>
                <w:webHidden/>
              </w:rPr>
              <w:instrText xml:space="preserve"> PAGEREF _Toc81335894 \h </w:instrText>
            </w:r>
            <w:r>
              <w:rPr>
                <w:noProof/>
                <w:webHidden/>
              </w:rPr>
            </w:r>
            <w:r>
              <w:rPr>
                <w:noProof/>
                <w:webHidden/>
              </w:rPr>
              <w:fldChar w:fldCharType="separate"/>
            </w:r>
            <w:r>
              <w:rPr>
                <w:noProof/>
                <w:webHidden/>
              </w:rPr>
              <w:t>88</w:t>
            </w:r>
            <w:r>
              <w:rPr>
                <w:noProof/>
                <w:webHidden/>
              </w:rPr>
              <w:fldChar w:fldCharType="end"/>
            </w:r>
          </w:hyperlink>
        </w:p>
        <w:p w14:paraId="40FCAA0D" w14:textId="0D6132C2" w:rsidR="0002681F" w:rsidRDefault="0002681F">
          <w:pPr>
            <w:pStyle w:val="TOC2"/>
            <w:tabs>
              <w:tab w:val="left" w:pos="1440"/>
              <w:tab w:val="right" w:pos="9016"/>
            </w:tabs>
            <w:rPr>
              <w:rFonts w:eastAsiaTheme="minorEastAsia" w:cstheme="minorBidi"/>
              <w:b w:val="0"/>
              <w:bCs w:val="0"/>
              <w:noProof/>
              <w:sz w:val="24"/>
              <w:szCs w:val="24"/>
              <w:lang w:val="hr-HR" w:eastAsia="en-US"/>
            </w:rPr>
          </w:pPr>
          <w:hyperlink w:anchor="_Toc81335895" w:history="1">
            <w:r w:rsidRPr="006920F2">
              <w:rPr>
                <w:rStyle w:val="Hyperlink"/>
                <w:noProof/>
              </w:rPr>
              <w:t>Annex 11:</w:t>
            </w:r>
            <w:r>
              <w:rPr>
                <w:rFonts w:eastAsiaTheme="minorEastAsia" w:cstheme="minorBidi"/>
                <w:b w:val="0"/>
                <w:bCs w:val="0"/>
                <w:noProof/>
                <w:sz w:val="24"/>
                <w:szCs w:val="24"/>
                <w:lang w:val="hr-HR" w:eastAsia="en-US"/>
              </w:rPr>
              <w:tab/>
            </w:r>
            <w:r w:rsidRPr="006920F2">
              <w:rPr>
                <w:rStyle w:val="Hyperlink"/>
                <w:noProof/>
              </w:rPr>
              <w:t>Signed TE Report Clearance form</w:t>
            </w:r>
            <w:r>
              <w:rPr>
                <w:noProof/>
                <w:webHidden/>
              </w:rPr>
              <w:tab/>
            </w:r>
            <w:r>
              <w:rPr>
                <w:noProof/>
                <w:webHidden/>
              </w:rPr>
              <w:fldChar w:fldCharType="begin"/>
            </w:r>
            <w:r>
              <w:rPr>
                <w:noProof/>
                <w:webHidden/>
              </w:rPr>
              <w:instrText xml:space="preserve"> PAGEREF _Toc81335895 \h </w:instrText>
            </w:r>
            <w:r>
              <w:rPr>
                <w:noProof/>
                <w:webHidden/>
              </w:rPr>
            </w:r>
            <w:r>
              <w:rPr>
                <w:noProof/>
                <w:webHidden/>
              </w:rPr>
              <w:fldChar w:fldCharType="separate"/>
            </w:r>
            <w:r>
              <w:rPr>
                <w:noProof/>
                <w:webHidden/>
              </w:rPr>
              <w:t>89</w:t>
            </w:r>
            <w:r>
              <w:rPr>
                <w:noProof/>
                <w:webHidden/>
              </w:rPr>
              <w:fldChar w:fldCharType="end"/>
            </w:r>
          </w:hyperlink>
        </w:p>
        <w:p w14:paraId="0C7120B7" w14:textId="73BEB395" w:rsidR="000F31AD" w:rsidRDefault="00A317E5">
          <w:r>
            <w:fldChar w:fldCharType="end"/>
          </w:r>
        </w:p>
      </w:sdtContent>
    </w:sdt>
    <w:p w14:paraId="6B00B17E" w14:textId="67EE6557" w:rsidR="000F31AD" w:rsidRPr="00894841" w:rsidRDefault="004C09B2">
      <w:pPr>
        <w:rPr>
          <w:rFonts w:asciiTheme="minorHAnsi" w:hAnsiTheme="minorHAnsi" w:cstheme="minorHAnsi"/>
          <w:b/>
          <w:sz w:val="22"/>
          <w:szCs w:val="22"/>
        </w:rPr>
      </w:pPr>
      <w:r>
        <w:t xml:space="preserve">   </w:t>
      </w:r>
      <w:r w:rsidRPr="00894841">
        <w:rPr>
          <w:rFonts w:asciiTheme="minorHAnsi" w:hAnsiTheme="minorHAnsi" w:cstheme="minorHAnsi"/>
          <w:b/>
          <w:sz w:val="22"/>
          <w:szCs w:val="22"/>
        </w:rPr>
        <w:t>Annex 1</w:t>
      </w:r>
      <w:r w:rsidR="00DB2DCE">
        <w:rPr>
          <w:rFonts w:asciiTheme="minorHAnsi" w:hAnsiTheme="minorHAnsi" w:cstheme="minorHAnsi"/>
          <w:b/>
          <w:sz w:val="22"/>
          <w:szCs w:val="22"/>
        </w:rPr>
        <w:t>2</w:t>
      </w:r>
      <w:r>
        <w:rPr>
          <w:rFonts w:asciiTheme="minorHAnsi" w:hAnsiTheme="minorHAnsi" w:cstheme="minorHAnsi"/>
          <w:b/>
          <w:sz w:val="22"/>
          <w:szCs w:val="22"/>
        </w:rPr>
        <w:t xml:space="preserve">: </w:t>
      </w:r>
      <w:r>
        <w:rPr>
          <w:rFonts w:asciiTheme="minorHAnsi" w:hAnsiTheme="minorHAnsi" w:cstheme="minorHAnsi"/>
          <w:b/>
          <w:sz w:val="22"/>
          <w:szCs w:val="22"/>
        </w:rPr>
        <w:tab/>
        <w:t xml:space="preserve">Audit Trail  </w:t>
      </w:r>
      <w:r>
        <w:rPr>
          <w:rFonts w:asciiTheme="minorHAnsi" w:hAnsiTheme="minorHAnsi" w:cstheme="minorHAnsi"/>
          <w:sz w:val="22"/>
          <w:szCs w:val="22"/>
        </w:rPr>
        <w:t>(annexed as separate file)</w:t>
      </w:r>
      <w:r w:rsidR="00A317E5" w:rsidRPr="00894841">
        <w:rPr>
          <w:rFonts w:asciiTheme="minorHAnsi" w:hAnsiTheme="minorHAnsi" w:cstheme="minorHAnsi"/>
          <w:b/>
          <w:sz w:val="22"/>
          <w:szCs w:val="22"/>
        </w:rPr>
        <w:br w:type="page"/>
      </w:r>
    </w:p>
    <w:p w14:paraId="14A624A3" w14:textId="77777777" w:rsidR="000F31AD" w:rsidRDefault="000F31AD"/>
    <w:p w14:paraId="44D8506A" w14:textId="77777777" w:rsidR="000F31AD" w:rsidRPr="004853CD" w:rsidRDefault="00A317E5" w:rsidP="004853CD">
      <w:pPr>
        <w:pStyle w:val="Heading1"/>
      </w:pPr>
      <w:bookmarkStart w:id="0" w:name="_Toc81335827"/>
      <w:r w:rsidRPr="004853CD">
        <w:t>List of Acronyms</w:t>
      </w:r>
      <w:r w:rsidRPr="00894841">
        <w:rPr>
          <w:rFonts w:ascii="MS Mincho" w:eastAsia="MS Mincho" w:hAnsi="MS Mincho" w:cs="MS Mincho" w:hint="eastAsia"/>
        </w:rPr>
        <w:t> </w:t>
      </w:r>
      <w:bookmarkEnd w:id="0"/>
    </w:p>
    <w:p w14:paraId="33AB9138" w14:textId="77777777" w:rsidR="005E1575" w:rsidRDefault="005E1575"/>
    <w:p w14:paraId="1048C46C" w14:textId="536E6841" w:rsidR="00B175B7" w:rsidRDefault="00B175B7" w:rsidP="005E1575">
      <w:pPr>
        <w:rPr>
          <w:rFonts w:asciiTheme="minorHAnsi" w:hAnsiTheme="minorHAnsi" w:cstheme="minorHAnsi"/>
          <w:sz w:val="22"/>
          <w:szCs w:val="22"/>
        </w:rPr>
      </w:pPr>
      <w:r>
        <w:rPr>
          <w:rFonts w:asciiTheme="minorHAnsi" w:hAnsiTheme="minorHAnsi" w:cstheme="minorHAnsi"/>
          <w:sz w:val="22"/>
          <w:szCs w:val="22"/>
        </w:rPr>
        <w:t>ADA</w:t>
      </w:r>
      <w:r>
        <w:rPr>
          <w:rFonts w:asciiTheme="minorHAnsi" w:hAnsiTheme="minorHAnsi" w:cstheme="minorHAnsi"/>
          <w:sz w:val="22"/>
          <w:szCs w:val="22"/>
        </w:rPr>
        <w:tab/>
      </w:r>
      <w:r>
        <w:rPr>
          <w:rFonts w:asciiTheme="minorHAnsi" w:hAnsiTheme="minorHAnsi" w:cstheme="minorHAnsi"/>
          <w:sz w:val="22"/>
          <w:szCs w:val="22"/>
        </w:rPr>
        <w:tab/>
        <w:t>Austrian Development Agency</w:t>
      </w:r>
    </w:p>
    <w:p w14:paraId="4DA26F1D" w14:textId="7D5C56A0" w:rsidR="00D906F6" w:rsidRDefault="00D906F6" w:rsidP="005E1575">
      <w:pPr>
        <w:rPr>
          <w:rFonts w:asciiTheme="minorHAnsi" w:hAnsiTheme="minorHAnsi" w:cstheme="minorHAnsi"/>
          <w:sz w:val="22"/>
          <w:szCs w:val="22"/>
        </w:rPr>
      </w:pPr>
      <w:r>
        <w:rPr>
          <w:rFonts w:asciiTheme="minorHAnsi" w:hAnsiTheme="minorHAnsi" w:cstheme="minorHAnsi"/>
          <w:sz w:val="22"/>
          <w:szCs w:val="22"/>
        </w:rPr>
        <w:t>CEO</w:t>
      </w:r>
      <w:r>
        <w:rPr>
          <w:rFonts w:asciiTheme="minorHAnsi" w:hAnsiTheme="minorHAnsi" w:cstheme="minorHAnsi"/>
          <w:sz w:val="22"/>
          <w:szCs w:val="22"/>
        </w:rPr>
        <w:tab/>
      </w:r>
      <w:r>
        <w:rPr>
          <w:rFonts w:asciiTheme="minorHAnsi" w:hAnsiTheme="minorHAnsi" w:cstheme="minorHAnsi"/>
          <w:sz w:val="22"/>
          <w:szCs w:val="22"/>
        </w:rPr>
        <w:tab/>
        <w:t>Chief Executive Officer</w:t>
      </w:r>
    </w:p>
    <w:p w14:paraId="0CACA3CB" w14:textId="681056EA" w:rsidR="00B175B7" w:rsidRDefault="00B175B7" w:rsidP="005E1575">
      <w:pPr>
        <w:rPr>
          <w:rFonts w:asciiTheme="minorHAnsi" w:hAnsiTheme="minorHAnsi" w:cstheme="minorHAnsi"/>
          <w:sz w:val="22"/>
          <w:szCs w:val="22"/>
        </w:rPr>
      </w:pPr>
      <w:r>
        <w:rPr>
          <w:rFonts w:asciiTheme="minorHAnsi" w:hAnsiTheme="minorHAnsi" w:cstheme="minorHAnsi"/>
          <w:sz w:val="22"/>
          <w:szCs w:val="22"/>
        </w:rPr>
        <w:t>CO</w:t>
      </w:r>
      <w:r>
        <w:rPr>
          <w:rFonts w:asciiTheme="minorHAnsi" w:hAnsiTheme="minorHAnsi" w:cstheme="minorHAnsi"/>
          <w:sz w:val="22"/>
          <w:szCs w:val="22"/>
        </w:rPr>
        <w:tab/>
      </w:r>
      <w:r>
        <w:rPr>
          <w:rFonts w:asciiTheme="minorHAnsi" w:hAnsiTheme="minorHAnsi" w:cstheme="minorHAnsi"/>
          <w:sz w:val="22"/>
          <w:szCs w:val="22"/>
        </w:rPr>
        <w:tab/>
        <w:t>Country Office</w:t>
      </w:r>
    </w:p>
    <w:p w14:paraId="55E33E46" w14:textId="0941308C" w:rsidR="00772184" w:rsidRDefault="00772184" w:rsidP="005E1575">
      <w:pPr>
        <w:rPr>
          <w:rFonts w:asciiTheme="minorHAnsi" w:hAnsiTheme="minorHAnsi" w:cstheme="minorHAnsi"/>
          <w:sz w:val="22"/>
          <w:szCs w:val="22"/>
        </w:rPr>
      </w:pPr>
      <w:r>
        <w:rPr>
          <w:rFonts w:asciiTheme="minorHAnsi" w:hAnsiTheme="minorHAnsi" w:cstheme="minorHAnsi"/>
          <w:sz w:val="22"/>
          <w:szCs w:val="22"/>
        </w:rPr>
        <w:t>CORDA</w:t>
      </w:r>
      <w:r>
        <w:rPr>
          <w:rFonts w:asciiTheme="minorHAnsi" w:hAnsiTheme="minorHAnsi" w:cstheme="minorHAnsi"/>
          <w:sz w:val="22"/>
          <w:szCs w:val="22"/>
        </w:rPr>
        <w:tab/>
      </w:r>
      <w:r>
        <w:rPr>
          <w:rFonts w:asciiTheme="minorHAnsi" w:hAnsiTheme="minorHAnsi" w:cstheme="minorHAnsi"/>
          <w:sz w:val="22"/>
          <w:szCs w:val="22"/>
        </w:rPr>
        <w:tab/>
        <w:t>Coordinated Action</w:t>
      </w:r>
    </w:p>
    <w:p w14:paraId="14347CC9" w14:textId="569D819E" w:rsidR="00D906F6" w:rsidRDefault="005E1575" w:rsidP="005E1575">
      <w:pPr>
        <w:rPr>
          <w:rFonts w:asciiTheme="minorHAnsi" w:hAnsiTheme="minorHAnsi" w:cstheme="minorHAnsi"/>
          <w:sz w:val="22"/>
          <w:szCs w:val="22"/>
        </w:rPr>
      </w:pPr>
      <w:r>
        <w:rPr>
          <w:rFonts w:asciiTheme="minorHAnsi" w:hAnsiTheme="minorHAnsi" w:cstheme="minorHAnsi"/>
          <w:sz w:val="22"/>
          <w:szCs w:val="22"/>
        </w:rPr>
        <w:t>CPAP</w:t>
      </w:r>
      <w:r>
        <w:rPr>
          <w:rFonts w:asciiTheme="minorHAnsi" w:hAnsiTheme="minorHAnsi" w:cstheme="minorHAnsi"/>
          <w:sz w:val="22"/>
          <w:szCs w:val="22"/>
        </w:rPr>
        <w:tab/>
      </w:r>
      <w:r>
        <w:rPr>
          <w:rFonts w:asciiTheme="minorHAnsi" w:hAnsiTheme="minorHAnsi" w:cstheme="minorHAnsi"/>
          <w:sz w:val="22"/>
          <w:szCs w:val="22"/>
        </w:rPr>
        <w:tab/>
        <w:t>Country Programme Action Plan</w:t>
      </w:r>
    </w:p>
    <w:p w14:paraId="738269B4" w14:textId="5C78BCEF" w:rsidR="00772184" w:rsidRDefault="00772184" w:rsidP="005E1575">
      <w:pPr>
        <w:rPr>
          <w:rFonts w:asciiTheme="minorHAnsi" w:hAnsiTheme="minorHAnsi" w:cstheme="minorHAnsi"/>
          <w:sz w:val="22"/>
          <w:szCs w:val="22"/>
        </w:rPr>
      </w:pPr>
      <w:r>
        <w:rPr>
          <w:rFonts w:asciiTheme="minorHAnsi" w:hAnsiTheme="minorHAnsi" w:cstheme="minorHAnsi"/>
          <w:sz w:val="22"/>
          <w:szCs w:val="22"/>
        </w:rPr>
        <w:t>CSO</w:t>
      </w:r>
      <w:r>
        <w:rPr>
          <w:rFonts w:asciiTheme="minorHAnsi" w:hAnsiTheme="minorHAnsi" w:cstheme="minorHAnsi"/>
          <w:sz w:val="22"/>
          <w:szCs w:val="22"/>
        </w:rPr>
        <w:tab/>
      </w:r>
      <w:r>
        <w:rPr>
          <w:rFonts w:asciiTheme="minorHAnsi" w:hAnsiTheme="minorHAnsi" w:cstheme="minorHAnsi"/>
          <w:sz w:val="22"/>
          <w:szCs w:val="22"/>
        </w:rPr>
        <w:tab/>
        <w:t>Civil Society Organisation</w:t>
      </w:r>
    </w:p>
    <w:p w14:paraId="5BD286CF" w14:textId="79C09A1F" w:rsidR="00D906F6" w:rsidRDefault="00D906F6" w:rsidP="005E1575">
      <w:pPr>
        <w:rPr>
          <w:rFonts w:asciiTheme="minorHAnsi" w:hAnsiTheme="minorHAnsi" w:cstheme="minorHAnsi"/>
          <w:sz w:val="22"/>
          <w:szCs w:val="22"/>
        </w:rPr>
      </w:pPr>
      <w:r>
        <w:rPr>
          <w:rFonts w:asciiTheme="minorHAnsi" w:hAnsiTheme="minorHAnsi" w:cstheme="minorHAnsi"/>
          <w:sz w:val="22"/>
          <w:szCs w:val="22"/>
        </w:rPr>
        <w:t>DCG</w:t>
      </w:r>
      <w:r>
        <w:rPr>
          <w:rFonts w:asciiTheme="minorHAnsi" w:hAnsiTheme="minorHAnsi" w:cstheme="minorHAnsi"/>
          <w:sz w:val="22"/>
          <w:szCs w:val="22"/>
        </w:rPr>
        <w:tab/>
      </w:r>
      <w:r>
        <w:rPr>
          <w:rFonts w:asciiTheme="minorHAnsi" w:hAnsiTheme="minorHAnsi" w:cstheme="minorHAnsi"/>
          <w:sz w:val="22"/>
          <w:szCs w:val="22"/>
        </w:rPr>
        <w:tab/>
        <w:t>Drin Core Group</w:t>
      </w:r>
    </w:p>
    <w:p w14:paraId="750CE93A" w14:textId="5A77CE75" w:rsidR="00D906F6" w:rsidRDefault="00D906F6" w:rsidP="005E1575">
      <w:pPr>
        <w:rPr>
          <w:rFonts w:asciiTheme="minorHAnsi" w:hAnsiTheme="minorHAnsi" w:cstheme="minorHAnsi"/>
          <w:sz w:val="22"/>
          <w:szCs w:val="22"/>
        </w:rPr>
      </w:pPr>
      <w:r>
        <w:rPr>
          <w:rFonts w:asciiTheme="minorHAnsi" w:hAnsiTheme="minorHAnsi" w:cstheme="minorHAnsi"/>
          <w:sz w:val="22"/>
          <w:szCs w:val="22"/>
        </w:rPr>
        <w:t>DIKTAS</w:t>
      </w:r>
      <w:r>
        <w:rPr>
          <w:rFonts w:asciiTheme="minorHAnsi" w:hAnsiTheme="minorHAnsi" w:cstheme="minorHAnsi"/>
          <w:sz w:val="22"/>
          <w:szCs w:val="22"/>
        </w:rPr>
        <w:tab/>
      </w:r>
      <w:r>
        <w:rPr>
          <w:rFonts w:asciiTheme="minorHAnsi" w:hAnsiTheme="minorHAnsi" w:cstheme="minorHAnsi"/>
          <w:sz w:val="22"/>
          <w:szCs w:val="22"/>
        </w:rPr>
        <w:tab/>
        <w:t>Dinaric Karts Aquifer System</w:t>
      </w:r>
    </w:p>
    <w:p w14:paraId="41383A11" w14:textId="79373FAC" w:rsidR="00772184" w:rsidRDefault="00772184" w:rsidP="005E1575">
      <w:pPr>
        <w:rPr>
          <w:rFonts w:asciiTheme="minorHAnsi" w:hAnsiTheme="minorHAnsi" w:cstheme="minorHAnsi"/>
          <w:sz w:val="22"/>
          <w:szCs w:val="22"/>
        </w:rPr>
      </w:pPr>
      <w:r>
        <w:rPr>
          <w:rFonts w:asciiTheme="minorHAnsi" w:hAnsiTheme="minorHAnsi" w:cstheme="minorHAnsi"/>
          <w:sz w:val="22"/>
          <w:szCs w:val="22"/>
        </w:rPr>
        <w:t>EC</w:t>
      </w:r>
      <w:r>
        <w:rPr>
          <w:rFonts w:asciiTheme="minorHAnsi" w:hAnsiTheme="minorHAnsi" w:cstheme="minorHAnsi"/>
          <w:sz w:val="22"/>
          <w:szCs w:val="22"/>
        </w:rPr>
        <w:tab/>
      </w:r>
      <w:r>
        <w:rPr>
          <w:rFonts w:asciiTheme="minorHAnsi" w:hAnsiTheme="minorHAnsi" w:cstheme="minorHAnsi"/>
          <w:sz w:val="22"/>
          <w:szCs w:val="22"/>
        </w:rPr>
        <w:tab/>
        <w:t>European Commission</w:t>
      </w:r>
    </w:p>
    <w:p w14:paraId="5EA8C334" w14:textId="44382F1F" w:rsidR="00D906F6" w:rsidRDefault="00D906F6" w:rsidP="005E1575">
      <w:pPr>
        <w:rPr>
          <w:rFonts w:asciiTheme="minorHAnsi" w:hAnsiTheme="minorHAnsi" w:cstheme="minorHAnsi"/>
          <w:sz w:val="22"/>
          <w:szCs w:val="22"/>
        </w:rPr>
      </w:pPr>
      <w:r>
        <w:rPr>
          <w:rFonts w:asciiTheme="minorHAnsi" w:hAnsiTheme="minorHAnsi" w:cstheme="minorHAnsi"/>
          <w:sz w:val="22"/>
          <w:szCs w:val="22"/>
        </w:rPr>
        <w:t>ELEM</w:t>
      </w:r>
      <w:r>
        <w:rPr>
          <w:rFonts w:asciiTheme="minorHAnsi" w:hAnsiTheme="minorHAnsi" w:cstheme="minorHAnsi"/>
          <w:sz w:val="22"/>
          <w:szCs w:val="22"/>
        </w:rPr>
        <w:tab/>
      </w:r>
      <w:r>
        <w:rPr>
          <w:rFonts w:asciiTheme="minorHAnsi" w:hAnsiTheme="minorHAnsi" w:cstheme="minorHAnsi"/>
          <w:sz w:val="22"/>
          <w:szCs w:val="22"/>
        </w:rPr>
        <w:tab/>
        <w:t>Electricity Company of North Macedonia</w:t>
      </w:r>
    </w:p>
    <w:p w14:paraId="3A749F37" w14:textId="570EB2ED" w:rsidR="00D906F6" w:rsidRDefault="00D906F6" w:rsidP="005E1575">
      <w:pPr>
        <w:rPr>
          <w:rFonts w:asciiTheme="minorHAnsi" w:hAnsiTheme="minorHAnsi" w:cstheme="minorHAnsi"/>
          <w:sz w:val="22"/>
          <w:szCs w:val="22"/>
        </w:rPr>
      </w:pPr>
      <w:r>
        <w:rPr>
          <w:rFonts w:asciiTheme="minorHAnsi" w:hAnsiTheme="minorHAnsi" w:cstheme="minorHAnsi"/>
          <w:sz w:val="22"/>
          <w:szCs w:val="22"/>
        </w:rPr>
        <w:t>ESSP</w:t>
      </w:r>
      <w:r>
        <w:rPr>
          <w:rFonts w:asciiTheme="minorHAnsi" w:hAnsiTheme="minorHAnsi" w:cstheme="minorHAnsi"/>
          <w:sz w:val="22"/>
          <w:szCs w:val="22"/>
        </w:rPr>
        <w:tab/>
      </w:r>
      <w:r>
        <w:rPr>
          <w:rFonts w:asciiTheme="minorHAnsi" w:hAnsiTheme="minorHAnsi" w:cstheme="minorHAnsi"/>
          <w:sz w:val="22"/>
          <w:szCs w:val="22"/>
        </w:rPr>
        <w:tab/>
        <w:t>Environmental and Social Screening Procedure</w:t>
      </w:r>
    </w:p>
    <w:p w14:paraId="69F30AEE" w14:textId="145DFA42" w:rsidR="00772184" w:rsidRDefault="00772184" w:rsidP="005E1575">
      <w:pPr>
        <w:rPr>
          <w:rFonts w:asciiTheme="minorHAnsi" w:hAnsiTheme="minorHAnsi" w:cstheme="minorHAnsi"/>
          <w:sz w:val="22"/>
          <w:szCs w:val="22"/>
        </w:rPr>
      </w:pPr>
      <w:r>
        <w:rPr>
          <w:rFonts w:asciiTheme="minorHAnsi" w:hAnsiTheme="minorHAnsi" w:cstheme="minorHAnsi"/>
          <w:sz w:val="22"/>
          <w:szCs w:val="22"/>
        </w:rPr>
        <w:t>EWG</w:t>
      </w:r>
      <w:r>
        <w:rPr>
          <w:rFonts w:asciiTheme="minorHAnsi" w:hAnsiTheme="minorHAnsi" w:cstheme="minorHAnsi"/>
          <w:sz w:val="22"/>
          <w:szCs w:val="22"/>
        </w:rPr>
        <w:tab/>
      </w:r>
      <w:r>
        <w:rPr>
          <w:rFonts w:asciiTheme="minorHAnsi" w:hAnsiTheme="minorHAnsi" w:cstheme="minorHAnsi"/>
          <w:sz w:val="22"/>
          <w:szCs w:val="22"/>
        </w:rPr>
        <w:tab/>
        <w:t>Expert Working Group</w:t>
      </w:r>
    </w:p>
    <w:p w14:paraId="490C8D30" w14:textId="1B5DB59C" w:rsidR="00B175B7" w:rsidRDefault="00B175B7" w:rsidP="005E1575">
      <w:pPr>
        <w:rPr>
          <w:rFonts w:asciiTheme="minorHAnsi" w:hAnsiTheme="minorHAnsi" w:cstheme="minorHAnsi"/>
          <w:sz w:val="22"/>
          <w:szCs w:val="22"/>
        </w:rPr>
      </w:pPr>
      <w:r>
        <w:rPr>
          <w:rFonts w:asciiTheme="minorHAnsi" w:hAnsiTheme="minorHAnsi" w:cstheme="minorHAnsi"/>
          <w:sz w:val="22"/>
          <w:szCs w:val="22"/>
        </w:rPr>
        <w:t>FSP</w:t>
      </w:r>
      <w:r>
        <w:rPr>
          <w:rFonts w:asciiTheme="minorHAnsi" w:hAnsiTheme="minorHAnsi" w:cstheme="minorHAnsi"/>
          <w:sz w:val="22"/>
          <w:szCs w:val="22"/>
        </w:rPr>
        <w:tab/>
      </w:r>
      <w:r>
        <w:rPr>
          <w:rFonts w:asciiTheme="minorHAnsi" w:hAnsiTheme="minorHAnsi" w:cstheme="minorHAnsi"/>
          <w:sz w:val="22"/>
          <w:szCs w:val="22"/>
        </w:rPr>
        <w:tab/>
        <w:t>Full-Sized Project</w:t>
      </w:r>
    </w:p>
    <w:p w14:paraId="2BF529C6" w14:textId="78171496" w:rsidR="00B175B7" w:rsidRDefault="005E1575" w:rsidP="005E1575">
      <w:pPr>
        <w:rPr>
          <w:rFonts w:asciiTheme="minorHAnsi" w:hAnsiTheme="minorHAnsi" w:cstheme="minorHAnsi"/>
          <w:sz w:val="22"/>
          <w:szCs w:val="22"/>
        </w:rPr>
      </w:pPr>
      <w:r>
        <w:rPr>
          <w:rFonts w:asciiTheme="minorHAnsi" w:hAnsiTheme="minorHAnsi" w:cstheme="minorHAnsi"/>
          <w:sz w:val="22"/>
          <w:szCs w:val="22"/>
        </w:rPr>
        <w:t>GEF</w:t>
      </w:r>
      <w:r>
        <w:rPr>
          <w:rFonts w:asciiTheme="minorHAnsi" w:hAnsiTheme="minorHAnsi" w:cstheme="minorHAnsi"/>
          <w:sz w:val="22"/>
          <w:szCs w:val="22"/>
        </w:rPr>
        <w:tab/>
      </w:r>
      <w:r>
        <w:rPr>
          <w:rFonts w:asciiTheme="minorHAnsi" w:hAnsiTheme="minorHAnsi" w:cstheme="minorHAnsi"/>
          <w:sz w:val="22"/>
          <w:szCs w:val="22"/>
        </w:rPr>
        <w:tab/>
        <w:t>Global Environment Facility</w:t>
      </w:r>
    </w:p>
    <w:p w14:paraId="65136F2B" w14:textId="7B09D591" w:rsidR="00B175B7" w:rsidRDefault="00B175B7" w:rsidP="005E1575">
      <w:pPr>
        <w:rPr>
          <w:rFonts w:asciiTheme="minorHAnsi" w:hAnsiTheme="minorHAnsi" w:cstheme="minorHAnsi"/>
          <w:sz w:val="22"/>
          <w:szCs w:val="22"/>
        </w:rPr>
      </w:pPr>
      <w:r>
        <w:rPr>
          <w:rFonts w:asciiTheme="minorHAnsi" w:hAnsiTheme="minorHAnsi" w:cstheme="minorHAnsi"/>
          <w:sz w:val="22"/>
          <w:szCs w:val="22"/>
        </w:rPr>
        <w:t>GWP-Med</w:t>
      </w:r>
      <w:r>
        <w:rPr>
          <w:rFonts w:asciiTheme="minorHAnsi" w:hAnsiTheme="minorHAnsi" w:cstheme="minorHAnsi"/>
          <w:sz w:val="22"/>
          <w:szCs w:val="22"/>
        </w:rPr>
        <w:tab/>
        <w:t>Global Water Partnership – Mediterranean</w:t>
      </w:r>
    </w:p>
    <w:p w14:paraId="43530CF8" w14:textId="040F3109" w:rsidR="00772184" w:rsidRDefault="00772184" w:rsidP="005E1575">
      <w:pPr>
        <w:rPr>
          <w:rFonts w:asciiTheme="minorHAnsi" w:hAnsiTheme="minorHAnsi" w:cstheme="minorHAnsi"/>
          <w:sz w:val="22"/>
          <w:szCs w:val="22"/>
        </w:rPr>
      </w:pPr>
      <w:r>
        <w:rPr>
          <w:rFonts w:asciiTheme="minorHAnsi" w:hAnsiTheme="minorHAnsi" w:cstheme="minorHAnsi"/>
          <w:sz w:val="22"/>
          <w:szCs w:val="22"/>
        </w:rPr>
        <w:t>ICT</w:t>
      </w:r>
      <w:r>
        <w:rPr>
          <w:rFonts w:asciiTheme="minorHAnsi" w:hAnsiTheme="minorHAnsi" w:cstheme="minorHAnsi"/>
          <w:sz w:val="22"/>
          <w:szCs w:val="22"/>
        </w:rPr>
        <w:tab/>
      </w:r>
      <w:r>
        <w:rPr>
          <w:rFonts w:asciiTheme="minorHAnsi" w:hAnsiTheme="minorHAnsi" w:cstheme="minorHAnsi"/>
          <w:sz w:val="22"/>
          <w:szCs w:val="22"/>
        </w:rPr>
        <w:tab/>
        <w:t>Information and Communication Technology</w:t>
      </w:r>
    </w:p>
    <w:p w14:paraId="2D140547" w14:textId="58CABECB" w:rsidR="00B175B7" w:rsidRDefault="00B175B7" w:rsidP="005E1575">
      <w:pPr>
        <w:rPr>
          <w:rFonts w:asciiTheme="minorHAnsi" w:hAnsiTheme="minorHAnsi" w:cstheme="minorHAnsi"/>
          <w:sz w:val="22"/>
          <w:szCs w:val="22"/>
        </w:rPr>
      </w:pPr>
      <w:r>
        <w:rPr>
          <w:rFonts w:asciiTheme="minorHAnsi" w:hAnsiTheme="minorHAnsi" w:cstheme="minorHAnsi"/>
          <w:sz w:val="22"/>
          <w:szCs w:val="22"/>
        </w:rPr>
        <w:t>IHP</w:t>
      </w:r>
      <w:r>
        <w:rPr>
          <w:rFonts w:asciiTheme="minorHAnsi" w:hAnsiTheme="minorHAnsi" w:cstheme="minorHAnsi"/>
          <w:sz w:val="22"/>
          <w:szCs w:val="22"/>
        </w:rPr>
        <w:tab/>
      </w:r>
      <w:r>
        <w:rPr>
          <w:rFonts w:asciiTheme="minorHAnsi" w:hAnsiTheme="minorHAnsi" w:cstheme="minorHAnsi"/>
          <w:sz w:val="22"/>
          <w:szCs w:val="22"/>
        </w:rPr>
        <w:tab/>
        <w:t>International Hydrological Programme</w:t>
      </w:r>
    </w:p>
    <w:p w14:paraId="7506673B" w14:textId="4330A79E" w:rsidR="00772184" w:rsidRDefault="00772184" w:rsidP="005E1575">
      <w:pPr>
        <w:rPr>
          <w:rFonts w:asciiTheme="minorHAnsi" w:hAnsiTheme="minorHAnsi" w:cstheme="minorHAnsi"/>
          <w:sz w:val="22"/>
          <w:szCs w:val="22"/>
        </w:rPr>
      </w:pPr>
      <w:r>
        <w:rPr>
          <w:rFonts w:asciiTheme="minorHAnsi" w:hAnsiTheme="minorHAnsi" w:cstheme="minorHAnsi"/>
          <w:sz w:val="22"/>
          <w:szCs w:val="22"/>
        </w:rPr>
        <w:t>IW:LEARN</w:t>
      </w:r>
      <w:r>
        <w:rPr>
          <w:rFonts w:asciiTheme="minorHAnsi" w:hAnsiTheme="minorHAnsi" w:cstheme="minorHAnsi"/>
          <w:sz w:val="22"/>
          <w:szCs w:val="22"/>
        </w:rPr>
        <w:tab/>
        <w:t xml:space="preserve">International Waters Learning Exchange and Resource Network </w:t>
      </w:r>
    </w:p>
    <w:p w14:paraId="7A17C43D" w14:textId="41FAF1CF" w:rsidR="00772184" w:rsidRDefault="00772184" w:rsidP="005E1575">
      <w:pPr>
        <w:rPr>
          <w:rFonts w:asciiTheme="minorHAnsi" w:hAnsiTheme="minorHAnsi" w:cstheme="minorHAnsi"/>
          <w:sz w:val="22"/>
          <w:szCs w:val="22"/>
        </w:rPr>
      </w:pPr>
      <w:r>
        <w:rPr>
          <w:rFonts w:asciiTheme="minorHAnsi" w:hAnsiTheme="minorHAnsi" w:cstheme="minorHAnsi"/>
          <w:sz w:val="22"/>
          <w:szCs w:val="22"/>
        </w:rPr>
        <w:t>IMC</w:t>
      </w:r>
      <w:r>
        <w:rPr>
          <w:rFonts w:asciiTheme="minorHAnsi" w:hAnsiTheme="minorHAnsi" w:cstheme="minorHAnsi"/>
          <w:sz w:val="22"/>
          <w:szCs w:val="22"/>
        </w:rPr>
        <w:tab/>
      </w:r>
      <w:r>
        <w:rPr>
          <w:rFonts w:asciiTheme="minorHAnsi" w:hAnsiTheme="minorHAnsi" w:cstheme="minorHAnsi"/>
          <w:sz w:val="22"/>
          <w:szCs w:val="22"/>
        </w:rPr>
        <w:tab/>
        <w:t>Inter-Ministerial Committee</w:t>
      </w:r>
    </w:p>
    <w:p w14:paraId="008CEE03" w14:textId="3D7888E2" w:rsidR="00D906F6" w:rsidRDefault="00D906F6" w:rsidP="005E1575">
      <w:pPr>
        <w:rPr>
          <w:rFonts w:asciiTheme="minorHAnsi" w:hAnsiTheme="minorHAnsi" w:cstheme="minorHAnsi"/>
          <w:sz w:val="22"/>
          <w:szCs w:val="22"/>
        </w:rPr>
      </w:pPr>
      <w:r>
        <w:rPr>
          <w:rFonts w:asciiTheme="minorHAnsi" w:hAnsiTheme="minorHAnsi" w:cstheme="minorHAnsi"/>
          <w:sz w:val="22"/>
          <w:szCs w:val="22"/>
        </w:rPr>
        <w:t>IMS</w:t>
      </w:r>
      <w:r>
        <w:rPr>
          <w:rFonts w:asciiTheme="minorHAnsi" w:hAnsiTheme="minorHAnsi" w:cstheme="minorHAnsi"/>
          <w:sz w:val="22"/>
          <w:szCs w:val="22"/>
        </w:rPr>
        <w:tab/>
      </w:r>
      <w:r>
        <w:rPr>
          <w:rFonts w:asciiTheme="minorHAnsi" w:hAnsiTheme="minorHAnsi" w:cstheme="minorHAnsi"/>
          <w:sz w:val="22"/>
          <w:szCs w:val="22"/>
        </w:rPr>
        <w:tab/>
        <w:t>Integrated Monitoring System</w:t>
      </w:r>
    </w:p>
    <w:p w14:paraId="279D9D85" w14:textId="24F6882C" w:rsidR="00B175B7" w:rsidRDefault="00B175B7" w:rsidP="005E1575">
      <w:pPr>
        <w:rPr>
          <w:rFonts w:asciiTheme="minorHAnsi" w:hAnsiTheme="minorHAnsi" w:cstheme="minorHAnsi"/>
          <w:sz w:val="22"/>
          <w:szCs w:val="22"/>
        </w:rPr>
      </w:pPr>
      <w:r>
        <w:rPr>
          <w:rFonts w:asciiTheme="minorHAnsi" w:hAnsiTheme="minorHAnsi" w:cstheme="minorHAnsi"/>
          <w:sz w:val="22"/>
          <w:szCs w:val="22"/>
        </w:rPr>
        <w:t>IRC</w:t>
      </w:r>
      <w:r>
        <w:rPr>
          <w:rFonts w:asciiTheme="minorHAnsi" w:hAnsiTheme="minorHAnsi" w:cstheme="minorHAnsi"/>
          <w:sz w:val="22"/>
          <w:szCs w:val="22"/>
        </w:rPr>
        <w:tab/>
      </w:r>
      <w:r>
        <w:rPr>
          <w:rFonts w:asciiTheme="minorHAnsi" w:hAnsiTheme="minorHAnsi" w:cstheme="minorHAnsi"/>
          <w:sz w:val="22"/>
          <w:szCs w:val="22"/>
        </w:rPr>
        <w:tab/>
        <w:t>Istanbul Regional Centre (of UNDP)</w:t>
      </w:r>
    </w:p>
    <w:p w14:paraId="20D2C12D" w14:textId="49116578" w:rsidR="00B175B7" w:rsidRDefault="00B175B7" w:rsidP="005E1575">
      <w:pPr>
        <w:rPr>
          <w:rFonts w:asciiTheme="minorHAnsi" w:hAnsiTheme="minorHAnsi" w:cstheme="minorHAnsi"/>
          <w:sz w:val="22"/>
          <w:szCs w:val="22"/>
        </w:rPr>
      </w:pPr>
      <w:r>
        <w:rPr>
          <w:rFonts w:asciiTheme="minorHAnsi" w:hAnsiTheme="minorHAnsi" w:cstheme="minorHAnsi"/>
          <w:sz w:val="22"/>
          <w:szCs w:val="22"/>
        </w:rPr>
        <w:t>IW</w:t>
      </w:r>
      <w:r>
        <w:rPr>
          <w:rFonts w:asciiTheme="minorHAnsi" w:hAnsiTheme="minorHAnsi" w:cstheme="minorHAnsi"/>
          <w:sz w:val="22"/>
          <w:szCs w:val="22"/>
        </w:rPr>
        <w:tab/>
      </w:r>
      <w:r>
        <w:rPr>
          <w:rFonts w:asciiTheme="minorHAnsi" w:hAnsiTheme="minorHAnsi" w:cstheme="minorHAnsi"/>
          <w:sz w:val="22"/>
          <w:szCs w:val="22"/>
        </w:rPr>
        <w:tab/>
        <w:t>International Waters</w:t>
      </w:r>
    </w:p>
    <w:p w14:paraId="7B723BB2" w14:textId="35BCD034" w:rsidR="00B175B7" w:rsidRDefault="00B175B7" w:rsidP="005E1575">
      <w:pPr>
        <w:rPr>
          <w:rFonts w:asciiTheme="minorHAnsi" w:hAnsiTheme="minorHAnsi" w:cstheme="minorHAnsi"/>
          <w:sz w:val="22"/>
          <w:szCs w:val="22"/>
        </w:rPr>
      </w:pPr>
      <w:r>
        <w:rPr>
          <w:rFonts w:asciiTheme="minorHAnsi" w:hAnsiTheme="minorHAnsi" w:cstheme="minorHAnsi"/>
          <w:sz w:val="22"/>
          <w:szCs w:val="22"/>
        </w:rPr>
        <w:t>IWRM</w:t>
      </w:r>
      <w:r>
        <w:rPr>
          <w:rFonts w:asciiTheme="minorHAnsi" w:hAnsiTheme="minorHAnsi" w:cstheme="minorHAnsi"/>
          <w:sz w:val="22"/>
          <w:szCs w:val="22"/>
        </w:rPr>
        <w:tab/>
      </w:r>
      <w:r>
        <w:rPr>
          <w:rFonts w:asciiTheme="minorHAnsi" w:hAnsiTheme="minorHAnsi" w:cstheme="minorHAnsi"/>
          <w:sz w:val="22"/>
          <w:szCs w:val="22"/>
        </w:rPr>
        <w:tab/>
        <w:t>Integrated Water Resources Management</w:t>
      </w:r>
    </w:p>
    <w:p w14:paraId="278C182F" w14:textId="7D237FAF" w:rsidR="00D906F6" w:rsidRDefault="00D906F6" w:rsidP="005E1575">
      <w:pPr>
        <w:rPr>
          <w:rFonts w:asciiTheme="minorHAnsi" w:hAnsiTheme="minorHAnsi" w:cstheme="minorHAnsi"/>
          <w:sz w:val="22"/>
          <w:szCs w:val="22"/>
        </w:rPr>
      </w:pPr>
      <w:r>
        <w:rPr>
          <w:rFonts w:asciiTheme="minorHAnsi" w:hAnsiTheme="minorHAnsi" w:cstheme="minorHAnsi"/>
          <w:sz w:val="22"/>
          <w:szCs w:val="22"/>
        </w:rPr>
        <w:t>KESH</w:t>
      </w:r>
      <w:r>
        <w:rPr>
          <w:rFonts w:asciiTheme="minorHAnsi" w:hAnsiTheme="minorHAnsi" w:cstheme="minorHAnsi"/>
          <w:sz w:val="22"/>
          <w:szCs w:val="22"/>
        </w:rPr>
        <w:tab/>
      </w:r>
      <w:r>
        <w:rPr>
          <w:rFonts w:asciiTheme="minorHAnsi" w:hAnsiTheme="minorHAnsi" w:cstheme="minorHAnsi"/>
          <w:sz w:val="22"/>
          <w:szCs w:val="22"/>
        </w:rPr>
        <w:tab/>
        <w:t>Electricity Company of Albania</w:t>
      </w:r>
    </w:p>
    <w:p w14:paraId="7268FED5" w14:textId="78338D4A" w:rsidR="00B175B7" w:rsidRDefault="00B175B7" w:rsidP="005E1575">
      <w:pPr>
        <w:rPr>
          <w:rFonts w:asciiTheme="minorHAnsi" w:hAnsiTheme="minorHAnsi" w:cstheme="minorHAnsi"/>
          <w:sz w:val="22"/>
          <w:szCs w:val="22"/>
        </w:rPr>
      </w:pPr>
      <w:r>
        <w:rPr>
          <w:rFonts w:asciiTheme="minorHAnsi" w:hAnsiTheme="minorHAnsi" w:cstheme="minorHAnsi"/>
          <w:sz w:val="22"/>
          <w:szCs w:val="22"/>
        </w:rPr>
        <w:t>KfW</w:t>
      </w:r>
      <w:r>
        <w:rPr>
          <w:rFonts w:asciiTheme="minorHAnsi" w:hAnsiTheme="minorHAnsi" w:cstheme="minorHAnsi"/>
          <w:sz w:val="22"/>
          <w:szCs w:val="22"/>
        </w:rPr>
        <w:tab/>
      </w:r>
      <w:r>
        <w:rPr>
          <w:rFonts w:asciiTheme="minorHAnsi" w:hAnsiTheme="minorHAnsi" w:cstheme="minorHAnsi"/>
          <w:sz w:val="22"/>
          <w:szCs w:val="22"/>
        </w:rPr>
        <w:tab/>
        <w:t>KfW Development Bank (Germany)</w:t>
      </w:r>
    </w:p>
    <w:p w14:paraId="2B663DC9" w14:textId="7956E697" w:rsidR="00B175B7" w:rsidRDefault="00B175B7" w:rsidP="005E1575">
      <w:pPr>
        <w:rPr>
          <w:rFonts w:asciiTheme="minorHAnsi" w:hAnsiTheme="minorHAnsi" w:cstheme="minorHAnsi"/>
          <w:sz w:val="22"/>
          <w:szCs w:val="22"/>
        </w:rPr>
      </w:pPr>
      <w:r>
        <w:rPr>
          <w:rFonts w:asciiTheme="minorHAnsi" w:hAnsiTheme="minorHAnsi" w:cstheme="minorHAnsi"/>
          <w:sz w:val="22"/>
          <w:szCs w:val="22"/>
        </w:rPr>
        <w:t>MoU</w:t>
      </w:r>
      <w:r>
        <w:rPr>
          <w:rFonts w:asciiTheme="minorHAnsi" w:hAnsiTheme="minorHAnsi" w:cstheme="minorHAnsi"/>
          <w:sz w:val="22"/>
          <w:szCs w:val="22"/>
        </w:rPr>
        <w:tab/>
      </w:r>
      <w:r>
        <w:rPr>
          <w:rFonts w:asciiTheme="minorHAnsi" w:hAnsiTheme="minorHAnsi" w:cstheme="minorHAnsi"/>
          <w:sz w:val="22"/>
          <w:szCs w:val="22"/>
        </w:rPr>
        <w:tab/>
        <w:t>Memorandum of Understanding</w:t>
      </w:r>
    </w:p>
    <w:p w14:paraId="46CDA029" w14:textId="080D7CEE" w:rsidR="00B175B7" w:rsidRDefault="00B175B7" w:rsidP="005E1575">
      <w:pPr>
        <w:rPr>
          <w:rFonts w:asciiTheme="minorHAnsi" w:hAnsiTheme="minorHAnsi" w:cstheme="minorHAnsi"/>
          <w:sz w:val="22"/>
          <w:szCs w:val="22"/>
        </w:rPr>
      </w:pPr>
      <w:r>
        <w:rPr>
          <w:rFonts w:asciiTheme="minorHAnsi" w:hAnsiTheme="minorHAnsi" w:cstheme="minorHAnsi"/>
          <w:sz w:val="22"/>
          <w:szCs w:val="22"/>
        </w:rPr>
        <w:t>MSP</w:t>
      </w:r>
      <w:r>
        <w:rPr>
          <w:rFonts w:asciiTheme="minorHAnsi" w:hAnsiTheme="minorHAnsi" w:cstheme="minorHAnsi"/>
          <w:sz w:val="22"/>
          <w:szCs w:val="22"/>
        </w:rPr>
        <w:tab/>
      </w:r>
      <w:r>
        <w:rPr>
          <w:rFonts w:asciiTheme="minorHAnsi" w:hAnsiTheme="minorHAnsi" w:cstheme="minorHAnsi"/>
          <w:sz w:val="22"/>
          <w:szCs w:val="22"/>
        </w:rPr>
        <w:tab/>
        <w:t>Mid-Sized Project</w:t>
      </w:r>
    </w:p>
    <w:p w14:paraId="7216C179" w14:textId="0FF9A277" w:rsidR="00B175B7" w:rsidRDefault="00B175B7" w:rsidP="005E1575">
      <w:pPr>
        <w:rPr>
          <w:rFonts w:asciiTheme="minorHAnsi" w:hAnsiTheme="minorHAnsi" w:cstheme="minorHAnsi"/>
          <w:sz w:val="22"/>
          <w:szCs w:val="22"/>
        </w:rPr>
      </w:pPr>
      <w:r>
        <w:rPr>
          <w:rFonts w:asciiTheme="minorHAnsi" w:hAnsiTheme="minorHAnsi" w:cstheme="minorHAnsi"/>
          <w:sz w:val="22"/>
          <w:szCs w:val="22"/>
        </w:rPr>
        <w:t>MTR</w:t>
      </w:r>
      <w:r>
        <w:rPr>
          <w:rFonts w:asciiTheme="minorHAnsi" w:hAnsiTheme="minorHAnsi" w:cstheme="minorHAnsi"/>
          <w:sz w:val="22"/>
          <w:szCs w:val="22"/>
        </w:rPr>
        <w:tab/>
      </w:r>
      <w:r>
        <w:rPr>
          <w:rFonts w:asciiTheme="minorHAnsi" w:hAnsiTheme="minorHAnsi" w:cstheme="minorHAnsi"/>
          <w:sz w:val="22"/>
          <w:szCs w:val="22"/>
        </w:rPr>
        <w:tab/>
        <w:t>Mid-Term Review</w:t>
      </w:r>
    </w:p>
    <w:p w14:paraId="76DA616E" w14:textId="31C2B231" w:rsidR="00772184" w:rsidRDefault="00772184" w:rsidP="005E1575">
      <w:pPr>
        <w:rPr>
          <w:rFonts w:asciiTheme="minorHAnsi" w:hAnsiTheme="minorHAnsi" w:cstheme="minorHAnsi"/>
          <w:sz w:val="22"/>
          <w:szCs w:val="22"/>
        </w:rPr>
      </w:pPr>
      <w:r>
        <w:rPr>
          <w:rFonts w:asciiTheme="minorHAnsi" w:hAnsiTheme="minorHAnsi" w:cstheme="minorHAnsi"/>
          <w:sz w:val="22"/>
          <w:szCs w:val="22"/>
        </w:rPr>
        <w:t>NGO</w:t>
      </w:r>
      <w:r>
        <w:rPr>
          <w:rFonts w:asciiTheme="minorHAnsi" w:hAnsiTheme="minorHAnsi" w:cstheme="minorHAnsi"/>
          <w:sz w:val="22"/>
          <w:szCs w:val="22"/>
        </w:rPr>
        <w:tab/>
      </w:r>
      <w:r>
        <w:rPr>
          <w:rFonts w:asciiTheme="minorHAnsi" w:hAnsiTheme="minorHAnsi" w:cstheme="minorHAnsi"/>
          <w:sz w:val="22"/>
          <w:szCs w:val="22"/>
        </w:rPr>
        <w:tab/>
        <w:t>Non-Governmental Organisation</w:t>
      </w:r>
    </w:p>
    <w:p w14:paraId="7232D012" w14:textId="292C4EC0" w:rsidR="00772184" w:rsidRDefault="00772184" w:rsidP="005E1575">
      <w:pPr>
        <w:rPr>
          <w:rFonts w:asciiTheme="minorHAnsi" w:hAnsiTheme="minorHAnsi" w:cstheme="minorHAnsi"/>
          <w:sz w:val="22"/>
          <w:szCs w:val="22"/>
        </w:rPr>
      </w:pPr>
      <w:r>
        <w:rPr>
          <w:rFonts w:asciiTheme="minorHAnsi" w:hAnsiTheme="minorHAnsi" w:cstheme="minorHAnsi"/>
          <w:sz w:val="22"/>
          <w:szCs w:val="22"/>
        </w:rPr>
        <w:t>ODA</w:t>
      </w:r>
      <w:r>
        <w:rPr>
          <w:rFonts w:asciiTheme="minorHAnsi" w:hAnsiTheme="minorHAnsi" w:cstheme="minorHAnsi"/>
          <w:sz w:val="22"/>
          <w:szCs w:val="22"/>
        </w:rPr>
        <w:tab/>
      </w:r>
      <w:r>
        <w:rPr>
          <w:rFonts w:asciiTheme="minorHAnsi" w:hAnsiTheme="minorHAnsi" w:cstheme="minorHAnsi"/>
          <w:sz w:val="22"/>
          <w:szCs w:val="22"/>
        </w:rPr>
        <w:tab/>
        <w:t>Official Development Assistance</w:t>
      </w:r>
    </w:p>
    <w:p w14:paraId="439FC475" w14:textId="1D53E1DF" w:rsidR="00D906F6" w:rsidRDefault="00D906F6" w:rsidP="005E1575">
      <w:pPr>
        <w:rPr>
          <w:rFonts w:asciiTheme="minorHAnsi" w:hAnsiTheme="minorHAnsi" w:cstheme="minorHAnsi"/>
          <w:sz w:val="22"/>
          <w:szCs w:val="22"/>
        </w:rPr>
      </w:pPr>
      <w:r>
        <w:rPr>
          <w:rFonts w:asciiTheme="minorHAnsi" w:hAnsiTheme="minorHAnsi" w:cstheme="minorHAnsi"/>
          <w:sz w:val="22"/>
          <w:szCs w:val="22"/>
        </w:rPr>
        <w:t>PB</w:t>
      </w:r>
      <w:r>
        <w:rPr>
          <w:rFonts w:asciiTheme="minorHAnsi" w:hAnsiTheme="minorHAnsi" w:cstheme="minorHAnsi"/>
          <w:sz w:val="22"/>
          <w:szCs w:val="22"/>
        </w:rPr>
        <w:tab/>
      </w:r>
      <w:r>
        <w:rPr>
          <w:rFonts w:asciiTheme="minorHAnsi" w:hAnsiTheme="minorHAnsi" w:cstheme="minorHAnsi"/>
          <w:sz w:val="22"/>
          <w:szCs w:val="22"/>
        </w:rPr>
        <w:tab/>
        <w:t>Project Board</w:t>
      </w:r>
    </w:p>
    <w:p w14:paraId="13F76FBF" w14:textId="448085B3" w:rsidR="00B175B7" w:rsidRDefault="00B175B7" w:rsidP="005E1575">
      <w:pPr>
        <w:rPr>
          <w:rFonts w:asciiTheme="minorHAnsi" w:hAnsiTheme="minorHAnsi" w:cstheme="minorHAnsi"/>
          <w:sz w:val="22"/>
          <w:szCs w:val="22"/>
        </w:rPr>
      </w:pPr>
      <w:r>
        <w:rPr>
          <w:rFonts w:asciiTheme="minorHAnsi" w:hAnsiTheme="minorHAnsi" w:cstheme="minorHAnsi"/>
          <w:sz w:val="22"/>
          <w:szCs w:val="22"/>
        </w:rPr>
        <w:t>PCU</w:t>
      </w:r>
      <w:r>
        <w:rPr>
          <w:rFonts w:asciiTheme="minorHAnsi" w:hAnsiTheme="minorHAnsi" w:cstheme="minorHAnsi"/>
          <w:sz w:val="22"/>
          <w:szCs w:val="22"/>
        </w:rPr>
        <w:tab/>
      </w:r>
      <w:r>
        <w:rPr>
          <w:rFonts w:asciiTheme="minorHAnsi" w:hAnsiTheme="minorHAnsi" w:cstheme="minorHAnsi"/>
          <w:sz w:val="22"/>
          <w:szCs w:val="22"/>
        </w:rPr>
        <w:tab/>
        <w:t>project Coordination Unit</w:t>
      </w:r>
    </w:p>
    <w:p w14:paraId="1195FAB9" w14:textId="196DAD0B" w:rsidR="00B175B7" w:rsidRDefault="00B175B7" w:rsidP="005E1575">
      <w:pPr>
        <w:rPr>
          <w:rFonts w:asciiTheme="minorHAnsi" w:hAnsiTheme="minorHAnsi" w:cstheme="minorHAnsi"/>
          <w:sz w:val="22"/>
          <w:szCs w:val="22"/>
        </w:rPr>
      </w:pPr>
      <w:r>
        <w:rPr>
          <w:rFonts w:asciiTheme="minorHAnsi" w:hAnsiTheme="minorHAnsi" w:cstheme="minorHAnsi"/>
          <w:sz w:val="22"/>
          <w:szCs w:val="22"/>
        </w:rPr>
        <w:t>PIF</w:t>
      </w:r>
      <w:r>
        <w:rPr>
          <w:rFonts w:asciiTheme="minorHAnsi" w:hAnsiTheme="minorHAnsi" w:cstheme="minorHAnsi"/>
          <w:sz w:val="22"/>
          <w:szCs w:val="22"/>
        </w:rPr>
        <w:tab/>
      </w:r>
      <w:r>
        <w:rPr>
          <w:rFonts w:asciiTheme="minorHAnsi" w:hAnsiTheme="minorHAnsi" w:cstheme="minorHAnsi"/>
          <w:sz w:val="22"/>
          <w:szCs w:val="22"/>
        </w:rPr>
        <w:tab/>
        <w:t>Project Identification Form</w:t>
      </w:r>
    </w:p>
    <w:p w14:paraId="27CD5EF1" w14:textId="212C4B56" w:rsidR="00B175B7" w:rsidRDefault="00B175B7" w:rsidP="005E1575">
      <w:pPr>
        <w:rPr>
          <w:rFonts w:asciiTheme="minorHAnsi" w:hAnsiTheme="minorHAnsi" w:cstheme="minorHAnsi"/>
          <w:sz w:val="22"/>
          <w:szCs w:val="22"/>
        </w:rPr>
      </w:pPr>
      <w:r>
        <w:rPr>
          <w:rFonts w:asciiTheme="minorHAnsi" w:hAnsiTheme="minorHAnsi" w:cstheme="minorHAnsi"/>
          <w:sz w:val="22"/>
          <w:szCs w:val="22"/>
        </w:rPr>
        <w:t>PIR</w:t>
      </w:r>
      <w:r>
        <w:rPr>
          <w:rFonts w:asciiTheme="minorHAnsi" w:hAnsiTheme="minorHAnsi" w:cstheme="minorHAnsi"/>
          <w:sz w:val="22"/>
          <w:szCs w:val="22"/>
        </w:rPr>
        <w:tab/>
      </w:r>
      <w:r>
        <w:rPr>
          <w:rFonts w:asciiTheme="minorHAnsi" w:hAnsiTheme="minorHAnsi" w:cstheme="minorHAnsi"/>
          <w:sz w:val="22"/>
          <w:szCs w:val="22"/>
        </w:rPr>
        <w:tab/>
        <w:t>Project Implementation Report</w:t>
      </w:r>
    </w:p>
    <w:p w14:paraId="27143A7B" w14:textId="4D6D63FD" w:rsidR="00B175B7" w:rsidRDefault="00B175B7" w:rsidP="005E1575">
      <w:pPr>
        <w:rPr>
          <w:rFonts w:asciiTheme="minorHAnsi" w:hAnsiTheme="minorHAnsi" w:cstheme="minorHAnsi"/>
          <w:sz w:val="22"/>
          <w:szCs w:val="22"/>
        </w:rPr>
      </w:pPr>
      <w:r>
        <w:rPr>
          <w:rFonts w:asciiTheme="minorHAnsi" w:hAnsiTheme="minorHAnsi" w:cstheme="minorHAnsi"/>
          <w:sz w:val="22"/>
          <w:szCs w:val="22"/>
        </w:rPr>
        <w:t>PRF</w:t>
      </w:r>
      <w:r>
        <w:rPr>
          <w:rFonts w:asciiTheme="minorHAnsi" w:hAnsiTheme="minorHAnsi" w:cstheme="minorHAnsi"/>
          <w:sz w:val="22"/>
          <w:szCs w:val="22"/>
        </w:rPr>
        <w:tab/>
      </w:r>
      <w:r>
        <w:rPr>
          <w:rFonts w:asciiTheme="minorHAnsi" w:hAnsiTheme="minorHAnsi" w:cstheme="minorHAnsi"/>
          <w:sz w:val="22"/>
          <w:szCs w:val="22"/>
        </w:rPr>
        <w:tab/>
        <w:t>Project Results Framework</w:t>
      </w:r>
    </w:p>
    <w:p w14:paraId="0FECFCA2" w14:textId="2369142E" w:rsidR="00DE591D" w:rsidRDefault="00DE591D" w:rsidP="005E1575">
      <w:pPr>
        <w:rPr>
          <w:rFonts w:asciiTheme="minorHAnsi" w:hAnsiTheme="minorHAnsi" w:cstheme="minorHAnsi"/>
          <w:sz w:val="22"/>
          <w:szCs w:val="22"/>
        </w:rPr>
      </w:pPr>
      <w:r>
        <w:rPr>
          <w:rFonts w:asciiTheme="minorHAnsi" w:hAnsiTheme="minorHAnsi" w:cstheme="minorHAnsi"/>
          <w:sz w:val="22"/>
          <w:szCs w:val="22"/>
        </w:rPr>
        <w:t>ProDoc</w:t>
      </w:r>
      <w:r>
        <w:rPr>
          <w:rFonts w:asciiTheme="minorHAnsi" w:hAnsiTheme="minorHAnsi" w:cstheme="minorHAnsi"/>
          <w:sz w:val="22"/>
          <w:szCs w:val="22"/>
        </w:rPr>
        <w:tab/>
      </w:r>
      <w:r>
        <w:rPr>
          <w:rFonts w:asciiTheme="minorHAnsi" w:hAnsiTheme="minorHAnsi" w:cstheme="minorHAnsi"/>
          <w:sz w:val="22"/>
          <w:szCs w:val="22"/>
        </w:rPr>
        <w:tab/>
        <w:t>Project Document</w:t>
      </w:r>
    </w:p>
    <w:p w14:paraId="1137FB36" w14:textId="2B7A8B03" w:rsidR="00B175B7" w:rsidRDefault="00B175B7" w:rsidP="005E1575">
      <w:pPr>
        <w:rPr>
          <w:rFonts w:asciiTheme="minorHAnsi" w:hAnsiTheme="minorHAnsi" w:cstheme="minorHAnsi"/>
          <w:sz w:val="22"/>
          <w:szCs w:val="22"/>
        </w:rPr>
      </w:pPr>
      <w:r>
        <w:rPr>
          <w:rFonts w:asciiTheme="minorHAnsi" w:hAnsiTheme="minorHAnsi" w:cstheme="minorHAnsi"/>
          <w:sz w:val="22"/>
          <w:szCs w:val="22"/>
        </w:rPr>
        <w:t>PSC</w:t>
      </w:r>
      <w:r>
        <w:rPr>
          <w:rFonts w:asciiTheme="minorHAnsi" w:hAnsiTheme="minorHAnsi" w:cstheme="minorHAnsi"/>
          <w:sz w:val="22"/>
          <w:szCs w:val="22"/>
        </w:rPr>
        <w:tab/>
      </w:r>
      <w:r>
        <w:rPr>
          <w:rFonts w:asciiTheme="minorHAnsi" w:hAnsiTheme="minorHAnsi" w:cstheme="minorHAnsi"/>
          <w:sz w:val="22"/>
          <w:szCs w:val="22"/>
        </w:rPr>
        <w:tab/>
        <w:t>Project Steering Committee</w:t>
      </w:r>
    </w:p>
    <w:p w14:paraId="1733BA53" w14:textId="4F3910D0" w:rsidR="00AD47F7" w:rsidRDefault="00AD47F7" w:rsidP="005E1575">
      <w:pPr>
        <w:rPr>
          <w:rFonts w:asciiTheme="minorHAnsi" w:hAnsiTheme="minorHAnsi" w:cstheme="minorHAnsi"/>
          <w:sz w:val="22"/>
          <w:szCs w:val="22"/>
        </w:rPr>
      </w:pPr>
      <w:r>
        <w:rPr>
          <w:rFonts w:asciiTheme="minorHAnsi" w:hAnsiTheme="minorHAnsi" w:cstheme="minorHAnsi"/>
          <w:sz w:val="22"/>
          <w:szCs w:val="22"/>
        </w:rPr>
        <w:t>RBM</w:t>
      </w:r>
      <w:r>
        <w:rPr>
          <w:rFonts w:asciiTheme="minorHAnsi" w:hAnsiTheme="minorHAnsi" w:cstheme="minorHAnsi"/>
          <w:sz w:val="22"/>
          <w:szCs w:val="22"/>
        </w:rPr>
        <w:tab/>
      </w:r>
      <w:r>
        <w:rPr>
          <w:rFonts w:asciiTheme="minorHAnsi" w:hAnsiTheme="minorHAnsi" w:cstheme="minorHAnsi"/>
          <w:sz w:val="22"/>
          <w:szCs w:val="22"/>
        </w:rPr>
        <w:tab/>
        <w:t>River Basin Management</w:t>
      </w:r>
    </w:p>
    <w:p w14:paraId="5B46DC4B" w14:textId="3C67F997" w:rsidR="00823714" w:rsidRDefault="00823714" w:rsidP="005E1575">
      <w:pPr>
        <w:rPr>
          <w:rFonts w:asciiTheme="minorHAnsi" w:hAnsiTheme="minorHAnsi" w:cstheme="minorHAnsi"/>
          <w:sz w:val="22"/>
          <w:szCs w:val="22"/>
        </w:rPr>
      </w:pPr>
      <w:r>
        <w:rPr>
          <w:rFonts w:asciiTheme="minorHAnsi" w:hAnsiTheme="minorHAnsi" w:cstheme="minorHAnsi"/>
          <w:sz w:val="22"/>
          <w:szCs w:val="22"/>
        </w:rPr>
        <w:t>RBMP</w:t>
      </w:r>
      <w:r>
        <w:rPr>
          <w:rFonts w:asciiTheme="minorHAnsi" w:hAnsiTheme="minorHAnsi" w:cstheme="minorHAnsi"/>
          <w:sz w:val="22"/>
          <w:szCs w:val="22"/>
        </w:rPr>
        <w:tab/>
      </w:r>
      <w:r>
        <w:rPr>
          <w:rFonts w:asciiTheme="minorHAnsi" w:hAnsiTheme="minorHAnsi" w:cstheme="minorHAnsi"/>
          <w:sz w:val="22"/>
          <w:szCs w:val="22"/>
        </w:rPr>
        <w:tab/>
        <w:t>River Basin Management Plan</w:t>
      </w:r>
    </w:p>
    <w:p w14:paraId="7E69BBBB" w14:textId="393A6A79" w:rsidR="00D906F6" w:rsidRDefault="00D906F6" w:rsidP="005E1575">
      <w:pPr>
        <w:rPr>
          <w:rFonts w:asciiTheme="minorHAnsi" w:hAnsiTheme="minorHAnsi" w:cstheme="minorHAnsi"/>
          <w:sz w:val="22"/>
          <w:szCs w:val="22"/>
        </w:rPr>
      </w:pPr>
      <w:r>
        <w:rPr>
          <w:rFonts w:asciiTheme="minorHAnsi" w:hAnsiTheme="minorHAnsi" w:cstheme="minorHAnsi"/>
          <w:sz w:val="22"/>
          <w:szCs w:val="22"/>
        </w:rPr>
        <w:t>RCC</w:t>
      </w:r>
      <w:r>
        <w:rPr>
          <w:rFonts w:asciiTheme="minorHAnsi" w:hAnsiTheme="minorHAnsi" w:cstheme="minorHAnsi"/>
          <w:sz w:val="22"/>
          <w:szCs w:val="22"/>
        </w:rPr>
        <w:tab/>
      </w:r>
      <w:r>
        <w:rPr>
          <w:rFonts w:asciiTheme="minorHAnsi" w:hAnsiTheme="minorHAnsi" w:cstheme="minorHAnsi"/>
          <w:sz w:val="22"/>
          <w:szCs w:val="22"/>
        </w:rPr>
        <w:tab/>
        <w:t>Regional Cooperation Council</w:t>
      </w:r>
    </w:p>
    <w:p w14:paraId="1113691E" w14:textId="45734015" w:rsidR="00AD47F7" w:rsidRDefault="00AD47F7" w:rsidP="005E1575">
      <w:pPr>
        <w:rPr>
          <w:rFonts w:asciiTheme="minorHAnsi" w:hAnsiTheme="minorHAnsi" w:cstheme="minorHAnsi"/>
          <w:sz w:val="22"/>
          <w:szCs w:val="22"/>
        </w:rPr>
      </w:pPr>
      <w:r>
        <w:rPr>
          <w:rFonts w:asciiTheme="minorHAnsi" w:hAnsiTheme="minorHAnsi" w:cstheme="minorHAnsi"/>
          <w:sz w:val="22"/>
          <w:szCs w:val="22"/>
        </w:rPr>
        <w:t>RR</w:t>
      </w:r>
      <w:r>
        <w:rPr>
          <w:rFonts w:asciiTheme="minorHAnsi" w:hAnsiTheme="minorHAnsi" w:cstheme="minorHAnsi"/>
          <w:sz w:val="22"/>
          <w:szCs w:val="22"/>
        </w:rPr>
        <w:tab/>
      </w:r>
      <w:r>
        <w:rPr>
          <w:rFonts w:asciiTheme="minorHAnsi" w:hAnsiTheme="minorHAnsi" w:cstheme="minorHAnsi"/>
          <w:sz w:val="22"/>
          <w:szCs w:val="22"/>
        </w:rPr>
        <w:tab/>
        <w:t>Resident Representative</w:t>
      </w:r>
    </w:p>
    <w:p w14:paraId="0BD71688" w14:textId="54F6BED9" w:rsidR="005E1575" w:rsidRDefault="005E1575" w:rsidP="005E1575">
      <w:pPr>
        <w:rPr>
          <w:rFonts w:asciiTheme="minorHAnsi" w:hAnsiTheme="minorHAnsi" w:cstheme="minorHAnsi"/>
          <w:sz w:val="22"/>
          <w:szCs w:val="22"/>
        </w:rPr>
      </w:pPr>
      <w:r>
        <w:rPr>
          <w:rFonts w:asciiTheme="minorHAnsi" w:hAnsiTheme="minorHAnsi" w:cstheme="minorHAnsi"/>
          <w:sz w:val="22"/>
          <w:szCs w:val="22"/>
        </w:rPr>
        <w:t>RRF</w:t>
      </w:r>
      <w:r>
        <w:rPr>
          <w:rFonts w:asciiTheme="minorHAnsi" w:hAnsiTheme="minorHAnsi" w:cstheme="minorHAnsi"/>
          <w:sz w:val="22"/>
          <w:szCs w:val="22"/>
        </w:rPr>
        <w:tab/>
      </w:r>
      <w:r>
        <w:rPr>
          <w:rFonts w:asciiTheme="minorHAnsi" w:hAnsiTheme="minorHAnsi" w:cstheme="minorHAnsi"/>
          <w:sz w:val="22"/>
          <w:szCs w:val="22"/>
        </w:rPr>
        <w:tab/>
        <w:t>Results and Resources Framework</w:t>
      </w:r>
    </w:p>
    <w:p w14:paraId="19046CC4" w14:textId="535600ED" w:rsidR="00B175B7" w:rsidRDefault="00B175B7" w:rsidP="005E1575">
      <w:pPr>
        <w:rPr>
          <w:rFonts w:asciiTheme="minorHAnsi" w:hAnsiTheme="minorHAnsi" w:cstheme="minorHAnsi"/>
          <w:sz w:val="22"/>
          <w:szCs w:val="22"/>
        </w:rPr>
      </w:pPr>
      <w:r>
        <w:rPr>
          <w:rFonts w:asciiTheme="minorHAnsi" w:hAnsiTheme="minorHAnsi" w:cstheme="minorHAnsi"/>
          <w:sz w:val="22"/>
          <w:szCs w:val="22"/>
        </w:rPr>
        <w:t>SAP</w:t>
      </w:r>
      <w:r>
        <w:rPr>
          <w:rFonts w:asciiTheme="minorHAnsi" w:hAnsiTheme="minorHAnsi" w:cstheme="minorHAnsi"/>
          <w:sz w:val="22"/>
          <w:szCs w:val="22"/>
        </w:rPr>
        <w:tab/>
      </w:r>
      <w:r>
        <w:rPr>
          <w:rFonts w:asciiTheme="minorHAnsi" w:hAnsiTheme="minorHAnsi" w:cstheme="minorHAnsi"/>
          <w:sz w:val="22"/>
          <w:szCs w:val="22"/>
        </w:rPr>
        <w:tab/>
        <w:t>Strategic Cations Programme</w:t>
      </w:r>
    </w:p>
    <w:p w14:paraId="4C1F3174" w14:textId="74A9B905" w:rsidR="005E1575" w:rsidRDefault="005E1575" w:rsidP="005E1575">
      <w:pPr>
        <w:rPr>
          <w:rFonts w:asciiTheme="minorHAnsi" w:hAnsiTheme="minorHAnsi" w:cstheme="minorHAnsi"/>
          <w:sz w:val="22"/>
          <w:szCs w:val="22"/>
        </w:rPr>
      </w:pPr>
      <w:r>
        <w:rPr>
          <w:rFonts w:asciiTheme="minorHAnsi" w:hAnsiTheme="minorHAnsi" w:cstheme="minorHAnsi"/>
          <w:sz w:val="22"/>
          <w:szCs w:val="22"/>
        </w:rPr>
        <w:t>SDG</w:t>
      </w:r>
      <w:r>
        <w:rPr>
          <w:rFonts w:asciiTheme="minorHAnsi" w:hAnsiTheme="minorHAnsi" w:cstheme="minorHAnsi"/>
          <w:sz w:val="22"/>
          <w:szCs w:val="22"/>
        </w:rPr>
        <w:tab/>
      </w:r>
      <w:r>
        <w:rPr>
          <w:rFonts w:asciiTheme="minorHAnsi" w:hAnsiTheme="minorHAnsi" w:cstheme="minorHAnsi"/>
          <w:sz w:val="22"/>
          <w:szCs w:val="22"/>
        </w:rPr>
        <w:tab/>
        <w:t>Sustainable Development Goal</w:t>
      </w:r>
    </w:p>
    <w:p w14:paraId="2E2BFB2A" w14:textId="5CA6A79B" w:rsidR="00B175B7" w:rsidRDefault="00B175B7" w:rsidP="005E1575">
      <w:pPr>
        <w:rPr>
          <w:rFonts w:asciiTheme="minorHAnsi" w:hAnsiTheme="minorHAnsi" w:cstheme="minorHAnsi"/>
          <w:sz w:val="22"/>
          <w:szCs w:val="22"/>
        </w:rPr>
      </w:pPr>
      <w:r>
        <w:rPr>
          <w:rFonts w:asciiTheme="minorHAnsi" w:hAnsiTheme="minorHAnsi" w:cstheme="minorHAnsi"/>
          <w:sz w:val="22"/>
          <w:szCs w:val="22"/>
        </w:rPr>
        <w:t>SIDA</w:t>
      </w:r>
      <w:r>
        <w:rPr>
          <w:rFonts w:asciiTheme="minorHAnsi" w:hAnsiTheme="minorHAnsi" w:cstheme="minorHAnsi"/>
          <w:sz w:val="22"/>
          <w:szCs w:val="22"/>
        </w:rPr>
        <w:tab/>
      </w:r>
      <w:r>
        <w:rPr>
          <w:rFonts w:asciiTheme="minorHAnsi" w:hAnsiTheme="minorHAnsi" w:cstheme="minorHAnsi"/>
          <w:sz w:val="22"/>
          <w:szCs w:val="22"/>
        </w:rPr>
        <w:tab/>
        <w:t>Swedish International Development Agency</w:t>
      </w:r>
    </w:p>
    <w:p w14:paraId="45E6F4AC" w14:textId="3573AAE5" w:rsidR="00DE591D" w:rsidRDefault="00DE591D" w:rsidP="005E1575">
      <w:pPr>
        <w:rPr>
          <w:rFonts w:asciiTheme="minorHAnsi" w:hAnsiTheme="minorHAnsi" w:cstheme="minorHAnsi"/>
          <w:sz w:val="22"/>
          <w:szCs w:val="22"/>
        </w:rPr>
      </w:pPr>
      <w:r>
        <w:rPr>
          <w:rFonts w:asciiTheme="minorHAnsi" w:hAnsiTheme="minorHAnsi" w:cstheme="minorHAnsi"/>
          <w:sz w:val="22"/>
          <w:szCs w:val="22"/>
        </w:rPr>
        <w:t>SMART</w:t>
      </w:r>
      <w:r w:rsidR="00B175B7">
        <w:rPr>
          <w:rFonts w:asciiTheme="minorHAnsi" w:hAnsiTheme="minorHAnsi" w:cstheme="minorHAnsi"/>
          <w:sz w:val="22"/>
          <w:szCs w:val="22"/>
        </w:rPr>
        <w:tab/>
      </w:r>
      <w:r w:rsidR="00B175B7">
        <w:rPr>
          <w:rFonts w:asciiTheme="minorHAnsi" w:hAnsiTheme="minorHAnsi" w:cstheme="minorHAnsi"/>
          <w:sz w:val="22"/>
          <w:szCs w:val="22"/>
        </w:rPr>
        <w:tab/>
        <w:t>Specific, Measurable, Achievable, Relevant, Timely (Indicators)</w:t>
      </w:r>
    </w:p>
    <w:p w14:paraId="2FE4E979" w14:textId="52C5ED0D" w:rsidR="005E1575" w:rsidRDefault="005E1575" w:rsidP="005E1575">
      <w:pPr>
        <w:rPr>
          <w:rFonts w:asciiTheme="minorHAnsi" w:hAnsiTheme="minorHAnsi" w:cstheme="minorHAnsi"/>
          <w:sz w:val="22"/>
          <w:szCs w:val="22"/>
        </w:rPr>
      </w:pPr>
      <w:r>
        <w:rPr>
          <w:rFonts w:asciiTheme="minorHAnsi" w:hAnsiTheme="minorHAnsi" w:cstheme="minorHAnsi"/>
          <w:sz w:val="22"/>
          <w:szCs w:val="22"/>
        </w:rPr>
        <w:t>SRF</w:t>
      </w:r>
      <w:r>
        <w:rPr>
          <w:rFonts w:asciiTheme="minorHAnsi" w:hAnsiTheme="minorHAnsi" w:cstheme="minorHAnsi"/>
          <w:sz w:val="22"/>
          <w:szCs w:val="22"/>
        </w:rPr>
        <w:tab/>
      </w:r>
      <w:r>
        <w:rPr>
          <w:rFonts w:asciiTheme="minorHAnsi" w:hAnsiTheme="minorHAnsi" w:cstheme="minorHAnsi"/>
          <w:sz w:val="22"/>
          <w:szCs w:val="22"/>
        </w:rPr>
        <w:tab/>
        <w:t>Strategic Results Framework</w:t>
      </w:r>
    </w:p>
    <w:p w14:paraId="0E23F2AD" w14:textId="6D2D3969" w:rsidR="00B175B7" w:rsidRDefault="00B175B7" w:rsidP="005E1575">
      <w:pPr>
        <w:rPr>
          <w:rFonts w:asciiTheme="minorHAnsi" w:hAnsiTheme="minorHAnsi" w:cstheme="minorHAnsi"/>
          <w:sz w:val="22"/>
          <w:szCs w:val="22"/>
        </w:rPr>
      </w:pPr>
      <w:r>
        <w:rPr>
          <w:rFonts w:asciiTheme="minorHAnsi" w:hAnsiTheme="minorHAnsi" w:cstheme="minorHAnsi"/>
          <w:sz w:val="22"/>
          <w:szCs w:val="22"/>
        </w:rPr>
        <w:lastRenderedPageBreak/>
        <w:t>TDA</w:t>
      </w:r>
      <w:r>
        <w:rPr>
          <w:rFonts w:asciiTheme="minorHAnsi" w:hAnsiTheme="minorHAnsi" w:cstheme="minorHAnsi"/>
          <w:sz w:val="22"/>
          <w:szCs w:val="22"/>
        </w:rPr>
        <w:tab/>
      </w:r>
      <w:r>
        <w:rPr>
          <w:rFonts w:asciiTheme="minorHAnsi" w:hAnsiTheme="minorHAnsi" w:cstheme="minorHAnsi"/>
          <w:sz w:val="22"/>
          <w:szCs w:val="22"/>
        </w:rPr>
        <w:tab/>
        <w:t>Transboundary Diagnostic Analysis</w:t>
      </w:r>
    </w:p>
    <w:p w14:paraId="017668FA" w14:textId="6CA2318E" w:rsidR="005E1575" w:rsidRDefault="005E1575" w:rsidP="005E1575">
      <w:pPr>
        <w:rPr>
          <w:rFonts w:asciiTheme="minorHAnsi" w:hAnsiTheme="minorHAnsi" w:cstheme="minorHAnsi"/>
          <w:sz w:val="22"/>
          <w:szCs w:val="22"/>
        </w:rPr>
      </w:pPr>
      <w:r>
        <w:rPr>
          <w:rFonts w:asciiTheme="minorHAnsi" w:hAnsiTheme="minorHAnsi" w:cstheme="minorHAnsi"/>
          <w:sz w:val="22"/>
          <w:szCs w:val="22"/>
        </w:rPr>
        <w:t>TE</w:t>
      </w:r>
      <w:r>
        <w:rPr>
          <w:rFonts w:asciiTheme="minorHAnsi" w:hAnsiTheme="minorHAnsi" w:cstheme="minorHAnsi"/>
          <w:sz w:val="22"/>
          <w:szCs w:val="22"/>
        </w:rPr>
        <w:tab/>
      </w:r>
      <w:r>
        <w:rPr>
          <w:rFonts w:asciiTheme="minorHAnsi" w:hAnsiTheme="minorHAnsi" w:cstheme="minorHAnsi"/>
          <w:sz w:val="22"/>
          <w:szCs w:val="22"/>
        </w:rPr>
        <w:tab/>
        <w:t>Terminal Evaluation</w:t>
      </w:r>
    </w:p>
    <w:p w14:paraId="2553F5EB" w14:textId="60143749" w:rsidR="00B175B7" w:rsidRDefault="00B175B7" w:rsidP="005E1575">
      <w:pPr>
        <w:rPr>
          <w:rFonts w:asciiTheme="minorHAnsi" w:hAnsiTheme="minorHAnsi" w:cstheme="minorHAnsi"/>
          <w:sz w:val="22"/>
          <w:szCs w:val="22"/>
        </w:rPr>
      </w:pPr>
      <w:r>
        <w:rPr>
          <w:rFonts w:asciiTheme="minorHAnsi" w:hAnsiTheme="minorHAnsi" w:cstheme="minorHAnsi"/>
          <w:sz w:val="22"/>
          <w:szCs w:val="22"/>
        </w:rPr>
        <w:t>ToC</w:t>
      </w:r>
      <w:r>
        <w:rPr>
          <w:rFonts w:asciiTheme="minorHAnsi" w:hAnsiTheme="minorHAnsi" w:cstheme="minorHAnsi"/>
          <w:sz w:val="22"/>
          <w:szCs w:val="22"/>
        </w:rPr>
        <w:tab/>
      </w:r>
      <w:r>
        <w:rPr>
          <w:rFonts w:asciiTheme="minorHAnsi" w:hAnsiTheme="minorHAnsi" w:cstheme="minorHAnsi"/>
          <w:sz w:val="22"/>
          <w:szCs w:val="22"/>
        </w:rPr>
        <w:tab/>
        <w:t>Theory of Change</w:t>
      </w:r>
    </w:p>
    <w:p w14:paraId="418034A0" w14:textId="5038B7D0" w:rsidR="005E1575" w:rsidRDefault="005E1575" w:rsidP="005E1575">
      <w:pPr>
        <w:rPr>
          <w:rFonts w:asciiTheme="minorHAnsi" w:hAnsiTheme="minorHAnsi" w:cstheme="minorHAnsi"/>
          <w:sz w:val="22"/>
          <w:szCs w:val="22"/>
        </w:rPr>
      </w:pPr>
      <w:r>
        <w:rPr>
          <w:rFonts w:asciiTheme="minorHAnsi" w:hAnsiTheme="minorHAnsi" w:cstheme="minorHAnsi"/>
          <w:sz w:val="22"/>
          <w:szCs w:val="22"/>
        </w:rPr>
        <w:t>ToR</w:t>
      </w:r>
      <w:r>
        <w:rPr>
          <w:rFonts w:asciiTheme="minorHAnsi" w:hAnsiTheme="minorHAnsi" w:cstheme="minorHAnsi"/>
          <w:sz w:val="22"/>
          <w:szCs w:val="22"/>
        </w:rPr>
        <w:tab/>
      </w:r>
      <w:r>
        <w:rPr>
          <w:rFonts w:asciiTheme="minorHAnsi" w:hAnsiTheme="minorHAnsi" w:cstheme="minorHAnsi"/>
          <w:sz w:val="22"/>
          <w:szCs w:val="22"/>
        </w:rPr>
        <w:tab/>
        <w:t>Terms of Reference</w:t>
      </w:r>
    </w:p>
    <w:p w14:paraId="4D227818" w14:textId="23047DC1" w:rsidR="005E1575" w:rsidRDefault="005E1575" w:rsidP="005E1575">
      <w:pPr>
        <w:rPr>
          <w:rFonts w:asciiTheme="minorHAnsi" w:hAnsiTheme="minorHAnsi" w:cstheme="minorHAnsi"/>
          <w:sz w:val="22"/>
          <w:szCs w:val="22"/>
        </w:rPr>
      </w:pPr>
      <w:r>
        <w:rPr>
          <w:rFonts w:asciiTheme="minorHAnsi" w:hAnsiTheme="minorHAnsi" w:cstheme="minorHAnsi"/>
          <w:sz w:val="22"/>
          <w:szCs w:val="22"/>
        </w:rPr>
        <w:t>UNCDP</w:t>
      </w:r>
      <w:r>
        <w:rPr>
          <w:rFonts w:asciiTheme="minorHAnsi" w:hAnsiTheme="minorHAnsi" w:cstheme="minorHAnsi"/>
          <w:sz w:val="22"/>
          <w:szCs w:val="22"/>
        </w:rPr>
        <w:tab/>
      </w:r>
      <w:r>
        <w:rPr>
          <w:rFonts w:asciiTheme="minorHAnsi" w:hAnsiTheme="minorHAnsi" w:cstheme="minorHAnsi"/>
          <w:sz w:val="22"/>
          <w:szCs w:val="22"/>
        </w:rPr>
        <w:tab/>
        <w:t>UN Common Development Plan</w:t>
      </w:r>
    </w:p>
    <w:p w14:paraId="64E71D88" w14:textId="0BFAC46E" w:rsidR="005E1575" w:rsidRDefault="005E1575" w:rsidP="005E1575">
      <w:pPr>
        <w:rPr>
          <w:rFonts w:asciiTheme="minorHAnsi" w:hAnsiTheme="minorHAnsi" w:cstheme="minorHAnsi"/>
          <w:bCs/>
          <w:color w:val="202124"/>
          <w:sz w:val="22"/>
          <w:szCs w:val="22"/>
          <w:shd w:val="clear" w:color="auto" w:fill="FFFFFF"/>
        </w:rPr>
      </w:pPr>
      <w:r>
        <w:rPr>
          <w:rFonts w:asciiTheme="minorHAnsi" w:hAnsiTheme="minorHAnsi" w:cstheme="minorHAnsi"/>
          <w:sz w:val="22"/>
          <w:szCs w:val="22"/>
        </w:rPr>
        <w:t>UNDAF</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bCs/>
          <w:color w:val="202124"/>
          <w:sz w:val="22"/>
          <w:szCs w:val="22"/>
          <w:shd w:val="clear" w:color="auto" w:fill="FFFFFF"/>
        </w:rPr>
        <w:t>UN</w:t>
      </w:r>
      <w:r w:rsidRPr="00894841">
        <w:rPr>
          <w:rFonts w:asciiTheme="minorHAnsi" w:hAnsiTheme="minorHAnsi" w:cstheme="minorHAnsi"/>
          <w:bCs/>
          <w:color w:val="202124"/>
          <w:sz w:val="22"/>
          <w:szCs w:val="22"/>
          <w:shd w:val="clear" w:color="auto" w:fill="FFFFFF"/>
        </w:rPr>
        <w:t xml:space="preserve"> Development Assistance Framework</w:t>
      </w:r>
    </w:p>
    <w:p w14:paraId="2E4E6E3A" w14:textId="50144851" w:rsidR="005E1575" w:rsidRDefault="005E1575" w:rsidP="005E1575">
      <w:pPr>
        <w:rPr>
          <w:rFonts w:asciiTheme="minorHAnsi" w:hAnsiTheme="minorHAnsi" w:cstheme="minorHAnsi"/>
          <w:sz w:val="22"/>
          <w:szCs w:val="22"/>
        </w:rPr>
      </w:pPr>
      <w:r>
        <w:rPr>
          <w:rFonts w:asciiTheme="minorHAnsi" w:hAnsiTheme="minorHAnsi" w:cstheme="minorHAnsi"/>
          <w:sz w:val="22"/>
          <w:szCs w:val="22"/>
        </w:rPr>
        <w:t>UNDP</w:t>
      </w:r>
      <w:r>
        <w:rPr>
          <w:rFonts w:asciiTheme="minorHAnsi" w:hAnsiTheme="minorHAnsi" w:cstheme="minorHAnsi"/>
          <w:sz w:val="22"/>
          <w:szCs w:val="22"/>
        </w:rPr>
        <w:tab/>
      </w:r>
      <w:r>
        <w:rPr>
          <w:rFonts w:asciiTheme="minorHAnsi" w:hAnsiTheme="minorHAnsi" w:cstheme="minorHAnsi"/>
          <w:sz w:val="22"/>
          <w:szCs w:val="22"/>
        </w:rPr>
        <w:tab/>
        <w:t>United nations Development Program</w:t>
      </w:r>
    </w:p>
    <w:p w14:paraId="35272C75" w14:textId="2F261728" w:rsidR="00B175B7" w:rsidRDefault="00B175B7" w:rsidP="005E1575">
      <w:pPr>
        <w:rPr>
          <w:rFonts w:asciiTheme="minorHAnsi" w:hAnsiTheme="minorHAnsi" w:cstheme="minorHAnsi"/>
          <w:sz w:val="22"/>
          <w:szCs w:val="22"/>
        </w:rPr>
      </w:pPr>
      <w:r>
        <w:rPr>
          <w:rFonts w:asciiTheme="minorHAnsi" w:hAnsiTheme="minorHAnsi" w:cstheme="minorHAnsi"/>
          <w:sz w:val="22"/>
          <w:szCs w:val="22"/>
        </w:rPr>
        <w:t>UNECE</w:t>
      </w:r>
      <w:r>
        <w:rPr>
          <w:rFonts w:asciiTheme="minorHAnsi" w:hAnsiTheme="minorHAnsi" w:cstheme="minorHAnsi"/>
          <w:sz w:val="22"/>
          <w:szCs w:val="22"/>
        </w:rPr>
        <w:tab/>
      </w:r>
      <w:r>
        <w:rPr>
          <w:rFonts w:asciiTheme="minorHAnsi" w:hAnsiTheme="minorHAnsi" w:cstheme="minorHAnsi"/>
          <w:sz w:val="22"/>
          <w:szCs w:val="22"/>
        </w:rPr>
        <w:tab/>
        <w:t>UN Economic Commission for Europe</w:t>
      </w:r>
    </w:p>
    <w:p w14:paraId="63532462" w14:textId="3C6ECF75" w:rsidR="00D906F6" w:rsidRDefault="00D906F6" w:rsidP="005E1575">
      <w:pPr>
        <w:rPr>
          <w:rFonts w:asciiTheme="minorHAnsi" w:hAnsiTheme="minorHAnsi" w:cstheme="minorHAnsi"/>
          <w:sz w:val="22"/>
          <w:szCs w:val="22"/>
        </w:rPr>
      </w:pPr>
      <w:r>
        <w:rPr>
          <w:rFonts w:asciiTheme="minorHAnsi" w:hAnsiTheme="minorHAnsi" w:cstheme="minorHAnsi"/>
          <w:sz w:val="22"/>
          <w:szCs w:val="22"/>
        </w:rPr>
        <w:t>UNEP</w:t>
      </w:r>
      <w:r>
        <w:rPr>
          <w:rFonts w:asciiTheme="minorHAnsi" w:hAnsiTheme="minorHAnsi" w:cstheme="minorHAnsi"/>
          <w:sz w:val="22"/>
          <w:szCs w:val="22"/>
        </w:rPr>
        <w:tab/>
      </w:r>
      <w:r>
        <w:rPr>
          <w:rFonts w:asciiTheme="minorHAnsi" w:hAnsiTheme="minorHAnsi" w:cstheme="minorHAnsi"/>
          <w:sz w:val="22"/>
          <w:szCs w:val="22"/>
        </w:rPr>
        <w:tab/>
        <w:t>UN Environment Programme</w:t>
      </w:r>
    </w:p>
    <w:p w14:paraId="042AF854" w14:textId="77777777" w:rsidR="00AD47F7" w:rsidRDefault="00B175B7" w:rsidP="005E1575">
      <w:pPr>
        <w:rPr>
          <w:rFonts w:asciiTheme="minorHAnsi" w:hAnsiTheme="minorHAnsi" w:cstheme="minorHAnsi"/>
          <w:sz w:val="22"/>
          <w:szCs w:val="22"/>
        </w:rPr>
      </w:pPr>
      <w:r>
        <w:rPr>
          <w:rFonts w:asciiTheme="minorHAnsi" w:hAnsiTheme="minorHAnsi" w:cstheme="minorHAnsi"/>
          <w:sz w:val="22"/>
          <w:szCs w:val="22"/>
        </w:rPr>
        <w:t>UNESCO</w:t>
      </w:r>
      <w:r>
        <w:rPr>
          <w:rFonts w:asciiTheme="minorHAnsi" w:hAnsiTheme="minorHAnsi" w:cstheme="minorHAnsi"/>
          <w:sz w:val="22"/>
          <w:szCs w:val="22"/>
        </w:rPr>
        <w:tab/>
        <w:t xml:space="preserve">UN Educational, Scientific and Cultural Organisation </w:t>
      </w:r>
    </w:p>
    <w:p w14:paraId="32245866" w14:textId="7DD9DF13" w:rsidR="00B175B7" w:rsidRDefault="00AD47F7" w:rsidP="005E1575">
      <w:pPr>
        <w:rPr>
          <w:rFonts w:asciiTheme="minorHAnsi" w:hAnsiTheme="minorHAnsi" w:cstheme="minorHAnsi"/>
          <w:sz w:val="22"/>
          <w:szCs w:val="22"/>
        </w:rPr>
      </w:pPr>
      <w:r>
        <w:rPr>
          <w:rFonts w:asciiTheme="minorHAnsi" w:hAnsiTheme="minorHAnsi" w:cstheme="minorHAnsi"/>
          <w:sz w:val="22"/>
          <w:szCs w:val="22"/>
        </w:rPr>
        <w:t>WFD</w:t>
      </w:r>
      <w:r>
        <w:rPr>
          <w:rFonts w:asciiTheme="minorHAnsi" w:hAnsiTheme="minorHAnsi" w:cstheme="minorHAnsi"/>
          <w:sz w:val="22"/>
          <w:szCs w:val="22"/>
        </w:rPr>
        <w:tab/>
      </w:r>
      <w:r>
        <w:rPr>
          <w:rFonts w:asciiTheme="minorHAnsi" w:hAnsiTheme="minorHAnsi" w:cstheme="minorHAnsi"/>
          <w:sz w:val="22"/>
          <w:szCs w:val="22"/>
        </w:rPr>
        <w:tab/>
        <w:t>Water Framework Directive</w:t>
      </w:r>
      <w:r w:rsidR="00B175B7">
        <w:rPr>
          <w:rFonts w:asciiTheme="minorHAnsi" w:hAnsiTheme="minorHAnsi" w:cstheme="minorHAnsi"/>
          <w:sz w:val="22"/>
          <w:szCs w:val="22"/>
        </w:rPr>
        <w:t xml:space="preserve"> </w:t>
      </w:r>
    </w:p>
    <w:p w14:paraId="0CBA4DA6" w14:textId="77777777" w:rsidR="005E1575" w:rsidRPr="00894841" w:rsidRDefault="005E1575" w:rsidP="005E1575">
      <w:pPr>
        <w:rPr>
          <w:rFonts w:asciiTheme="minorHAnsi" w:hAnsiTheme="minorHAnsi" w:cstheme="minorHAnsi"/>
          <w:sz w:val="22"/>
          <w:szCs w:val="22"/>
        </w:rPr>
      </w:pPr>
    </w:p>
    <w:p w14:paraId="3991CC1F" w14:textId="065DF63C" w:rsidR="000F31AD" w:rsidRDefault="00A317E5">
      <w:pPr>
        <w:rPr>
          <w:rFonts w:ascii="Calibri" w:eastAsia="Calibri" w:hAnsi="Calibri" w:cs="Calibri"/>
          <w:sz w:val="22"/>
          <w:szCs w:val="22"/>
        </w:rPr>
      </w:pPr>
      <w:r>
        <w:br w:type="page"/>
      </w:r>
    </w:p>
    <w:p w14:paraId="2950A465" w14:textId="77777777" w:rsidR="000F31AD" w:rsidRPr="004853CD" w:rsidRDefault="00A317E5" w:rsidP="004853CD">
      <w:pPr>
        <w:pStyle w:val="Heading1"/>
      </w:pPr>
      <w:bookmarkStart w:id="1" w:name="_Toc81335828"/>
      <w:r w:rsidRPr="004853CD">
        <w:lastRenderedPageBreak/>
        <w:t>Executive summary</w:t>
      </w:r>
      <w:bookmarkEnd w:id="1"/>
      <w:r w:rsidRPr="004853CD">
        <w:t xml:space="preserve"> </w:t>
      </w:r>
    </w:p>
    <w:p w14:paraId="15BF7615" w14:textId="77777777" w:rsidR="000F31AD" w:rsidRDefault="000F31AD"/>
    <w:p w14:paraId="6D21D0BA" w14:textId="77777777" w:rsidR="000F31AD" w:rsidRDefault="00A317E5">
      <w:pPr>
        <w:rPr>
          <w:rFonts w:ascii="Calibri" w:eastAsia="Calibri" w:hAnsi="Calibri" w:cs="Calibri"/>
          <w:b/>
          <w:sz w:val="22"/>
          <w:szCs w:val="22"/>
        </w:rPr>
      </w:pPr>
      <w:r>
        <w:rPr>
          <w:rFonts w:ascii="Calibri" w:eastAsia="Calibri" w:hAnsi="Calibri" w:cs="Calibri"/>
          <w:b/>
          <w:sz w:val="22"/>
          <w:szCs w:val="22"/>
        </w:rPr>
        <w:t>Project Information Table</w:t>
      </w:r>
    </w:p>
    <w:p w14:paraId="45516C40" w14:textId="77777777" w:rsidR="000F31AD" w:rsidRDefault="000F31AD">
      <w:pPr>
        <w:rPr>
          <w:rFonts w:ascii="Calibri" w:eastAsia="Calibri" w:hAnsi="Calibri" w:cs="Calibri"/>
          <w:b/>
          <w:sz w:val="22"/>
          <w:szCs w:val="22"/>
        </w:rPr>
      </w:pPr>
    </w:p>
    <w:tbl>
      <w:tblPr>
        <w:tblStyle w:val="a"/>
        <w:tblW w:w="9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3118"/>
        <w:gridCol w:w="1915"/>
        <w:gridCol w:w="2038"/>
      </w:tblGrid>
      <w:tr w:rsidR="000F31AD" w14:paraId="4BA38EB5" w14:textId="77777777">
        <w:trPr>
          <w:trHeight w:val="621"/>
          <w:jc w:val="center"/>
        </w:trPr>
        <w:tc>
          <w:tcPr>
            <w:tcW w:w="5093" w:type="dxa"/>
            <w:gridSpan w:val="2"/>
            <w:tcBorders>
              <w:top w:val="single" w:sz="8" w:space="0" w:color="000000"/>
              <w:left w:val="single" w:sz="8" w:space="0" w:color="000000"/>
              <w:bottom w:val="single" w:sz="4" w:space="0" w:color="000000"/>
              <w:right w:val="single" w:sz="8" w:space="0" w:color="000000"/>
            </w:tcBorders>
            <w:shd w:val="clear" w:color="auto" w:fill="F7CBAC"/>
            <w:tcMar>
              <w:top w:w="0" w:type="dxa"/>
              <w:left w:w="115" w:type="dxa"/>
              <w:bottom w:w="0" w:type="dxa"/>
              <w:right w:w="115" w:type="dxa"/>
            </w:tcMar>
            <w:vAlign w:val="center"/>
          </w:tcPr>
          <w:p w14:paraId="5FB2B6AE" w14:textId="77777777" w:rsidR="000F31AD" w:rsidRDefault="000F31AD">
            <w:pPr>
              <w:rPr>
                <w:rFonts w:ascii="Calibri" w:eastAsia="Calibri" w:hAnsi="Calibri" w:cs="Calibri"/>
                <w:b/>
                <w:sz w:val="20"/>
                <w:szCs w:val="20"/>
              </w:rPr>
            </w:pPr>
          </w:p>
          <w:p w14:paraId="66170C79" w14:textId="77777777" w:rsidR="000F31AD" w:rsidRDefault="00A317E5">
            <w:pPr>
              <w:rPr>
                <w:rFonts w:ascii="Calibri" w:eastAsia="Calibri" w:hAnsi="Calibri" w:cs="Calibri"/>
                <w:b/>
                <w:sz w:val="20"/>
                <w:szCs w:val="20"/>
              </w:rPr>
            </w:pPr>
            <w:r>
              <w:rPr>
                <w:rFonts w:ascii="Calibri" w:eastAsia="Calibri" w:hAnsi="Calibri" w:cs="Calibri"/>
                <w:b/>
                <w:sz w:val="20"/>
                <w:szCs w:val="20"/>
              </w:rPr>
              <w:t>Project Details</w:t>
            </w:r>
          </w:p>
          <w:p w14:paraId="1D4660F1"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                                                                </w:t>
            </w:r>
          </w:p>
        </w:tc>
        <w:tc>
          <w:tcPr>
            <w:tcW w:w="3953" w:type="dxa"/>
            <w:gridSpan w:val="2"/>
            <w:tcBorders>
              <w:top w:val="single" w:sz="8" w:space="0" w:color="000000"/>
              <w:left w:val="single" w:sz="4" w:space="0" w:color="000000"/>
              <w:bottom w:val="single" w:sz="4" w:space="0" w:color="000000"/>
              <w:right w:val="single" w:sz="8" w:space="0" w:color="000000"/>
            </w:tcBorders>
            <w:shd w:val="clear" w:color="auto" w:fill="F7CBAC"/>
            <w:vAlign w:val="center"/>
          </w:tcPr>
          <w:p w14:paraId="3001AF01" w14:textId="77777777" w:rsidR="000F31AD" w:rsidRDefault="00A317E5">
            <w:pPr>
              <w:rPr>
                <w:rFonts w:ascii="Calibri" w:eastAsia="Calibri" w:hAnsi="Calibri" w:cs="Calibri"/>
                <w:b/>
                <w:sz w:val="20"/>
                <w:szCs w:val="20"/>
              </w:rPr>
            </w:pPr>
            <w:r>
              <w:rPr>
                <w:rFonts w:ascii="Calibri" w:eastAsia="Calibri" w:hAnsi="Calibri" w:cs="Calibri"/>
                <w:b/>
                <w:sz w:val="20"/>
                <w:szCs w:val="20"/>
              </w:rPr>
              <w:t>Project Milestones</w:t>
            </w:r>
          </w:p>
        </w:tc>
      </w:tr>
      <w:tr w:rsidR="000F31AD" w14:paraId="476C5C42" w14:textId="77777777">
        <w:trPr>
          <w:trHeight w:val="375"/>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CA68B52" w14:textId="77777777" w:rsidR="000F31AD" w:rsidRDefault="00A317E5">
            <w:pPr>
              <w:rPr>
                <w:rFonts w:ascii="Calibri" w:eastAsia="Calibri" w:hAnsi="Calibri" w:cs="Calibri"/>
                <w:b/>
                <w:color w:val="000000"/>
                <w:sz w:val="20"/>
                <w:szCs w:val="20"/>
              </w:rPr>
            </w:pPr>
            <w:r>
              <w:rPr>
                <w:rFonts w:ascii="Calibri" w:eastAsia="Calibri" w:hAnsi="Calibri" w:cs="Calibri"/>
                <w:b/>
                <w:color w:val="000000"/>
                <w:sz w:val="20"/>
                <w:szCs w:val="20"/>
              </w:rPr>
              <w:t>Project Title:</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C3BB342" w14:textId="77777777" w:rsidR="000F31AD" w:rsidRDefault="00A317E5">
            <w:pPr>
              <w:rPr>
                <w:rFonts w:ascii="Calibri" w:eastAsia="Calibri" w:hAnsi="Calibri" w:cs="Calibri"/>
                <w:sz w:val="20"/>
                <w:szCs w:val="20"/>
              </w:rPr>
            </w:pPr>
            <w:r>
              <w:rPr>
                <w:rFonts w:ascii="Calibri" w:eastAsia="Calibri" w:hAnsi="Calibri" w:cs="Calibri"/>
                <w:sz w:val="20"/>
                <w:szCs w:val="20"/>
              </w:rPr>
              <w:t>Enabling transboundary cooperation and integrated water resources in the extended Drin Basin (FSP)</w:t>
            </w:r>
          </w:p>
          <w:p w14:paraId="1958EF74" w14:textId="2270C7D4" w:rsidR="000F31AD" w:rsidRDefault="00A317E5">
            <w:pPr>
              <w:rPr>
                <w:rFonts w:ascii="Calibri" w:eastAsia="Calibri" w:hAnsi="Calibri" w:cs="Calibri"/>
                <w:sz w:val="20"/>
                <w:szCs w:val="20"/>
              </w:rPr>
            </w:pPr>
            <w:r>
              <w:rPr>
                <w:rFonts w:ascii="Calibri" w:eastAsia="Calibri" w:hAnsi="Calibri" w:cs="Calibri"/>
                <w:sz w:val="20"/>
                <w:szCs w:val="20"/>
              </w:rPr>
              <w:t xml:space="preserve">Enabling transboundary cooperation and integrated water resources in the White Drin and extended Drin Basin </w:t>
            </w:r>
            <w:r w:rsidR="004C09B2">
              <w:rPr>
                <w:rFonts w:ascii="Calibri" w:eastAsia="Calibri" w:hAnsi="Calibri" w:cs="Calibri"/>
                <w:sz w:val="20"/>
                <w:szCs w:val="20"/>
              </w:rPr>
              <w:t>(</w:t>
            </w:r>
            <w:r>
              <w:rPr>
                <w:rFonts w:ascii="Calibri" w:eastAsia="Calibri" w:hAnsi="Calibri" w:cs="Calibri"/>
                <w:sz w:val="20"/>
                <w:szCs w:val="20"/>
              </w:rPr>
              <w:t>MSP)</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3E6EE04" w14:textId="77777777" w:rsidR="000F31AD" w:rsidRDefault="00A317E5">
            <w:pPr>
              <w:rPr>
                <w:rFonts w:ascii="Calibri" w:eastAsia="Calibri" w:hAnsi="Calibri" w:cs="Calibri"/>
                <w:b/>
                <w:color w:val="000000"/>
                <w:sz w:val="20"/>
                <w:szCs w:val="20"/>
              </w:rPr>
            </w:pPr>
            <w:r>
              <w:rPr>
                <w:rFonts w:ascii="Calibri" w:eastAsia="Calibri" w:hAnsi="Calibri" w:cs="Calibri"/>
                <w:b/>
                <w:color w:val="000000"/>
                <w:sz w:val="20"/>
                <w:szCs w:val="20"/>
              </w:rPr>
              <w:t>PIF Approval Date:</w:t>
            </w:r>
          </w:p>
        </w:tc>
        <w:tc>
          <w:tcPr>
            <w:tcW w:w="2038" w:type="dxa"/>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4D45BDC2" w14:textId="77777777" w:rsidR="000F31AD" w:rsidRDefault="00A317E5">
            <w:pPr>
              <w:rPr>
                <w:rFonts w:ascii="Calibri" w:eastAsia="Calibri" w:hAnsi="Calibri" w:cs="Calibri"/>
                <w:sz w:val="20"/>
                <w:szCs w:val="20"/>
              </w:rPr>
            </w:pPr>
            <w:r>
              <w:rPr>
                <w:rFonts w:ascii="Calibri" w:eastAsia="Calibri" w:hAnsi="Calibri" w:cs="Calibri"/>
                <w:sz w:val="20"/>
                <w:szCs w:val="20"/>
              </w:rPr>
              <w:t>15 November 2012 (FSP)</w:t>
            </w:r>
          </w:p>
          <w:p w14:paraId="078D9F0F" w14:textId="77777777" w:rsidR="000F31AD" w:rsidRDefault="000F31AD">
            <w:pPr>
              <w:rPr>
                <w:rFonts w:ascii="Calibri" w:eastAsia="Calibri" w:hAnsi="Calibri" w:cs="Calibri"/>
                <w:sz w:val="20"/>
                <w:szCs w:val="20"/>
              </w:rPr>
            </w:pPr>
          </w:p>
          <w:p w14:paraId="5F1BC549" w14:textId="77777777" w:rsidR="000F31AD" w:rsidRDefault="00A317E5">
            <w:pPr>
              <w:rPr>
                <w:rFonts w:ascii="Calibri" w:eastAsia="Calibri" w:hAnsi="Calibri" w:cs="Calibri"/>
                <w:sz w:val="20"/>
                <w:szCs w:val="20"/>
              </w:rPr>
            </w:pPr>
            <w:r>
              <w:rPr>
                <w:rFonts w:ascii="Calibri" w:eastAsia="Calibri" w:hAnsi="Calibri" w:cs="Calibri"/>
                <w:sz w:val="20"/>
                <w:szCs w:val="20"/>
              </w:rPr>
              <w:t>Add on Project no PIF (MSP)</w:t>
            </w:r>
          </w:p>
        </w:tc>
      </w:tr>
      <w:tr w:rsidR="000F31AD" w14:paraId="519C9EDB" w14:textId="77777777">
        <w:trPr>
          <w:trHeight w:val="375"/>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31C288B"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UNDP Project ID (PIMS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A4C2ACD" w14:textId="77777777" w:rsidR="000F31AD" w:rsidRDefault="00A317E5">
            <w:pPr>
              <w:rPr>
                <w:rFonts w:ascii="Calibri" w:eastAsia="Calibri" w:hAnsi="Calibri" w:cs="Calibri"/>
                <w:sz w:val="20"/>
                <w:szCs w:val="20"/>
              </w:rPr>
            </w:pPr>
            <w:bookmarkStart w:id="2" w:name="_heading=h.1fob9te" w:colFirst="0" w:colLast="0"/>
            <w:bookmarkEnd w:id="2"/>
            <w:r>
              <w:rPr>
                <w:rFonts w:ascii="Calibri" w:eastAsia="Calibri" w:hAnsi="Calibri" w:cs="Calibri"/>
                <w:sz w:val="20"/>
                <w:szCs w:val="20"/>
              </w:rPr>
              <w:t>4482 (FSP)</w:t>
            </w:r>
          </w:p>
          <w:p w14:paraId="2712A6D5" w14:textId="77777777" w:rsidR="000F31AD" w:rsidRDefault="00A317E5">
            <w:pPr>
              <w:rPr>
                <w:rFonts w:ascii="Calibri" w:eastAsia="Calibri" w:hAnsi="Calibri" w:cs="Calibri"/>
                <w:sz w:val="20"/>
                <w:szCs w:val="20"/>
              </w:rPr>
            </w:pPr>
            <w:r>
              <w:rPr>
                <w:rFonts w:ascii="Calibri" w:eastAsia="Calibri" w:hAnsi="Calibri" w:cs="Calibri"/>
                <w:sz w:val="20"/>
                <w:szCs w:val="20"/>
              </w:rPr>
              <w:t>5510 (MSP)</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197013D"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CEO Endorsement Date:</w:t>
            </w:r>
          </w:p>
        </w:tc>
        <w:tc>
          <w:tcPr>
            <w:tcW w:w="2038" w:type="dxa"/>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69173C0D" w14:textId="77777777" w:rsidR="000F31AD" w:rsidRDefault="00A317E5">
            <w:pPr>
              <w:rPr>
                <w:rFonts w:ascii="Calibri" w:eastAsia="Calibri" w:hAnsi="Calibri" w:cs="Calibri"/>
                <w:sz w:val="20"/>
                <w:szCs w:val="20"/>
              </w:rPr>
            </w:pPr>
            <w:r>
              <w:rPr>
                <w:rFonts w:ascii="Calibri" w:eastAsia="Calibri" w:hAnsi="Calibri" w:cs="Calibri"/>
                <w:sz w:val="20"/>
                <w:szCs w:val="20"/>
              </w:rPr>
              <w:t>17 October 2014 (FSP)</w:t>
            </w:r>
          </w:p>
          <w:p w14:paraId="3B67B616" w14:textId="77777777" w:rsidR="000F31AD" w:rsidRDefault="000F31AD">
            <w:pPr>
              <w:rPr>
                <w:rFonts w:ascii="Calibri" w:eastAsia="Calibri" w:hAnsi="Calibri" w:cs="Calibri"/>
                <w:sz w:val="20"/>
                <w:szCs w:val="20"/>
              </w:rPr>
            </w:pPr>
          </w:p>
          <w:p w14:paraId="14C12B08" w14:textId="77777777" w:rsidR="000F31AD" w:rsidRDefault="00A317E5">
            <w:pPr>
              <w:rPr>
                <w:rFonts w:ascii="Calibri" w:eastAsia="Calibri" w:hAnsi="Calibri" w:cs="Calibri"/>
                <w:sz w:val="20"/>
                <w:szCs w:val="20"/>
              </w:rPr>
            </w:pPr>
            <w:r>
              <w:rPr>
                <w:rFonts w:ascii="Calibri" w:eastAsia="Calibri" w:hAnsi="Calibri" w:cs="Calibri"/>
                <w:sz w:val="20"/>
                <w:szCs w:val="20"/>
              </w:rPr>
              <w:t>26 May 2015 (MSP)</w:t>
            </w:r>
          </w:p>
        </w:tc>
      </w:tr>
      <w:tr w:rsidR="000F31AD" w14:paraId="140A2C9B" w14:textId="77777777">
        <w:trPr>
          <w:trHeight w:val="345"/>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087264F"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GEF Project ID:</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BD543A5" w14:textId="77777777" w:rsidR="000F31AD" w:rsidRDefault="00A317E5">
            <w:pPr>
              <w:rPr>
                <w:rFonts w:ascii="Calibri" w:eastAsia="Calibri" w:hAnsi="Calibri" w:cs="Calibri"/>
                <w:sz w:val="20"/>
                <w:szCs w:val="20"/>
              </w:rPr>
            </w:pPr>
            <w:r>
              <w:rPr>
                <w:rFonts w:ascii="Calibri" w:eastAsia="Calibri" w:hAnsi="Calibri" w:cs="Calibri"/>
                <w:sz w:val="20"/>
                <w:szCs w:val="20"/>
              </w:rPr>
              <w:t>4483 (FSP)</w:t>
            </w:r>
          </w:p>
          <w:p w14:paraId="1F90EB75" w14:textId="77777777" w:rsidR="000F31AD" w:rsidRDefault="00A317E5">
            <w:pPr>
              <w:rPr>
                <w:rFonts w:ascii="Calibri" w:eastAsia="Calibri" w:hAnsi="Calibri" w:cs="Calibri"/>
                <w:sz w:val="20"/>
                <w:szCs w:val="20"/>
              </w:rPr>
            </w:pPr>
            <w:r>
              <w:rPr>
                <w:rFonts w:ascii="Calibri" w:eastAsia="Calibri" w:hAnsi="Calibri" w:cs="Calibri"/>
                <w:sz w:val="20"/>
                <w:szCs w:val="20"/>
              </w:rPr>
              <w:t>9121 (MSP)</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5A5B6A2"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Project Document (ProDoc) Signature Date:</w:t>
            </w:r>
          </w:p>
        </w:tc>
        <w:tc>
          <w:tcPr>
            <w:tcW w:w="2038" w:type="dxa"/>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75B166C2" w14:textId="77777777" w:rsidR="00393BBC" w:rsidRPr="00894841" w:rsidRDefault="00393BBC" w:rsidP="00393BBC">
            <w:pPr>
              <w:pStyle w:val="CommentText"/>
              <w:rPr>
                <w:rFonts w:asciiTheme="minorHAnsi" w:hAnsiTheme="minorHAnsi" w:cstheme="minorHAnsi"/>
              </w:rPr>
            </w:pPr>
            <w:r w:rsidRPr="00894841">
              <w:rPr>
                <w:rFonts w:asciiTheme="minorHAnsi" w:hAnsiTheme="minorHAnsi" w:cstheme="minorHAnsi"/>
              </w:rPr>
              <w:t>FSP: UNDP/GWP Project Cooperation Agreement signed on 29 September 2015</w:t>
            </w:r>
          </w:p>
          <w:p w14:paraId="115C1123" w14:textId="31C02806" w:rsidR="000F31AD" w:rsidRDefault="00393BBC" w:rsidP="00393BBC">
            <w:pPr>
              <w:rPr>
                <w:rFonts w:ascii="Calibri" w:eastAsia="Calibri" w:hAnsi="Calibri" w:cs="Calibri"/>
                <w:sz w:val="20"/>
                <w:szCs w:val="20"/>
              </w:rPr>
            </w:pPr>
            <w:r w:rsidRPr="00894841">
              <w:rPr>
                <w:rFonts w:asciiTheme="minorHAnsi" w:hAnsiTheme="minorHAnsi" w:cstheme="minorHAnsi"/>
                <w:sz w:val="20"/>
                <w:szCs w:val="20"/>
              </w:rPr>
              <w:t>MSP: UNDP/GWP Project Cooperation Agreement signed on 12 November 2015</w:t>
            </w:r>
          </w:p>
        </w:tc>
      </w:tr>
      <w:tr w:rsidR="000F31AD" w14:paraId="36315AD9" w14:textId="77777777">
        <w:trPr>
          <w:trHeight w:val="495"/>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55DF552"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UNDP Atlas Business Unit, Award ID, Project ID:</w:t>
            </w: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941C6" w14:textId="77777777" w:rsidR="000F31AD" w:rsidRDefault="00A317E5">
            <w:pPr>
              <w:rPr>
                <w:rFonts w:ascii="Calibri" w:eastAsia="Calibri" w:hAnsi="Calibri" w:cs="Calibri"/>
                <w:sz w:val="20"/>
                <w:szCs w:val="20"/>
              </w:rPr>
            </w:pPr>
            <w:r>
              <w:rPr>
                <w:rFonts w:ascii="Calibri" w:eastAsia="Calibri" w:hAnsi="Calibri" w:cs="Calibri"/>
                <w:sz w:val="20"/>
                <w:szCs w:val="20"/>
              </w:rPr>
              <w:t>ALB10</w:t>
            </w:r>
          </w:p>
          <w:p w14:paraId="727D33D9" w14:textId="77777777" w:rsidR="000F31AD" w:rsidRDefault="00A317E5">
            <w:pPr>
              <w:rPr>
                <w:rFonts w:ascii="Calibri" w:eastAsia="Calibri" w:hAnsi="Calibri" w:cs="Calibri"/>
                <w:sz w:val="20"/>
                <w:szCs w:val="20"/>
              </w:rPr>
            </w:pPr>
            <w:r>
              <w:rPr>
                <w:rFonts w:ascii="Calibri" w:eastAsia="Calibri" w:hAnsi="Calibri" w:cs="Calibri"/>
                <w:sz w:val="20"/>
                <w:szCs w:val="20"/>
              </w:rPr>
              <w:t>00082116</w:t>
            </w:r>
          </w:p>
          <w:p w14:paraId="483B13C0" w14:textId="77777777" w:rsidR="000F31AD" w:rsidRDefault="00A317E5">
            <w:pPr>
              <w:rPr>
                <w:rFonts w:ascii="Calibri" w:eastAsia="Calibri" w:hAnsi="Calibri" w:cs="Calibri"/>
                <w:sz w:val="20"/>
                <w:szCs w:val="20"/>
              </w:rPr>
            </w:pPr>
            <w:r>
              <w:rPr>
                <w:rFonts w:ascii="Calibri" w:eastAsia="Calibri" w:hAnsi="Calibri" w:cs="Calibri"/>
                <w:sz w:val="20"/>
                <w:szCs w:val="20"/>
              </w:rPr>
              <w:t>00091169</w:t>
            </w:r>
          </w:p>
          <w:p w14:paraId="1D7199C6" w14:textId="77777777" w:rsidR="000F31AD" w:rsidRDefault="00A317E5">
            <w:pPr>
              <w:rPr>
                <w:rFonts w:ascii="Calibri" w:eastAsia="Calibri" w:hAnsi="Calibri" w:cs="Calibri"/>
                <w:sz w:val="20"/>
                <w:szCs w:val="20"/>
              </w:rPr>
            </w:pPr>
            <w:r>
              <w:rPr>
                <w:rFonts w:ascii="Calibri" w:eastAsia="Calibri" w:hAnsi="Calibri" w:cs="Calibri"/>
                <w:sz w:val="20"/>
                <w:szCs w:val="20"/>
              </w:rPr>
              <w:t>KOS 10</w:t>
            </w:r>
          </w:p>
          <w:p w14:paraId="2A24FF6C" w14:textId="77777777" w:rsidR="000F31AD" w:rsidRDefault="00A317E5">
            <w:pPr>
              <w:rPr>
                <w:rFonts w:ascii="Calibri" w:eastAsia="Calibri" w:hAnsi="Calibri" w:cs="Calibri"/>
                <w:sz w:val="20"/>
                <w:szCs w:val="20"/>
              </w:rPr>
            </w:pPr>
            <w:r>
              <w:rPr>
                <w:rFonts w:ascii="Calibri" w:eastAsia="Calibri" w:hAnsi="Calibri" w:cs="Calibri"/>
                <w:sz w:val="20"/>
                <w:szCs w:val="20"/>
              </w:rPr>
              <w:t>00086486</w:t>
            </w:r>
          </w:p>
          <w:p w14:paraId="68679871" w14:textId="77777777" w:rsidR="000F31AD" w:rsidRDefault="00A317E5">
            <w:pPr>
              <w:rPr>
                <w:rFonts w:ascii="Calibri" w:eastAsia="Calibri" w:hAnsi="Calibri" w:cs="Calibri"/>
                <w:sz w:val="20"/>
                <w:szCs w:val="20"/>
              </w:rPr>
            </w:pPr>
            <w:r>
              <w:rPr>
                <w:rFonts w:ascii="Calibri" w:eastAsia="Calibri" w:hAnsi="Calibri" w:cs="Calibri"/>
                <w:sz w:val="20"/>
                <w:szCs w:val="20"/>
              </w:rPr>
              <w:t>00093741</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9500875"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Date project manager hired:</w:t>
            </w:r>
          </w:p>
        </w:tc>
        <w:tc>
          <w:tcPr>
            <w:tcW w:w="2038" w:type="dxa"/>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3E614F70" w14:textId="77777777" w:rsidR="000F31AD" w:rsidRDefault="00A317E5">
            <w:pPr>
              <w:rPr>
                <w:rFonts w:ascii="Calibri" w:eastAsia="Calibri" w:hAnsi="Calibri" w:cs="Calibri"/>
                <w:sz w:val="20"/>
                <w:szCs w:val="20"/>
              </w:rPr>
            </w:pPr>
            <w:r>
              <w:rPr>
                <w:rFonts w:ascii="Calibri" w:eastAsia="Calibri" w:hAnsi="Calibri" w:cs="Calibri"/>
                <w:sz w:val="20"/>
                <w:szCs w:val="20"/>
              </w:rPr>
              <w:t>15 October 2015</w:t>
            </w:r>
          </w:p>
        </w:tc>
      </w:tr>
      <w:tr w:rsidR="000F31AD" w14:paraId="40F5D558" w14:textId="77777777">
        <w:trPr>
          <w:trHeight w:val="435"/>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E770489"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Country(ies):</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6F5BD1B" w14:textId="77777777" w:rsidR="000F31AD" w:rsidRDefault="00A317E5">
            <w:pPr>
              <w:rPr>
                <w:rFonts w:ascii="Calibri" w:eastAsia="Calibri" w:hAnsi="Calibri" w:cs="Calibri"/>
                <w:sz w:val="20"/>
                <w:szCs w:val="20"/>
              </w:rPr>
            </w:pPr>
            <w:r>
              <w:rPr>
                <w:rFonts w:ascii="Calibri" w:eastAsia="Calibri" w:hAnsi="Calibri" w:cs="Calibri"/>
                <w:sz w:val="20"/>
                <w:szCs w:val="20"/>
              </w:rPr>
              <w:t>Albania, North Macedonia</w:t>
            </w:r>
            <w:r>
              <w:rPr>
                <w:rFonts w:ascii="Calibri" w:eastAsia="Calibri" w:hAnsi="Calibri" w:cs="Calibri"/>
                <w:sz w:val="20"/>
                <w:szCs w:val="20"/>
                <w:vertAlign w:val="superscript"/>
              </w:rPr>
              <w:footnoteReference w:id="1"/>
            </w:r>
            <w:r>
              <w:rPr>
                <w:rFonts w:ascii="Calibri" w:eastAsia="Calibri" w:hAnsi="Calibri" w:cs="Calibri"/>
                <w:sz w:val="20"/>
                <w:szCs w:val="20"/>
              </w:rPr>
              <w:t>, Montenegro, Kosovo</w:t>
            </w:r>
            <w:r>
              <w:rPr>
                <w:rFonts w:ascii="Calibri" w:eastAsia="Calibri" w:hAnsi="Calibri" w:cs="Calibri"/>
                <w:sz w:val="20"/>
                <w:szCs w:val="20"/>
                <w:vertAlign w:val="superscript"/>
              </w:rPr>
              <w:footnoteReference w:id="2"/>
            </w:r>
            <w:r>
              <w:rPr>
                <w:rFonts w:ascii="Calibri" w:eastAsia="Calibri" w:hAnsi="Calibri" w:cs="Calibri"/>
                <w:sz w:val="20"/>
                <w:szCs w:val="20"/>
              </w:rPr>
              <w:t xml:space="preserve"> and Greece</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C649DA3"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Inception Workshop date:</w:t>
            </w:r>
          </w:p>
        </w:tc>
        <w:tc>
          <w:tcPr>
            <w:tcW w:w="2038" w:type="dxa"/>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2B002E1D" w14:textId="77777777" w:rsidR="000F31AD" w:rsidRDefault="00A317E5">
            <w:pPr>
              <w:rPr>
                <w:rFonts w:ascii="Calibri" w:eastAsia="Calibri" w:hAnsi="Calibri" w:cs="Calibri"/>
                <w:sz w:val="20"/>
                <w:szCs w:val="20"/>
              </w:rPr>
            </w:pPr>
            <w:r>
              <w:rPr>
                <w:rFonts w:ascii="Calibri" w:eastAsia="Calibri" w:hAnsi="Calibri" w:cs="Calibri"/>
                <w:sz w:val="20"/>
                <w:szCs w:val="20"/>
              </w:rPr>
              <w:t>16 December 2015</w:t>
            </w:r>
          </w:p>
        </w:tc>
      </w:tr>
      <w:tr w:rsidR="000F31AD" w14:paraId="6BF0F242" w14:textId="77777777">
        <w:trPr>
          <w:trHeight w:val="390"/>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2065D66"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Region:</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939D005"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RBEC </w:t>
            </w:r>
          </w:p>
          <w:p w14:paraId="79EE31F8" w14:textId="77777777" w:rsidR="000F31AD" w:rsidRDefault="000F31AD">
            <w:pPr>
              <w:rPr>
                <w:rFonts w:ascii="Calibri" w:eastAsia="Calibri" w:hAnsi="Calibri" w:cs="Calibri"/>
                <w:sz w:val="20"/>
                <w:szCs w:val="20"/>
              </w:rPr>
            </w:pP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1FFF559"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Midterm Review date:</w:t>
            </w:r>
          </w:p>
        </w:tc>
        <w:tc>
          <w:tcPr>
            <w:tcW w:w="20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137433B9" w14:textId="77777777" w:rsidR="000F31AD" w:rsidRDefault="00A317E5">
            <w:pPr>
              <w:rPr>
                <w:rFonts w:ascii="Calibri" w:eastAsia="Calibri" w:hAnsi="Calibri" w:cs="Calibri"/>
                <w:sz w:val="20"/>
                <w:szCs w:val="20"/>
              </w:rPr>
            </w:pPr>
            <w:r>
              <w:rPr>
                <w:rFonts w:ascii="Calibri" w:eastAsia="Calibri" w:hAnsi="Calibri" w:cs="Calibri"/>
                <w:sz w:val="20"/>
                <w:szCs w:val="20"/>
              </w:rPr>
              <w:t>20 March 2019</w:t>
            </w:r>
          </w:p>
        </w:tc>
      </w:tr>
      <w:tr w:rsidR="000F31AD" w14:paraId="72096B12" w14:textId="77777777">
        <w:trPr>
          <w:trHeight w:val="360"/>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58AB4B5"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Focal Area:</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543386F" w14:textId="77777777" w:rsidR="000F31AD" w:rsidRDefault="00A317E5">
            <w:pPr>
              <w:rPr>
                <w:rFonts w:ascii="Calibri" w:eastAsia="Calibri" w:hAnsi="Calibri" w:cs="Calibri"/>
                <w:sz w:val="20"/>
                <w:szCs w:val="20"/>
              </w:rPr>
            </w:pPr>
            <w:r>
              <w:rPr>
                <w:rFonts w:ascii="Calibri" w:eastAsia="Calibri" w:hAnsi="Calibri" w:cs="Calibri"/>
                <w:sz w:val="20"/>
                <w:szCs w:val="20"/>
              </w:rPr>
              <w:t>International Waters</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ED8A208" w14:textId="77777777" w:rsidR="000F31AD" w:rsidRDefault="00A317E5">
            <w:pPr>
              <w:rPr>
                <w:rFonts w:ascii="Calibri" w:eastAsia="Calibri" w:hAnsi="Calibri" w:cs="Calibri"/>
                <w:b/>
                <w:sz w:val="20"/>
                <w:szCs w:val="20"/>
              </w:rPr>
            </w:pPr>
            <w:r>
              <w:rPr>
                <w:rFonts w:ascii="Calibri" w:eastAsia="Calibri" w:hAnsi="Calibri" w:cs="Calibri"/>
                <w:b/>
                <w:sz w:val="20"/>
                <w:szCs w:val="20"/>
              </w:rPr>
              <w:t>Terminal Evaluation Completion Date</w:t>
            </w:r>
          </w:p>
        </w:tc>
        <w:tc>
          <w:tcPr>
            <w:tcW w:w="2038" w:type="dxa"/>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57CD1773" w14:textId="77777777" w:rsidR="000F31AD" w:rsidRDefault="000F31AD">
            <w:pPr>
              <w:rPr>
                <w:rFonts w:ascii="Calibri" w:eastAsia="Calibri" w:hAnsi="Calibri" w:cs="Calibri"/>
                <w:sz w:val="20"/>
                <w:szCs w:val="20"/>
              </w:rPr>
            </w:pPr>
          </w:p>
        </w:tc>
      </w:tr>
      <w:tr w:rsidR="000F31AD" w14:paraId="08E85219" w14:textId="77777777">
        <w:trPr>
          <w:trHeight w:val="510"/>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E5D78A3"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GEF Operational Programme  or Strategic Priorities/ Objectives:</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2EA0306" w14:textId="77777777" w:rsidR="000F31AD" w:rsidRDefault="00A317E5">
            <w:pPr>
              <w:rPr>
                <w:rFonts w:ascii="Calibri" w:eastAsia="Calibri" w:hAnsi="Calibri" w:cs="Calibri"/>
                <w:sz w:val="20"/>
                <w:szCs w:val="20"/>
              </w:rPr>
            </w:pPr>
            <w:r>
              <w:rPr>
                <w:rFonts w:ascii="Calibri" w:eastAsia="Calibri" w:hAnsi="Calibri" w:cs="Calibri"/>
                <w:color w:val="000000"/>
                <w:sz w:val="20"/>
                <w:szCs w:val="20"/>
              </w:rPr>
              <w:t>Outcome 3.1: Political commitment, shared vision, and institutional capacity demonstrated for joint, ecosystem-based management of water bodies</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682AFC2" w14:textId="77777777" w:rsidR="000F31AD" w:rsidRDefault="00A317E5">
            <w:pPr>
              <w:rPr>
                <w:rFonts w:ascii="Calibri" w:eastAsia="Calibri" w:hAnsi="Calibri" w:cs="Calibri"/>
                <w:b/>
                <w:sz w:val="20"/>
                <w:szCs w:val="20"/>
              </w:rPr>
            </w:pPr>
            <w:r>
              <w:rPr>
                <w:rFonts w:ascii="Calibri" w:eastAsia="Calibri" w:hAnsi="Calibri" w:cs="Calibri"/>
                <w:b/>
                <w:sz w:val="20"/>
                <w:szCs w:val="20"/>
              </w:rPr>
              <w:t>Planned Operational Closure date:</w:t>
            </w:r>
          </w:p>
        </w:tc>
        <w:tc>
          <w:tcPr>
            <w:tcW w:w="20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4E9D7041" w14:textId="77777777" w:rsidR="000F31AD" w:rsidRDefault="00A317E5">
            <w:pPr>
              <w:rPr>
                <w:rFonts w:ascii="Calibri" w:eastAsia="Calibri" w:hAnsi="Calibri" w:cs="Calibri"/>
                <w:sz w:val="20"/>
                <w:szCs w:val="20"/>
              </w:rPr>
            </w:pPr>
            <w:r>
              <w:rPr>
                <w:rFonts w:ascii="Calibri" w:eastAsia="Calibri" w:hAnsi="Calibri" w:cs="Calibri"/>
                <w:sz w:val="20"/>
                <w:szCs w:val="20"/>
              </w:rPr>
              <w:t>31 July 2021</w:t>
            </w:r>
          </w:p>
        </w:tc>
      </w:tr>
      <w:tr w:rsidR="000F31AD" w14:paraId="2379BDA9" w14:textId="77777777">
        <w:trPr>
          <w:trHeight w:val="345"/>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3A22C73"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Trust Fund:</w:t>
            </w:r>
          </w:p>
        </w:tc>
        <w:tc>
          <w:tcPr>
            <w:tcW w:w="7071" w:type="dxa"/>
            <w:gridSpan w:val="3"/>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0F90076E" w14:textId="77777777" w:rsidR="000F31AD" w:rsidRDefault="00A317E5">
            <w:pPr>
              <w:rPr>
                <w:rFonts w:ascii="Calibri" w:eastAsia="Calibri" w:hAnsi="Calibri" w:cs="Calibri"/>
                <w:sz w:val="20"/>
                <w:szCs w:val="20"/>
              </w:rPr>
            </w:pPr>
            <w:r>
              <w:rPr>
                <w:rFonts w:ascii="Calibri" w:eastAsia="Calibri" w:hAnsi="Calibri" w:cs="Calibri"/>
                <w:sz w:val="20"/>
                <w:szCs w:val="20"/>
              </w:rPr>
              <w:t>GEF TF</w:t>
            </w:r>
          </w:p>
        </w:tc>
      </w:tr>
      <w:tr w:rsidR="000F31AD" w14:paraId="1956D882" w14:textId="77777777">
        <w:trPr>
          <w:trHeight w:val="345"/>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06DC6CD"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Implementing Partners (GEF Executing Agency):</w:t>
            </w:r>
          </w:p>
        </w:tc>
        <w:tc>
          <w:tcPr>
            <w:tcW w:w="7071" w:type="dxa"/>
            <w:gridSpan w:val="3"/>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5E70681C" w14:textId="77777777" w:rsidR="000F31AD" w:rsidRDefault="00A317E5">
            <w:pPr>
              <w:rPr>
                <w:rFonts w:ascii="Calibri" w:eastAsia="Calibri" w:hAnsi="Calibri" w:cs="Calibri"/>
                <w:sz w:val="20"/>
                <w:szCs w:val="20"/>
              </w:rPr>
            </w:pPr>
            <w:r>
              <w:rPr>
                <w:rFonts w:ascii="Calibri" w:eastAsia="Calibri" w:hAnsi="Calibri" w:cs="Calibri"/>
                <w:sz w:val="20"/>
                <w:szCs w:val="20"/>
              </w:rPr>
              <w:t>UNDP</w:t>
            </w:r>
          </w:p>
        </w:tc>
      </w:tr>
      <w:tr w:rsidR="000F31AD" w14:paraId="52DD83D3" w14:textId="77777777">
        <w:trPr>
          <w:trHeight w:val="570"/>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3BCC101" w14:textId="77777777" w:rsidR="000F31AD" w:rsidRDefault="00A317E5">
            <w:pPr>
              <w:rPr>
                <w:rFonts w:ascii="Calibri" w:eastAsia="Calibri" w:hAnsi="Calibri" w:cs="Calibri"/>
                <w:sz w:val="20"/>
                <w:szCs w:val="20"/>
              </w:rPr>
            </w:pPr>
            <w:r>
              <w:rPr>
                <w:rFonts w:ascii="Calibri" w:eastAsia="Calibri" w:hAnsi="Calibri" w:cs="Calibri"/>
                <w:b/>
                <w:color w:val="000000"/>
                <w:sz w:val="20"/>
                <w:szCs w:val="20"/>
              </w:rPr>
              <w:t>NGOs/CBO Involvement:</w:t>
            </w:r>
          </w:p>
        </w:tc>
        <w:tc>
          <w:tcPr>
            <w:tcW w:w="7071" w:type="dxa"/>
            <w:gridSpan w:val="3"/>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6B450BAB" w14:textId="77777777" w:rsidR="000F31AD" w:rsidRDefault="00A317E5">
            <w:pPr>
              <w:rPr>
                <w:rFonts w:ascii="Calibri" w:eastAsia="Calibri" w:hAnsi="Calibri" w:cs="Calibri"/>
                <w:sz w:val="20"/>
                <w:szCs w:val="20"/>
              </w:rPr>
            </w:pPr>
            <w:r>
              <w:rPr>
                <w:rFonts w:ascii="Calibri" w:eastAsia="Calibri" w:hAnsi="Calibri" w:cs="Calibri"/>
                <w:sz w:val="20"/>
                <w:szCs w:val="20"/>
              </w:rPr>
              <w:t>Global Water Partnership (GWP), Global Water Partnership – Mediterranean (GWP-Med)</w:t>
            </w:r>
          </w:p>
        </w:tc>
      </w:tr>
      <w:tr w:rsidR="000F31AD" w14:paraId="13FC35CF" w14:textId="77777777">
        <w:trPr>
          <w:trHeight w:val="570"/>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717144A" w14:textId="77777777" w:rsidR="000F31AD" w:rsidRDefault="00A317E5">
            <w:pPr>
              <w:rPr>
                <w:rFonts w:ascii="Calibri" w:eastAsia="Calibri" w:hAnsi="Calibri" w:cs="Calibri"/>
                <w:b/>
                <w:color w:val="000000"/>
                <w:sz w:val="20"/>
                <w:szCs w:val="20"/>
              </w:rPr>
            </w:pPr>
            <w:r>
              <w:rPr>
                <w:rFonts w:ascii="Calibri" w:eastAsia="Calibri" w:hAnsi="Calibri" w:cs="Calibri"/>
                <w:b/>
                <w:color w:val="000000"/>
                <w:sz w:val="20"/>
                <w:szCs w:val="20"/>
              </w:rPr>
              <w:lastRenderedPageBreak/>
              <w:t>Private Sector Involvement:</w:t>
            </w:r>
          </w:p>
        </w:tc>
        <w:tc>
          <w:tcPr>
            <w:tcW w:w="7071" w:type="dxa"/>
            <w:gridSpan w:val="3"/>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6B721E2B" w14:textId="77777777" w:rsidR="000F31AD" w:rsidRDefault="00A317E5">
            <w:pPr>
              <w:rPr>
                <w:rFonts w:ascii="Calibri" w:eastAsia="Calibri" w:hAnsi="Calibri" w:cs="Calibri"/>
                <w:sz w:val="20"/>
                <w:szCs w:val="20"/>
              </w:rPr>
            </w:pPr>
            <w:r>
              <w:rPr>
                <w:rFonts w:ascii="Calibri" w:eastAsia="Calibri" w:hAnsi="Calibri" w:cs="Calibri"/>
                <w:sz w:val="20"/>
                <w:szCs w:val="20"/>
              </w:rPr>
              <w:t>NA</w:t>
            </w:r>
          </w:p>
        </w:tc>
      </w:tr>
      <w:tr w:rsidR="000F31AD" w14:paraId="669C45A3" w14:textId="77777777">
        <w:trPr>
          <w:trHeight w:val="570"/>
          <w:jc w:val="center"/>
        </w:trPr>
        <w:tc>
          <w:tcPr>
            <w:tcW w:w="1975"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DA9061D" w14:textId="77777777" w:rsidR="000F31AD" w:rsidRDefault="00A317E5">
            <w:pPr>
              <w:rPr>
                <w:rFonts w:ascii="Calibri" w:eastAsia="Calibri" w:hAnsi="Calibri" w:cs="Calibri"/>
                <w:b/>
                <w:color w:val="000000"/>
                <w:sz w:val="20"/>
                <w:szCs w:val="20"/>
              </w:rPr>
            </w:pPr>
            <w:r>
              <w:rPr>
                <w:rFonts w:ascii="Calibri" w:eastAsia="Calibri" w:hAnsi="Calibri" w:cs="Calibri"/>
                <w:b/>
                <w:color w:val="000000"/>
                <w:sz w:val="20"/>
                <w:szCs w:val="20"/>
              </w:rPr>
              <w:t>Geospatial Coordinates of project sites:</w:t>
            </w:r>
          </w:p>
        </w:tc>
        <w:tc>
          <w:tcPr>
            <w:tcW w:w="7071" w:type="dxa"/>
            <w:gridSpan w:val="3"/>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685C5E0D" w14:textId="77777777" w:rsidR="000F31AD" w:rsidRDefault="00733BE5">
            <w:pPr>
              <w:rPr>
                <w:rFonts w:ascii="Calibri" w:eastAsia="Calibri" w:hAnsi="Calibri" w:cs="Calibri"/>
                <w:sz w:val="20"/>
                <w:szCs w:val="20"/>
              </w:rPr>
            </w:pPr>
            <w:hyperlink r:id="rId15">
              <w:r w:rsidR="00A317E5">
                <w:rPr>
                  <w:rFonts w:ascii="Calibri" w:eastAsia="Calibri" w:hAnsi="Calibri" w:cs="Calibri"/>
                  <w:color w:val="0563C1"/>
                  <w:sz w:val="20"/>
                  <w:szCs w:val="20"/>
                  <w:u w:val="single"/>
                </w:rPr>
                <w:t>https://dringis.org/</w:t>
              </w:r>
            </w:hyperlink>
          </w:p>
          <w:p w14:paraId="3A90F88E" w14:textId="77777777" w:rsidR="000F31AD" w:rsidRDefault="000F31AD">
            <w:pPr>
              <w:rPr>
                <w:rFonts w:ascii="Calibri" w:eastAsia="Calibri" w:hAnsi="Calibri" w:cs="Calibri"/>
                <w:sz w:val="20"/>
                <w:szCs w:val="20"/>
              </w:rPr>
            </w:pPr>
          </w:p>
        </w:tc>
      </w:tr>
    </w:tbl>
    <w:p w14:paraId="14286731" w14:textId="77777777" w:rsidR="000F31AD" w:rsidRDefault="000F31AD"/>
    <w:p w14:paraId="6D0B88A2" w14:textId="77777777" w:rsidR="000F31AD" w:rsidRDefault="00A317E5">
      <w:pPr>
        <w:rPr>
          <w:sz w:val="22"/>
          <w:szCs w:val="22"/>
        </w:rPr>
      </w:pPr>
      <w:r>
        <w:rPr>
          <w:rFonts w:ascii="Calibri" w:eastAsia="Calibri" w:hAnsi="Calibri" w:cs="Calibri"/>
          <w:b/>
          <w:color w:val="000000"/>
          <w:sz w:val="22"/>
          <w:szCs w:val="22"/>
        </w:rPr>
        <w:t>Financial Information</w:t>
      </w:r>
    </w:p>
    <w:p w14:paraId="6E8593C7" w14:textId="77777777" w:rsidR="000F31AD" w:rsidRDefault="000F31AD"/>
    <w:tbl>
      <w:tblPr>
        <w:tblStyle w:val="a0"/>
        <w:tblW w:w="9072" w:type="dxa"/>
        <w:tblInd w:w="-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000" w:firstRow="0" w:lastRow="0" w:firstColumn="0" w:lastColumn="0" w:noHBand="0" w:noVBand="0"/>
      </w:tblPr>
      <w:tblGrid>
        <w:gridCol w:w="3111"/>
        <w:gridCol w:w="3163"/>
        <w:gridCol w:w="2798"/>
      </w:tblGrid>
      <w:tr w:rsidR="000F31AD" w14:paraId="62875AE8" w14:textId="77777777">
        <w:trPr>
          <w:trHeight w:val="400"/>
        </w:trPr>
        <w:tc>
          <w:tcPr>
            <w:tcW w:w="3111" w:type="dxa"/>
            <w:tcBorders>
              <w:top w:val="single" w:sz="6" w:space="0" w:color="000000"/>
              <w:left w:val="single" w:sz="6" w:space="0" w:color="000000"/>
              <w:bottom w:val="single" w:sz="6" w:space="0" w:color="000000"/>
              <w:right w:val="single" w:sz="6" w:space="0" w:color="000000"/>
            </w:tcBorders>
            <w:shd w:val="clear" w:color="auto" w:fill="F7CBAC"/>
          </w:tcPr>
          <w:p w14:paraId="15832CE9" w14:textId="77777777" w:rsidR="000F31AD" w:rsidRDefault="00A317E5">
            <w:pPr>
              <w:rPr>
                <w:rFonts w:ascii="Calibri" w:eastAsia="Calibri" w:hAnsi="Calibri" w:cs="Calibri"/>
                <w:b/>
                <w:sz w:val="20"/>
                <w:szCs w:val="20"/>
              </w:rPr>
            </w:pPr>
            <w:r>
              <w:rPr>
                <w:rFonts w:ascii="Calibri" w:eastAsia="Calibri" w:hAnsi="Calibri" w:cs="Calibri"/>
                <w:b/>
                <w:color w:val="1F3864"/>
                <w:sz w:val="20"/>
                <w:szCs w:val="20"/>
              </w:rPr>
              <w:t>PDF/PPG</w:t>
            </w:r>
          </w:p>
        </w:tc>
        <w:tc>
          <w:tcPr>
            <w:tcW w:w="3163" w:type="dxa"/>
            <w:tcBorders>
              <w:top w:val="single" w:sz="6" w:space="0" w:color="000000"/>
              <w:left w:val="single" w:sz="6" w:space="0" w:color="000000"/>
              <w:bottom w:val="single" w:sz="6" w:space="0" w:color="000000"/>
              <w:right w:val="single" w:sz="6" w:space="0" w:color="000000"/>
            </w:tcBorders>
            <w:shd w:val="clear" w:color="auto" w:fill="F7CBAC"/>
          </w:tcPr>
          <w:p w14:paraId="645EA49C"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at approval (US $)</w:t>
            </w:r>
          </w:p>
        </w:tc>
        <w:tc>
          <w:tcPr>
            <w:tcW w:w="2798" w:type="dxa"/>
            <w:tcBorders>
              <w:top w:val="single" w:sz="6" w:space="0" w:color="000000"/>
              <w:left w:val="single" w:sz="6" w:space="0" w:color="000000"/>
              <w:bottom w:val="single" w:sz="6" w:space="0" w:color="000000"/>
              <w:right w:val="single" w:sz="6" w:space="0" w:color="000000"/>
            </w:tcBorders>
            <w:shd w:val="clear" w:color="auto" w:fill="F7CBAC"/>
          </w:tcPr>
          <w:p w14:paraId="1DDDD6D5"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at PDF/PPG completion (US $)</w:t>
            </w:r>
          </w:p>
        </w:tc>
      </w:tr>
      <w:tr w:rsidR="000F31AD" w14:paraId="6BC03AD7"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7DB75297" w14:textId="77777777" w:rsidR="000F31AD" w:rsidRDefault="00A317E5">
            <w:pPr>
              <w:rPr>
                <w:rFonts w:ascii="Calibri" w:eastAsia="Calibri" w:hAnsi="Calibri" w:cs="Calibri"/>
                <w:b/>
                <w:sz w:val="20"/>
                <w:szCs w:val="20"/>
              </w:rPr>
            </w:pPr>
            <w:r>
              <w:rPr>
                <w:rFonts w:ascii="Calibri" w:eastAsia="Calibri" w:hAnsi="Calibri" w:cs="Calibri"/>
                <w:b/>
                <w:color w:val="1F3864"/>
                <w:sz w:val="20"/>
                <w:szCs w:val="20"/>
              </w:rPr>
              <w:t xml:space="preserve">GEF PDF/PPG grants for project preparation </w:t>
            </w:r>
          </w:p>
        </w:tc>
        <w:tc>
          <w:tcPr>
            <w:tcW w:w="3163" w:type="dxa"/>
            <w:tcBorders>
              <w:top w:val="single" w:sz="6" w:space="0" w:color="000000"/>
              <w:left w:val="single" w:sz="6" w:space="0" w:color="000000"/>
            </w:tcBorders>
          </w:tcPr>
          <w:p w14:paraId="7CE862AA" w14:textId="77777777" w:rsidR="000F31AD" w:rsidRDefault="00A317E5">
            <w:pPr>
              <w:rPr>
                <w:rFonts w:ascii="Calibri" w:eastAsia="Calibri" w:hAnsi="Calibri" w:cs="Calibri"/>
                <w:sz w:val="20"/>
                <w:szCs w:val="20"/>
              </w:rPr>
            </w:pPr>
            <w:r>
              <w:rPr>
                <w:rFonts w:ascii="Calibri" w:eastAsia="Calibri" w:hAnsi="Calibri" w:cs="Calibri"/>
                <w:sz w:val="20"/>
                <w:szCs w:val="20"/>
              </w:rPr>
              <w:t>100,000</w:t>
            </w:r>
          </w:p>
        </w:tc>
        <w:tc>
          <w:tcPr>
            <w:tcW w:w="2798" w:type="dxa"/>
            <w:tcBorders>
              <w:top w:val="single" w:sz="6" w:space="0" w:color="000000"/>
            </w:tcBorders>
            <w:shd w:val="clear" w:color="auto" w:fill="FFFFFF"/>
          </w:tcPr>
          <w:p w14:paraId="7A1DFEAD" w14:textId="77777777" w:rsidR="000F31AD" w:rsidRDefault="00A317E5">
            <w:pPr>
              <w:rPr>
                <w:rFonts w:ascii="Calibri" w:eastAsia="Calibri" w:hAnsi="Calibri" w:cs="Calibri"/>
                <w:sz w:val="20"/>
                <w:szCs w:val="20"/>
              </w:rPr>
            </w:pPr>
            <w:r>
              <w:rPr>
                <w:rFonts w:ascii="Calibri" w:eastAsia="Calibri" w:hAnsi="Calibri" w:cs="Calibri"/>
                <w:sz w:val="20"/>
                <w:szCs w:val="20"/>
              </w:rPr>
              <w:t>100,000</w:t>
            </w:r>
          </w:p>
        </w:tc>
      </w:tr>
      <w:tr w:rsidR="000F31AD" w14:paraId="2FD26FEE"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489E3E05"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Co-Financing for project preparation</w:t>
            </w:r>
          </w:p>
        </w:tc>
        <w:tc>
          <w:tcPr>
            <w:tcW w:w="3163" w:type="dxa"/>
            <w:tcBorders>
              <w:left w:val="single" w:sz="6" w:space="0" w:color="000000"/>
            </w:tcBorders>
          </w:tcPr>
          <w:p w14:paraId="79BE1FA7" w14:textId="77777777" w:rsidR="000F31AD" w:rsidRDefault="00A317E5">
            <w:pPr>
              <w:rPr>
                <w:rFonts w:ascii="Calibri" w:eastAsia="Calibri" w:hAnsi="Calibri" w:cs="Calibri"/>
                <w:sz w:val="20"/>
                <w:szCs w:val="20"/>
              </w:rPr>
            </w:pPr>
            <w:r>
              <w:rPr>
                <w:rFonts w:ascii="Calibri" w:eastAsia="Calibri" w:hAnsi="Calibri" w:cs="Calibri"/>
                <w:sz w:val="20"/>
                <w:szCs w:val="20"/>
              </w:rPr>
              <w:t>120,000</w:t>
            </w:r>
          </w:p>
        </w:tc>
        <w:tc>
          <w:tcPr>
            <w:tcW w:w="2798" w:type="dxa"/>
            <w:shd w:val="clear" w:color="auto" w:fill="FFFFFF"/>
          </w:tcPr>
          <w:p w14:paraId="0DD141B5" w14:textId="77777777" w:rsidR="000F31AD" w:rsidRDefault="00A317E5">
            <w:pPr>
              <w:rPr>
                <w:rFonts w:ascii="Calibri" w:eastAsia="Calibri" w:hAnsi="Calibri" w:cs="Calibri"/>
                <w:sz w:val="20"/>
                <w:szCs w:val="20"/>
              </w:rPr>
            </w:pPr>
            <w:r>
              <w:rPr>
                <w:rFonts w:ascii="Calibri" w:eastAsia="Calibri" w:hAnsi="Calibri" w:cs="Calibri"/>
                <w:sz w:val="20"/>
                <w:szCs w:val="20"/>
              </w:rPr>
              <w:t>120,000</w:t>
            </w:r>
          </w:p>
        </w:tc>
      </w:tr>
      <w:tr w:rsidR="000F31AD" w14:paraId="68A64E63" w14:textId="77777777">
        <w:tc>
          <w:tcPr>
            <w:tcW w:w="3111" w:type="dxa"/>
            <w:tcBorders>
              <w:top w:val="single" w:sz="6" w:space="0" w:color="000000"/>
              <w:left w:val="single" w:sz="6" w:space="0" w:color="000000"/>
              <w:bottom w:val="single" w:sz="6" w:space="0" w:color="000000"/>
              <w:right w:val="single" w:sz="6" w:space="0" w:color="000000"/>
            </w:tcBorders>
            <w:shd w:val="clear" w:color="auto" w:fill="F7CBAC"/>
          </w:tcPr>
          <w:p w14:paraId="371CD9A0"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 xml:space="preserve">Project </w:t>
            </w:r>
          </w:p>
        </w:tc>
        <w:tc>
          <w:tcPr>
            <w:tcW w:w="3163" w:type="dxa"/>
            <w:tcBorders>
              <w:left w:val="single" w:sz="6" w:space="0" w:color="000000"/>
              <w:bottom w:val="single" w:sz="6" w:space="0" w:color="000000"/>
              <w:right w:val="single" w:sz="6" w:space="0" w:color="000000"/>
            </w:tcBorders>
            <w:shd w:val="clear" w:color="auto" w:fill="F7CBAC"/>
          </w:tcPr>
          <w:p w14:paraId="68D592A2"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 xml:space="preserve">at CEO Endorsement (US $) </w:t>
            </w:r>
          </w:p>
        </w:tc>
        <w:tc>
          <w:tcPr>
            <w:tcW w:w="2798" w:type="dxa"/>
            <w:tcBorders>
              <w:left w:val="single" w:sz="6" w:space="0" w:color="000000"/>
              <w:bottom w:val="single" w:sz="6" w:space="0" w:color="000000"/>
              <w:right w:val="single" w:sz="6" w:space="0" w:color="000000"/>
            </w:tcBorders>
            <w:shd w:val="clear" w:color="auto" w:fill="F7CBAC"/>
          </w:tcPr>
          <w:p w14:paraId="646743F1"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 xml:space="preserve">at TE (US $) </w:t>
            </w:r>
          </w:p>
        </w:tc>
      </w:tr>
      <w:tr w:rsidR="000F31AD" w14:paraId="58248A56"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4F1A2400"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[1] UNDP Contribution</w:t>
            </w:r>
          </w:p>
        </w:tc>
        <w:tc>
          <w:tcPr>
            <w:tcW w:w="3163" w:type="dxa"/>
            <w:tcBorders>
              <w:top w:val="single" w:sz="6" w:space="0" w:color="000000"/>
              <w:left w:val="single" w:sz="6" w:space="0" w:color="000000"/>
            </w:tcBorders>
            <w:shd w:val="clear" w:color="auto" w:fill="FFFFFF"/>
          </w:tcPr>
          <w:p w14:paraId="38E3ED64"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5,364,221</w:t>
            </w:r>
          </w:p>
        </w:tc>
        <w:tc>
          <w:tcPr>
            <w:tcW w:w="2798" w:type="dxa"/>
            <w:tcBorders>
              <w:top w:val="single" w:sz="6" w:space="0" w:color="000000"/>
            </w:tcBorders>
            <w:shd w:val="clear" w:color="auto" w:fill="FFFFFF"/>
          </w:tcPr>
          <w:p w14:paraId="1B16E38E"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5,364,221</w:t>
            </w:r>
          </w:p>
        </w:tc>
      </w:tr>
      <w:tr w:rsidR="000F31AD" w14:paraId="6D8A7150"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0CDBF796"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 xml:space="preserve">[2] Government </w:t>
            </w:r>
          </w:p>
        </w:tc>
        <w:tc>
          <w:tcPr>
            <w:tcW w:w="3163" w:type="dxa"/>
            <w:tcBorders>
              <w:left w:val="single" w:sz="6" w:space="0" w:color="000000"/>
            </w:tcBorders>
            <w:shd w:val="clear" w:color="auto" w:fill="FFFFFF"/>
          </w:tcPr>
          <w:p w14:paraId="6DB5F002"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1,260,000</w:t>
            </w:r>
          </w:p>
        </w:tc>
        <w:tc>
          <w:tcPr>
            <w:tcW w:w="2798" w:type="dxa"/>
            <w:shd w:val="clear" w:color="auto" w:fill="FFFFFF"/>
          </w:tcPr>
          <w:p w14:paraId="77C5779B"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1,260,000</w:t>
            </w:r>
          </w:p>
        </w:tc>
      </w:tr>
      <w:tr w:rsidR="000F31AD" w14:paraId="7BEC70F2"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7329FB93"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[3] Other multi-/bi-laterals</w:t>
            </w:r>
          </w:p>
        </w:tc>
        <w:tc>
          <w:tcPr>
            <w:tcW w:w="3163" w:type="dxa"/>
            <w:tcBorders>
              <w:left w:val="single" w:sz="6" w:space="0" w:color="000000"/>
            </w:tcBorders>
            <w:shd w:val="clear" w:color="auto" w:fill="FFFFFF"/>
          </w:tcPr>
          <w:p w14:paraId="2CA53DCD"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222,841,371   </w:t>
            </w:r>
          </w:p>
        </w:tc>
        <w:tc>
          <w:tcPr>
            <w:tcW w:w="2798" w:type="dxa"/>
            <w:shd w:val="clear" w:color="auto" w:fill="FFFFFF"/>
          </w:tcPr>
          <w:p w14:paraId="5A409DA4"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222,841,371   </w:t>
            </w:r>
          </w:p>
        </w:tc>
      </w:tr>
      <w:tr w:rsidR="000F31AD" w14:paraId="054F0903"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38B5E1FC"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[4] Private Sector</w:t>
            </w:r>
          </w:p>
        </w:tc>
        <w:tc>
          <w:tcPr>
            <w:tcW w:w="3163" w:type="dxa"/>
            <w:tcBorders>
              <w:left w:val="single" w:sz="6" w:space="0" w:color="000000"/>
            </w:tcBorders>
            <w:shd w:val="clear" w:color="auto" w:fill="FFFFFF"/>
          </w:tcPr>
          <w:p w14:paraId="34AB53F1"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0</w:t>
            </w:r>
          </w:p>
        </w:tc>
        <w:tc>
          <w:tcPr>
            <w:tcW w:w="2798" w:type="dxa"/>
            <w:shd w:val="clear" w:color="auto" w:fill="FFFFFF"/>
          </w:tcPr>
          <w:p w14:paraId="2BC024C3"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0</w:t>
            </w:r>
          </w:p>
        </w:tc>
      </w:tr>
      <w:tr w:rsidR="000F31AD" w14:paraId="0A75BEA2"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44196619"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[5] IGO/NGOs</w:t>
            </w:r>
          </w:p>
        </w:tc>
        <w:tc>
          <w:tcPr>
            <w:tcW w:w="3163" w:type="dxa"/>
            <w:tcBorders>
              <w:left w:val="single" w:sz="6" w:space="0" w:color="000000"/>
            </w:tcBorders>
            <w:shd w:val="clear" w:color="auto" w:fill="FFFFFF"/>
          </w:tcPr>
          <w:p w14:paraId="1D6E94CA"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213,500</w:t>
            </w:r>
          </w:p>
        </w:tc>
        <w:tc>
          <w:tcPr>
            <w:tcW w:w="2798" w:type="dxa"/>
            <w:shd w:val="clear" w:color="auto" w:fill="FFFFFF"/>
          </w:tcPr>
          <w:p w14:paraId="364EDCB4"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213,500</w:t>
            </w:r>
          </w:p>
        </w:tc>
      </w:tr>
      <w:tr w:rsidR="000F31AD" w14:paraId="439EAADC"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621F0D23"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 xml:space="preserve">[6] Total Co-financing </w:t>
            </w:r>
          </w:p>
          <w:p w14:paraId="5C47F212"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[1+2+3+4+5]</w:t>
            </w:r>
          </w:p>
        </w:tc>
        <w:tc>
          <w:tcPr>
            <w:tcW w:w="3163" w:type="dxa"/>
            <w:tcBorders>
              <w:left w:val="single" w:sz="6" w:space="0" w:color="000000"/>
            </w:tcBorders>
            <w:shd w:val="clear" w:color="auto" w:fill="FFFFFF"/>
          </w:tcPr>
          <w:p w14:paraId="4F1E8E21"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229,679,092</w:t>
            </w:r>
          </w:p>
          <w:p w14:paraId="623F6FE9" w14:textId="77777777" w:rsidR="000F31AD" w:rsidRDefault="000F31AD">
            <w:pPr>
              <w:rPr>
                <w:rFonts w:ascii="Calibri" w:eastAsia="Calibri" w:hAnsi="Calibri" w:cs="Calibri"/>
                <w:color w:val="000000"/>
                <w:sz w:val="20"/>
                <w:szCs w:val="20"/>
              </w:rPr>
            </w:pPr>
          </w:p>
        </w:tc>
        <w:tc>
          <w:tcPr>
            <w:tcW w:w="2798" w:type="dxa"/>
            <w:shd w:val="clear" w:color="auto" w:fill="FFFFFF"/>
          </w:tcPr>
          <w:p w14:paraId="36B53B60"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229,679,092</w:t>
            </w:r>
          </w:p>
          <w:p w14:paraId="61B3A3C5" w14:textId="77777777" w:rsidR="000F31AD" w:rsidRDefault="000F31AD">
            <w:pPr>
              <w:rPr>
                <w:rFonts w:ascii="Calibri" w:eastAsia="Calibri" w:hAnsi="Calibri" w:cs="Calibri"/>
                <w:color w:val="000000"/>
                <w:sz w:val="20"/>
                <w:szCs w:val="20"/>
              </w:rPr>
            </w:pPr>
          </w:p>
        </w:tc>
      </w:tr>
      <w:tr w:rsidR="000F31AD" w14:paraId="3E16E3D1"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390DA226"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[7] Total GEF Funding FSP</w:t>
            </w:r>
          </w:p>
          <w:p w14:paraId="5B1258AE"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Total GEF Funding MSP</w:t>
            </w:r>
          </w:p>
        </w:tc>
        <w:tc>
          <w:tcPr>
            <w:tcW w:w="3163" w:type="dxa"/>
            <w:tcBorders>
              <w:left w:val="single" w:sz="6" w:space="0" w:color="000000"/>
            </w:tcBorders>
            <w:shd w:val="clear" w:color="auto" w:fill="FFFFFF"/>
          </w:tcPr>
          <w:p w14:paraId="69E0F2FC"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4,500,000</w:t>
            </w:r>
          </w:p>
          <w:p w14:paraId="75D69D56"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1,000,000</w:t>
            </w:r>
          </w:p>
        </w:tc>
        <w:tc>
          <w:tcPr>
            <w:tcW w:w="2798" w:type="dxa"/>
            <w:shd w:val="clear" w:color="auto" w:fill="FFFFFF"/>
          </w:tcPr>
          <w:p w14:paraId="455EECBF"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4,500,000</w:t>
            </w:r>
          </w:p>
          <w:p w14:paraId="65AD22A4"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1,000,000</w:t>
            </w:r>
          </w:p>
        </w:tc>
      </w:tr>
      <w:tr w:rsidR="000F31AD" w14:paraId="762802E6"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0F2E9488" w14:textId="77777777" w:rsidR="000F31AD" w:rsidRDefault="00A317E5">
            <w:pPr>
              <w:rPr>
                <w:rFonts w:ascii="Calibri" w:eastAsia="Calibri" w:hAnsi="Calibri" w:cs="Calibri"/>
                <w:b/>
                <w:color w:val="1F3864"/>
                <w:sz w:val="20"/>
                <w:szCs w:val="20"/>
              </w:rPr>
            </w:pPr>
            <w:r>
              <w:rPr>
                <w:rFonts w:ascii="Calibri" w:eastAsia="Calibri" w:hAnsi="Calibri" w:cs="Calibri"/>
                <w:b/>
                <w:color w:val="1F3864"/>
                <w:sz w:val="20"/>
                <w:szCs w:val="20"/>
              </w:rPr>
              <w:t>[8] Total Project Funding [6+7]</w:t>
            </w:r>
          </w:p>
        </w:tc>
        <w:tc>
          <w:tcPr>
            <w:tcW w:w="3163" w:type="dxa"/>
            <w:tcBorders>
              <w:left w:val="single" w:sz="6" w:space="0" w:color="000000"/>
            </w:tcBorders>
            <w:shd w:val="clear" w:color="auto" w:fill="FFFFFF"/>
          </w:tcPr>
          <w:p w14:paraId="0904E373"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235,179,092</w:t>
            </w:r>
          </w:p>
        </w:tc>
        <w:tc>
          <w:tcPr>
            <w:tcW w:w="2798" w:type="dxa"/>
            <w:shd w:val="clear" w:color="auto" w:fill="FFFFFF"/>
          </w:tcPr>
          <w:p w14:paraId="1B96758A" w14:textId="77777777" w:rsidR="000F31AD" w:rsidRDefault="00A317E5">
            <w:pPr>
              <w:rPr>
                <w:rFonts w:ascii="Calibri" w:eastAsia="Calibri" w:hAnsi="Calibri" w:cs="Calibri"/>
                <w:color w:val="000000"/>
                <w:sz w:val="20"/>
                <w:szCs w:val="20"/>
              </w:rPr>
            </w:pPr>
            <w:r>
              <w:rPr>
                <w:rFonts w:ascii="Calibri" w:eastAsia="Calibri" w:hAnsi="Calibri" w:cs="Calibri"/>
                <w:color w:val="000000"/>
                <w:sz w:val="20"/>
                <w:szCs w:val="20"/>
              </w:rPr>
              <w:t>235,179,092</w:t>
            </w:r>
          </w:p>
        </w:tc>
      </w:tr>
    </w:tbl>
    <w:p w14:paraId="7804349A" w14:textId="77777777" w:rsidR="000F31AD" w:rsidRDefault="000F31AD">
      <w:pPr>
        <w:rPr>
          <w:rFonts w:ascii="Calibri" w:eastAsia="Calibri" w:hAnsi="Calibri" w:cs="Calibri"/>
          <w:b/>
          <w:sz w:val="20"/>
          <w:szCs w:val="20"/>
        </w:rPr>
      </w:pPr>
    </w:p>
    <w:p w14:paraId="5462EC4F" w14:textId="77777777" w:rsidR="000F31AD" w:rsidRDefault="000F31AD">
      <w:pPr>
        <w:rPr>
          <w:rFonts w:ascii="Calibri" w:eastAsia="Calibri" w:hAnsi="Calibri" w:cs="Calibri"/>
          <w:b/>
          <w:sz w:val="22"/>
          <w:szCs w:val="22"/>
        </w:rPr>
      </w:pPr>
    </w:p>
    <w:p w14:paraId="72106FFB" w14:textId="3FD58CDE" w:rsidR="000F31AD" w:rsidRDefault="004C09B2">
      <w:pPr>
        <w:rPr>
          <w:rFonts w:ascii="Calibri" w:eastAsia="Calibri" w:hAnsi="Calibri" w:cs="Calibri"/>
          <w:b/>
          <w:sz w:val="22"/>
          <w:szCs w:val="22"/>
        </w:rPr>
      </w:pPr>
      <w:r>
        <w:rPr>
          <w:rFonts w:ascii="Calibri" w:eastAsia="Calibri" w:hAnsi="Calibri" w:cs="Calibri"/>
          <w:b/>
          <w:sz w:val="22"/>
          <w:szCs w:val="22"/>
        </w:rPr>
        <w:t>Brief description of the project</w:t>
      </w:r>
    </w:p>
    <w:p w14:paraId="7E89F10B" w14:textId="68A5C9E3" w:rsidR="004C09B2" w:rsidRDefault="004C09B2">
      <w:pPr>
        <w:rPr>
          <w:rFonts w:ascii="Calibri" w:eastAsia="Calibri" w:hAnsi="Calibri" w:cs="Calibri"/>
          <w:b/>
          <w:sz w:val="22"/>
          <w:szCs w:val="22"/>
        </w:rPr>
      </w:pPr>
    </w:p>
    <w:p w14:paraId="3B3EF510" w14:textId="4AF2600F" w:rsidR="004C09B2" w:rsidRPr="00894841" w:rsidRDefault="004C09B2" w:rsidP="00894841">
      <w:pPr>
        <w:jc w:val="both"/>
        <w:rPr>
          <w:rFonts w:ascii="Calibri" w:eastAsia="Calibri" w:hAnsi="Calibri" w:cs="Calibri"/>
          <w:sz w:val="22"/>
          <w:szCs w:val="22"/>
        </w:rPr>
      </w:pPr>
      <w:r>
        <w:rPr>
          <w:rFonts w:ascii="Calibri" w:eastAsia="Calibri" w:hAnsi="Calibri" w:cs="Calibri"/>
          <w:sz w:val="22"/>
          <w:szCs w:val="22"/>
        </w:rPr>
        <w:t>The GEF Full-Sized Project “</w:t>
      </w:r>
      <w:r w:rsidRPr="00894841">
        <w:rPr>
          <w:rFonts w:ascii="Calibri" w:eastAsia="Calibri" w:hAnsi="Calibri" w:cs="Calibri"/>
          <w:sz w:val="22"/>
          <w:szCs w:val="22"/>
        </w:rPr>
        <w:t>Enabling transboundary cooperation and integrated water resources in the extended Drin Basin</w:t>
      </w:r>
      <w:r>
        <w:rPr>
          <w:rFonts w:ascii="Calibri" w:eastAsia="Calibri" w:hAnsi="Calibri" w:cs="Calibri"/>
          <w:sz w:val="22"/>
          <w:szCs w:val="22"/>
        </w:rPr>
        <w:t>”</w:t>
      </w:r>
      <w:r w:rsidRPr="00894841">
        <w:rPr>
          <w:rFonts w:ascii="Calibri" w:eastAsia="Calibri" w:hAnsi="Calibri" w:cs="Calibri"/>
          <w:sz w:val="22"/>
          <w:szCs w:val="22"/>
        </w:rPr>
        <w:t xml:space="preserve"> (FSP)</w:t>
      </w:r>
      <w:r>
        <w:rPr>
          <w:rFonts w:ascii="Calibri" w:eastAsia="Calibri" w:hAnsi="Calibri" w:cs="Calibri"/>
          <w:sz w:val="22"/>
          <w:szCs w:val="22"/>
        </w:rPr>
        <w:t xml:space="preserve"> and the Mid-Sized Project “</w:t>
      </w:r>
      <w:r w:rsidRPr="00894841">
        <w:rPr>
          <w:rFonts w:ascii="Calibri" w:eastAsia="Calibri" w:hAnsi="Calibri" w:cs="Calibri"/>
          <w:sz w:val="22"/>
          <w:szCs w:val="22"/>
        </w:rPr>
        <w:t>Enabling transboundary cooperation and integrated water resources in the White Drin and extended Drin Basin</w:t>
      </w:r>
      <w:r>
        <w:rPr>
          <w:rFonts w:ascii="Calibri" w:eastAsia="Calibri" w:hAnsi="Calibri" w:cs="Calibri"/>
          <w:sz w:val="22"/>
          <w:szCs w:val="22"/>
        </w:rPr>
        <w:t xml:space="preserve">”, referred to as the Drin Project, have the goal </w:t>
      </w:r>
      <w:r>
        <w:rPr>
          <w:rFonts w:ascii="Calibri" w:eastAsia="Calibri" w:hAnsi="Calibri" w:cs="Calibri"/>
          <w:color w:val="000000"/>
          <w:sz w:val="22"/>
          <w:szCs w:val="22"/>
        </w:rPr>
        <w:t xml:space="preserve">to foster the joint management of the shared water resources of the extended transboundary Drin River Basin, including coordination mechanisms among the various sub-basin commissions and committees (Lakes Prespa, Ohrid and Skadar). This was expected to be achieved by (i) building consensus among countries on key transboundary concerns and drivers of change, including climate variability and change, reached through joint fact finding; (ii) facilitating the agreement on a shared vision and on a program of priority actions deemed necessary to achieve the vision; (iii) strengthening technical and institutional capacities. </w:t>
      </w:r>
    </w:p>
    <w:p w14:paraId="7BA4F5DA" w14:textId="77777777" w:rsidR="000F31AD" w:rsidRDefault="000F31AD">
      <w:pPr>
        <w:rPr>
          <w:rFonts w:ascii="Calibri" w:eastAsia="Calibri" w:hAnsi="Calibri" w:cs="Calibri"/>
          <w:b/>
          <w:sz w:val="22"/>
          <w:szCs w:val="22"/>
        </w:rPr>
      </w:pPr>
    </w:p>
    <w:p w14:paraId="7CD308DC" w14:textId="77777777" w:rsidR="00CD182D" w:rsidRDefault="00CD182D" w:rsidP="00CD182D">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project has the following components and outcomes:</w:t>
      </w:r>
    </w:p>
    <w:p w14:paraId="772C31CE" w14:textId="77777777" w:rsidR="00CD182D" w:rsidRDefault="00CD182D" w:rsidP="00CD182D">
      <w:pPr>
        <w:pBdr>
          <w:top w:val="nil"/>
          <w:left w:val="nil"/>
          <w:bottom w:val="nil"/>
          <w:right w:val="nil"/>
          <w:between w:val="nil"/>
        </w:pBdr>
        <w:jc w:val="both"/>
        <w:rPr>
          <w:rFonts w:ascii="Calibri" w:eastAsia="Calibri" w:hAnsi="Calibri" w:cs="Calibri"/>
          <w:color w:val="000000"/>
          <w:sz w:val="22"/>
          <w:szCs w:val="22"/>
        </w:rPr>
      </w:pPr>
    </w:p>
    <w:p w14:paraId="30249C7A" w14:textId="50674C76" w:rsidR="00CD182D" w:rsidRPr="00894841" w:rsidRDefault="00CD182D" w:rsidP="0052081C">
      <w:pPr>
        <w:pStyle w:val="ListParagraph"/>
        <w:numPr>
          <w:ilvl w:val="0"/>
          <w:numId w:val="18"/>
        </w:numPr>
        <w:pBdr>
          <w:top w:val="nil"/>
          <w:left w:val="nil"/>
          <w:bottom w:val="nil"/>
          <w:right w:val="nil"/>
          <w:between w:val="nil"/>
        </w:pBdr>
        <w:ind w:left="426" w:hanging="426"/>
        <w:jc w:val="both"/>
        <w:rPr>
          <w:rFonts w:ascii="Calibri" w:eastAsia="Calibri" w:hAnsi="Calibri" w:cs="Calibri"/>
          <w:color w:val="000000"/>
        </w:rPr>
      </w:pPr>
      <w:r w:rsidRPr="00CD182D">
        <w:rPr>
          <w:rFonts w:ascii="Calibri" w:eastAsia="Calibri" w:hAnsi="Calibri" w:cs="Calibri"/>
          <w:color w:val="000000"/>
          <w:sz w:val="22"/>
          <w:szCs w:val="22"/>
        </w:rPr>
        <w:t>C</w:t>
      </w:r>
      <w:r w:rsidRPr="00894841">
        <w:rPr>
          <w:rFonts w:ascii="Calibri" w:eastAsia="Calibri" w:hAnsi="Calibri" w:cs="Calibri"/>
          <w:color w:val="000000"/>
          <w:sz w:val="22"/>
          <w:szCs w:val="22"/>
        </w:rPr>
        <w:t>omponent 1</w:t>
      </w:r>
      <w:r w:rsidRPr="00CD182D">
        <w:rPr>
          <w:rFonts w:ascii="Calibri" w:eastAsia="Calibri" w:hAnsi="Calibri" w:cs="Calibri"/>
          <w:color w:val="000000"/>
          <w:sz w:val="22"/>
          <w:szCs w:val="22"/>
        </w:rPr>
        <w:t>:</w:t>
      </w:r>
      <w:r w:rsidRPr="00894841">
        <w:rPr>
          <w:rFonts w:ascii="Calibri" w:eastAsia="Calibri" w:hAnsi="Calibri" w:cs="Calibri"/>
          <w:color w:val="000000"/>
          <w:sz w:val="22"/>
          <w:szCs w:val="22"/>
        </w:rPr>
        <w:t xml:space="preserve"> </w:t>
      </w:r>
      <w:r w:rsidRPr="00CD182D">
        <w:rPr>
          <w:rFonts w:ascii="Calibri" w:eastAsia="Calibri" w:hAnsi="Calibri" w:cs="Calibri"/>
          <w:color w:val="000000"/>
          <w:sz w:val="22"/>
          <w:szCs w:val="22"/>
        </w:rPr>
        <w:t>C</w:t>
      </w:r>
      <w:r w:rsidRPr="00894841">
        <w:rPr>
          <w:rFonts w:ascii="Calibri" w:eastAsia="Calibri" w:hAnsi="Calibri" w:cs="Calibri"/>
          <w:color w:val="000000"/>
          <w:sz w:val="22"/>
          <w:szCs w:val="22"/>
        </w:rPr>
        <w:t xml:space="preserve">onsolidating a common knowledge base </w:t>
      </w:r>
      <w:r w:rsidRPr="00CD182D">
        <w:rPr>
          <w:rFonts w:ascii="Calibri" w:eastAsia="Calibri" w:hAnsi="Calibri" w:cs="Calibri"/>
          <w:color w:val="000000"/>
          <w:sz w:val="22"/>
          <w:szCs w:val="22"/>
        </w:rPr>
        <w:t>(</w:t>
      </w:r>
      <w:r>
        <w:rPr>
          <w:rFonts w:ascii="Calibri" w:eastAsia="Calibri" w:hAnsi="Calibri" w:cs="Calibri"/>
          <w:color w:val="000000"/>
          <w:sz w:val="22"/>
          <w:szCs w:val="22"/>
        </w:rPr>
        <w:t>O</w:t>
      </w:r>
      <w:r w:rsidRPr="00894841">
        <w:rPr>
          <w:rFonts w:ascii="Calibri" w:eastAsia="Calibri" w:hAnsi="Calibri" w:cs="Calibri"/>
          <w:color w:val="000000"/>
          <w:sz w:val="22"/>
          <w:szCs w:val="22"/>
        </w:rPr>
        <w:t xml:space="preserve">utcome 1: </w:t>
      </w:r>
      <w:r>
        <w:rPr>
          <w:rFonts w:ascii="Calibri" w:eastAsia="Calibri" w:hAnsi="Calibri" w:cs="Calibri"/>
          <w:color w:val="000000"/>
          <w:sz w:val="22"/>
          <w:szCs w:val="22"/>
        </w:rPr>
        <w:t>C</w:t>
      </w:r>
      <w:r w:rsidRPr="00894841">
        <w:rPr>
          <w:rFonts w:ascii="Calibri" w:eastAsia="Calibri" w:hAnsi="Calibri" w:cs="Calibri"/>
          <w:color w:val="000000"/>
          <w:sz w:val="22"/>
          <w:szCs w:val="22"/>
        </w:rPr>
        <w:t>onsensus among countries on key transboundary concerns, including climate change and variability, reached through joint fact finding</w:t>
      </w:r>
      <w:r>
        <w:rPr>
          <w:rFonts w:ascii="Calibri" w:eastAsia="Calibri" w:hAnsi="Calibri" w:cs="Calibri"/>
          <w:color w:val="000000"/>
          <w:sz w:val="22"/>
          <w:szCs w:val="22"/>
        </w:rPr>
        <w:t>)</w:t>
      </w:r>
      <w:r w:rsidRPr="00894841">
        <w:rPr>
          <w:rFonts w:ascii="Calibri" w:eastAsia="Calibri" w:hAnsi="Calibri" w:cs="Calibri"/>
          <w:color w:val="000000"/>
          <w:sz w:val="22"/>
          <w:szCs w:val="22"/>
        </w:rPr>
        <w:t xml:space="preserve"> </w:t>
      </w:r>
    </w:p>
    <w:p w14:paraId="46DE5C50" w14:textId="36C7B3B6" w:rsidR="00CD182D" w:rsidRPr="00894841" w:rsidRDefault="00CD182D" w:rsidP="0052081C">
      <w:pPr>
        <w:pStyle w:val="ListParagraph"/>
        <w:numPr>
          <w:ilvl w:val="0"/>
          <w:numId w:val="18"/>
        </w:numPr>
        <w:pBdr>
          <w:top w:val="nil"/>
          <w:left w:val="nil"/>
          <w:bottom w:val="nil"/>
          <w:right w:val="nil"/>
          <w:between w:val="nil"/>
        </w:pBdr>
        <w:ind w:left="426" w:hanging="426"/>
        <w:jc w:val="both"/>
        <w:rPr>
          <w:rFonts w:ascii="Calibri" w:eastAsia="Calibri" w:hAnsi="Calibri" w:cs="Calibri"/>
          <w:color w:val="000000"/>
        </w:rPr>
      </w:pPr>
      <w:r w:rsidRPr="00CD182D">
        <w:rPr>
          <w:rFonts w:ascii="Calibri" w:eastAsia="Calibri" w:hAnsi="Calibri" w:cs="Calibri"/>
          <w:color w:val="000000"/>
          <w:sz w:val="22"/>
          <w:szCs w:val="22"/>
        </w:rPr>
        <w:t>C</w:t>
      </w:r>
      <w:r w:rsidRPr="00894841">
        <w:rPr>
          <w:rFonts w:ascii="Calibri" w:eastAsia="Calibri" w:hAnsi="Calibri" w:cs="Calibri"/>
          <w:color w:val="000000"/>
          <w:sz w:val="22"/>
          <w:szCs w:val="22"/>
        </w:rPr>
        <w:t>omponent 2</w:t>
      </w:r>
      <w:r w:rsidRPr="00CD182D">
        <w:rPr>
          <w:rFonts w:ascii="Calibri" w:eastAsia="Calibri" w:hAnsi="Calibri" w:cs="Calibri"/>
          <w:color w:val="000000"/>
          <w:sz w:val="22"/>
          <w:szCs w:val="22"/>
        </w:rPr>
        <w:t>:</w:t>
      </w:r>
      <w:r w:rsidRPr="00894841">
        <w:rPr>
          <w:rFonts w:ascii="Calibri" w:eastAsia="Calibri" w:hAnsi="Calibri" w:cs="Calibri"/>
          <w:color w:val="000000"/>
          <w:sz w:val="22"/>
          <w:szCs w:val="22"/>
        </w:rPr>
        <w:t xml:space="preserve"> </w:t>
      </w:r>
      <w:r w:rsidRPr="00CD182D">
        <w:rPr>
          <w:rFonts w:ascii="Calibri" w:eastAsia="Calibri" w:hAnsi="Calibri" w:cs="Calibri"/>
          <w:color w:val="000000"/>
          <w:sz w:val="22"/>
          <w:szCs w:val="22"/>
        </w:rPr>
        <w:t>B</w:t>
      </w:r>
      <w:r w:rsidRPr="00894841">
        <w:rPr>
          <w:rFonts w:ascii="Calibri" w:eastAsia="Calibri" w:hAnsi="Calibri" w:cs="Calibri"/>
          <w:color w:val="000000"/>
          <w:sz w:val="22"/>
          <w:szCs w:val="22"/>
        </w:rPr>
        <w:t xml:space="preserve">uilding the foundation for multi-country cooperation </w:t>
      </w:r>
      <w:r w:rsidRPr="00CD182D">
        <w:rPr>
          <w:rFonts w:ascii="Calibri" w:eastAsia="Calibri" w:hAnsi="Calibri" w:cs="Calibri"/>
          <w:color w:val="000000"/>
          <w:sz w:val="22"/>
          <w:szCs w:val="22"/>
        </w:rPr>
        <w:t>(O</w:t>
      </w:r>
      <w:r w:rsidRPr="00894841">
        <w:rPr>
          <w:rFonts w:ascii="Calibri" w:eastAsia="Calibri" w:hAnsi="Calibri" w:cs="Calibri"/>
          <w:color w:val="000000"/>
          <w:sz w:val="22"/>
          <w:szCs w:val="22"/>
        </w:rPr>
        <w:t xml:space="preserve">utcome 2: </w:t>
      </w:r>
      <w:r>
        <w:rPr>
          <w:rFonts w:ascii="Calibri" w:eastAsia="Calibri" w:hAnsi="Calibri" w:cs="Calibri"/>
          <w:color w:val="000000"/>
          <w:sz w:val="22"/>
          <w:szCs w:val="22"/>
        </w:rPr>
        <w:t>V</w:t>
      </w:r>
      <w:r w:rsidRPr="00894841">
        <w:rPr>
          <w:rFonts w:ascii="Calibri" w:eastAsia="Calibri" w:hAnsi="Calibri" w:cs="Calibri"/>
          <w:color w:val="000000"/>
          <w:sz w:val="22"/>
          <w:szCs w:val="22"/>
        </w:rPr>
        <w:t xml:space="preserve">isioning process opens the way for systematic cooperation in the management of the transboundary </w:t>
      </w:r>
      <w:r w:rsidRPr="00CD182D">
        <w:rPr>
          <w:rFonts w:ascii="Calibri" w:eastAsia="Calibri" w:hAnsi="Calibri" w:cs="Calibri"/>
          <w:color w:val="000000"/>
          <w:sz w:val="22"/>
          <w:szCs w:val="22"/>
        </w:rPr>
        <w:t>D</w:t>
      </w:r>
      <w:r w:rsidRPr="00894841">
        <w:rPr>
          <w:rFonts w:ascii="Calibri" w:eastAsia="Calibri" w:hAnsi="Calibri" w:cs="Calibri"/>
          <w:color w:val="000000"/>
          <w:sz w:val="22"/>
          <w:szCs w:val="22"/>
        </w:rPr>
        <w:t>rin river basin</w:t>
      </w:r>
      <w:r w:rsidRPr="00CD182D">
        <w:rPr>
          <w:rFonts w:ascii="Calibri" w:eastAsia="Calibri" w:hAnsi="Calibri" w:cs="Calibri"/>
          <w:color w:val="000000"/>
          <w:sz w:val="22"/>
          <w:szCs w:val="22"/>
        </w:rPr>
        <w:t xml:space="preserve">, and </w:t>
      </w:r>
      <w:r>
        <w:rPr>
          <w:rFonts w:ascii="Calibri" w:eastAsia="Calibri" w:hAnsi="Calibri" w:cs="Calibri"/>
          <w:color w:val="000000"/>
          <w:sz w:val="22"/>
          <w:szCs w:val="22"/>
        </w:rPr>
        <w:t>O</w:t>
      </w:r>
      <w:r w:rsidRPr="00894841">
        <w:rPr>
          <w:rFonts w:ascii="Calibri" w:eastAsia="Calibri" w:hAnsi="Calibri" w:cs="Calibri"/>
          <w:color w:val="000000"/>
          <w:sz w:val="22"/>
          <w:szCs w:val="22"/>
        </w:rPr>
        <w:t xml:space="preserve">utcome 3: </w:t>
      </w:r>
      <w:r>
        <w:rPr>
          <w:rFonts w:ascii="Calibri" w:eastAsia="Calibri" w:hAnsi="Calibri" w:cs="Calibri"/>
          <w:color w:val="000000"/>
          <w:sz w:val="22"/>
          <w:szCs w:val="22"/>
        </w:rPr>
        <w:t>C</w:t>
      </w:r>
      <w:r w:rsidRPr="00894841">
        <w:rPr>
          <w:rFonts w:ascii="Calibri" w:eastAsia="Calibri" w:hAnsi="Calibri" w:cs="Calibri"/>
          <w:color w:val="000000"/>
          <w:sz w:val="22"/>
          <w:szCs w:val="22"/>
        </w:rPr>
        <w:t>ountries and donors commit to sustain joint cooperation mechanisms and to undertake priority reforms and investments</w:t>
      </w:r>
      <w:r>
        <w:rPr>
          <w:rFonts w:ascii="Calibri" w:eastAsia="Calibri" w:hAnsi="Calibri" w:cs="Calibri"/>
          <w:color w:val="000000"/>
          <w:sz w:val="22"/>
          <w:szCs w:val="22"/>
        </w:rPr>
        <w:t>)</w:t>
      </w:r>
      <w:r w:rsidRPr="00894841">
        <w:rPr>
          <w:rFonts w:ascii="Calibri" w:eastAsia="Calibri" w:hAnsi="Calibri" w:cs="Calibri"/>
          <w:color w:val="000000"/>
          <w:sz w:val="22"/>
          <w:szCs w:val="22"/>
        </w:rPr>
        <w:t xml:space="preserve"> </w:t>
      </w:r>
    </w:p>
    <w:p w14:paraId="1333E3D9" w14:textId="295A9596" w:rsidR="00CD182D" w:rsidRPr="00894841" w:rsidRDefault="00CD182D" w:rsidP="0052081C">
      <w:pPr>
        <w:pStyle w:val="ListParagraph"/>
        <w:numPr>
          <w:ilvl w:val="0"/>
          <w:numId w:val="18"/>
        </w:numPr>
        <w:pBdr>
          <w:top w:val="nil"/>
          <w:left w:val="nil"/>
          <w:bottom w:val="nil"/>
          <w:right w:val="nil"/>
          <w:between w:val="nil"/>
        </w:pBdr>
        <w:ind w:left="426" w:hanging="426"/>
        <w:jc w:val="both"/>
        <w:rPr>
          <w:rFonts w:ascii="Calibri" w:eastAsia="Calibri" w:hAnsi="Calibri" w:cs="Calibri"/>
          <w:color w:val="000000"/>
        </w:rPr>
      </w:pPr>
      <w:r w:rsidRPr="00CD182D">
        <w:rPr>
          <w:rFonts w:ascii="Calibri" w:eastAsia="Calibri" w:hAnsi="Calibri" w:cs="Calibri"/>
          <w:color w:val="000000"/>
          <w:sz w:val="22"/>
          <w:szCs w:val="22"/>
        </w:rPr>
        <w:t>C</w:t>
      </w:r>
      <w:r w:rsidRPr="00894841">
        <w:rPr>
          <w:rFonts w:ascii="Calibri" w:eastAsia="Calibri" w:hAnsi="Calibri" w:cs="Calibri"/>
          <w:color w:val="000000"/>
          <w:sz w:val="22"/>
          <w:szCs w:val="22"/>
        </w:rPr>
        <w:t>omponent 3</w:t>
      </w:r>
      <w:r w:rsidRPr="00CD182D">
        <w:rPr>
          <w:rFonts w:ascii="Calibri" w:eastAsia="Calibri" w:hAnsi="Calibri" w:cs="Calibri"/>
          <w:color w:val="000000"/>
          <w:sz w:val="22"/>
          <w:szCs w:val="22"/>
        </w:rPr>
        <w:t>:</w:t>
      </w:r>
      <w:r w:rsidRPr="00894841">
        <w:rPr>
          <w:rFonts w:ascii="Calibri" w:eastAsia="Calibri" w:hAnsi="Calibri" w:cs="Calibri"/>
          <w:color w:val="000000"/>
          <w:sz w:val="22"/>
          <w:szCs w:val="22"/>
        </w:rPr>
        <w:t xml:space="preserve"> </w:t>
      </w:r>
      <w:r w:rsidRPr="00CD182D">
        <w:rPr>
          <w:rFonts w:ascii="Calibri" w:eastAsia="Calibri" w:hAnsi="Calibri" w:cs="Calibri"/>
          <w:color w:val="000000"/>
          <w:sz w:val="22"/>
          <w:szCs w:val="22"/>
        </w:rPr>
        <w:t>I</w:t>
      </w:r>
      <w:r w:rsidRPr="00894841">
        <w:rPr>
          <w:rFonts w:ascii="Calibri" w:eastAsia="Calibri" w:hAnsi="Calibri" w:cs="Calibri"/>
          <w:color w:val="000000"/>
          <w:sz w:val="22"/>
          <w:szCs w:val="22"/>
        </w:rPr>
        <w:t xml:space="preserve">nstitutional strengthening for </w:t>
      </w:r>
      <w:r w:rsidRPr="00CD182D">
        <w:rPr>
          <w:rFonts w:ascii="Calibri" w:eastAsia="Calibri" w:hAnsi="Calibri" w:cs="Calibri"/>
          <w:color w:val="000000"/>
          <w:sz w:val="22"/>
          <w:szCs w:val="22"/>
        </w:rPr>
        <w:t xml:space="preserve">Integrated River Basin Management </w:t>
      </w:r>
      <w:r w:rsidRPr="00894841">
        <w:rPr>
          <w:rFonts w:ascii="Calibri" w:eastAsia="Calibri" w:hAnsi="Calibri" w:cs="Calibri"/>
          <w:color w:val="000000"/>
          <w:sz w:val="22"/>
          <w:szCs w:val="22"/>
        </w:rPr>
        <w:t>(</w:t>
      </w:r>
      <w:r w:rsidRPr="00CD182D">
        <w:rPr>
          <w:rFonts w:ascii="Calibri" w:eastAsia="Calibri" w:hAnsi="Calibri" w:cs="Calibri"/>
          <w:color w:val="000000"/>
          <w:sz w:val="22"/>
          <w:szCs w:val="22"/>
        </w:rPr>
        <w:t>IRBM</w:t>
      </w:r>
      <w:r w:rsidRPr="00894841">
        <w:rPr>
          <w:rFonts w:ascii="Calibri" w:eastAsia="Calibri" w:hAnsi="Calibri" w:cs="Calibri"/>
          <w:color w:val="000000"/>
          <w:sz w:val="22"/>
          <w:szCs w:val="22"/>
        </w:rPr>
        <w:t xml:space="preserve">) </w:t>
      </w:r>
      <w:r w:rsidRPr="00CD182D">
        <w:rPr>
          <w:rFonts w:ascii="Calibri" w:eastAsia="Calibri" w:hAnsi="Calibri" w:cs="Calibri"/>
          <w:color w:val="000000"/>
          <w:sz w:val="22"/>
          <w:szCs w:val="22"/>
        </w:rPr>
        <w:t>(</w:t>
      </w:r>
      <w:r>
        <w:rPr>
          <w:rFonts w:ascii="Calibri" w:eastAsia="Calibri" w:hAnsi="Calibri" w:cs="Calibri"/>
          <w:color w:val="000000"/>
          <w:sz w:val="22"/>
          <w:szCs w:val="22"/>
        </w:rPr>
        <w:t>O</w:t>
      </w:r>
      <w:r w:rsidRPr="00894841">
        <w:rPr>
          <w:rFonts w:ascii="Calibri" w:eastAsia="Calibri" w:hAnsi="Calibri" w:cs="Calibri"/>
          <w:color w:val="000000"/>
          <w:sz w:val="22"/>
          <w:szCs w:val="22"/>
        </w:rPr>
        <w:t xml:space="preserve">utcome 4: </w:t>
      </w:r>
      <w:r>
        <w:rPr>
          <w:rFonts w:ascii="Calibri" w:eastAsia="Calibri" w:hAnsi="Calibri" w:cs="Calibri"/>
          <w:color w:val="000000"/>
          <w:sz w:val="22"/>
          <w:szCs w:val="22"/>
        </w:rPr>
        <w:t>T</w:t>
      </w:r>
      <w:r w:rsidRPr="00894841">
        <w:rPr>
          <w:rFonts w:ascii="Calibri" w:eastAsia="Calibri" w:hAnsi="Calibri" w:cs="Calibri"/>
          <w:color w:val="000000"/>
          <w:sz w:val="22"/>
          <w:szCs w:val="22"/>
        </w:rPr>
        <w:t xml:space="preserve">he operationalization and strengthening of the institutional and legal frameworks </w:t>
      </w:r>
      <w:r w:rsidRPr="00894841">
        <w:rPr>
          <w:rFonts w:ascii="Calibri" w:eastAsia="Calibri" w:hAnsi="Calibri" w:cs="Calibri"/>
          <w:color w:val="000000"/>
          <w:sz w:val="22"/>
          <w:szCs w:val="22"/>
        </w:rPr>
        <w:lastRenderedPageBreak/>
        <w:t xml:space="preserve">for transboundary cooperation will facilitate balancing of water uses and sustaining environmental quality throughout the extended </w:t>
      </w:r>
      <w:r>
        <w:rPr>
          <w:rFonts w:ascii="Calibri" w:eastAsia="Calibri" w:hAnsi="Calibri" w:cs="Calibri"/>
          <w:color w:val="000000"/>
          <w:sz w:val="22"/>
          <w:szCs w:val="22"/>
        </w:rPr>
        <w:t>D</w:t>
      </w:r>
      <w:r w:rsidRPr="00894841">
        <w:rPr>
          <w:rFonts w:ascii="Calibri" w:eastAsia="Calibri" w:hAnsi="Calibri" w:cs="Calibri"/>
          <w:color w:val="000000"/>
          <w:sz w:val="22"/>
          <w:szCs w:val="22"/>
        </w:rPr>
        <w:t xml:space="preserve">rin basin. </w:t>
      </w:r>
    </w:p>
    <w:p w14:paraId="7D7DE871" w14:textId="77777777" w:rsidR="00CD182D" w:rsidRPr="00894841" w:rsidRDefault="00CD182D" w:rsidP="0052081C">
      <w:pPr>
        <w:pStyle w:val="ListParagraph"/>
        <w:numPr>
          <w:ilvl w:val="0"/>
          <w:numId w:val="18"/>
        </w:numPr>
        <w:pBdr>
          <w:top w:val="nil"/>
          <w:left w:val="nil"/>
          <w:bottom w:val="nil"/>
          <w:right w:val="nil"/>
          <w:between w:val="nil"/>
        </w:pBdr>
        <w:ind w:left="426" w:hanging="426"/>
        <w:jc w:val="both"/>
        <w:rPr>
          <w:rFonts w:ascii="Calibri" w:eastAsia="Calibri" w:hAnsi="Calibri" w:cs="Calibri"/>
          <w:color w:val="000000"/>
        </w:rPr>
      </w:pPr>
      <w:r w:rsidRPr="00CD182D">
        <w:rPr>
          <w:rFonts w:ascii="Calibri" w:eastAsia="Calibri" w:hAnsi="Calibri" w:cs="Calibri"/>
          <w:color w:val="000000"/>
          <w:sz w:val="22"/>
          <w:szCs w:val="22"/>
        </w:rPr>
        <w:t>C</w:t>
      </w:r>
      <w:r w:rsidRPr="00894841">
        <w:rPr>
          <w:rFonts w:ascii="Calibri" w:eastAsia="Calibri" w:hAnsi="Calibri" w:cs="Calibri"/>
          <w:color w:val="000000"/>
          <w:sz w:val="22"/>
          <w:szCs w:val="22"/>
        </w:rPr>
        <w:t>omponent 4</w:t>
      </w:r>
      <w:r w:rsidRPr="00CD182D">
        <w:rPr>
          <w:rFonts w:ascii="Calibri" w:eastAsia="Calibri" w:hAnsi="Calibri" w:cs="Calibri"/>
          <w:color w:val="000000"/>
          <w:sz w:val="22"/>
          <w:szCs w:val="22"/>
        </w:rPr>
        <w:t>:</w:t>
      </w:r>
      <w:r w:rsidRPr="00894841">
        <w:rPr>
          <w:rFonts w:ascii="Calibri" w:eastAsia="Calibri" w:hAnsi="Calibri" w:cs="Calibri"/>
          <w:color w:val="000000"/>
          <w:sz w:val="22"/>
          <w:szCs w:val="22"/>
        </w:rPr>
        <w:t xml:space="preserve"> </w:t>
      </w:r>
      <w:r w:rsidRPr="00CD182D">
        <w:rPr>
          <w:rFonts w:ascii="Calibri" w:eastAsia="Calibri" w:hAnsi="Calibri" w:cs="Calibri"/>
          <w:color w:val="000000"/>
          <w:sz w:val="22"/>
          <w:szCs w:val="22"/>
        </w:rPr>
        <w:t>D</w:t>
      </w:r>
      <w:r w:rsidRPr="00894841">
        <w:rPr>
          <w:rFonts w:ascii="Calibri" w:eastAsia="Calibri" w:hAnsi="Calibri" w:cs="Calibri"/>
          <w:color w:val="000000"/>
          <w:sz w:val="22"/>
          <w:szCs w:val="22"/>
        </w:rPr>
        <w:t xml:space="preserve">emonstration of technologies and practices for </w:t>
      </w:r>
      <w:r w:rsidRPr="00CD182D">
        <w:rPr>
          <w:rFonts w:ascii="Calibri" w:eastAsia="Calibri" w:hAnsi="Calibri" w:cs="Calibri"/>
          <w:color w:val="000000"/>
          <w:sz w:val="22"/>
          <w:szCs w:val="22"/>
        </w:rPr>
        <w:t>IWRM</w:t>
      </w:r>
      <w:r w:rsidRPr="00894841">
        <w:rPr>
          <w:rFonts w:ascii="Calibri" w:eastAsia="Calibri" w:hAnsi="Calibri" w:cs="Calibri"/>
          <w:color w:val="000000"/>
          <w:sz w:val="22"/>
          <w:szCs w:val="22"/>
        </w:rPr>
        <w:t xml:space="preserve"> and ecosystem management </w:t>
      </w:r>
      <w:r w:rsidRPr="00CD182D">
        <w:rPr>
          <w:rFonts w:ascii="Calibri" w:eastAsia="Calibri" w:hAnsi="Calibri" w:cs="Calibri"/>
          <w:color w:val="000000"/>
          <w:sz w:val="22"/>
          <w:szCs w:val="22"/>
        </w:rPr>
        <w:t>(</w:t>
      </w:r>
      <w:r>
        <w:rPr>
          <w:rFonts w:ascii="Calibri" w:eastAsia="Calibri" w:hAnsi="Calibri" w:cs="Calibri"/>
          <w:color w:val="000000"/>
          <w:sz w:val="22"/>
          <w:szCs w:val="22"/>
        </w:rPr>
        <w:t>O</w:t>
      </w:r>
      <w:r w:rsidRPr="00894841">
        <w:rPr>
          <w:rFonts w:ascii="Calibri" w:eastAsia="Calibri" w:hAnsi="Calibri" w:cs="Calibri"/>
          <w:color w:val="000000"/>
          <w:sz w:val="22"/>
          <w:szCs w:val="22"/>
        </w:rPr>
        <w:t xml:space="preserve">utcome 5: </w:t>
      </w:r>
      <w:r>
        <w:rPr>
          <w:rFonts w:ascii="Calibri" w:eastAsia="Calibri" w:hAnsi="Calibri" w:cs="Calibri"/>
          <w:color w:val="000000"/>
          <w:sz w:val="22"/>
          <w:szCs w:val="22"/>
        </w:rPr>
        <w:t>B</w:t>
      </w:r>
      <w:r w:rsidRPr="00894841">
        <w:rPr>
          <w:rFonts w:ascii="Calibri" w:eastAsia="Calibri" w:hAnsi="Calibri" w:cs="Calibri"/>
          <w:color w:val="000000"/>
          <w:sz w:val="22"/>
          <w:szCs w:val="22"/>
        </w:rPr>
        <w:t>enefits demonstrated on the ground by environmentally sound approaches and technologies new to the region</w:t>
      </w:r>
      <w:r>
        <w:rPr>
          <w:rFonts w:ascii="Calibri" w:eastAsia="Calibri" w:hAnsi="Calibri" w:cs="Calibri"/>
          <w:color w:val="000000"/>
          <w:sz w:val="22"/>
          <w:szCs w:val="22"/>
        </w:rPr>
        <w:t>)</w:t>
      </w:r>
      <w:r w:rsidRPr="00CD182D">
        <w:rPr>
          <w:rFonts w:ascii="Calibri" w:eastAsia="Calibri" w:hAnsi="Calibri" w:cs="Calibri"/>
          <w:color w:val="000000"/>
          <w:sz w:val="22"/>
          <w:szCs w:val="22"/>
        </w:rPr>
        <w:t xml:space="preserve"> </w:t>
      </w:r>
    </w:p>
    <w:p w14:paraId="0F0BE174" w14:textId="73767464" w:rsidR="00CD182D" w:rsidRPr="00894841" w:rsidRDefault="00CD182D" w:rsidP="0052081C">
      <w:pPr>
        <w:pStyle w:val="ListParagraph"/>
        <w:numPr>
          <w:ilvl w:val="0"/>
          <w:numId w:val="18"/>
        </w:numPr>
        <w:pBdr>
          <w:top w:val="nil"/>
          <w:left w:val="nil"/>
          <w:bottom w:val="nil"/>
          <w:right w:val="nil"/>
          <w:between w:val="nil"/>
        </w:pBdr>
        <w:ind w:left="426" w:hanging="426"/>
        <w:jc w:val="both"/>
        <w:rPr>
          <w:rFonts w:ascii="Calibri" w:eastAsia="Calibri" w:hAnsi="Calibri" w:cs="Calibri"/>
          <w:color w:val="000000"/>
        </w:rPr>
      </w:pPr>
      <w:r w:rsidRPr="00CD182D">
        <w:rPr>
          <w:rFonts w:ascii="Calibri" w:eastAsia="Calibri" w:hAnsi="Calibri" w:cs="Calibri"/>
          <w:color w:val="000000"/>
          <w:sz w:val="22"/>
          <w:szCs w:val="22"/>
        </w:rPr>
        <w:t>C</w:t>
      </w:r>
      <w:r w:rsidRPr="00894841">
        <w:rPr>
          <w:rFonts w:ascii="Calibri" w:eastAsia="Calibri" w:hAnsi="Calibri" w:cs="Calibri"/>
          <w:color w:val="000000"/>
          <w:sz w:val="22"/>
          <w:szCs w:val="22"/>
        </w:rPr>
        <w:t xml:space="preserve">omponent 5. </w:t>
      </w:r>
      <w:r w:rsidRPr="00CD182D">
        <w:rPr>
          <w:rFonts w:ascii="Calibri" w:eastAsia="Calibri" w:hAnsi="Calibri" w:cs="Calibri"/>
          <w:color w:val="000000"/>
          <w:sz w:val="22"/>
          <w:szCs w:val="22"/>
        </w:rPr>
        <w:t>S</w:t>
      </w:r>
      <w:r w:rsidRPr="00894841">
        <w:rPr>
          <w:rFonts w:ascii="Calibri" w:eastAsia="Calibri" w:hAnsi="Calibri" w:cs="Calibri"/>
          <w:color w:val="000000"/>
          <w:sz w:val="22"/>
          <w:szCs w:val="22"/>
        </w:rPr>
        <w:t xml:space="preserve">takeholder involvement, gender mainstreaming and communication </w:t>
      </w:r>
      <w:r w:rsidRPr="00CD182D">
        <w:rPr>
          <w:rFonts w:ascii="Calibri" w:eastAsia="Calibri" w:hAnsi="Calibri" w:cs="Calibri"/>
          <w:color w:val="000000"/>
          <w:sz w:val="22"/>
          <w:szCs w:val="22"/>
        </w:rPr>
        <w:t>(O</w:t>
      </w:r>
      <w:r w:rsidRPr="00894841">
        <w:rPr>
          <w:rFonts w:ascii="Calibri" w:eastAsia="Calibri" w:hAnsi="Calibri" w:cs="Calibri"/>
          <w:color w:val="000000"/>
          <w:sz w:val="22"/>
          <w:szCs w:val="22"/>
        </w:rPr>
        <w:t xml:space="preserve">utcome 6: </w:t>
      </w:r>
      <w:r w:rsidRPr="00CD182D">
        <w:rPr>
          <w:rFonts w:ascii="Calibri" w:eastAsia="Calibri" w:hAnsi="Calibri" w:cs="Calibri"/>
          <w:color w:val="000000"/>
          <w:sz w:val="22"/>
          <w:szCs w:val="22"/>
        </w:rPr>
        <w:t>P</w:t>
      </w:r>
      <w:r w:rsidRPr="00894841">
        <w:rPr>
          <w:rFonts w:ascii="Calibri" w:eastAsia="Calibri" w:hAnsi="Calibri" w:cs="Calibri"/>
          <w:color w:val="000000"/>
          <w:sz w:val="22"/>
          <w:szCs w:val="22"/>
        </w:rPr>
        <w:t xml:space="preserve">ublic support and participation to </w:t>
      </w:r>
      <w:r w:rsidRPr="00CD182D">
        <w:rPr>
          <w:rFonts w:ascii="Calibri" w:eastAsia="Calibri" w:hAnsi="Calibri" w:cs="Calibri"/>
          <w:color w:val="000000"/>
          <w:sz w:val="22"/>
          <w:szCs w:val="22"/>
        </w:rPr>
        <w:t>IWRM</w:t>
      </w:r>
      <w:r w:rsidRPr="00894841">
        <w:rPr>
          <w:rFonts w:ascii="Calibri" w:eastAsia="Calibri" w:hAnsi="Calibri" w:cs="Calibri"/>
          <w:color w:val="000000"/>
          <w:sz w:val="22"/>
          <w:szCs w:val="22"/>
        </w:rPr>
        <w:t xml:space="preserve"> and joint multi-country management enhanced through stakeholder involvement and gender mainstreaming</w:t>
      </w:r>
      <w:r w:rsidRPr="00CD182D">
        <w:rPr>
          <w:rFonts w:ascii="Calibri" w:eastAsia="Calibri" w:hAnsi="Calibri" w:cs="Calibri"/>
          <w:color w:val="000000"/>
          <w:sz w:val="22"/>
          <w:szCs w:val="22"/>
        </w:rPr>
        <w:t xml:space="preserve"> and </w:t>
      </w:r>
      <w:r>
        <w:rPr>
          <w:rFonts w:ascii="Calibri" w:eastAsia="Calibri" w:hAnsi="Calibri" w:cs="Calibri"/>
          <w:color w:val="000000"/>
          <w:sz w:val="22"/>
          <w:szCs w:val="22"/>
        </w:rPr>
        <w:t>O</w:t>
      </w:r>
      <w:r w:rsidRPr="00894841">
        <w:rPr>
          <w:rFonts w:ascii="Calibri" w:eastAsia="Calibri" w:hAnsi="Calibri" w:cs="Calibri"/>
          <w:color w:val="000000"/>
          <w:sz w:val="22"/>
          <w:szCs w:val="22"/>
        </w:rPr>
        <w:t xml:space="preserve">utcome 7: </w:t>
      </w:r>
      <w:r>
        <w:rPr>
          <w:rFonts w:ascii="Calibri" w:eastAsia="Calibri" w:hAnsi="Calibri" w:cs="Calibri"/>
          <w:color w:val="000000"/>
          <w:sz w:val="22"/>
          <w:szCs w:val="22"/>
        </w:rPr>
        <w:t>P</w:t>
      </w:r>
      <w:r w:rsidRPr="00894841">
        <w:rPr>
          <w:rFonts w:ascii="Calibri" w:eastAsia="Calibri" w:hAnsi="Calibri" w:cs="Calibri"/>
          <w:color w:val="000000"/>
          <w:sz w:val="22"/>
          <w:szCs w:val="22"/>
        </w:rPr>
        <w:t>olitical awareness at all levels and private sector participation strengthened through higher visibility of the project’s developments and targeted outreach initiatives</w:t>
      </w:r>
      <w:r>
        <w:rPr>
          <w:rFonts w:ascii="Calibri" w:eastAsia="Calibri" w:hAnsi="Calibri" w:cs="Calibri"/>
          <w:color w:val="000000"/>
          <w:sz w:val="22"/>
          <w:szCs w:val="22"/>
        </w:rPr>
        <w:t>)</w:t>
      </w:r>
      <w:r w:rsidRPr="00894841">
        <w:rPr>
          <w:rFonts w:ascii="Calibri" w:eastAsia="Calibri" w:hAnsi="Calibri" w:cs="Calibri"/>
          <w:color w:val="000000"/>
          <w:sz w:val="22"/>
          <w:szCs w:val="22"/>
        </w:rPr>
        <w:t xml:space="preserve"> </w:t>
      </w:r>
    </w:p>
    <w:p w14:paraId="651636AF" w14:textId="67088628" w:rsidR="00CD182D" w:rsidRDefault="00CD182D"/>
    <w:p w14:paraId="4D0FA2B1" w14:textId="0A876111" w:rsidR="00CD182D" w:rsidRDefault="00CD182D">
      <w:pPr>
        <w:rPr>
          <w:rFonts w:asciiTheme="minorHAnsi" w:hAnsiTheme="minorHAnsi" w:cstheme="minorHAnsi"/>
          <w:b/>
          <w:sz w:val="22"/>
          <w:szCs w:val="22"/>
        </w:rPr>
      </w:pPr>
      <w:r>
        <w:rPr>
          <w:rFonts w:asciiTheme="minorHAnsi" w:hAnsiTheme="minorHAnsi" w:cstheme="minorHAnsi"/>
          <w:b/>
          <w:sz w:val="22"/>
          <w:szCs w:val="22"/>
        </w:rPr>
        <w:t>Evaluation Ratings Table</w:t>
      </w:r>
    </w:p>
    <w:p w14:paraId="06A388A5" w14:textId="24DA36F4" w:rsidR="00CD182D" w:rsidRDefault="00CD182D">
      <w:pPr>
        <w:rPr>
          <w:rFonts w:asciiTheme="minorHAnsi" w:hAnsiTheme="minorHAnsi" w:cstheme="minorHAnsi"/>
          <w:b/>
          <w:sz w:val="22"/>
          <w:szCs w:val="22"/>
        </w:rPr>
      </w:pPr>
    </w:p>
    <w:tbl>
      <w:tblPr>
        <w:tblStyle w:val="TableGrid"/>
        <w:tblW w:w="0" w:type="auto"/>
        <w:tblInd w:w="279" w:type="dxa"/>
        <w:tblLook w:val="04A0" w:firstRow="1" w:lastRow="0" w:firstColumn="1" w:lastColumn="0" w:noHBand="0" w:noVBand="1"/>
      </w:tblPr>
      <w:tblGrid>
        <w:gridCol w:w="7229"/>
        <w:gridCol w:w="1134"/>
        <w:tblGridChange w:id="3">
          <w:tblGrid>
            <w:gridCol w:w="7229"/>
            <w:gridCol w:w="1134"/>
          </w:tblGrid>
        </w:tblGridChange>
      </w:tblGrid>
      <w:tr w:rsidR="00CD182D" w14:paraId="66DD6CA3" w14:textId="77777777" w:rsidTr="00894841">
        <w:tc>
          <w:tcPr>
            <w:tcW w:w="7229" w:type="dxa"/>
            <w:shd w:val="clear" w:color="auto" w:fill="F4B083" w:themeFill="accent2" w:themeFillTint="99"/>
          </w:tcPr>
          <w:p w14:paraId="07382B10" w14:textId="34CC81F8" w:rsidR="00CD182D" w:rsidRDefault="00CD182D" w:rsidP="00CD182D">
            <w:pPr>
              <w:rPr>
                <w:rFonts w:asciiTheme="minorHAnsi" w:hAnsiTheme="minorHAnsi" w:cstheme="minorHAnsi"/>
                <w:b/>
                <w:sz w:val="22"/>
                <w:szCs w:val="22"/>
              </w:rPr>
            </w:pPr>
            <w:r>
              <w:rPr>
                <w:rFonts w:asciiTheme="minorHAnsi" w:hAnsiTheme="minorHAnsi" w:cstheme="minorHAnsi"/>
                <w:b/>
                <w:sz w:val="22"/>
                <w:szCs w:val="22"/>
              </w:rPr>
              <w:t>1. Monitoring &amp; Evaluation (M&amp;E)</w:t>
            </w:r>
          </w:p>
        </w:tc>
        <w:tc>
          <w:tcPr>
            <w:tcW w:w="1134" w:type="dxa"/>
            <w:shd w:val="clear" w:color="auto" w:fill="F4B083" w:themeFill="accent2" w:themeFillTint="99"/>
          </w:tcPr>
          <w:p w14:paraId="10D8C3D5" w14:textId="50CA4EAC" w:rsidR="00CD182D" w:rsidRDefault="00CD182D" w:rsidP="00894841">
            <w:pPr>
              <w:jc w:val="center"/>
              <w:rPr>
                <w:rFonts w:asciiTheme="minorHAnsi" w:hAnsiTheme="minorHAnsi" w:cstheme="minorHAnsi"/>
                <w:b/>
                <w:sz w:val="22"/>
                <w:szCs w:val="22"/>
              </w:rPr>
            </w:pPr>
            <w:r>
              <w:rPr>
                <w:rFonts w:asciiTheme="minorHAnsi" w:hAnsiTheme="minorHAnsi" w:cstheme="minorHAnsi"/>
                <w:b/>
                <w:sz w:val="22"/>
                <w:szCs w:val="22"/>
              </w:rPr>
              <w:t>Rating</w:t>
            </w:r>
          </w:p>
        </w:tc>
      </w:tr>
      <w:tr w:rsidR="00CD182D" w14:paraId="2E6A17F0" w14:textId="77777777" w:rsidTr="00894841">
        <w:tc>
          <w:tcPr>
            <w:tcW w:w="7229" w:type="dxa"/>
          </w:tcPr>
          <w:p w14:paraId="579D9423" w14:textId="0A133C3F" w:rsidR="00CD182D" w:rsidRPr="00894841" w:rsidRDefault="00CD182D" w:rsidP="00894841">
            <w:pPr>
              <w:ind w:left="313"/>
              <w:rPr>
                <w:rFonts w:asciiTheme="minorHAnsi" w:hAnsiTheme="minorHAnsi" w:cstheme="minorHAnsi"/>
                <w:sz w:val="20"/>
                <w:szCs w:val="20"/>
              </w:rPr>
            </w:pPr>
            <w:r>
              <w:rPr>
                <w:rFonts w:asciiTheme="minorHAnsi" w:hAnsiTheme="minorHAnsi" w:cstheme="minorHAnsi"/>
                <w:sz w:val="20"/>
                <w:szCs w:val="20"/>
              </w:rPr>
              <w:t>M&amp;E Design at entry</w:t>
            </w:r>
          </w:p>
        </w:tc>
        <w:tc>
          <w:tcPr>
            <w:tcW w:w="1134" w:type="dxa"/>
          </w:tcPr>
          <w:p w14:paraId="5348E445" w14:textId="6A6525DC" w:rsidR="00CD182D" w:rsidRDefault="00453325" w:rsidP="00894841">
            <w:pPr>
              <w:jc w:val="center"/>
              <w:rPr>
                <w:rFonts w:asciiTheme="minorHAnsi" w:hAnsiTheme="minorHAnsi" w:cstheme="minorHAnsi"/>
                <w:b/>
                <w:sz w:val="22"/>
                <w:szCs w:val="22"/>
              </w:rPr>
            </w:pPr>
            <w:r>
              <w:rPr>
                <w:rFonts w:asciiTheme="minorHAnsi" w:hAnsiTheme="minorHAnsi" w:cstheme="minorHAnsi"/>
                <w:b/>
                <w:sz w:val="22"/>
                <w:szCs w:val="22"/>
              </w:rPr>
              <w:t>S</w:t>
            </w:r>
          </w:p>
        </w:tc>
      </w:tr>
      <w:tr w:rsidR="00CD182D" w14:paraId="430427A2" w14:textId="77777777" w:rsidTr="00894841">
        <w:tc>
          <w:tcPr>
            <w:tcW w:w="7229" w:type="dxa"/>
          </w:tcPr>
          <w:p w14:paraId="3725291B" w14:textId="3BB743DA" w:rsidR="00CD182D" w:rsidRPr="00894841" w:rsidRDefault="00CD182D" w:rsidP="00894841">
            <w:pPr>
              <w:ind w:left="313"/>
              <w:rPr>
                <w:rFonts w:asciiTheme="minorHAnsi" w:hAnsiTheme="minorHAnsi" w:cstheme="minorHAnsi"/>
                <w:sz w:val="20"/>
                <w:szCs w:val="20"/>
              </w:rPr>
            </w:pPr>
            <w:r w:rsidRPr="00894841">
              <w:rPr>
                <w:rFonts w:asciiTheme="minorHAnsi" w:hAnsiTheme="minorHAnsi" w:cstheme="minorHAnsi"/>
                <w:sz w:val="20"/>
                <w:szCs w:val="20"/>
              </w:rPr>
              <w:t>M&amp;E Plan Implementation</w:t>
            </w:r>
          </w:p>
        </w:tc>
        <w:tc>
          <w:tcPr>
            <w:tcW w:w="1134" w:type="dxa"/>
          </w:tcPr>
          <w:p w14:paraId="27A6BF43" w14:textId="4C358A6B" w:rsidR="00CD182D" w:rsidRDefault="00453325" w:rsidP="00894841">
            <w:pPr>
              <w:jc w:val="center"/>
              <w:rPr>
                <w:rFonts w:asciiTheme="minorHAnsi" w:hAnsiTheme="minorHAnsi" w:cstheme="minorHAnsi"/>
                <w:b/>
                <w:sz w:val="22"/>
                <w:szCs w:val="22"/>
              </w:rPr>
            </w:pPr>
            <w:r>
              <w:rPr>
                <w:rFonts w:asciiTheme="minorHAnsi" w:hAnsiTheme="minorHAnsi" w:cstheme="minorHAnsi"/>
                <w:b/>
                <w:sz w:val="22"/>
                <w:szCs w:val="22"/>
              </w:rPr>
              <w:t>HS</w:t>
            </w:r>
          </w:p>
        </w:tc>
      </w:tr>
      <w:tr w:rsidR="00CD182D" w14:paraId="6348AA22" w14:textId="77777777" w:rsidTr="00894841">
        <w:tc>
          <w:tcPr>
            <w:tcW w:w="7229" w:type="dxa"/>
            <w:tcBorders>
              <w:bottom w:val="single" w:sz="4" w:space="0" w:color="auto"/>
            </w:tcBorders>
          </w:tcPr>
          <w:p w14:paraId="117157D5" w14:textId="23A3F278" w:rsidR="00CD182D" w:rsidRPr="00894841" w:rsidRDefault="00CD182D" w:rsidP="00894841">
            <w:pPr>
              <w:ind w:left="313"/>
              <w:rPr>
                <w:rFonts w:asciiTheme="minorHAnsi" w:hAnsiTheme="minorHAnsi" w:cstheme="minorHAnsi"/>
                <w:sz w:val="20"/>
                <w:szCs w:val="20"/>
              </w:rPr>
            </w:pPr>
            <w:r>
              <w:rPr>
                <w:rFonts w:asciiTheme="minorHAnsi" w:hAnsiTheme="minorHAnsi" w:cstheme="minorHAnsi"/>
                <w:sz w:val="20"/>
                <w:szCs w:val="20"/>
              </w:rPr>
              <w:t>Overall Quality of M&amp;E</w:t>
            </w:r>
          </w:p>
        </w:tc>
        <w:tc>
          <w:tcPr>
            <w:tcW w:w="1134" w:type="dxa"/>
            <w:tcBorders>
              <w:bottom w:val="single" w:sz="4" w:space="0" w:color="auto"/>
            </w:tcBorders>
          </w:tcPr>
          <w:p w14:paraId="44434206" w14:textId="5E31509F" w:rsidR="00CD182D" w:rsidRDefault="00453325" w:rsidP="00894841">
            <w:pPr>
              <w:jc w:val="center"/>
              <w:rPr>
                <w:rFonts w:asciiTheme="minorHAnsi" w:hAnsiTheme="minorHAnsi" w:cstheme="minorHAnsi"/>
                <w:b/>
                <w:sz w:val="22"/>
                <w:szCs w:val="22"/>
              </w:rPr>
            </w:pPr>
            <w:r>
              <w:rPr>
                <w:rFonts w:asciiTheme="minorHAnsi" w:hAnsiTheme="minorHAnsi" w:cstheme="minorHAnsi"/>
                <w:b/>
                <w:sz w:val="22"/>
                <w:szCs w:val="22"/>
              </w:rPr>
              <w:t>HS</w:t>
            </w:r>
          </w:p>
        </w:tc>
      </w:tr>
      <w:tr w:rsidR="00CD182D" w14:paraId="6AD95AC9" w14:textId="77777777" w:rsidTr="00894841">
        <w:tc>
          <w:tcPr>
            <w:tcW w:w="7229" w:type="dxa"/>
            <w:shd w:val="clear" w:color="auto" w:fill="F4B083" w:themeFill="accent2" w:themeFillTint="99"/>
          </w:tcPr>
          <w:p w14:paraId="75B3BEE7" w14:textId="68C8C9B4" w:rsidR="00CD182D" w:rsidRDefault="00CD182D">
            <w:pPr>
              <w:rPr>
                <w:rFonts w:asciiTheme="minorHAnsi" w:hAnsiTheme="minorHAnsi" w:cstheme="minorHAnsi"/>
                <w:b/>
                <w:sz w:val="22"/>
                <w:szCs w:val="22"/>
              </w:rPr>
            </w:pPr>
            <w:r>
              <w:rPr>
                <w:rFonts w:asciiTheme="minorHAnsi" w:hAnsiTheme="minorHAnsi" w:cstheme="minorHAnsi"/>
                <w:b/>
                <w:sz w:val="22"/>
                <w:szCs w:val="22"/>
              </w:rPr>
              <w:t>2. Implementing Agency (IA) Implementation &amp; Executing Agency (EA) Execution</w:t>
            </w:r>
          </w:p>
        </w:tc>
        <w:tc>
          <w:tcPr>
            <w:tcW w:w="1134" w:type="dxa"/>
            <w:shd w:val="clear" w:color="auto" w:fill="F4B083" w:themeFill="accent2" w:themeFillTint="99"/>
          </w:tcPr>
          <w:p w14:paraId="0BAF9AFC" w14:textId="038EADA6" w:rsidR="00CD182D" w:rsidRDefault="00CD182D" w:rsidP="00894841">
            <w:pPr>
              <w:jc w:val="center"/>
              <w:rPr>
                <w:rFonts w:asciiTheme="minorHAnsi" w:hAnsiTheme="minorHAnsi" w:cstheme="minorHAnsi"/>
                <w:b/>
                <w:sz w:val="22"/>
                <w:szCs w:val="22"/>
              </w:rPr>
            </w:pPr>
            <w:r>
              <w:rPr>
                <w:rFonts w:asciiTheme="minorHAnsi" w:hAnsiTheme="minorHAnsi" w:cstheme="minorHAnsi"/>
                <w:b/>
                <w:sz w:val="22"/>
                <w:szCs w:val="22"/>
              </w:rPr>
              <w:t>Rating</w:t>
            </w:r>
          </w:p>
        </w:tc>
      </w:tr>
      <w:tr w:rsidR="00CD182D" w14:paraId="2BC77231" w14:textId="77777777" w:rsidTr="00894841">
        <w:tc>
          <w:tcPr>
            <w:tcW w:w="7229" w:type="dxa"/>
          </w:tcPr>
          <w:p w14:paraId="2F7CB56D" w14:textId="0BABD13B" w:rsidR="00CD182D" w:rsidRPr="00894841" w:rsidRDefault="00CD182D" w:rsidP="00894841">
            <w:pPr>
              <w:ind w:left="171" w:firstLine="141"/>
              <w:rPr>
                <w:rFonts w:asciiTheme="minorHAnsi" w:hAnsiTheme="minorHAnsi" w:cstheme="minorHAnsi"/>
                <w:sz w:val="20"/>
                <w:szCs w:val="20"/>
              </w:rPr>
            </w:pPr>
            <w:r w:rsidRPr="00894841">
              <w:rPr>
                <w:rFonts w:asciiTheme="minorHAnsi" w:hAnsiTheme="minorHAnsi" w:cstheme="minorHAnsi"/>
                <w:sz w:val="20"/>
                <w:szCs w:val="20"/>
              </w:rPr>
              <w:t>Quality of UNDP Implementation/Oversight</w:t>
            </w:r>
          </w:p>
        </w:tc>
        <w:tc>
          <w:tcPr>
            <w:tcW w:w="1134" w:type="dxa"/>
          </w:tcPr>
          <w:p w14:paraId="5E48D95B" w14:textId="322B9230" w:rsidR="00CD182D" w:rsidRDefault="00453325" w:rsidP="00894841">
            <w:pPr>
              <w:jc w:val="center"/>
              <w:rPr>
                <w:rFonts w:asciiTheme="minorHAnsi" w:hAnsiTheme="minorHAnsi" w:cstheme="minorHAnsi"/>
                <w:b/>
                <w:sz w:val="22"/>
                <w:szCs w:val="22"/>
              </w:rPr>
            </w:pPr>
            <w:r>
              <w:rPr>
                <w:rFonts w:asciiTheme="minorHAnsi" w:hAnsiTheme="minorHAnsi" w:cstheme="minorHAnsi"/>
                <w:b/>
                <w:sz w:val="22"/>
                <w:szCs w:val="22"/>
              </w:rPr>
              <w:t>HS</w:t>
            </w:r>
          </w:p>
        </w:tc>
      </w:tr>
      <w:tr w:rsidR="00CD182D" w14:paraId="3F1A8C7C" w14:textId="77777777" w:rsidTr="00894841">
        <w:tc>
          <w:tcPr>
            <w:tcW w:w="7229" w:type="dxa"/>
          </w:tcPr>
          <w:p w14:paraId="1D749E7D" w14:textId="7863F62B" w:rsidR="00CD182D" w:rsidRPr="00894841" w:rsidRDefault="00CD182D" w:rsidP="00894841">
            <w:pPr>
              <w:ind w:left="313"/>
              <w:rPr>
                <w:rFonts w:asciiTheme="minorHAnsi" w:hAnsiTheme="minorHAnsi" w:cstheme="minorHAnsi"/>
                <w:sz w:val="20"/>
                <w:szCs w:val="20"/>
              </w:rPr>
            </w:pPr>
            <w:r>
              <w:rPr>
                <w:rFonts w:asciiTheme="minorHAnsi" w:hAnsiTheme="minorHAnsi" w:cstheme="minorHAnsi"/>
                <w:sz w:val="20"/>
                <w:szCs w:val="20"/>
              </w:rPr>
              <w:t>Quality of Implementing Partner Execution</w:t>
            </w:r>
          </w:p>
        </w:tc>
        <w:tc>
          <w:tcPr>
            <w:tcW w:w="1134" w:type="dxa"/>
          </w:tcPr>
          <w:p w14:paraId="1DF0EF57" w14:textId="69098A91" w:rsidR="00CD182D" w:rsidRDefault="00453325" w:rsidP="00894841">
            <w:pPr>
              <w:jc w:val="center"/>
              <w:rPr>
                <w:rFonts w:asciiTheme="minorHAnsi" w:hAnsiTheme="minorHAnsi" w:cstheme="minorHAnsi"/>
                <w:b/>
                <w:sz w:val="22"/>
                <w:szCs w:val="22"/>
              </w:rPr>
            </w:pPr>
            <w:r>
              <w:rPr>
                <w:rFonts w:asciiTheme="minorHAnsi" w:hAnsiTheme="minorHAnsi" w:cstheme="minorHAnsi"/>
                <w:b/>
                <w:sz w:val="22"/>
                <w:szCs w:val="22"/>
              </w:rPr>
              <w:t>HS</w:t>
            </w:r>
          </w:p>
        </w:tc>
      </w:tr>
      <w:tr w:rsidR="00CD182D" w14:paraId="71426A5A" w14:textId="77777777" w:rsidTr="00894841">
        <w:tc>
          <w:tcPr>
            <w:tcW w:w="7229" w:type="dxa"/>
            <w:tcBorders>
              <w:bottom w:val="single" w:sz="4" w:space="0" w:color="auto"/>
            </w:tcBorders>
          </w:tcPr>
          <w:p w14:paraId="788C4D81" w14:textId="56EA17E0" w:rsidR="00CD182D" w:rsidRPr="00894841" w:rsidRDefault="00CD182D" w:rsidP="00894841">
            <w:pPr>
              <w:ind w:left="313"/>
              <w:rPr>
                <w:rFonts w:asciiTheme="minorHAnsi" w:hAnsiTheme="minorHAnsi" w:cstheme="minorHAnsi"/>
                <w:sz w:val="20"/>
                <w:szCs w:val="20"/>
              </w:rPr>
            </w:pPr>
            <w:r>
              <w:rPr>
                <w:rFonts w:asciiTheme="minorHAnsi" w:hAnsiTheme="minorHAnsi" w:cstheme="minorHAnsi"/>
                <w:sz w:val="20"/>
                <w:szCs w:val="20"/>
              </w:rPr>
              <w:t>Overall Quality of Implementation/Execution</w:t>
            </w:r>
          </w:p>
        </w:tc>
        <w:tc>
          <w:tcPr>
            <w:tcW w:w="1134" w:type="dxa"/>
            <w:tcBorders>
              <w:bottom w:val="single" w:sz="4" w:space="0" w:color="auto"/>
            </w:tcBorders>
          </w:tcPr>
          <w:p w14:paraId="3986539C" w14:textId="4369A130" w:rsidR="00CD182D" w:rsidRDefault="00453325" w:rsidP="00894841">
            <w:pPr>
              <w:jc w:val="center"/>
              <w:rPr>
                <w:rFonts w:asciiTheme="minorHAnsi" w:hAnsiTheme="minorHAnsi" w:cstheme="minorHAnsi"/>
                <w:b/>
                <w:sz w:val="22"/>
                <w:szCs w:val="22"/>
              </w:rPr>
            </w:pPr>
            <w:r>
              <w:rPr>
                <w:rFonts w:asciiTheme="minorHAnsi" w:hAnsiTheme="minorHAnsi" w:cstheme="minorHAnsi"/>
                <w:b/>
                <w:sz w:val="22"/>
                <w:szCs w:val="22"/>
              </w:rPr>
              <w:t>HS</w:t>
            </w:r>
          </w:p>
        </w:tc>
      </w:tr>
      <w:tr w:rsidR="00CD182D" w14:paraId="0DCED49D" w14:textId="77777777" w:rsidTr="00894841">
        <w:tc>
          <w:tcPr>
            <w:tcW w:w="7229" w:type="dxa"/>
            <w:shd w:val="clear" w:color="auto" w:fill="F4B083" w:themeFill="accent2" w:themeFillTint="99"/>
          </w:tcPr>
          <w:p w14:paraId="55846A8F" w14:textId="6B6DA9B6" w:rsidR="00CD182D" w:rsidRDefault="00CD182D">
            <w:pPr>
              <w:rPr>
                <w:rFonts w:asciiTheme="minorHAnsi" w:hAnsiTheme="minorHAnsi" w:cstheme="minorHAnsi"/>
                <w:b/>
                <w:sz w:val="22"/>
                <w:szCs w:val="22"/>
              </w:rPr>
            </w:pPr>
            <w:r>
              <w:rPr>
                <w:rFonts w:asciiTheme="minorHAnsi" w:hAnsiTheme="minorHAnsi" w:cstheme="minorHAnsi"/>
                <w:b/>
                <w:sz w:val="22"/>
                <w:szCs w:val="22"/>
              </w:rPr>
              <w:t xml:space="preserve">3. </w:t>
            </w:r>
            <w:r w:rsidR="00453325">
              <w:rPr>
                <w:rFonts w:asciiTheme="minorHAnsi" w:hAnsiTheme="minorHAnsi" w:cstheme="minorHAnsi"/>
                <w:b/>
                <w:sz w:val="22"/>
                <w:szCs w:val="22"/>
              </w:rPr>
              <w:t>Assessment of Outcomes</w:t>
            </w:r>
          </w:p>
        </w:tc>
        <w:tc>
          <w:tcPr>
            <w:tcW w:w="1134" w:type="dxa"/>
            <w:shd w:val="clear" w:color="auto" w:fill="F4B083" w:themeFill="accent2" w:themeFillTint="99"/>
          </w:tcPr>
          <w:p w14:paraId="53F8E0A4" w14:textId="551907D6" w:rsidR="00CD182D"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Rating</w:t>
            </w:r>
          </w:p>
        </w:tc>
      </w:tr>
      <w:tr w:rsidR="00CD182D" w14:paraId="74BDCC14" w14:textId="77777777" w:rsidTr="00CD182D">
        <w:tc>
          <w:tcPr>
            <w:tcW w:w="7229" w:type="dxa"/>
          </w:tcPr>
          <w:p w14:paraId="3B81EA28" w14:textId="6BD933CB" w:rsidR="00CD182D" w:rsidRPr="00894841" w:rsidRDefault="00453325" w:rsidP="00894841">
            <w:pPr>
              <w:ind w:left="313"/>
              <w:rPr>
                <w:rFonts w:asciiTheme="minorHAnsi" w:hAnsiTheme="minorHAnsi" w:cstheme="minorHAnsi"/>
                <w:sz w:val="20"/>
                <w:szCs w:val="20"/>
              </w:rPr>
            </w:pPr>
            <w:r>
              <w:rPr>
                <w:rFonts w:asciiTheme="minorHAnsi" w:hAnsiTheme="minorHAnsi" w:cstheme="minorHAnsi"/>
                <w:sz w:val="20"/>
                <w:szCs w:val="20"/>
              </w:rPr>
              <w:t>Relevance</w:t>
            </w:r>
          </w:p>
        </w:tc>
        <w:tc>
          <w:tcPr>
            <w:tcW w:w="1134" w:type="dxa"/>
          </w:tcPr>
          <w:p w14:paraId="0200D37B" w14:textId="5A6C1DAB" w:rsidR="00CD182D"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HS</w:t>
            </w:r>
          </w:p>
        </w:tc>
      </w:tr>
      <w:tr w:rsidR="00CD182D" w14:paraId="0062579D" w14:textId="77777777" w:rsidTr="00CD182D">
        <w:tc>
          <w:tcPr>
            <w:tcW w:w="7229" w:type="dxa"/>
          </w:tcPr>
          <w:p w14:paraId="7D573CE1" w14:textId="15029CC6" w:rsidR="00CD182D" w:rsidRPr="00894841" w:rsidRDefault="00453325" w:rsidP="00894841">
            <w:pPr>
              <w:ind w:left="313"/>
              <w:rPr>
                <w:rFonts w:asciiTheme="minorHAnsi" w:hAnsiTheme="minorHAnsi" w:cstheme="minorHAnsi"/>
                <w:sz w:val="20"/>
                <w:szCs w:val="20"/>
              </w:rPr>
            </w:pPr>
            <w:r>
              <w:rPr>
                <w:rFonts w:asciiTheme="minorHAnsi" w:hAnsiTheme="minorHAnsi" w:cstheme="minorHAnsi"/>
                <w:sz w:val="20"/>
                <w:szCs w:val="20"/>
              </w:rPr>
              <w:t>Effectiveness</w:t>
            </w:r>
          </w:p>
        </w:tc>
        <w:tc>
          <w:tcPr>
            <w:tcW w:w="1134" w:type="dxa"/>
          </w:tcPr>
          <w:p w14:paraId="16C78C69" w14:textId="2FF80CD9" w:rsidR="00CD182D"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HS</w:t>
            </w:r>
          </w:p>
        </w:tc>
      </w:tr>
      <w:tr w:rsidR="00CD182D" w14:paraId="21AFF752" w14:textId="77777777" w:rsidTr="00CD182D">
        <w:tc>
          <w:tcPr>
            <w:tcW w:w="7229" w:type="dxa"/>
          </w:tcPr>
          <w:p w14:paraId="7AEC1C88" w14:textId="75B09545" w:rsidR="00CD182D" w:rsidRPr="00894841" w:rsidRDefault="00453325" w:rsidP="00894841">
            <w:pPr>
              <w:ind w:left="313"/>
              <w:rPr>
                <w:rFonts w:asciiTheme="minorHAnsi" w:hAnsiTheme="minorHAnsi" w:cstheme="minorHAnsi"/>
                <w:sz w:val="20"/>
                <w:szCs w:val="20"/>
              </w:rPr>
            </w:pPr>
            <w:r>
              <w:rPr>
                <w:rFonts w:asciiTheme="minorHAnsi" w:hAnsiTheme="minorHAnsi" w:cstheme="minorHAnsi"/>
                <w:sz w:val="20"/>
                <w:szCs w:val="20"/>
              </w:rPr>
              <w:t>Efficiency</w:t>
            </w:r>
          </w:p>
        </w:tc>
        <w:tc>
          <w:tcPr>
            <w:tcW w:w="1134" w:type="dxa"/>
          </w:tcPr>
          <w:p w14:paraId="4F0F86B7" w14:textId="01795D29" w:rsidR="00CD182D"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S</w:t>
            </w:r>
          </w:p>
        </w:tc>
      </w:tr>
      <w:tr w:rsidR="00CD182D" w14:paraId="64AA3B11" w14:textId="77777777" w:rsidTr="00894841">
        <w:tc>
          <w:tcPr>
            <w:tcW w:w="7229" w:type="dxa"/>
            <w:tcBorders>
              <w:bottom w:val="single" w:sz="4" w:space="0" w:color="auto"/>
            </w:tcBorders>
          </w:tcPr>
          <w:p w14:paraId="30FF9963" w14:textId="7D7F07C3" w:rsidR="00CD182D" w:rsidRPr="00894841" w:rsidRDefault="00453325" w:rsidP="00894841">
            <w:pPr>
              <w:ind w:left="313"/>
              <w:rPr>
                <w:rFonts w:asciiTheme="minorHAnsi" w:hAnsiTheme="minorHAnsi" w:cstheme="minorHAnsi"/>
                <w:sz w:val="20"/>
                <w:szCs w:val="20"/>
              </w:rPr>
            </w:pPr>
            <w:r>
              <w:rPr>
                <w:rFonts w:asciiTheme="minorHAnsi" w:hAnsiTheme="minorHAnsi" w:cstheme="minorHAnsi"/>
                <w:sz w:val="20"/>
                <w:szCs w:val="20"/>
              </w:rPr>
              <w:t>Overall Project Outcome Rating</w:t>
            </w:r>
          </w:p>
        </w:tc>
        <w:tc>
          <w:tcPr>
            <w:tcW w:w="1134" w:type="dxa"/>
            <w:tcBorders>
              <w:bottom w:val="single" w:sz="4" w:space="0" w:color="auto"/>
            </w:tcBorders>
          </w:tcPr>
          <w:p w14:paraId="58AC4A46" w14:textId="04998023" w:rsidR="00CD182D"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HS</w:t>
            </w:r>
          </w:p>
        </w:tc>
      </w:tr>
      <w:tr w:rsidR="00CD182D" w14:paraId="3AC73566" w14:textId="77777777" w:rsidTr="00894841">
        <w:tc>
          <w:tcPr>
            <w:tcW w:w="7229" w:type="dxa"/>
            <w:shd w:val="clear" w:color="auto" w:fill="F4B083" w:themeFill="accent2" w:themeFillTint="99"/>
          </w:tcPr>
          <w:p w14:paraId="0944C6E5" w14:textId="315DF41A" w:rsidR="00CD182D" w:rsidRDefault="00453325">
            <w:pPr>
              <w:rPr>
                <w:rFonts w:asciiTheme="minorHAnsi" w:hAnsiTheme="minorHAnsi" w:cstheme="minorHAnsi"/>
                <w:b/>
                <w:sz w:val="22"/>
                <w:szCs w:val="22"/>
              </w:rPr>
            </w:pPr>
            <w:r>
              <w:rPr>
                <w:rFonts w:asciiTheme="minorHAnsi" w:hAnsiTheme="minorHAnsi" w:cstheme="minorHAnsi"/>
                <w:b/>
                <w:sz w:val="22"/>
                <w:szCs w:val="22"/>
              </w:rPr>
              <w:t>4. Sustainability</w:t>
            </w:r>
          </w:p>
        </w:tc>
        <w:tc>
          <w:tcPr>
            <w:tcW w:w="1134" w:type="dxa"/>
            <w:shd w:val="clear" w:color="auto" w:fill="F4B083" w:themeFill="accent2" w:themeFillTint="99"/>
          </w:tcPr>
          <w:p w14:paraId="2E8EE3D5" w14:textId="3D17E564" w:rsidR="00CD182D"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Rating</w:t>
            </w:r>
          </w:p>
        </w:tc>
      </w:tr>
      <w:tr w:rsidR="00453325" w14:paraId="31673960" w14:textId="77777777" w:rsidTr="00CD182D">
        <w:tc>
          <w:tcPr>
            <w:tcW w:w="7229" w:type="dxa"/>
          </w:tcPr>
          <w:p w14:paraId="22CB52A7" w14:textId="50AE2665" w:rsidR="00453325" w:rsidRPr="00894841" w:rsidRDefault="00453325" w:rsidP="00894841">
            <w:pPr>
              <w:tabs>
                <w:tab w:val="left" w:pos="0"/>
              </w:tabs>
              <w:ind w:left="313"/>
              <w:rPr>
                <w:rFonts w:asciiTheme="minorHAnsi" w:hAnsiTheme="minorHAnsi" w:cstheme="minorHAnsi"/>
                <w:sz w:val="20"/>
                <w:szCs w:val="20"/>
              </w:rPr>
            </w:pPr>
            <w:r>
              <w:rPr>
                <w:rFonts w:asciiTheme="minorHAnsi" w:hAnsiTheme="minorHAnsi" w:cstheme="minorHAnsi"/>
                <w:sz w:val="20"/>
                <w:szCs w:val="20"/>
              </w:rPr>
              <w:t>Financial sustainability</w:t>
            </w:r>
          </w:p>
        </w:tc>
        <w:tc>
          <w:tcPr>
            <w:tcW w:w="1134" w:type="dxa"/>
          </w:tcPr>
          <w:p w14:paraId="6D2EA46F" w14:textId="72163626" w:rsidR="00453325"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L</w:t>
            </w:r>
          </w:p>
        </w:tc>
      </w:tr>
      <w:tr w:rsidR="00453325" w14:paraId="22532CCC" w14:textId="77777777" w:rsidTr="00CD182D">
        <w:tc>
          <w:tcPr>
            <w:tcW w:w="7229" w:type="dxa"/>
          </w:tcPr>
          <w:p w14:paraId="754F2C6B" w14:textId="59E71B42" w:rsidR="00453325" w:rsidRPr="00894841" w:rsidRDefault="00453325" w:rsidP="00894841">
            <w:pPr>
              <w:tabs>
                <w:tab w:val="left" w:pos="0"/>
              </w:tabs>
              <w:ind w:left="313"/>
              <w:rPr>
                <w:rFonts w:asciiTheme="minorHAnsi" w:hAnsiTheme="minorHAnsi" w:cstheme="minorHAnsi"/>
                <w:sz w:val="20"/>
                <w:szCs w:val="20"/>
              </w:rPr>
            </w:pPr>
            <w:r w:rsidRPr="00894841">
              <w:rPr>
                <w:rFonts w:asciiTheme="minorHAnsi" w:hAnsiTheme="minorHAnsi" w:cstheme="minorHAnsi"/>
                <w:sz w:val="20"/>
                <w:szCs w:val="20"/>
              </w:rPr>
              <w:t>Socio-political sustainability</w:t>
            </w:r>
          </w:p>
        </w:tc>
        <w:tc>
          <w:tcPr>
            <w:tcW w:w="1134" w:type="dxa"/>
          </w:tcPr>
          <w:p w14:paraId="7967E899" w14:textId="6980D52E" w:rsidR="00453325"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L</w:t>
            </w:r>
          </w:p>
        </w:tc>
      </w:tr>
      <w:tr w:rsidR="00453325" w14:paraId="4DB88DB1" w14:textId="77777777" w:rsidTr="00CD182D">
        <w:tc>
          <w:tcPr>
            <w:tcW w:w="7229" w:type="dxa"/>
          </w:tcPr>
          <w:p w14:paraId="573E63B4" w14:textId="0677EBD5" w:rsidR="00453325" w:rsidRPr="00894841" w:rsidRDefault="00453325" w:rsidP="00894841">
            <w:pPr>
              <w:tabs>
                <w:tab w:val="left" w:pos="0"/>
              </w:tabs>
              <w:ind w:left="313"/>
              <w:rPr>
                <w:rFonts w:asciiTheme="minorHAnsi" w:hAnsiTheme="minorHAnsi" w:cstheme="minorHAnsi"/>
                <w:sz w:val="20"/>
                <w:szCs w:val="20"/>
              </w:rPr>
            </w:pPr>
            <w:r>
              <w:rPr>
                <w:rFonts w:asciiTheme="minorHAnsi" w:hAnsiTheme="minorHAnsi" w:cstheme="minorHAnsi"/>
                <w:sz w:val="20"/>
                <w:szCs w:val="20"/>
              </w:rPr>
              <w:t>Institutional framework and governance sustainability</w:t>
            </w:r>
          </w:p>
        </w:tc>
        <w:tc>
          <w:tcPr>
            <w:tcW w:w="1134" w:type="dxa"/>
          </w:tcPr>
          <w:p w14:paraId="0F83C8BC" w14:textId="03A8D8F9" w:rsidR="00453325"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L</w:t>
            </w:r>
          </w:p>
        </w:tc>
      </w:tr>
      <w:tr w:rsidR="00453325" w14:paraId="4B26B9D0" w14:textId="77777777" w:rsidTr="00CD182D">
        <w:tc>
          <w:tcPr>
            <w:tcW w:w="7229" w:type="dxa"/>
          </w:tcPr>
          <w:p w14:paraId="08957374" w14:textId="380C8703" w:rsidR="00453325" w:rsidRPr="00894841" w:rsidRDefault="00453325" w:rsidP="00894841">
            <w:pPr>
              <w:tabs>
                <w:tab w:val="left" w:pos="0"/>
              </w:tabs>
              <w:ind w:left="313"/>
              <w:rPr>
                <w:rFonts w:asciiTheme="minorHAnsi" w:hAnsiTheme="minorHAnsi" w:cstheme="minorHAnsi"/>
                <w:sz w:val="20"/>
                <w:szCs w:val="20"/>
              </w:rPr>
            </w:pPr>
            <w:r>
              <w:rPr>
                <w:rFonts w:asciiTheme="minorHAnsi" w:hAnsiTheme="minorHAnsi" w:cstheme="minorHAnsi"/>
                <w:sz w:val="20"/>
                <w:szCs w:val="20"/>
              </w:rPr>
              <w:t>Environmental sustainability</w:t>
            </w:r>
          </w:p>
        </w:tc>
        <w:tc>
          <w:tcPr>
            <w:tcW w:w="1134" w:type="dxa"/>
          </w:tcPr>
          <w:p w14:paraId="687AD413" w14:textId="1A5B5A6B" w:rsidR="00453325"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L</w:t>
            </w:r>
          </w:p>
        </w:tc>
      </w:tr>
      <w:tr w:rsidR="00453325" w14:paraId="274E8411" w14:textId="77777777" w:rsidTr="00CD182D">
        <w:tc>
          <w:tcPr>
            <w:tcW w:w="7229" w:type="dxa"/>
          </w:tcPr>
          <w:p w14:paraId="7B736F3B" w14:textId="2126545D" w:rsidR="00453325" w:rsidRPr="00894841" w:rsidRDefault="00453325" w:rsidP="00894841">
            <w:pPr>
              <w:tabs>
                <w:tab w:val="left" w:pos="0"/>
              </w:tabs>
              <w:ind w:left="313"/>
              <w:rPr>
                <w:rFonts w:asciiTheme="minorHAnsi" w:hAnsiTheme="minorHAnsi" w:cstheme="minorHAnsi"/>
                <w:sz w:val="20"/>
                <w:szCs w:val="20"/>
              </w:rPr>
            </w:pPr>
            <w:r>
              <w:rPr>
                <w:rFonts w:asciiTheme="minorHAnsi" w:hAnsiTheme="minorHAnsi" w:cstheme="minorHAnsi"/>
                <w:sz w:val="20"/>
                <w:szCs w:val="20"/>
              </w:rPr>
              <w:t>Overall likelihood of sustainability</w:t>
            </w:r>
          </w:p>
        </w:tc>
        <w:tc>
          <w:tcPr>
            <w:tcW w:w="1134" w:type="dxa"/>
          </w:tcPr>
          <w:p w14:paraId="167F28D7" w14:textId="5EB2DE94" w:rsidR="00453325" w:rsidRDefault="00453325" w:rsidP="00CD182D">
            <w:pPr>
              <w:jc w:val="center"/>
              <w:rPr>
                <w:rFonts w:asciiTheme="minorHAnsi" w:hAnsiTheme="minorHAnsi" w:cstheme="minorHAnsi"/>
                <w:b/>
                <w:sz w:val="22"/>
                <w:szCs w:val="22"/>
              </w:rPr>
            </w:pPr>
            <w:r>
              <w:rPr>
                <w:rFonts w:asciiTheme="minorHAnsi" w:hAnsiTheme="minorHAnsi" w:cstheme="minorHAnsi"/>
                <w:b/>
                <w:sz w:val="22"/>
                <w:szCs w:val="22"/>
              </w:rPr>
              <w:t>L</w:t>
            </w:r>
          </w:p>
        </w:tc>
      </w:tr>
    </w:tbl>
    <w:p w14:paraId="627AE1F7" w14:textId="77777777" w:rsidR="00CD182D" w:rsidRPr="00894841" w:rsidRDefault="00CD182D">
      <w:pPr>
        <w:rPr>
          <w:rFonts w:asciiTheme="minorHAnsi" w:hAnsiTheme="minorHAnsi" w:cstheme="minorHAnsi"/>
          <w:b/>
          <w:sz w:val="22"/>
          <w:szCs w:val="22"/>
        </w:rPr>
      </w:pPr>
    </w:p>
    <w:p w14:paraId="4AEB19FA" w14:textId="77777777" w:rsidR="00FD2AF0" w:rsidRDefault="00FD2AF0">
      <w:pPr>
        <w:rPr>
          <w:rFonts w:asciiTheme="minorHAnsi" w:hAnsiTheme="minorHAnsi" w:cstheme="minorHAnsi"/>
          <w:b/>
          <w:sz w:val="22"/>
          <w:szCs w:val="22"/>
        </w:rPr>
      </w:pPr>
      <w:r>
        <w:rPr>
          <w:rFonts w:asciiTheme="minorHAnsi" w:hAnsiTheme="minorHAnsi" w:cstheme="minorHAnsi"/>
          <w:b/>
          <w:sz w:val="22"/>
          <w:szCs w:val="22"/>
        </w:rPr>
        <w:t>Summary of findings and lessons learned</w:t>
      </w:r>
    </w:p>
    <w:p w14:paraId="7FC2837A" w14:textId="77777777" w:rsidR="00FD2AF0" w:rsidRDefault="00FD2AF0"/>
    <w:p w14:paraId="7804672A" w14:textId="68B46EEE" w:rsidR="00FD2AF0" w:rsidRDefault="00FD2AF0" w:rsidP="00FD2AF0">
      <w:pPr>
        <w:jc w:val="both"/>
        <w:rPr>
          <w:rFonts w:asciiTheme="minorHAnsi" w:hAnsiTheme="minorHAnsi" w:cstheme="minorHAnsi"/>
          <w:i/>
          <w:sz w:val="22"/>
          <w:szCs w:val="22"/>
        </w:rPr>
      </w:pPr>
      <w:r>
        <w:rPr>
          <w:rFonts w:asciiTheme="minorHAnsi" w:hAnsiTheme="minorHAnsi" w:cstheme="minorHAnsi"/>
          <w:i/>
          <w:sz w:val="22"/>
          <w:szCs w:val="22"/>
        </w:rPr>
        <w:t>Findings</w:t>
      </w:r>
      <w:r w:rsidR="007E7BC3">
        <w:rPr>
          <w:rFonts w:asciiTheme="minorHAnsi" w:hAnsiTheme="minorHAnsi" w:cstheme="minorHAnsi"/>
          <w:i/>
          <w:sz w:val="22"/>
          <w:szCs w:val="22"/>
        </w:rPr>
        <w:t xml:space="preserve"> and conclusions</w:t>
      </w:r>
      <w:r>
        <w:rPr>
          <w:rFonts w:asciiTheme="minorHAnsi" w:hAnsiTheme="minorHAnsi" w:cstheme="minorHAnsi"/>
          <w:i/>
          <w:sz w:val="22"/>
          <w:szCs w:val="22"/>
        </w:rPr>
        <w:t>:</w:t>
      </w:r>
    </w:p>
    <w:p w14:paraId="75465DD2" w14:textId="27EC5ABF" w:rsidR="00FD2AF0" w:rsidRDefault="00FD2AF0" w:rsidP="00FD2AF0">
      <w:pPr>
        <w:jc w:val="both"/>
        <w:rPr>
          <w:rFonts w:asciiTheme="minorHAnsi" w:hAnsiTheme="minorHAnsi" w:cstheme="minorHAnsi"/>
          <w:i/>
          <w:sz w:val="22"/>
          <w:szCs w:val="22"/>
        </w:rPr>
      </w:pPr>
    </w:p>
    <w:p w14:paraId="316227B5" w14:textId="17007C1A" w:rsidR="00FD2AF0" w:rsidRPr="007E7BC3" w:rsidRDefault="007E7BC3" w:rsidP="0052081C">
      <w:pPr>
        <w:pStyle w:val="ListParagraph"/>
        <w:numPr>
          <w:ilvl w:val="0"/>
          <w:numId w:val="19"/>
        </w:numPr>
        <w:tabs>
          <w:tab w:val="left" w:pos="567"/>
        </w:tabs>
        <w:ind w:left="426" w:hanging="426"/>
        <w:jc w:val="both"/>
        <w:rPr>
          <w:rFonts w:asciiTheme="minorHAnsi" w:hAnsiTheme="minorHAnsi" w:cstheme="minorHAnsi"/>
          <w:sz w:val="22"/>
          <w:szCs w:val="22"/>
        </w:rPr>
      </w:pPr>
      <w:r w:rsidRPr="004E20E4">
        <w:rPr>
          <w:rFonts w:asciiTheme="minorHAnsi" w:hAnsiTheme="minorHAnsi"/>
          <w:sz w:val="22"/>
          <w:szCs w:val="22"/>
        </w:rPr>
        <w:t xml:space="preserve">The complex nature of the Drin Basin, where lakes, rivers and underground flows interact in ways hard to unravel, compounded by the many and often conflicting uses of water resources, and by the transboundary conditions that prevail throughout the basin, determines the high fragility of the basin ecosystems and poses serious challenges to the overall sustainability of the water resources of the basin. The project responds to an urgent need for harmonizing and coordinating within a common strategic framework </w:t>
      </w:r>
      <w:r>
        <w:rPr>
          <w:rFonts w:asciiTheme="minorHAnsi" w:hAnsiTheme="minorHAnsi"/>
          <w:sz w:val="22"/>
          <w:szCs w:val="22"/>
        </w:rPr>
        <w:t xml:space="preserve">with </w:t>
      </w:r>
      <w:r w:rsidRPr="004E20E4">
        <w:rPr>
          <w:rFonts w:asciiTheme="minorHAnsi" w:hAnsiTheme="minorHAnsi"/>
          <w:sz w:val="22"/>
          <w:szCs w:val="22"/>
        </w:rPr>
        <w:t>several management schemes, consultation mechanisms and cooperation efforts, including multi-country ones, that at present characterize the management set up of the Basin</w:t>
      </w:r>
      <w:r>
        <w:rPr>
          <w:rFonts w:asciiTheme="minorHAnsi" w:hAnsiTheme="minorHAnsi"/>
          <w:sz w:val="22"/>
          <w:szCs w:val="22"/>
        </w:rPr>
        <w:t>.</w:t>
      </w:r>
      <w:r w:rsidRPr="007E7BC3">
        <w:rPr>
          <w:rFonts w:asciiTheme="minorHAnsi" w:hAnsiTheme="minorHAnsi"/>
          <w:sz w:val="22"/>
          <w:szCs w:val="22"/>
        </w:rPr>
        <w:t xml:space="preserve"> </w:t>
      </w:r>
      <w:r>
        <w:rPr>
          <w:rFonts w:asciiTheme="minorHAnsi" w:hAnsiTheme="minorHAnsi"/>
          <w:sz w:val="22"/>
          <w:szCs w:val="22"/>
        </w:rPr>
        <w:t>The project is also commensurate with the countries’ efforts to adopt/approximate to the EU acquis, including its provisions on shared water resources management.</w:t>
      </w:r>
    </w:p>
    <w:p w14:paraId="08A5B51C" w14:textId="09A57CDF" w:rsidR="007E7BC3" w:rsidRPr="007E7BC3" w:rsidRDefault="007E7BC3" w:rsidP="0052081C">
      <w:pPr>
        <w:pStyle w:val="ListParagraph"/>
        <w:numPr>
          <w:ilvl w:val="0"/>
          <w:numId w:val="19"/>
        </w:numPr>
        <w:tabs>
          <w:tab w:val="left" w:pos="567"/>
        </w:tabs>
        <w:ind w:left="426" w:hanging="426"/>
        <w:jc w:val="both"/>
        <w:rPr>
          <w:rFonts w:asciiTheme="minorHAnsi" w:hAnsiTheme="minorHAnsi" w:cstheme="minorHAnsi"/>
          <w:sz w:val="22"/>
          <w:szCs w:val="22"/>
        </w:rPr>
      </w:pPr>
      <w:r>
        <w:rPr>
          <w:rFonts w:asciiTheme="minorHAnsi" w:hAnsiTheme="minorHAnsi"/>
          <w:sz w:val="22"/>
          <w:szCs w:val="22"/>
        </w:rPr>
        <w:t xml:space="preserve">The project has achieved its overall objective as well as its outcomes. One particular achievement was the effectiveness of stakeholders’ engagement, through Drin Core Group, EWGs and </w:t>
      </w:r>
      <w:r>
        <w:rPr>
          <w:rFonts w:asciiTheme="minorHAnsi" w:hAnsiTheme="minorHAnsi"/>
          <w:sz w:val="22"/>
          <w:szCs w:val="22"/>
        </w:rPr>
        <w:lastRenderedPageBreak/>
        <w:t>Stakeholders annual meetings, which was the crucial element that brought agreement on the SAP. Equally so, the project was very effective in raising the capacity as well as the awareness on critical water resources problems in the region, that has contributed to the wide acceptance of project outcomes and outputs among all stakeholder groups.</w:t>
      </w:r>
      <w:r w:rsidRPr="007E7BC3">
        <w:rPr>
          <w:rFonts w:asciiTheme="minorHAnsi" w:hAnsiTheme="minorHAnsi"/>
          <w:sz w:val="22"/>
          <w:szCs w:val="22"/>
        </w:rPr>
        <w:t xml:space="preserve"> </w:t>
      </w:r>
      <w:r>
        <w:rPr>
          <w:rFonts w:asciiTheme="minorHAnsi" w:hAnsiTheme="minorHAnsi"/>
          <w:sz w:val="22"/>
          <w:szCs w:val="22"/>
        </w:rPr>
        <w:t>The Drin Project has delivered a number of additional results that have not been originally envisaged by the ProDoc.</w:t>
      </w:r>
    </w:p>
    <w:p w14:paraId="2CB42B17" w14:textId="0654069A" w:rsidR="007E7BC3" w:rsidRPr="007E7BC3" w:rsidRDefault="007E7BC3" w:rsidP="0052081C">
      <w:pPr>
        <w:pStyle w:val="ListParagraph"/>
        <w:numPr>
          <w:ilvl w:val="0"/>
          <w:numId w:val="19"/>
        </w:numPr>
        <w:tabs>
          <w:tab w:val="left" w:pos="567"/>
        </w:tabs>
        <w:ind w:left="426" w:hanging="426"/>
        <w:jc w:val="both"/>
        <w:rPr>
          <w:rFonts w:asciiTheme="minorHAnsi" w:hAnsiTheme="minorHAnsi" w:cstheme="minorHAnsi"/>
          <w:sz w:val="22"/>
          <w:szCs w:val="22"/>
        </w:rPr>
      </w:pPr>
      <w:r>
        <w:rPr>
          <w:rFonts w:asciiTheme="minorHAnsi" w:hAnsiTheme="minorHAnsi"/>
          <w:sz w:val="22"/>
          <w:szCs w:val="22"/>
        </w:rPr>
        <w:t>The project has confronted two major obstacles: initial delays in the start of the project caused by delayed confirmation by some countries and several snap elections that caused, and by the COVID-19 crisis. The project implementation team managed to adapt quickly to these changing circumstances, and the impacts of these disturbances were not felt as one might have expected.</w:t>
      </w:r>
    </w:p>
    <w:p w14:paraId="608DFF89" w14:textId="40FF78DE" w:rsidR="007E7BC3" w:rsidRPr="00894841" w:rsidRDefault="007E7BC3" w:rsidP="0052081C">
      <w:pPr>
        <w:pStyle w:val="ListParagraph"/>
        <w:numPr>
          <w:ilvl w:val="0"/>
          <w:numId w:val="19"/>
        </w:numPr>
        <w:tabs>
          <w:tab w:val="left" w:pos="567"/>
        </w:tabs>
        <w:ind w:left="426" w:hanging="426"/>
        <w:jc w:val="both"/>
        <w:rPr>
          <w:rFonts w:asciiTheme="minorHAnsi" w:hAnsiTheme="minorHAnsi" w:cstheme="minorHAnsi"/>
          <w:sz w:val="22"/>
          <w:szCs w:val="22"/>
        </w:rPr>
      </w:pPr>
      <w:r>
        <w:rPr>
          <w:rFonts w:asciiTheme="minorHAnsi" w:hAnsiTheme="minorHAnsi"/>
          <w:sz w:val="22"/>
          <w:szCs w:val="22"/>
        </w:rPr>
        <w:t>Institutional capacity has been strengthened at national and transboundary levels, and management and knowledge tools have been provided that will enable countries to sustainably manage Drin River Basin on a long-term basis.  The project has extended its reach to integrate a score of cross-cutting issues, such as climate change and mitigation and adaptation, flood risk management, demonstration activities etc. The project has achieved full support of the participating countries largely due to a successfully implemented Stakeholders’ Engagement and Gender Mainstreaming Strategies.</w:t>
      </w:r>
    </w:p>
    <w:p w14:paraId="1116C605" w14:textId="736E58D9" w:rsidR="00FD2AF0" w:rsidRDefault="00FD2AF0" w:rsidP="00FD2AF0">
      <w:pPr>
        <w:jc w:val="both"/>
      </w:pPr>
    </w:p>
    <w:p w14:paraId="6B5364AE" w14:textId="1CB65AEB" w:rsidR="007E7BC3" w:rsidRDefault="007E7BC3" w:rsidP="00FD2AF0">
      <w:pPr>
        <w:jc w:val="both"/>
        <w:rPr>
          <w:rFonts w:asciiTheme="minorHAnsi" w:hAnsiTheme="minorHAnsi" w:cstheme="minorHAnsi"/>
          <w:i/>
          <w:sz w:val="22"/>
          <w:szCs w:val="22"/>
        </w:rPr>
      </w:pPr>
      <w:r>
        <w:rPr>
          <w:rFonts w:asciiTheme="minorHAnsi" w:hAnsiTheme="minorHAnsi" w:cstheme="minorHAnsi"/>
          <w:i/>
          <w:sz w:val="22"/>
          <w:szCs w:val="22"/>
        </w:rPr>
        <w:t>Lessons learned:</w:t>
      </w:r>
    </w:p>
    <w:p w14:paraId="7FC7DE7B" w14:textId="77777777" w:rsidR="007E7BC3" w:rsidRDefault="007E7BC3" w:rsidP="0052081C">
      <w:pPr>
        <w:pStyle w:val="NormalWeb"/>
        <w:numPr>
          <w:ilvl w:val="0"/>
          <w:numId w:val="17"/>
        </w:numPr>
        <w:ind w:left="425" w:hanging="425"/>
        <w:contextualSpacing/>
        <w:jc w:val="both"/>
        <w:rPr>
          <w:rFonts w:asciiTheme="minorHAnsi" w:hAnsiTheme="minorHAnsi"/>
          <w:sz w:val="22"/>
          <w:szCs w:val="22"/>
        </w:rPr>
      </w:pPr>
      <w:r>
        <w:rPr>
          <w:rFonts w:asciiTheme="minorHAnsi" w:hAnsiTheme="minorHAnsi"/>
          <w:sz w:val="22"/>
          <w:szCs w:val="22"/>
        </w:rPr>
        <w:t xml:space="preserve">Project has clear and achievable objectives followed by a rational design of project’s components, outcomes and outputs. The design simplicity is an essential prerequisite for a successful implementation of the project. </w:t>
      </w:r>
    </w:p>
    <w:p w14:paraId="31AF02D4" w14:textId="77777777" w:rsidR="007E7BC3" w:rsidRDefault="007E7BC3" w:rsidP="007E7BC3">
      <w:pPr>
        <w:pStyle w:val="NormalWeb"/>
        <w:contextualSpacing/>
        <w:jc w:val="both"/>
        <w:rPr>
          <w:rFonts w:asciiTheme="minorHAnsi" w:hAnsiTheme="minorHAnsi"/>
          <w:sz w:val="22"/>
          <w:szCs w:val="22"/>
        </w:rPr>
      </w:pPr>
    </w:p>
    <w:p w14:paraId="220C5975" w14:textId="77777777" w:rsidR="007E7BC3" w:rsidRDefault="007E7BC3" w:rsidP="0052081C">
      <w:pPr>
        <w:pStyle w:val="NormalWeb"/>
        <w:numPr>
          <w:ilvl w:val="0"/>
          <w:numId w:val="17"/>
        </w:numPr>
        <w:ind w:left="426" w:hanging="426"/>
        <w:contextualSpacing/>
        <w:jc w:val="both"/>
        <w:rPr>
          <w:rFonts w:asciiTheme="minorHAnsi" w:hAnsiTheme="minorHAnsi"/>
          <w:sz w:val="22"/>
          <w:szCs w:val="22"/>
        </w:rPr>
      </w:pPr>
      <w:r>
        <w:rPr>
          <w:rFonts w:asciiTheme="minorHAnsi" w:hAnsiTheme="minorHAnsi"/>
          <w:sz w:val="22"/>
          <w:szCs w:val="22"/>
        </w:rPr>
        <w:t xml:space="preserve">All project stakeholders have to be actively involved in the implementation of the project. Well-developed stakeholder engagement and integration mechanisms significantly contribute to better countries’ buy-in of the project and its overall success. </w:t>
      </w:r>
    </w:p>
    <w:p w14:paraId="4ED09A32" w14:textId="77777777" w:rsidR="007E7BC3" w:rsidRDefault="007E7BC3" w:rsidP="007E7BC3">
      <w:pPr>
        <w:pStyle w:val="NormalWeb"/>
        <w:contextualSpacing/>
        <w:jc w:val="both"/>
        <w:rPr>
          <w:rFonts w:asciiTheme="minorHAnsi" w:hAnsiTheme="minorHAnsi"/>
          <w:sz w:val="22"/>
          <w:szCs w:val="22"/>
        </w:rPr>
      </w:pPr>
    </w:p>
    <w:p w14:paraId="33B84EF3" w14:textId="77777777" w:rsidR="007E7BC3" w:rsidRDefault="007E7BC3" w:rsidP="0052081C">
      <w:pPr>
        <w:pStyle w:val="NormalWeb"/>
        <w:numPr>
          <w:ilvl w:val="0"/>
          <w:numId w:val="17"/>
        </w:numPr>
        <w:ind w:left="426" w:hanging="426"/>
        <w:contextualSpacing/>
        <w:jc w:val="both"/>
        <w:rPr>
          <w:rFonts w:asciiTheme="minorHAnsi" w:hAnsiTheme="minorHAnsi"/>
          <w:sz w:val="22"/>
          <w:szCs w:val="22"/>
        </w:rPr>
      </w:pPr>
      <w:r>
        <w:rPr>
          <w:rFonts w:asciiTheme="minorHAnsi" w:hAnsiTheme="minorHAnsi"/>
          <w:sz w:val="22"/>
          <w:szCs w:val="22"/>
        </w:rPr>
        <w:t xml:space="preserve">Successful communication and information strategy and a well-developed management information system make the project’s implementation transparent, increase trust in project actors and contribute to countries’ support to the project and implementation of its results increasing, thus, its sustainability level. </w:t>
      </w:r>
    </w:p>
    <w:p w14:paraId="40B99180" w14:textId="77777777" w:rsidR="007E7BC3" w:rsidRDefault="007E7BC3" w:rsidP="007E7BC3">
      <w:pPr>
        <w:pStyle w:val="NormalWeb"/>
        <w:contextualSpacing/>
        <w:jc w:val="both"/>
        <w:rPr>
          <w:rFonts w:asciiTheme="minorHAnsi" w:hAnsiTheme="minorHAnsi"/>
          <w:sz w:val="22"/>
          <w:szCs w:val="22"/>
        </w:rPr>
      </w:pPr>
    </w:p>
    <w:p w14:paraId="2A0FB172" w14:textId="77777777" w:rsidR="007E7BC3" w:rsidRPr="002468B9" w:rsidRDefault="007E7BC3" w:rsidP="0052081C">
      <w:pPr>
        <w:pStyle w:val="NormalWeb"/>
        <w:numPr>
          <w:ilvl w:val="0"/>
          <w:numId w:val="17"/>
        </w:numPr>
        <w:ind w:left="426" w:hanging="426"/>
        <w:contextualSpacing/>
        <w:jc w:val="both"/>
        <w:rPr>
          <w:rFonts w:asciiTheme="minorHAnsi" w:hAnsiTheme="minorHAnsi"/>
          <w:sz w:val="22"/>
          <w:szCs w:val="22"/>
        </w:rPr>
      </w:pPr>
      <w:r w:rsidRPr="002468B9">
        <w:rPr>
          <w:rFonts w:asciiTheme="minorHAnsi" w:hAnsiTheme="minorHAnsi"/>
          <w:sz w:val="22"/>
          <w:szCs w:val="22"/>
        </w:rPr>
        <w:t>Gender strategies are effective if they are developed in early stages of the project in order to</w:t>
      </w:r>
      <w:r>
        <w:rPr>
          <w:rFonts w:asciiTheme="minorHAnsi" w:hAnsiTheme="minorHAnsi"/>
          <w:sz w:val="22"/>
          <w:szCs w:val="22"/>
        </w:rPr>
        <w:t xml:space="preserve"> </w:t>
      </w:r>
      <w:r w:rsidRPr="002468B9">
        <w:rPr>
          <w:rFonts w:asciiTheme="minorHAnsi" w:hAnsiTheme="minorHAnsi"/>
          <w:sz w:val="22"/>
          <w:szCs w:val="22"/>
        </w:rPr>
        <w:t>guide gender mainstreaming throughout the implementation process.</w:t>
      </w:r>
    </w:p>
    <w:p w14:paraId="37172301" w14:textId="77777777" w:rsidR="007E7BC3" w:rsidRDefault="007E7BC3" w:rsidP="007E7BC3">
      <w:pPr>
        <w:pStyle w:val="NormalWeb"/>
        <w:contextualSpacing/>
        <w:jc w:val="both"/>
        <w:rPr>
          <w:rFonts w:asciiTheme="minorHAnsi" w:hAnsiTheme="minorHAnsi"/>
          <w:sz w:val="22"/>
          <w:szCs w:val="22"/>
        </w:rPr>
      </w:pPr>
    </w:p>
    <w:p w14:paraId="0DA6A6DF" w14:textId="77777777" w:rsidR="007E7BC3" w:rsidRDefault="007E7BC3" w:rsidP="0052081C">
      <w:pPr>
        <w:pStyle w:val="NormalWeb"/>
        <w:numPr>
          <w:ilvl w:val="0"/>
          <w:numId w:val="17"/>
        </w:numPr>
        <w:ind w:left="426" w:hanging="426"/>
        <w:contextualSpacing/>
        <w:jc w:val="both"/>
        <w:rPr>
          <w:rFonts w:asciiTheme="minorHAnsi" w:hAnsiTheme="minorHAnsi"/>
          <w:sz w:val="22"/>
          <w:szCs w:val="22"/>
        </w:rPr>
      </w:pPr>
      <w:r>
        <w:rPr>
          <w:rFonts w:asciiTheme="minorHAnsi" w:hAnsiTheme="minorHAnsi"/>
          <w:sz w:val="22"/>
          <w:szCs w:val="22"/>
        </w:rPr>
        <w:t>Efforts to deliver more results than initially envisaged improves the project’s catalytic/replication effect. Catalytic effect of the project is enhanced by examples presented through demonstration projects.</w:t>
      </w:r>
    </w:p>
    <w:p w14:paraId="4D5C73C1" w14:textId="77777777" w:rsidR="007E7BC3" w:rsidRDefault="007E7BC3" w:rsidP="007E7BC3">
      <w:pPr>
        <w:pStyle w:val="NormalWeb"/>
        <w:contextualSpacing/>
        <w:jc w:val="both"/>
        <w:rPr>
          <w:rFonts w:asciiTheme="minorHAnsi" w:hAnsiTheme="minorHAnsi"/>
          <w:sz w:val="22"/>
          <w:szCs w:val="22"/>
        </w:rPr>
      </w:pPr>
    </w:p>
    <w:p w14:paraId="6ED19C89" w14:textId="77777777" w:rsidR="007E7BC3" w:rsidRDefault="007E7BC3" w:rsidP="0052081C">
      <w:pPr>
        <w:pStyle w:val="NormalWeb"/>
        <w:numPr>
          <w:ilvl w:val="0"/>
          <w:numId w:val="17"/>
        </w:numPr>
        <w:ind w:left="425" w:hanging="425"/>
        <w:contextualSpacing/>
        <w:jc w:val="both"/>
        <w:rPr>
          <w:rFonts w:asciiTheme="minorHAnsi" w:hAnsiTheme="minorHAnsi"/>
          <w:sz w:val="22"/>
          <w:szCs w:val="22"/>
        </w:rPr>
      </w:pPr>
      <w:r>
        <w:rPr>
          <w:rFonts w:asciiTheme="minorHAnsi" w:hAnsiTheme="minorHAnsi"/>
          <w:sz w:val="22"/>
          <w:szCs w:val="22"/>
        </w:rPr>
        <w:t xml:space="preserve">The committed project implementation team is key ingredient of the project’s success. This project has shown that the team has spared no time to engage in frequent and fruitful consultation with a variety of project partners. Its long-standing experience in dealing with stakeholders’ participation and gender mainstreaming made this aspect the backbone of the project contributing thus to its overall success. </w:t>
      </w:r>
    </w:p>
    <w:p w14:paraId="7A6F2369" w14:textId="77777777" w:rsidR="007E7BC3" w:rsidRDefault="007E7BC3" w:rsidP="007E7BC3">
      <w:pPr>
        <w:pStyle w:val="NormalWeb"/>
        <w:contextualSpacing/>
        <w:jc w:val="both"/>
        <w:rPr>
          <w:rFonts w:asciiTheme="minorHAnsi" w:hAnsiTheme="minorHAnsi"/>
          <w:sz w:val="22"/>
          <w:szCs w:val="22"/>
        </w:rPr>
      </w:pPr>
    </w:p>
    <w:p w14:paraId="14AE65DD" w14:textId="77777777" w:rsidR="007E7BC3" w:rsidRDefault="007E7BC3" w:rsidP="0052081C">
      <w:pPr>
        <w:pStyle w:val="NormalWeb"/>
        <w:numPr>
          <w:ilvl w:val="0"/>
          <w:numId w:val="17"/>
        </w:numPr>
        <w:ind w:left="425" w:hanging="425"/>
        <w:contextualSpacing/>
        <w:jc w:val="both"/>
        <w:rPr>
          <w:rFonts w:asciiTheme="minorHAnsi" w:hAnsiTheme="minorHAnsi"/>
          <w:sz w:val="22"/>
          <w:szCs w:val="22"/>
        </w:rPr>
      </w:pPr>
      <w:r>
        <w:rPr>
          <w:rFonts w:asciiTheme="minorHAnsi" w:hAnsiTheme="minorHAnsi"/>
          <w:sz w:val="22"/>
          <w:szCs w:val="22"/>
        </w:rPr>
        <w:t>Capable project implementation team is essential element to successfully confront unexpected changes in the project’s environment, such as political events, economic crises, pandemics etc. This also contributes to the increased project’s effectiveness and efficiency.</w:t>
      </w:r>
    </w:p>
    <w:p w14:paraId="0186865D" w14:textId="77777777" w:rsidR="007E7BC3" w:rsidRDefault="007E7BC3" w:rsidP="007E7BC3">
      <w:pPr>
        <w:pStyle w:val="NormalWeb"/>
        <w:contextualSpacing/>
        <w:jc w:val="both"/>
        <w:rPr>
          <w:rFonts w:asciiTheme="minorHAnsi" w:hAnsiTheme="minorHAnsi"/>
          <w:sz w:val="22"/>
          <w:szCs w:val="22"/>
        </w:rPr>
      </w:pPr>
    </w:p>
    <w:p w14:paraId="20DD3E4E" w14:textId="1A4B7315" w:rsidR="007E7BC3" w:rsidRDefault="007E7BC3" w:rsidP="0052081C">
      <w:pPr>
        <w:pStyle w:val="NormalWeb"/>
        <w:numPr>
          <w:ilvl w:val="0"/>
          <w:numId w:val="17"/>
        </w:numPr>
        <w:ind w:left="426"/>
        <w:contextualSpacing/>
        <w:jc w:val="both"/>
        <w:rPr>
          <w:rFonts w:asciiTheme="minorHAnsi" w:hAnsiTheme="minorHAnsi"/>
          <w:sz w:val="22"/>
          <w:szCs w:val="22"/>
        </w:rPr>
      </w:pPr>
      <w:r w:rsidRPr="002468B9">
        <w:rPr>
          <w:rFonts w:asciiTheme="minorHAnsi" w:hAnsiTheme="minorHAnsi"/>
          <w:sz w:val="22"/>
          <w:szCs w:val="22"/>
        </w:rPr>
        <w:t xml:space="preserve">Capacity </w:t>
      </w:r>
      <w:r>
        <w:rPr>
          <w:rFonts w:asciiTheme="minorHAnsi" w:hAnsiTheme="minorHAnsi"/>
          <w:sz w:val="22"/>
          <w:szCs w:val="22"/>
        </w:rPr>
        <w:t xml:space="preserve">building </w:t>
      </w:r>
      <w:r w:rsidRPr="002468B9">
        <w:rPr>
          <w:rFonts w:asciiTheme="minorHAnsi" w:hAnsiTheme="minorHAnsi"/>
          <w:sz w:val="22"/>
          <w:szCs w:val="22"/>
        </w:rPr>
        <w:t xml:space="preserve">(individual as well as institutional) </w:t>
      </w:r>
      <w:r>
        <w:rPr>
          <w:rFonts w:asciiTheme="minorHAnsi" w:hAnsiTheme="minorHAnsi"/>
          <w:sz w:val="22"/>
          <w:szCs w:val="22"/>
        </w:rPr>
        <w:t xml:space="preserve">at national and transboundary levels </w:t>
      </w:r>
      <w:r w:rsidRPr="002468B9">
        <w:rPr>
          <w:rFonts w:asciiTheme="minorHAnsi" w:hAnsiTheme="minorHAnsi"/>
          <w:sz w:val="22"/>
          <w:szCs w:val="22"/>
        </w:rPr>
        <w:t>are key factors</w:t>
      </w:r>
      <w:r>
        <w:rPr>
          <w:rFonts w:asciiTheme="minorHAnsi" w:hAnsiTheme="minorHAnsi"/>
          <w:sz w:val="22"/>
          <w:szCs w:val="22"/>
        </w:rPr>
        <w:t xml:space="preserve"> </w:t>
      </w:r>
      <w:r w:rsidRPr="002468B9">
        <w:rPr>
          <w:rFonts w:asciiTheme="minorHAnsi" w:hAnsiTheme="minorHAnsi"/>
          <w:sz w:val="22"/>
          <w:szCs w:val="22"/>
        </w:rPr>
        <w:t>for sustaining results.</w:t>
      </w:r>
    </w:p>
    <w:p w14:paraId="5B8AAF17" w14:textId="77777777" w:rsidR="007E7BC3" w:rsidRPr="00466033" w:rsidRDefault="007E7BC3" w:rsidP="00894841">
      <w:pPr>
        <w:pStyle w:val="NormalWeb"/>
        <w:contextualSpacing/>
        <w:jc w:val="both"/>
        <w:rPr>
          <w:rFonts w:asciiTheme="minorHAnsi" w:hAnsiTheme="minorHAnsi"/>
          <w:sz w:val="22"/>
          <w:szCs w:val="22"/>
        </w:rPr>
      </w:pPr>
    </w:p>
    <w:p w14:paraId="7542616F" w14:textId="5751AE0F" w:rsidR="007E7BC3" w:rsidRPr="00894841" w:rsidRDefault="007E7BC3" w:rsidP="00FD2AF0">
      <w:pPr>
        <w:jc w:val="both"/>
        <w:rPr>
          <w:rFonts w:asciiTheme="minorHAnsi" w:hAnsiTheme="minorHAnsi" w:cstheme="minorHAnsi"/>
          <w:b/>
          <w:sz w:val="22"/>
          <w:szCs w:val="22"/>
        </w:rPr>
      </w:pPr>
      <w:r>
        <w:rPr>
          <w:rFonts w:asciiTheme="minorHAnsi" w:hAnsiTheme="minorHAnsi" w:cstheme="minorHAnsi"/>
          <w:b/>
          <w:sz w:val="22"/>
          <w:szCs w:val="22"/>
        </w:rPr>
        <w:t>Recommendations summary table</w:t>
      </w:r>
    </w:p>
    <w:p w14:paraId="4ADA21DE" w14:textId="77777777" w:rsidR="007E7BC3" w:rsidRDefault="007E7BC3" w:rsidP="00FD2AF0">
      <w:pPr>
        <w:tabs>
          <w:tab w:val="left" w:pos="426"/>
        </w:tabs>
        <w:ind w:left="1123"/>
        <w:jc w:val="both"/>
      </w:pPr>
    </w:p>
    <w:p w14:paraId="7546DDAF" w14:textId="77777777" w:rsidR="007E7BC3" w:rsidRDefault="007E7BC3" w:rsidP="00FD2AF0">
      <w:pPr>
        <w:tabs>
          <w:tab w:val="left" w:pos="426"/>
        </w:tabs>
        <w:ind w:left="1123"/>
        <w:jc w:val="both"/>
      </w:pPr>
    </w:p>
    <w:tbl>
      <w:tblPr>
        <w:tblStyle w:val="TableGrid"/>
        <w:tblW w:w="9133" w:type="dxa"/>
        <w:tblInd w:w="-5" w:type="dxa"/>
        <w:tblLook w:val="04A0" w:firstRow="1" w:lastRow="0" w:firstColumn="1" w:lastColumn="0" w:noHBand="0" w:noVBand="1"/>
      </w:tblPr>
      <w:tblGrid>
        <w:gridCol w:w="567"/>
        <w:gridCol w:w="5954"/>
        <w:gridCol w:w="1417"/>
        <w:gridCol w:w="1195"/>
        <w:tblGridChange w:id="4">
          <w:tblGrid>
            <w:gridCol w:w="567"/>
            <w:gridCol w:w="5954"/>
            <w:gridCol w:w="1417"/>
            <w:gridCol w:w="1195"/>
          </w:tblGrid>
        </w:tblGridChange>
      </w:tblGrid>
      <w:tr w:rsidR="007E7BC3" w14:paraId="4CFA2048" w14:textId="77777777" w:rsidTr="00894841">
        <w:tc>
          <w:tcPr>
            <w:tcW w:w="567" w:type="dxa"/>
            <w:tcBorders>
              <w:bottom w:val="single" w:sz="4" w:space="0" w:color="auto"/>
            </w:tcBorders>
            <w:shd w:val="clear" w:color="auto" w:fill="F4B083" w:themeFill="accent2" w:themeFillTint="99"/>
          </w:tcPr>
          <w:p w14:paraId="11A5E817" w14:textId="7ADC80ED" w:rsidR="007E7BC3" w:rsidRPr="00894841" w:rsidRDefault="007E7BC3" w:rsidP="00894841">
            <w:pPr>
              <w:tabs>
                <w:tab w:val="left" w:pos="426"/>
              </w:tabs>
              <w:jc w:val="center"/>
              <w:rPr>
                <w:rFonts w:asciiTheme="minorHAnsi" w:hAnsiTheme="minorHAnsi" w:cstheme="minorHAnsi"/>
                <w:b/>
                <w:sz w:val="22"/>
                <w:szCs w:val="22"/>
              </w:rPr>
            </w:pPr>
            <w:r>
              <w:rPr>
                <w:rFonts w:asciiTheme="minorHAnsi" w:hAnsiTheme="minorHAnsi" w:cstheme="minorHAnsi"/>
                <w:b/>
                <w:sz w:val="22"/>
                <w:szCs w:val="22"/>
              </w:rPr>
              <w:t>Rec #</w:t>
            </w:r>
          </w:p>
        </w:tc>
        <w:tc>
          <w:tcPr>
            <w:tcW w:w="5954" w:type="dxa"/>
            <w:tcBorders>
              <w:bottom w:val="single" w:sz="4" w:space="0" w:color="auto"/>
            </w:tcBorders>
            <w:shd w:val="clear" w:color="auto" w:fill="F4B083" w:themeFill="accent2" w:themeFillTint="99"/>
          </w:tcPr>
          <w:p w14:paraId="24C57686" w14:textId="2BFF6D73" w:rsidR="007E7BC3" w:rsidRPr="00894841" w:rsidRDefault="007E7BC3" w:rsidP="00894841">
            <w:pPr>
              <w:tabs>
                <w:tab w:val="left" w:pos="426"/>
              </w:tabs>
              <w:jc w:val="center"/>
              <w:rPr>
                <w:rFonts w:asciiTheme="minorHAnsi" w:hAnsiTheme="minorHAnsi" w:cstheme="minorHAnsi"/>
                <w:b/>
                <w:sz w:val="22"/>
                <w:szCs w:val="22"/>
              </w:rPr>
            </w:pPr>
            <w:r>
              <w:rPr>
                <w:rFonts w:asciiTheme="minorHAnsi" w:hAnsiTheme="minorHAnsi" w:cstheme="minorHAnsi"/>
                <w:b/>
                <w:sz w:val="22"/>
                <w:szCs w:val="22"/>
              </w:rPr>
              <w:t>TE Recommendation</w:t>
            </w:r>
          </w:p>
        </w:tc>
        <w:tc>
          <w:tcPr>
            <w:tcW w:w="1417" w:type="dxa"/>
            <w:tcBorders>
              <w:bottom w:val="single" w:sz="4" w:space="0" w:color="auto"/>
            </w:tcBorders>
            <w:shd w:val="clear" w:color="auto" w:fill="F4B083" w:themeFill="accent2" w:themeFillTint="99"/>
          </w:tcPr>
          <w:p w14:paraId="4660C70D" w14:textId="23EEEAF2" w:rsidR="007E7BC3" w:rsidRPr="00894841" w:rsidRDefault="002F0AF6" w:rsidP="00894841">
            <w:pPr>
              <w:tabs>
                <w:tab w:val="left" w:pos="426"/>
              </w:tabs>
              <w:jc w:val="center"/>
              <w:rPr>
                <w:rFonts w:asciiTheme="minorHAnsi" w:hAnsiTheme="minorHAnsi" w:cstheme="minorHAnsi"/>
                <w:b/>
                <w:sz w:val="22"/>
                <w:szCs w:val="22"/>
              </w:rPr>
            </w:pPr>
            <w:r>
              <w:rPr>
                <w:rFonts w:asciiTheme="minorHAnsi" w:hAnsiTheme="minorHAnsi" w:cstheme="minorHAnsi"/>
                <w:b/>
                <w:sz w:val="22"/>
                <w:szCs w:val="22"/>
              </w:rPr>
              <w:t>Entity responsible</w:t>
            </w:r>
          </w:p>
        </w:tc>
        <w:tc>
          <w:tcPr>
            <w:tcW w:w="1195" w:type="dxa"/>
            <w:tcBorders>
              <w:bottom w:val="single" w:sz="4" w:space="0" w:color="auto"/>
            </w:tcBorders>
            <w:shd w:val="clear" w:color="auto" w:fill="F4B083" w:themeFill="accent2" w:themeFillTint="99"/>
          </w:tcPr>
          <w:p w14:paraId="09C1056F" w14:textId="5894CB1A" w:rsidR="007E7BC3" w:rsidRPr="00894841" w:rsidRDefault="002F0AF6" w:rsidP="00894841">
            <w:pPr>
              <w:tabs>
                <w:tab w:val="left" w:pos="426"/>
              </w:tabs>
              <w:jc w:val="center"/>
              <w:rPr>
                <w:rFonts w:asciiTheme="minorHAnsi" w:hAnsiTheme="minorHAnsi" w:cstheme="minorHAnsi"/>
                <w:b/>
                <w:sz w:val="22"/>
                <w:szCs w:val="22"/>
              </w:rPr>
            </w:pPr>
            <w:r>
              <w:rPr>
                <w:rFonts w:asciiTheme="minorHAnsi" w:hAnsiTheme="minorHAnsi" w:cstheme="minorHAnsi"/>
                <w:b/>
                <w:sz w:val="22"/>
                <w:szCs w:val="22"/>
              </w:rPr>
              <w:t>Time frame</w:t>
            </w:r>
          </w:p>
        </w:tc>
      </w:tr>
      <w:tr w:rsidR="002F0AF6" w14:paraId="27088FCD" w14:textId="77777777" w:rsidTr="00894841">
        <w:tc>
          <w:tcPr>
            <w:tcW w:w="9133" w:type="dxa"/>
            <w:gridSpan w:val="4"/>
            <w:shd w:val="clear" w:color="auto" w:fill="FBE4D5" w:themeFill="accent2" w:themeFillTint="33"/>
          </w:tcPr>
          <w:p w14:paraId="55A14608" w14:textId="393F2502" w:rsidR="002F0AF6" w:rsidRPr="00894841" w:rsidRDefault="002F0AF6" w:rsidP="00894841">
            <w:pPr>
              <w:tabs>
                <w:tab w:val="left" w:pos="426"/>
              </w:tabs>
              <w:rPr>
                <w:rFonts w:asciiTheme="minorHAnsi" w:hAnsiTheme="minorHAnsi" w:cstheme="minorHAnsi"/>
                <w:sz w:val="20"/>
                <w:szCs w:val="20"/>
              </w:rPr>
            </w:pPr>
            <w:r w:rsidRPr="00894841">
              <w:rPr>
                <w:rFonts w:asciiTheme="minorHAnsi" w:hAnsiTheme="minorHAnsi" w:cstheme="minorHAnsi"/>
                <w:sz w:val="20"/>
                <w:szCs w:val="20"/>
              </w:rPr>
              <w:t>Recommendations for the Drin Project</w:t>
            </w:r>
          </w:p>
        </w:tc>
      </w:tr>
      <w:tr w:rsidR="007E7BC3" w14:paraId="1F6B4C8A" w14:textId="77777777" w:rsidTr="00894841">
        <w:tc>
          <w:tcPr>
            <w:tcW w:w="567" w:type="dxa"/>
            <w:tcBorders>
              <w:bottom w:val="single" w:sz="4" w:space="0" w:color="auto"/>
            </w:tcBorders>
          </w:tcPr>
          <w:p w14:paraId="0E817EB9" w14:textId="5A2D18AB" w:rsidR="007E7BC3" w:rsidRPr="00894841" w:rsidRDefault="002F0AF6" w:rsidP="00894841">
            <w:pPr>
              <w:tabs>
                <w:tab w:val="left" w:pos="426"/>
              </w:tabs>
              <w:jc w:val="center"/>
              <w:rPr>
                <w:rFonts w:asciiTheme="minorHAnsi" w:hAnsiTheme="minorHAnsi" w:cstheme="minorHAnsi"/>
                <w:sz w:val="20"/>
                <w:szCs w:val="20"/>
              </w:rPr>
            </w:pPr>
            <w:r w:rsidRPr="00894841">
              <w:rPr>
                <w:rFonts w:asciiTheme="minorHAnsi" w:hAnsiTheme="minorHAnsi" w:cstheme="minorHAnsi"/>
                <w:sz w:val="20"/>
                <w:szCs w:val="20"/>
              </w:rPr>
              <w:t>1</w:t>
            </w:r>
          </w:p>
        </w:tc>
        <w:tc>
          <w:tcPr>
            <w:tcW w:w="5954" w:type="dxa"/>
            <w:tcBorders>
              <w:bottom w:val="single" w:sz="4" w:space="0" w:color="auto"/>
            </w:tcBorders>
          </w:tcPr>
          <w:p w14:paraId="18E72B1E" w14:textId="1063AAD5" w:rsidR="007E7BC3" w:rsidRPr="00894841" w:rsidRDefault="002F0AF6" w:rsidP="00894841">
            <w:pPr>
              <w:pStyle w:val="NormalWeb"/>
              <w:shd w:val="clear" w:color="auto" w:fill="FFFFFF"/>
              <w:spacing w:before="0" w:beforeAutospacing="0" w:after="0" w:afterAutospacing="0"/>
              <w:jc w:val="both"/>
              <w:rPr>
                <w:rFonts w:asciiTheme="minorHAnsi" w:hAnsiTheme="minorHAnsi" w:cstheme="minorHAnsi"/>
                <w:sz w:val="20"/>
                <w:szCs w:val="20"/>
              </w:rPr>
            </w:pPr>
            <w:r w:rsidRPr="00894841">
              <w:rPr>
                <w:rFonts w:asciiTheme="minorHAnsi" w:hAnsiTheme="minorHAnsi"/>
                <w:sz w:val="20"/>
                <w:szCs w:val="20"/>
              </w:rPr>
              <w:t>Efforts should be continued to establish, wherever possible,  the Inter-Ministerial Committees (IMC). This should include a proper mandate, composition and legal background. This will increase their decision-making power and contribute to better transboundary management from the national perspective. The project should assist in establishment of the IMCs.</w:t>
            </w:r>
          </w:p>
        </w:tc>
        <w:tc>
          <w:tcPr>
            <w:tcW w:w="1417" w:type="dxa"/>
            <w:tcBorders>
              <w:bottom w:val="single" w:sz="4" w:space="0" w:color="auto"/>
            </w:tcBorders>
          </w:tcPr>
          <w:p w14:paraId="776DE24E" w14:textId="68F8B7CA" w:rsidR="007E7BC3"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DCG</w:t>
            </w:r>
          </w:p>
        </w:tc>
        <w:tc>
          <w:tcPr>
            <w:tcW w:w="1195" w:type="dxa"/>
            <w:tcBorders>
              <w:bottom w:val="single" w:sz="4" w:space="0" w:color="auto"/>
            </w:tcBorders>
          </w:tcPr>
          <w:p w14:paraId="4D8FC452" w14:textId="3401806D" w:rsidR="007E7BC3"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Soon after the project closure</w:t>
            </w:r>
          </w:p>
        </w:tc>
      </w:tr>
      <w:tr w:rsidR="002F0AF6" w14:paraId="4BAC0CCB" w14:textId="77777777" w:rsidTr="00894841">
        <w:tc>
          <w:tcPr>
            <w:tcW w:w="9133" w:type="dxa"/>
            <w:gridSpan w:val="4"/>
            <w:shd w:val="clear" w:color="auto" w:fill="FBE4D5" w:themeFill="accent2" w:themeFillTint="33"/>
          </w:tcPr>
          <w:p w14:paraId="7EDEFD65" w14:textId="540C28DE" w:rsidR="002F0AF6"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Recommendations for future programming</w:t>
            </w:r>
          </w:p>
        </w:tc>
      </w:tr>
      <w:tr w:rsidR="007E7BC3" w14:paraId="6A711E41" w14:textId="77777777" w:rsidTr="00894841">
        <w:tc>
          <w:tcPr>
            <w:tcW w:w="567" w:type="dxa"/>
          </w:tcPr>
          <w:p w14:paraId="2273A063" w14:textId="0E1DB081" w:rsidR="007E7BC3" w:rsidRPr="00894841" w:rsidRDefault="002F0AF6" w:rsidP="00894841">
            <w:pPr>
              <w:tabs>
                <w:tab w:val="left" w:pos="426"/>
              </w:tabs>
              <w:jc w:val="center"/>
              <w:rPr>
                <w:rFonts w:asciiTheme="minorHAnsi" w:hAnsiTheme="minorHAnsi" w:cstheme="minorHAnsi"/>
                <w:sz w:val="20"/>
                <w:szCs w:val="20"/>
              </w:rPr>
            </w:pPr>
            <w:r>
              <w:rPr>
                <w:rFonts w:asciiTheme="minorHAnsi" w:hAnsiTheme="minorHAnsi" w:cstheme="minorHAnsi"/>
                <w:sz w:val="20"/>
                <w:szCs w:val="20"/>
              </w:rPr>
              <w:t>2</w:t>
            </w:r>
          </w:p>
        </w:tc>
        <w:tc>
          <w:tcPr>
            <w:tcW w:w="5954" w:type="dxa"/>
          </w:tcPr>
          <w:p w14:paraId="48DCCB3C" w14:textId="28D7A57E" w:rsidR="007E7BC3" w:rsidRPr="00894841" w:rsidRDefault="002F0AF6" w:rsidP="00894841">
            <w:pPr>
              <w:tabs>
                <w:tab w:val="left" w:pos="426"/>
              </w:tabs>
              <w:rPr>
                <w:rFonts w:asciiTheme="minorHAnsi" w:hAnsiTheme="minorHAnsi" w:cstheme="minorHAnsi"/>
                <w:sz w:val="20"/>
                <w:szCs w:val="20"/>
              </w:rPr>
            </w:pPr>
            <w:r w:rsidRPr="00894841">
              <w:rPr>
                <w:rFonts w:asciiTheme="minorHAnsi" w:hAnsiTheme="minorHAnsi"/>
                <w:sz w:val="20"/>
                <w:szCs w:val="20"/>
              </w:rPr>
              <w:t>Design of future regional projects should better analyse the situation in countries to identify risks and eventual obstacles to transboundary management process at a regional scale. This should be more realistically reflected in the project documents.</w:t>
            </w:r>
          </w:p>
        </w:tc>
        <w:tc>
          <w:tcPr>
            <w:tcW w:w="1417" w:type="dxa"/>
          </w:tcPr>
          <w:p w14:paraId="596D8B65" w14:textId="6C815842" w:rsidR="007E7BC3"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GEF/UNDP</w:t>
            </w:r>
          </w:p>
        </w:tc>
        <w:tc>
          <w:tcPr>
            <w:tcW w:w="1195" w:type="dxa"/>
          </w:tcPr>
          <w:p w14:paraId="5A899049" w14:textId="3787C3CE" w:rsidR="007E7BC3"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Future projects</w:t>
            </w:r>
          </w:p>
        </w:tc>
      </w:tr>
      <w:tr w:rsidR="007E7BC3" w14:paraId="72BA8362" w14:textId="77777777" w:rsidTr="00894841">
        <w:tc>
          <w:tcPr>
            <w:tcW w:w="567" w:type="dxa"/>
          </w:tcPr>
          <w:p w14:paraId="10A2865F" w14:textId="6FA04CBA" w:rsidR="007E7BC3" w:rsidRPr="00894841" w:rsidRDefault="002F0AF6" w:rsidP="00894841">
            <w:pPr>
              <w:tabs>
                <w:tab w:val="left" w:pos="426"/>
              </w:tabs>
              <w:jc w:val="center"/>
              <w:rPr>
                <w:rFonts w:asciiTheme="minorHAnsi" w:hAnsiTheme="minorHAnsi" w:cstheme="minorHAnsi"/>
                <w:sz w:val="20"/>
                <w:szCs w:val="20"/>
              </w:rPr>
            </w:pPr>
            <w:r>
              <w:rPr>
                <w:rFonts w:asciiTheme="minorHAnsi" w:hAnsiTheme="minorHAnsi" w:cstheme="minorHAnsi"/>
                <w:sz w:val="20"/>
                <w:szCs w:val="20"/>
              </w:rPr>
              <w:t>3</w:t>
            </w:r>
          </w:p>
        </w:tc>
        <w:tc>
          <w:tcPr>
            <w:tcW w:w="5954" w:type="dxa"/>
          </w:tcPr>
          <w:p w14:paraId="4609AD6C" w14:textId="07A1AA9E" w:rsidR="007E7BC3" w:rsidRPr="00894841" w:rsidRDefault="002F0AF6" w:rsidP="00894841">
            <w:pPr>
              <w:tabs>
                <w:tab w:val="left" w:pos="426"/>
              </w:tabs>
              <w:rPr>
                <w:rFonts w:asciiTheme="minorHAnsi" w:hAnsiTheme="minorHAnsi" w:cstheme="minorHAnsi"/>
                <w:sz w:val="20"/>
                <w:szCs w:val="20"/>
              </w:rPr>
            </w:pPr>
            <w:r w:rsidRPr="00894841">
              <w:rPr>
                <w:rFonts w:ascii="Calibri" w:hAnsi="Calibri"/>
                <w:sz w:val="20"/>
                <w:szCs w:val="20"/>
              </w:rPr>
              <w:t>Project implementation team should follow-up with the partners to determine an accurate level of co-financing committed to the project. GEF should consider a standardised approach to calculating co-financing to ensure that partners are calculating their commitments on the same basis.</w:t>
            </w:r>
          </w:p>
        </w:tc>
        <w:tc>
          <w:tcPr>
            <w:tcW w:w="1417" w:type="dxa"/>
          </w:tcPr>
          <w:p w14:paraId="7C4EE9F0" w14:textId="2571A9F7" w:rsidR="007E7BC3"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GEF/UNDP</w:t>
            </w:r>
          </w:p>
        </w:tc>
        <w:tc>
          <w:tcPr>
            <w:tcW w:w="1195" w:type="dxa"/>
          </w:tcPr>
          <w:p w14:paraId="7A7196FE" w14:textId="5429B9C8" w:rsidR="007E7BC3"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Future projects</w:t>
            </w:r>
          </w:p>
        </w:tc>
      </w:tr>
      <w:tr w:rsidR="007E7BC3" w14:paraId="02B4576A" w14:textId="77777777" w:rsidTr="00894841">
        <w:tc>
          <w:tcPr>
            <w:tcW w:w="567" w:type="dxa"/>
          </w:tcPr>
          <w:p w14:paraId="784F4334" w14:textId="7530F15D" w:rsidR="007E7BC3" w:rsidRPr="00894841" w:rsidRDefault="002F0AF6" w:rsidP="00894841">
            <w:pPr>
              <w:tabs>
                <w:tab w:val="left" w:pos="426"/>
              </w:tabs>
              <w:jc w:val="center"/>
              <w:rPr>
                <w:rFonts w:asciiTheme="minorHAnsi" w:hAnsiTheme="minorHAnsi" w:cstheme="minorHAnsi"/>
                <w:sz w:val="20"/>
                <w:szCs w:val="20"/>
              </w:rPr>
            </w:pPr>
            <w:r>
              <w:rPr>
                <w:rFonts w:asciiTheme="minorHAnsi" w:hAnsiTheme="minorHAnsi" w:cstheme="minorHAnsi"/>
                <w:sz w:val="20"/>
                <w:szCs w:val="20"/>
              </w:rPr>
              <w:t>4</w:t>
            </w:r>
          </w:p>
        </w:tc>
        <w:tc>
          <w:tcPr>
            <w:tcW w:w="5954" w:type="dxa"/>
          </w:tcPr>
          <w:p w14:paraId="13D224CB" w14:textId="2583FF12" w:rsidR="007E7BC3" w:rsidRPr="00894841" w:rsidRDefault="002F0AF6" w:rsidP="00894841">
            <w:pPr>
              <w:pStyle w:val="NormalWeb"/>
              <w:shd w:val="clear" w:color="auto" w:fill="FFFFFF"/>
              <w:spacing w:before="0" w:beforeAutospacing="0" w:after="0" w:afterAutospacing="0"/>
              <w:jc w:val="both"/>
              <w:rPr>
                <w:rFonts w:asciiTheme="minorHAnsi" w:hAnsiTheme="minorHAnsi" w:cstheme="minorHAnsi"/>
                <w:sz w:val="20"/>
                <w:szCs w:val="20"/>
              </w:rPr>
            </w:pPr>
            <w:r w:rsidRPr="00894841">
              <w:rPr>
                <w:rFonts w:asciiTheme="minorHAnsi" w:hAnsiTheme="minorHAnsi"/>
                <w:sz w:val="20"/>
                <w:szCs w:val="20"/>
              </w:rPr>
              <w:t>Projects’ design should have clearly elaborated the exit strategy that will show what is needed to avoid lengthy intermission periods. Many transboundary management processes are dependent on the project financing before they become fully endorsed by the countries, and no project continuity may negatively affect the process.</w:t>
            </w:r>
          </w:p>
        </w:tc>
        <w:tc>
          <w:tcPr>
            <w:tcW w:w="1417" w:type="dxa"/>
          </w:tcPr>
          <w:p w14:paraId="7FDA3FCE" w14:textId="03B2A966" w:rsidR="007E7BC3"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GEF/UNDP</w:t>
            </w:r>
          </w:p>
        </w:tc>
        <w:tc>
          <w:tcPr>
            <w:tcW w:w="1195" w:type="dxa"/>
          </w:tcPr>
          <w:p w14:paraId="72CECDA6" w14:textId="7DDB4508" w:rsidR="007E7BC3"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Future projects</w:t>
            </w:r>
          </w:p>
        </w:tc>
      </w:tr>
      <w:tr w:rsidR="007E7BC3" w14:paraId="024CCCC8" w14:textId="77777777" w:rsidTr="00894841">
        <w:tc>
          <w:tcPr>
            <w:tcW w:w="567" w:type="dxa"/>
          </w:tcPr>
          <w:p w14:paraId="5B8A2598" w14:textId="4C6017EC" w:rsidR="007E7BC3" w:rsidRPr="00894841" w:rsidRDefault="002F0AF6" w:rsidP="00894841">
            <w:pPr>
              <w:tabs>
                <w:tab w:val="left" w:pos="426"/>
              </w:tabs>
              <w:jc w:val="center"/>
              <w:rPr>
                <w:rFonts w:asciiTheme="minorHAnsi" w:hAnsiTheme="minorHAnsi" w:cstheme="minorHAnsi"/>
                <w:sz w:val="20"/>
                <w:szCs w:val="20"/>
              </w:rPr>
            </w:pPr>
            <w:r>
              <w:rPr>
                <w:rFonts w:asciiTheme="minorHAnsi" w:hAnsiTheme="minorHAnsi" w:cstheme="minorHAnsi"/>
                <w:sz w:val="20"/>
                <w:szCs w:val="20"/>
              </w:rPr>
              <w:t>5</w:t>
            </w:r>
          </w:p>
        </w:tc>
        <w:tc>
          <w:tcPr>
            <w:tcW w:w="5954" w:type="dxa"/>
          </w:tcPr>
          <w:p w14:paraId="5DD118E1" w14:textId="1558477E" w:rsidR="007E7BC3" w:rsidRPr="00894841" w:rsidRDefault="002F0AF6" w:rsidP="00894841">
            <w:pPr>
              <w:pStyle w:val="NormalWeb"/>
              <w:shd w:val="clear" w:color="auto" w:fill="FFFFFF"/>
              <w:spacing w:before="0" w:beforeAutospacing="0" w:after="0" w:afterAutospacing="0"/>
              <w:jc w:val="both"/>
              <w:rPr>
                <w:rFonts w:asciiTheme="minorHAnsi" w:hAnsiTheme="minorHAnsi" w:cstheme="minorHAnsi"/>
                <w:sz w:val="20"/>
                <w:szCs w:val="20"/>
              </w:rPr>
            </w:pPr>
            <w:r w:rsidRPr="00894841">
              <w:rPr>
                <w:rFonts w:asciiTheme="minorHAnsi" w:hAnsiTheme="minorHAnsi"/>
                <w:sz w:val="20"/>
                <w:szCs w:val="20"/>
              </w:rPr>
              <w:t>The future regional project designs should allocate more resources to in-country implementation in the form of pilot or demonstration projects. Increasing the number of national projects may prove helpful to incorporate emerging and/or innovative issues and/or solutions as well as national priorities for the transboundary river basin. These projects should be planned in order to maintain the equal participation of all countries.</w:t>
            </w:r>
          </w:p>
        </w:tc>
        <w:tc>
          <w:tcPr>
            <w:tcW w:w="1417" w:type="dxa"/>
          </w:tcPr>
          <w:p w14:paraId="39B4465B" w14:textId="513493C6" w:rsidR="007E7BC3"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GEF/UNDP</w:t>
            </w:r>
          </w:p>
        </w:tc>
        <w:tc>
          <w:tcPr>
            <w:tcW w:w="1195" w:type="dxa"/>
          </w:tcPr>
          <w:p w14:paraId="53FBE9FF" w14:textId="31E14D30" w:rsidR="007E7BC3" w:rsidRPr="00894841" w:rsidRDefault="002F0AF6" w:rsidP="00894841">
            <w:pPr>
              <w:tabs>
                <w:tab w:val="left" w:pos="426"/>
              </w:tabs>
              <w:rPr>
                <w:rFonts w:asciiTheme="minorHAnsi" w:hAnsiTheme="minorHAnsi" w:cstheme="minorHAnsi"/>
                <w:sz w:val="20"/>
                <w:szCs w:val="20"/>
              </w:rPr>
            </w:pPr>
            <w:r>
              <w:rPr>
                <w:rFonts w:asciiTheme="minorHAnsi" w:hAnsiTheme="minorHAnsi" w:cstheme="minorHAnsi"/>
                <w:sz w:val="20"/>
                <w:szCs w:val="20"/>
              </w:rPr>
              <w:t>Future projects</w:t>
            </w:r>
          </w:p>
        </w:tc>
      </w:tr>
      <w:tr w:rsidR="002F0AF6" w14:paraId="42800113" w14:textId="77777777" w:rsidTr="002F0AF6">
        <w:tc>
          <w:tcPr>
            <w:tcW w:w="567" w:type="dxa"/>
          </w:tcPr>
          <w:p w14:paraId="25C03658" w14:textId="5BA906E7" w:rsidR="002F0AF6" w:rsidRDefault="002F0AF6" w:rsidP="002F0AF6">
            <w:pPr>
              <w:tabs>
                <w:tab w:val="left" w:pos="426"/>
              </w:tabs>
              <w:jc w:val="center"/>
              <w:rPr>
                <w:rFonts w:asciiTheme="minorHAnsi" w:hAnsiTheme="minorHAnsi" w:cstheme="minorHAnsi"/>
                <w:sz w:val="20"/>
                <w:szCs w:val="20"/>
              </w:rPr>
            </w:pPr>
            <w:r>
              <w:rPr>
                <w:rFonts w:asciiTheme="minorHAnsi" w:hAnsiTheme="minorHAnsi" w:cstheme="minorHAnsi"/>
                <w:sz w:val="20"/>
                <w:szCs w:val="20"/>
              </w:rPr>
              <w:t>6</w:t>
            </w:r>
          </w:p>
        </w:tc>
        <w:tc>
          <w:tcPr>
            <w:tcW w:w="5954" w:type="dxa"/>
          </w:tcPr>
          <w:p w14:paraId="59F19872" w14:textId="36F54C8E" w:rsidR="002F0AF6" w:rsidRPr="002F0AF6" w:rsidRDefault="002F0AF6" w:rsidP="002F0AF6">
            <w:pPr>
              <w:tabs>
                <w:tab w:val="left" w:pos="426"/>
              </w:tabs>
              <w:rPr>
                <w:rFonts w:asciiTheme="minorHAnsi" w:hAnsiTheme="minorHAnsi" w:cstheme="minorHAnsi"/>
                <w:sz w:val="20"/>
                <w:szCs w:val="20"/>
              </w:rPr>
            </w:pPr>
            <w:r w:rsidRPr="00894841">
              <w:rPr>
                <w:rFonts w:asciiTheme="minorHAnsi" w:hAnsiTheme="minorHAnsi"/>
                <w:sz w:val="20"/>
                <w:szCs w:val="20"/>
              </w:rPr>
              <w:t>If the initial analysis shows that such longer-term solution might be feasible, the project should in its design phase elaborate more extensively on the development of institutional solutions for transboundary water management that might include, for example, establishment of river commissions coupled with the necessary legal provisions. Since such decision is in the hands of the political authorities of the countries concerned, the project should support the establishment of such a solution, if it will be taken.</w:t>
            </w:r>
          </w:p>
        </w:tc>
        <w:tc>
          <w:tcPr>
            <w:tcW w:w="1417" w:type="dxa"/>
          </w:tcPr>
          <w:p w14:paraId="5ACE17E8" w14:textId="77777777" w:rsid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t>GEF/UNDP</w:t>
            </w:r>
          </w:p>
          <w:p w14:paraId="0C518311" w14:textId="77777777" w:rsidR="002F0AF6" w:rsidRDefault="002F0AF6" w:rsidP="002F0AF6">
            <w:pPr>
              <w:tabs>
                <w:tab w:val="left" w:pos="426"/>
              </w:tabs>
              <w:rPr>
                <w:rFonts w:asciiTheme="minorHAnsi" w:hAnsiTheme="minorHAnsi" w:cstheme="minorHAnsi"/>
                <w:sz w:val="20"/>
                <w:szCs w:val="20"/>
              </w:rPr>
            </w:pPr>
          </w:p>
          <w:p w14:paraId="24723C63" w14:textId="57AFBF7A" w:rsidR="002F0AF6" w:rsidRP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t>Participating countries</w:t>
            </w:r>
          </w:p>
        </w:tc>
        <w:tc>
          <w:tcPr>
            <w:tcW w:w="1195" w:type="dxa"/>
          </w:tcPr>
          <w:p w14:paraId="4D8355D1" w14:textId="6DBE3A53" w:rsidR="002F0AF6" w:rsidRP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t>Future projects</w:t>
            </w:r>
          </w:p>
        </w:tc>
      </w:tr>
      <w:tr w:rsidR="002F0AF6" w14:paraId="22B15AE2" w14:textId="77777777" w:rsidTr="002F0AF6">
        <w:tc>
          <w:tcPr>
            <w:tcW w:w="567" w:type="dxa"/>
          </w:tcPr>
          <w:p w14:paraId="47923AEB" w14:textId="5F9C87CC" w:rsidR="002F0AF6" w:rsidRDefault="002F0AF6" w:rsidP="002F0AF6">
            <w:pPr>
              <w:tabs>
                <w:tab w:val="left" w:pos="426"/>
              </w:tabs>
              <w:jc w:val="center"/>
              <w:rPr>
                <w:rFonts w:asciiTheme="minorHAnsi" w:hAnsiTheme="minorHAnsi" w:cstheme="minorHAnsi"/>
                <w:sz w:val="20"/>
                <w:szCs w:val="20"/>
              </w:rPr>
            </w:pPr>
            <w:r>
              <w:rPr>
                <w:rFonts w:asciiTheme="minorHAnsi" w:hAnsiTheme="minorHAnsi" w:cstheme="minorHAnsi"/>
                <w:sz w:val="20"/>
                <w:szCs w:val="20"/>
              </w:rPr>
              <w:t>7</w:t>
            </w:r>
          </w:p>
        </w:tc>
        <w:tc>
          <w:tcPr>
            <w:tcW w:w="5954" w:type="dxa"/>
          </w:tcPr>
          <w:p w14:paraId="4FEB2EC0" w14:textId="07AE0D8F" w:rsidR="002F0AF6" w:rsidRPr="002F0AF6" w:rsidRDefault="002F0AF6" w:rsidP="002F0AF6">
            <w:pPr>
              <w:tabs>
                <w:tab w:val="left" w:pos="426"/>
              </w:tabs>
              <w:rPr>
                <w:rFonts w:asciiTheme="minorHAnsi" w:hAnsiTheme="minorHAnsi" w:cstheme="minorHAnsi"/>
                <w:sz w:val="20"/>
                <w:szCs w:val="20"/>
              </w:rPr>
            </w:pPr>
            <w:r w:rsidRPr="00894841">
              <w:rPr>
                <w:rFonts w:asciiTheme="minorHAnsi" w:hAnsiTheme="minorHAnsi"/>
                <w:sz w:val="20"/>
                <w:szCs w:val="20"/>
              </w:rPr>
              <w:t>The execution arrangement of the regional projects should plan for decentralised project management, such as establishment of the country project offices in addition to the central implementation unit. The management proposals should elaborate in detail the terms of reference for such offices including the sources of financing</w:t>
            </w:r>
            <w:r>
              <w:rPr>
                <w:rFonts w:asciiTheme="minorHAnsi" w:hAnsiTheme="minorHAnsi"/>
                <w:sz w:val="22"/>
                <w:szCs w:val="22"/>
              </w:rPr>
              <w:t>.</w:t>
            </w:r>
          </w:p>
        </w:tc>
        <w:tc>
          <w:tcPr>
            <w:tcW w:w="1417" w:type="dxa"/>
          </w:tcPr>
          <w:p w14:paraId="5D49A103" w14:textId="77777777" w:rsid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t>GEF/UNDP</w:t>
            </w:r>
          </w:p>
          <w:p w14:paraId="22E81667" w14:textId="77777777" w:rsidR="002F0AF6" w:rsidRDefault="002F0AF6" w:rsidP="002F0AF6">
            <w:pPr>
              <w:tabs>
                <w:tab w:val="left" w:pos="426"/>
              </w:tabs>
              <w:rPr>
                <w:rFonts w:asciiTheme="minorHAnsi" w:hAnsiTheme="minorHAnsi" w:cstheme="minorHAnsi"/>
                <w:sz w:val="20"/>
                <w:szCs w:val="20"/>
              </w:rPr>
            </w:pPr>
          </w:p>
          <w:p w14:paraId="0C6D4C60" w14:textId="38559570" w:rsidR="002F0AF6" w:rsidRP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t>Participating countries</w:t>
            </w:r>
          </w:p>
        </w:tc>
        <w:tc>
          <w:tcPr>
            <w:tcW w:w="1195" w:type="dxa"/>
          </w:tcPr>
          <w:p w14:paraId="5817C36F" w14:textId="2C1403E3" w:rsidR="002F0AF6" w:rsidRP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t>Future projects</w:t>
            </w:r>
          </w:p>
        </w:tc>
      </w:tr>
      <w:tr w:rsidR="002F0AF6" w14:paraId="423E4575" w14:textId="77777777" w:rsidTr="002F0AF6">
        <w:tc>
          <w:tcPr>
            <w:tcW w:w="567" w:type="dxa"/>
          </w:tcPr>
          <w:p w14:paraId="23599DB5" w14:textId="131274EE" w:rsidR="002F0AF6" w:rsidRDefault="002F0AF6" w:rsidP="002F0AF6">
            <w:pPr>
              <w:tabs>
                <w:tab w:val="left" w:pos="426"/>
              </w:tabs>
              <w:jc w:val="center"/>
              <w:rPr>
                <w:rFonts w:asciiTheme="minorHAnsi" w:hAnsiTheme="minorHAnsi" w:cstheme="minorHAnsi"/>
                <w:sz w:val="20"/>
                <w:szCs w:val="20"/>
              </w:rPr>
            </w:pPr>
            <w:r>
              <w:rPr>
                <w:rFonts w:asciiTheme="minorHAnsi" w:hAnsiTheme="minorHAnsi" w:cstheme="minorHAnsi"/>
                <w:sz w:val="20"/>
                <w:szCs w:val="20"/>
              </w:rPr>
              <w:t>8</w:t>
            </w:r>
          </w:p>
        </w:tc>
        <w:tc>
          <w:tcPr>
            <w:tcW w:w="5954" w:type="dxa"/>
          </w:tcPr>
          <w:p w14:paraId="4003FB7A" w14:textId="71A3221C" w:rsidR="002F0AF6" w:rsidRPr="002F0AF6" w:rsidRDefault="002F0AF6" w:rsidP="002F0AF6">
            <w:pPr>
              <w:tabs>
                <w:tab w:val="left" w:pos="426"/>
              </w:tabs>
              <w:rPr>
                <w:rFonts w:asciiTheme="minorHAnsi" w:hAnsiTheme="minorHAnsi" w:cstheme="minorHAnsi"/>
                <w:sz w:val="20"/>
                <w:szCs w:val="20"/>
              </w:rPr>
            </w:pPr>
            <w:r w:rsidRPr="00894841">
              <w:rPr>
                <w:rFonts w:asciiTheme="minorHAnsi" w:hAnsiTheme="minorHAnsi"/>
                <w:sz w:val="20"/>
                <w:szCs w:val="20"/>
              </w:rPr>
              <w:t>During the implementation of the project, every effort should be made to maintain the institutional continuity and to avoid frequent changes in participation at country level, as the opposite can significantly reduce the pace of the project implementation.</w:t>
            </w:r>
          </w:p>
        </w:tc>
        <w:tc>
          <w:tcPr>
            <w:tcW w:w="1417" w:type="dxa"/>
          </w:tcPr>
          <w:p w14:paraId="4023F26F" w14:textId="77777777" w:rsid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t>GEF/UNDP</w:t>
            </w:r>
          </w:p>
          <w:p w14:paraId="4B479195" w14:textId="77777777" w:rsidR="002F0AF6" w:rsidRDefault="002F0AF6" w:rsidP="002F0AF6">
            <w:pPr>
              <w:tabs>
                <w:tab w:val="left" w:pos="426"/>
              </w:tabs>
              <w:rPr>
                <w:rFonts w:asciiTheme="minorHAnsi" w:hAnsiTheme="minorHAnsi" w:cstheme="minorHAnsi"/>
                <w:sz w:val="20"/>
                <w:szCs w:val="20"/>
              </w:rPr>
            </w:pPr>
          </w:p>
          <w:p w14:paraId="73D33F2C" w14:textId="0A68DFB7" w:rsidR="002F0AF6" w:rsidRP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t>Participating countries</w:t>
            </w:r>
          </w:p>
        </w:tc>
        <w:tc>
          <w:tcPr>
            <w:tcW w:w="1195" w:type="dxa"/>
          </w:tcPr>
          <w:p w14:paraId="0A2B829C" w14:textId="6C92A774" w:rsidR="002F0AF6" w:rsidRP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t>Future projects</w:t>
            </w:r>
          </w:p>
        </w:tc>
      </w:tr>
      <w:tr w:rsidR="002F0AF6" w14:paraId="4AD4F333" w14:textId="77777777" w:rsidTr="002F0AF6">
        <w:tc>
          <w:tcPr>
            <w:tcW w:w="567" w:type="dxa"/>
          </w:tcPr>
          <w:p w14:paraId="512488E5" w14:textId="0319A221" w:rsidR="002F0AF6" w:rsidRDefault="002F0AF6" w:rsidP="002F0AF6">
            <w:pPr>
              <w:tabs>
                <w:tab w:val="left" w:pos="426"/>
              </w:tabs>
              <w:jc w:val="center"/>
              <w:rPr>
                <w:rFonts w:asciiTheme="minorHAnsi" w:hAnsiTheme="minorHAnsi" w:cstheme="minorHAnsi"/>
                <w:sz w:val="20"/>
                <w:szCs w:val="20"/>
              </w:rPr>
            </w:pPr>
            <w:r>
              <w:rPr>
                <w:rFonts w:asciiTheme="minorHAnsi" w:hAnsiTheme="minorHAnsi" w:cstheme="minorHAnsi"/>
                <w:sz w:val="20"/>
                <w:szCs w:val="20"/>
              </w:rPr>
              <w:t>9</w:t>
            </w:r>
          </w:p>
        </w:tc>
        <w:tc>
          <w:tcPr>
            <w:tcW w:w="5954" w:type="dxa"/>
          </w:tcPr>
          <w:p w14:paraId="01A48BFE" w14:textId="24C479BE" w:rsidR="002F0AF6" w:rsidRPr="002F0AF6" w:rsidRDefault="002F0AF6" w:rsidP="002F0AF6">
            <w:pPr>
              <w:tabs>
                <w:tab w:val="left" w:pos="426"/>
              </w:tabs>
              <w:rPr>
                <w:rFonts w:asciiTheme="minorHAnsi" w:hAnsiTheme="minorHAnsi" w:cstheme="minorHAnsi"/>
                <w:sz w:val="20"/>
                <w:szCs w:val="20"/>
              </w:rPr>
            </w:pPr>
            <w:r w:rsidRPr="00894841">
              <w:rPr>
                <w:rFonts w:asciiTheme="minorHAnsi" w:hAnsiTheme="minorHAnsi"/>
                <w:sz w:val="20"/>
                <w:szCs w:val="20"/>
              </w:rPr>
              <w:t xml:space="preserve">More efforts should be made to secure steady and, if possible, in cash financial provision by the participating countries, in particular for the </w:t>
            </w:r>
            <w:r w:rsidRPr="00894841">
              <w:rPr>
                <w:rFonts w:asciiTheme="minorHAnsi" w:hAnsiTheme="minorHAnsi"/>
                <w:sz w:val="20"/>
                <w:szCs w:val="20"/>
              </w:rPr>
              <w:lastRenderedPageBreak/>
              <w:t>implementation of SAP proposals. While this may be difficult to obtain at the start of the project, it should become a necessary condition for the exit strategy.</w:t>
            </w:r>
          </w:p>
        </w:tc>
        <w:tc>
          <w:tcPr>
            <w:tcW w:w="1417" w:type="dxa"/>
          </w:tcPr>
          <w:p w14:paraId="209B37BD" w14:textId="75112A28" w:rsidR="002F0AF6" w:rsidRP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lastRenderedPageBreak/>
              <w:t>Participating copuntries</w:t>
            </w:r>
          </w:p>
        </w:tc>
        <w:tc>
          <w:tcPr>
            <w:tcW w:w="1195" w:type="dxa"/>
          </w:tcPr>
          <w:p w14:paraId="7DB6046E" w14:textId="1309CCC4" w:rsidR="002F0AF6" w:rsidRPr="002F0AF6" w:rsidRDefault="002F0AF6" w:rsidP="002F0AF6">
            <w:pPr>
              <w:tabs>
                <w:tab w:val="left" w:pos="426"/>
              </w:tabs>
              <w:rPr>
                <w:rFonts w:asciiTheme="minorHAnsi" w:hAnsiTheme="minorHAnsi" w:cstheme="minorHAnsi"/>
                <w:sz w:val="20"/>
                <w:szCs w:val="20"/>
              </w:rPr>
            </w:pPr>
            <w:r>
              <w:rPr>
                <w:rFonts w:asciiTheme="minorHAnsi" w:hAnsiTheme="minorHAnsi" w:cstheme="minorHAnsi"/>
                <w:sz w:val="20"/>
                <w:szCs w:val="20"/>
              </w:rPr>
              <w:t>Future projects</w:t>
            </w:r>
          </w:p>
        </w:tc>
      </w:tr>
    </w:tbl>
    <w:p w14:paraId="6ABF93B2" w14:textId="5723036A" w:rsidR="000F31AD" w:rsidRPr="00FD2AF0" w:rsidRDefault="00A317E5" w:rsidP="00894841">
      <w:pPr>
        <w:tabs>
          <w:tab w:val="left" w:pos="426"/>
        </w:tabs>
        <w:ind w:left="1123"/>
        <w:jc w:val="both"/>
        <w:rPr>
          <w:rFonts w:ascii="Calibri" w:eastAsia="Calibri" w:hAnsi="Calibri" w:cs="Calibri"/>
          <w:sz w:val="22"/>
          <w:szCs w:val="22"/>
        </w:rPr>
      </w:pPr>
      <w:r>
        <w:br w:type="page"/>
      </w:r>
    </w:p>
    <w:p w14:paraId="52920435" w14:textId="77777777" w:rsidR="000F31AD" w:rsidRDefault="00A317E5">
      <w:pPr>
        <w:pStyle w:val="Heading1"/>
      </w:pPr>
      <w:bookmarkStart w:id="5" w:name="_Toc81335829"/>
      <w:r>
        <w:lastRenderedPageBreak/>
        <w:t xml:space="preserve">1. </w:t>
      </w:r>
      <w:r>
        <w:tab/>
      </w:r>
      <w:r w:rsidRPr="004853CD">
        <w:t>Introduction</w:t>
      </w:r>
      <w:r>
        <w:rPr>
          <w:rFonts w:ascii="MS Gothic" w:eastAsia="MS Gothic" w:hAnsi="MS Gothic" w:cs="MS Gothic"/>
        </w:rPr>
        <w:t> </w:t>
      </w:r>
      <w:bookmarkEnd w:id="5"/>
    </w:p>
    <w:p w14:paraId="46B84F5A" w14:textId="77777777" w:rsidR="000F31AD" w:rsidRDefault="000F31AD">
      <w:pPr>
        <w:rPr>
          <w:rFonts w:ascii="Calibri" w:eastAsia="Calibri" w:hAnsi="Calibri" w:cs="Calibri"/>
          <w:sz w:val="22"/>
          <w:szCs w:val="22"/>
        </w:rPr>
      </w:pPr>
    </w:p>
    <w:p w14:paraId="27C91154" w14:textId="23F999B8" w:rsidR="000F31AD" w:rsidRDefault="00A317E5">
      <w:pPr>
        <w:jc w:val="both"/>
        <w:rPr>
          <w:rFonts w:ascii="Calibri" w:eastAsia="Calibri" w:hAnsi="Calibri" w:cs="Calibri"/>
          <w:sz w:val="22"/>
          <w:szCs w:val="22"/>
        </w:rPr>
      </w:pPr>
      <w:r>
        <w:rPr>
          <w:rFonts w:ascii="Calibri" w:eastAsia="Calibri" w:hAnsi="Calibri" w:cs="Calibri"/>
          <w:sz w:val="22"/>
          <w:szCs w:val="22"/>
        </w:rPr>
        <w:t>The Terminal Evaluation (TE) of the UNDP implemented GEF financed projects “</w:t>
      </w:r>
      <w:r>
        <w:rPr>
          <w:rFonts w:ascii="Calibri" w:eastAsia="Calibri" w:hAnsi="Calibri" w:cs="Calibri"/>
          <w:color w:val="000000"/>
          <w:sz w:val="22"/>
          <w:szCs w:val="22"/>
        </w:rPr>
        <w:t>Enabling transboundary cooperation and integrated water resources management in the extended Drin River Basin</w:t>
      </w:r>
      <w:r>
        <w:rPr>
          <w:color w:val="000000"/>
          <w:sz w:val="22"/>
          <w:szCs w:val="22"/>
        </w:rPr>
        <w:t>”</w:t>
      </w:r>
      <w:r>
        <w:rPr>
          <w:rFonts w:ascii="Calibri" w:eastAsia="Calibri" w:hAnsi="Calibri" w:cs="Calibri"/>
          <w:color w:val="000000"/>
          <w:sz w:val="22"/>
          <w:szCs w:val="22"/>
        </w:rPr>
        <w:t xml:space="preserve"> (PIMS 4482)</w:t>
      </w:r>
      <w:r>
        <w:rPr>
          <w:color w:val="000000"/>
          <w:sz w:val="22"/>
          <w:szCs w:val="22"/>
        </w:rPr>
        <w:t xml:space="preserve"> </w:t>
      </w:r>
      <w:r>
        <w:rPr>
          <w:rFonts w:ascii="Calibri" w:eastAsia="Calibri" w:hAnsi="Calibri" w:cs="Calibri"/>
          <w:color w:val="000000"/>
          <w:sz w:val="22"/>
          <w:szCs w:val="22"/>
        </w:rPr>
        <w:t>and</w:t>
      </w:r>
      <w:r>
        <w:rPr>
          <w:color w:val="000000"/>
          <w:sz w:val="22"/>
          <w:szCs w:val="22"/>
        </w:rPr>
        <w:t xml:space="preserve"> “</w:t>
      </w:r>
      <w:r>
        <w:rPr>
          <w:rFonts w:ascii="Calibri" w:eastAsia="Calibri" w:hAnsi="Calibri" w:cs="Calibri"/>
          <w:color w:val="000000"/>
          <w:sz w:val="22"/>
          <w:szCs w:val="22"/>
        </w:rPr>
        <w:t>Enabling transboundary cooperation and integrated water resources management in the White Drin and the extended Drin Basin</w:t>
      </w:r>
      <w:r>
        <w:rPr>
          <w:color w:val="000000"/>
          <w:sz w:val="22"/>
          <w:szCs w:val="22"/>
        </w:rPr>
        <w:t>”</w:t>
      </w:r>
      <w:r>
        <w:rPr>
          <w:rFonts w:ascii="Calibri" w:eastAsia="Calibri" w:hAnsi="Calibri" w:cs="Calibri"/>
          <w:color w:val="000000"/>
          <w:sz w:val="22"/>
          <w:szCs w:val="22"/>
        </w:rPr>
        <w:t xml:space="preserve"> (PIMS 5510)</w:t>
      </w:r>
      <w:r>
        <w:rPr>
          <w:rFonts w:ascii="Calibri" w:eastAsia="Calibri" w:hAnsi="Calibri" w:cs="Calibri"/>
          <w:sz w:val="22"/>
          <w:szCs w:val="22"/>
        </w:rPr>
        <w:t xml:space="preserve"> was carried out in three phases: (i) desk reviews, data collection, analysis and preparation of terminal evaluation inception report; (ii) </w:t>
      </w:r>
      <w:r w:rsidR="00393BBC">
        <w:rPr>
          <w:rFonts w:ascii="Calibri" w:eastAsia="Calibri" w:hAnsi="Calibri" w:cs="Calibri"/>
          <w:sz w:val="22"/>
          <w:szCs w:val="22"/>
        </w:rPr>
        <w:t xml:space="preserve">evaluation missions to Podgorica to meet with the Montenegro authorities and the Project Office in Montenegro, and </w:t>
      </w:r>
      <w:r>
        <w:rPr>
          <w:rFonts w:ascii="Calibri" w:eastAsia="Calibri" w:hAnsi="Calibri" w:cs="Calibri"/>
          <w:sz w:val="22"/>
          <w:szCs w:val="22"/>
        </w:rPr>
        <w:t xml:space="preserve">to </w:t>
      </w:r>
      <w:r w:rsidR="00393BBC">
        <w:rPr>
          <w:rFonts w:ascii="Calibri" w:eastAsia="Calibri" w:hAnsi="Calibri" w:cs="Calibri"/>
          <w:sz w:val="22"/>
          <w:szCs w:val="22"/>
        </w:rPr>
        <w:t xml:space="preserve">Athens </w:t>
      </w:r>
      <w:r>
        <w:rPr>
          <w:rFonts w:ascii="Calibri" w:eastAsia="Calibri" w:hAnsi="Calibri" w:cs="Calibri"/>
          <w:sz w:val="22"/>
          <w:szCs w:val="22"/>
        </w:rPr>
        <w:t>to meet with the project team</w:t>
      </w:r>
      <w:r w:rsidR="00393BBC">
        <w:rPr>
          <w:rFonts w:ascii="Calibri" w:eastAsia="Calibri" w:hAnsi="Calibri" w:cs="Calibri"/>
          <w:sz w:val="22"/>
          <w:szCs w:val="22"/>
        </w:rPr>
        <w:t>;</w:t>
      </w:r>
      <w:r>
        <w:rPr>
          <w:rFonts w:ascii="Calibri" w:eastAsia="Calibri" w:hAnsi="Calibri" w:cs="Calibri"/>
          <w:sz w:val="22"/>
          <w:szCs w:val="22"/>
        </w:rPr>
        <w:t xml:space="preserve"> and conducting a series of online interviews with the project’s stakeholders</w:t>
      </w:r>
      <w:r w:rsidR="00393BBC">
        <w:rPr>
          <w:rFonts w:ascii="Calibri" w:eastAsia="Calibri" w:hAnsi="Calibri" w:cs="Calibri"/>
          <w:sz w:val="22"/>
          <w:szCs w:val="22"/>
        </w:rPr>
        <w:t xml:space="preserve"> in all countries participating in the project</w:t>
      </w:r>
      <w:r>
        <w:rPr>
          <w:rFonts w:ascii="Calibri" w:eastAsia="Calibri" w:hAnsi="Calibri" w:cs="Calibri"/>
          <w:sz w:val="22"/>
          <w:szCs w:val="22"/>
        </w:rPr>
        <w:t>; and (iii) preparation of the draft and, subsequently, final versions of the Terminal Evaluation Report.</w:t>
      </w:r>
    </w:p>
    <w:p w14:paraId="67AA90FD" w14:textId="77777777" w:rsidR="000F31AD" w:rsidRDefault="000F31AD">
      <w:pPr>
        <w:rPr>
          <w:rFonts w:ascii="Calibri" w:eastAsia="Calibri" w:hAnsi="Calibri" w:cs="Calibri"/>
          <w:sz w:val="22"/>
          <w:szCs w:val="22"/>
        </w:rPr>
      </w:pPr>
    </w:p>
    <w:p w14:paraId="15893312" w14:textId="77777777" w:rsidR="000F31AD" w:rsidRDefault="00A317E5">
      <w:pPr>
        <w:pStyle w:val="Heading2"/>
      </w:pPr>
      <w:bookmarkStart w:id="6" w:name="_Toc81335830"/>
      <w:r>
        <w:t>1.1.</w:t>
      </w:r>
      <w:r>
        <w:tab/>
        <w:t>Purpose and objective of the Terminal Evaluation</w:t>
      </w:r>
      <w:bookmarkEnd w:id="6"/>
    </w:p>
    <w:p w14:paraId="4B79085D" w14:textId="77777777" w:rsidR="000F31AD" w:rsidRDefault="000F31AD">
      <w:pPr>
        <w:rPr>
          <w:rFonts w:ascii="Calibri" w:eastAsia="Calibri" w:hAnsi="Calibri" w:cs="Calibri"/>
          <w:sz w:val="22"/>
          <w:szCs w:val="22"/>
        </w:rPr>
      </w:pPr>
    </w:p>
    <w:p w14:paraId="7D42B4EB" w14:textId="77777777" w:rsidR="000F31AD" w:rsidRDefault="00A317E5">
      <w:pPr>
        <w:jc w:val="both"/>
        <w:rPr>
          <w:rFonts w:ascii="Calibri" w:eastAsia="Calibri" w:hAnsi="Calibri" w:cs="Calibri"/>
          <w:sz w:val="22"/>
          <w:szCs w:val="22"/>
        </w:rPr>
      </w:pPr>
      <w:r>
        <w:rPr>
          <w:rFonts w:ascii="Calibri" w:eastAsia="Calibri" w:hAnsi="Calibri" w:cs="Calibri"/>
          <w:sz w:val="22"/>
          <w:szCs w:val="22"/>
        </w:rPr>
        <w:t>In accordance with the Terms of Reference (ToR) (Annex 1), the purpose of the TE is “…to provide an impartial evaluation of the project in terms of its relevance, effectiveness, efficiency, impact, sustainability, overall performance, management and achievements.” The information, findings, lessons learned, conclusions and recommendations generated by the evaluation will be used by the UNDP and the executing partners to strengthen the remaining projects’ implementation and inform prospects for the replication and sustainability of the intervention in future similar projects.</w:t>
      </w:r>
    </w:p>
    <w:p w14:paraId="0323931C" w14:textId="77777777" w:rsidR="000F31AD" w:rsidRDefault="000F31AD">
      <w:pPr>
        <w:jc w:val="both"/>
        <w:rPr>
          <w:rFonts w:ascii="Calibri" w:eastAsia="Calibri" w:hAnsi="Calibri" w:cs="Calibri"/>
          <w:sz w:val="22"/>
          <w:szCs w:val="22"/>
        </w:rPr>
      </w:pPr>
    </w:p>
    <w:p w14:paraId="06CF56D7" w14:textId="77777777" w:rsidR="000F31AD" w:rsidRDefault="00A317E5">
      <w:pPr>
        <w:jc w:val="both"/>
        <w:rPr>
          <w:rFonts w:ascii="Calibri" w:eastAsia="Calibri" w:hAnsi="Calibri" w:cs="Calibri"/>
          <w:sz w:val="22"/>
          <w:szCs w:val="22"/>
        </w:rPr>
      </w:pPr>
      <w:r>
        <w:rPr>
          <w:rFonts w:ascii="Calibri" w:eastAsia="Calibri" w:hAnsi="Calibri" w:cs="Calibri"/>
          <w:sz w:val="22"/>
          <w:szCs w:val="22"/>
        </w:rPr>
        <w:t>The objectives of the evaluation are to assess the achievement of the projects’ results and to draw lessons that can both improve the sustainability of benefits from the projects, and aid in the overall enhancement of UNDP programming.</w:t>
      </w:r>
    </w:p>
    <w:p w14:paraId="5B433C64" w14:textId="77777777" w:rsidR="000F31AD" w:rsidRDefault="00A317E5">
      <w:pPr>
        <w:spacing w:before="280" w:after="280"/>
        <w:jc w:val="both"/>
      </w:pPr>
      <w:r>
        <w:rPr>
          <w:rFonts w:ascii="Calibri" w:eastAsia="Calibri" w:hAnsi="Calibri" w:cs="Calibri"/>
          <w:sz w:val="22"/>
          <w:szCs w:val="22"/>
        </w:rPr>
        <w:t xml:space="preserve">The evaluation assesses the extent to which planned projects’ results have been achieved since the beginning of the projects in August 2015 and the likelihood of their full achievement by the end of the projects in July 2021 based on their Project Document (ProDoc) and Strategic Results Framework (SRF). The evaluation will also assess the monitoring and evaluation component of both projects and their compliance with UNDP and GEF minimum standards, including SMART criteria for indicators. </w:t>
      </w:r>
    </w:p>
    <w:p w14:paraId="3D70A156" w14:textId="77777777" w:rsidR="000F31AD" w:rsidRDefault="00A317E5">
      <w:pPr>
        <w:pStyle w:val="Heading2"/>
      </w:pPr>
      <w:bookmarkStart w:id="7" w:name="_Toc81335831"/>
      <w:r>
        <w:t>1.2.</w:t>
      </w:r>
      <w:r>
        <w:tab/>
        <w:t>Scope</w:t>
      </w:r>
      <w:bookmarkEnd w:id="7"/>
      <w:r>
        <w:t xml:space="preserve"> </w:t>
      </w:r>
    </w:p>
    <w:p w14:paraId="24EA22B5" w14:textId="77777777" w:rsidR="000F31AD" w:rsidRDefault="000F31AD">
      <w:pPr>
        <w:rPr>
          <w:rFonts w:ascii="Calibri" w:eastAsia="Calibri" w:hAnsi="Calibri" w:cs="Calibri"/>
          <w:sz w:val="22"/>
          <w:szCs w:val="22"/>
        </w:rPr>
      </w:pPr>
    </w:p>
    <w:p w14:paraId="454231A7" w14:textId="77777777" w:rsidR="000F31AD" w:rsidRDefault="00A317E5">
      <w:pPr>
        <w:jc w:val="both"/>
        <w:rPr>
          <w:rFonts w:ascii="Calibri" w:eastAsia="Calibri" w:hAnsi="Calibri" w:cs="Calibri"/>
          <w:sz w:val="22"/>
          <w:szCs w:val="22"/>
        </w:rPr>
      </w:pPr>
      <w:r>
        <w:rPr>
          <w:rFonts w:ascii="Calibri" w:eastAsia="Calibri" w:hAnsi="Calibri" w:cs="Calibri"/>
          <w:sz w:val="22"/>
          <w:szCs w:val="22"/>
        </w:rPr>
        <w:t>In accordance with the ToR, the scope of the evaluation has covered, among other, the following specific aspects:</w:t>
      </w:r>
    </w:p>
    <w:p w14:paraId="17779A7A" w14:textId="77777777" w:rsidR="000F31AD" w:rsidRDefault="000F31AD">
      <w:pPr>
        <w:jc w:val="both"/>
        <w:rPr>
          <w:rFonts w:ascii="Calibri" w:eastAsia="Calibri" w:hAnsi="Calibri" w:cs="Calibri"/>
          <w:sz w:val="22"/>
          <w:szCs w:val="22"/>
        </w:rPr>
      </w:pPr>
    </w:p>
    <w:p w14:paraId="626E06BF"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Project design;</w:t>
      </w:r>
    </w:p>
    <w:p w14:paraId="3205B1B8"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Risk assessment and risk management;</w:t>
      </w:r>
    </w:p>
    <w:p w14:paraId="1F7F9BA4"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Progress toward results, outputs, outcomes and impacts;</w:t>
      </w:r>
    </w:p>
    <w:p w14:paraId="7D82941A"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Implementation and execution arrangements, including GEF implementing agency oversight;</w:t>
      </w:r>
    </w:p>
    <w:p w14:paraId="1578AC20"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Performance of the executing agency;</w:t>
      </w:r>
    </w:p>
    <w:p w14:paraId="516FF2B5"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Partnership approach and stakeholder participation;</w:t>
      </w:r>
    </w:p>
    <w:p w14:paraId="4EBEF49A"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Communications and public awareness;</w:t>
      </w:r>
    </w:p>
    <w:p w14:paraId="0EBA9289"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Work planning, financial management/planning and co-financing;</w:t>
      </w:r>
    </w:p>
    <w:p w14:paraId="26945C66"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Flexibility, innovation and adaptive management;</w:t>
      </w:r>
    </w:p>
    <w:p w14:paraId="24A98B99"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 xml:space="preserve">Gender mainstreaming in implementation; </w:t>
      </w:r>
    </w:p>
    <w:p w14:paraId="175D3E8E"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 xml:space="preserve">Projects’ sustainability; and </w:t>
      </w:r>
    </w:p>
    <w:p w14:paraId="6F359C7C" w14:textId="77777777" w:rsidR="000F31AD" w:rsidRDefault="00A317E5" w:rsidP="0052081C">
      <w:pPr>
        <w:numPr>
          <w:ilvl w:val="0"/>
          <w:numId w:val="5"/>
        </w:numPr>
        <w:pBdr>
          <w:top w:val="nil"/>
          <w:left w:val="nil"/>
          <w:bottom w:val="nil"/>
          <w:right w:val="nil"/>
          <w:between w:val="nil"/>
        </w:pBdr>
        <w:ind w:left="425" w:hanging="425"/>
        <w:contextualSpacing/>
        <w:jc w:val="both"/>
        <w:rPr>
          <w:rFonts w:ascii="Calibri" w:eastAsia="Calibri" w:hAnsi="Calibri" w:cs="Calibri"/>
          <w:color w:val="000000"/>
          <w:sz w:val="22"/>
          <w:szCs w:val="22"/>
        </w:rPr>
      </w:pPr>
      <w:r>
        <w:rPr>
          <w:rFonts w:ascii="Calibri" w:eastAsia="Calibri" w:hAnsi="Calibri" w:cs="Calibri"/>
          <w:color w:val="000000"/>
          <w:sz w:val="22"/>
          <w:szCs w:val="22"/>
        </w:rPr>
        <w:t>Catalytic role:  replication and up-scaling.</w:t>
      </w:r>
    </w:p>
    <w:p w14:paraId="76C12526" w14:textId="77777777" w:rsidR="000F31AD" w:rsidRDefault="000F31AD">
      <w:pPr>
        <w:rPr>
          <w:rFonts w:ascii="Calibri" w:eastAsia="Calibri" w:hAnsi="Calibri" w:cs="Calibri"/>
          <w:sz w:val="22"/>
          <w:szCs w:val="22"/>
        </w:rPr>
      </w:pPr>
    </w:p>
    <w:p w14:paraId="6ABB166B" w14:textId="77777777" w:rsidR="000F31AD" w:rsidRDefault="00A317E5">
      <w:pPr>
        <w:jc w:val="both"/>
        <w:rPr>
          <w:rFonts w:ascii="Calibri" w:eastAsia="Calibri" w:hAnsi="Calibri" w:cs="Calibri"/>
          <w:sz w:val="22"/>
          <w:szCs w:val="22"/>
        </w:rPr>
      </w:pPr>
      <w:r>
        <w:rPr>
          <w:rFonts w:ascii="Calibri" w:eastAsia="Calibri" w:hAnsi="Calibri" w:cs="Calibri"/>
          <w:sz w:val="22"/>
          <w:szCs w:val="22"/>
        </w:rPr>
        <w:lastRenderedPageBreak/>
        <w:t>The terminal evaluation is based on the status of the projects as of 30 June 2021, which is one month before the scheduled closure of both projects and within around two years of the Mid Term Review (MTR). The project’s MTR report is referenced throughout this report, and rather than repeated the detailed analysis of activities conducted and outputs delivered up to the mid-term, this report builds on the findings of the MTR, assesses the overall progress that has been made since the start of the project and considers the sustainability of the projects’ outcomes and the achievement of their intended impacts.</w:t>
      </w:r>
    </w:p>
    <w:p w14:paraId="2657EB34" w14:textId="77777777" w:rsidR="000F31AD" w:rsidRDefault="000F31AD">
      <w:pPr>
        <w:jc w:val="both"/>
        <w:rPr>
          <w:rFonts w:ascii="Calibri" w:eastAsia="Calibri" w:hAnsi="Calibri" w:cs="Calibri"/>
          <w:sz w:val="22"/>
          <w:szCs w:val="22"/>
        </w:rPr>
      </w:pPr>
    </w:p>
    <w:p w14:paraId="15E6E5B0" w14:textId="77777777" w:rsidR="000F31AD" w:rsidRDefault="00A317E5">
      <w:pPr>
        <w:jc w:val="both"/>
        <w:rPr>
          <w:rFonts w:ascii="Calibri" w:eastAsia="Calibri" w:hAnsi="Calibri" w:cs="Calibri"/>
          <w:sz w:val="22"/>
          <w:szCs w:val="22"/>
        </w:rPr>
      </w:pPr>
      <w:r>
        <w:rPr>
          <w:rFonts w:ascii="Calibri" w:eastAsia="Calibri" w:hAnsi="Calibri" w:cs="Calibri"/>
          <w:sz w:val="22"/>
          <w:szCs w:val="22"/>
        </w:rPr>
        <w:t>The TE covers the entire geographical area of the Drin River Basin, including the territories of the countries where the basin is located: Albania, Greece, Montenegro, North Macedonia and Kosovo. The evaluation assessed all components of the project.</w:t>
      </w:r>
    </w:p>
    <w:p w14:paraId="56064277" w14:textId="77777777" w:rsidR="000F31AD" w:rsidRDefault="000F31AD">
      <w:pPr>
        <w:rPr>
          <w:rFonts w:ascii="Calibri" w:eastAsia="Calibri" w:hAnsi="Calibri" w:cs="Calibri"/>
          <w:sz w:val="22"/>
          <w:szCs w:val="22"/>
        </w:rPr>
      </w:pPr>
    </w:p>
    <w:p w14:paraId="4930AB8B" w14:textId="77777777" w:rsidR="000F31AD" w:rsidRDefault="00A317E5">
      <w:pPr>
        <w:pStyle w:val="Heading2"/>
      </w:pPr>
      <w:bookmarkStart w:id="8" w:name="_Toc81335832"/>
      <w:r>
        <w:t>1.3.</w:t>
      </w:r>
      <w:r>
        <w:tab/>
        <w:t>Methodology</w:t>
      </w:r>
      <w:bookmarkEnd w:id="8"/>
    </w:p>
    <w:p w14:paraId="6B31C4F1" w14:textId="77777777" w:rsidR="000F31AD" w:rsidRDefault="00A317E5">
      <w:pPr>
        <w:spacing w:before="280" w:after="280"/>
        <w:jc w:val="both"/>
      </w:pPr>
      <w:r>
        <w:rPr>
          <w:rFonts w:ascii="Calibri" w:eastAsia="Calibri" w:hAnsi="Calibri" w:cs="Calibri"/>
          <w:sz w:val="22"/>
          <w:szCs w:val="22"/>
        </w:rPr>
        <w:t>The evaluation has been performed in accordance with UNDP’s “Guidance for Conducting Evaluations of UNDP-Supported, GEF-Financed Projects”</w:t>
      </w:r>
      <w:r>
        <w:rPr>
          <w:rFonts w:ascii="Calibri" w:eastAsia="Calibri" w:hAnsi="Calibri" w:cs="Calibri"/>
          <w:sz w:val="22"/>
          <w:szCs w:val="22"/>
          <w:vertAlign w:val="superscript"/>
        </w:rPr>
        <w:footnoteReference w:id="3"/>
      </w:r>
      <w:r>
        <w:rPr>
          <w:rFonts w:ascii="Calibri" w:eastAsia="Calibri" w:hAnsi="Calibri" w:cs="Calibri"/>
          <w:sz w:val="22"/>
          <w:szCs w:val="22"/>
        </w:rPr>
        <w:t>. An evidence-based approach has been adopted to assess the projects’ performance, including a desk review of 130 relevant project documents and website research (</w:t>
      </w:r>
      <w:r>
        <w:rPr>
          <w:rFonts w:ascii="Calibri" w:eastAsia="Calibri" w:hAnsi="Calibri" w:cs="Calibri"/>
          <w:color w:val="000000"/>
          <w:sz w:val="22"/>
          <w:szCs w:val="22"/>
        </w:rPr>
        <w:t>Annex 4</w:t>
      </w:r>
      <w:r>
        <w:rPr>
          <w:rFonts w:ascii="Calibri" w:eastAsia="Calibri" w:hAnsi="Calibri" w:cs="Calibri"/>
          <w:sz w:val="22"/>
          <w:szCs w:val="22"/>
        </w:rPr>
        <w:t>), and semi-structured interviews with as many stakeholders as possible within the limited time available for the evaluation (</w:t>
      </w:r>
      <w:r>
        <w:rPr>
          <w:rFonts w:ascii="Calibri" w:eastAsia="Calibri" w:hAnsi="Calibri" w:cs="Calibri"/>
          <w:color w:val="000000"/>
          <w:sz w:val="22"/>
          <w:szCs w:val="22"/>
        </w:rPr>
        <w:t>Annex 3</w:t>
      </w:r>
      <w:r>
        <w:rPr>
          <w:rFonts w:ascii="Calibri" w:eastAsia="Calibri" w:hAnsi="Calibri" w:cs="Calibri"/>
          <w:sz w:val="22"/>
          <w:szCs w:val="22"/>
        </w:rPr>
        <w:t xml:space="preserve">). A consultative, participatory approach has been adopted throughout, engaging with the Project Executing Partner (GWP-Med) in Athens, the GEF secretariat, the Implementing Agency (UNDP), and other  executing project partners and other key stakeholders. Due to time limitations, it was not possible to arrange more than one short field visit. All other interviews were conducted by online conference platforms and email. </w:t>
      </w:r>
    </w:p>
    <w:p w14:paraId="6F5D3C65"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An evaluation matrix was designed for the inception report and is attached as </w:t>
      </w:r>
      <w:r>
        <w:rPr>
          <w:rFonts w:ascii="Calibri" w:eastAsia="Calibri" w:hAnsi="Calibri" w:cs="Calibri"/>
          <w:color w:val="000000"/>
          <w:sz w:val="22"/>
          <w:szCs w:val="22"/>
        </w:rPr>
        <w:t>Annex 5.</w:t>
      </w:r>
      <w:r>
        <w:rPr>
          <w:rFonts w:ascii="Calibri" w:eastAsia="Calibri" w:hAnsi="Calibri" w:cs="Calibri"/>
          <w:sz w:val="22"/>
          <w:szCs w:val="22"/>
        </w:rPr>
        <w:t xml:space="preserve"> The matrix provides a set of review questions to be addressed and indicators against which project performance has been measured. It also identifies the data collection and analysis methods to be adopted and the information sources to be used. Table 1 lists the data collection methods, information sources and number of interviewees. </w:t>
      </w:r>
    </w:p>
    <w:p w14:paraId="66E2EFCA" w14:textId="77777777" w:rsidR="000F31AD" w:rsidRDefault="00A317E5">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Table 1: Data collection methods, information sources and respondents </w:t>
      </w:r>
    </w:p>
    <w:p w14:paraId="2B161763" w14:textId="77777777" w:rsidR="004A0ACB" w:rsidRDefault="004A0ACB">
      <w:pPr>
        <w:pBdr>
          <w:top w:val="nil"/>
          <w:left w:val="nil"/>
          <w:bottom w:val="nil"/>
          <w:right w:val="nil"/>
          <w:between w:val="nil"/>
        </w:pBdr>
        <w:rPr>
          <w:color w:val="000000"/>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
        <w:gridCol w:w="4988"/>
        <w:gridCol w:w="1418"/>
        <w:gridCol w:w="1224"/>
      </w:tblGrid>
      <w:tr w:rsidR="000F31AD" w14:paraId="406EB15E" w14:textId="77777777">
        <w:tc>
          <w:tcPr>
            <w:tcW w:w="1386" w:type="dxa"/>
            <w:shd w:val="clear" w:color="auto" w:fill="F7CBAC"/>
          </w:tcPr>
          <w:p w14:paraId="098C063D" w14:textId="77777777" w:rsidR="000F31AD" w:rsidRDefault="00A317E5">
            <w:pPr>
              <w:jc w:val="center"/>
              <w:rPr>
                <w:rFonts w:ascii="Calibri" w:eastAsia="Calibri" w:hAnsi="Calibri" w:cs="Calibri"/>
                <w:b/>
                <w:color w:val="000000"/>
                <w:sz w:val="22"/>
                <w:szCs w:val="22"/>
              </w:rPr>
            </w:pPr>
            <w:r>
              <w:rPr>
                <w:rFonts w:ascii="Calibri" w:eastAsia="Calibri" w:hAnsi="Calibri" w:cs="Calibri"/>
                <w:b/>
                <w:color w:val="000000"/>
                <w:sz w:val="22"/>
                <w:szCs w:val="22"/>
              </w:rPr>
              <w:t>Data collection method</w:t>
            </w:r>
          </w:p>
        </w:tc>
        <w:tc>
          <w:tcPr>
            <w:tcW w:w="4988" w:type="dxa"/>
            <w:shd w:val="clear" w:color="auto" w:fill="F7CBAC"/>
          </w:tcPr>
          <w:p w14:paraId="5BD7FA65" w14:textId="77777777" w:rsidR="000F31AD" w:rsidRDefault="00A317E5">
            <w:pPr>
              <w:jc w:val="center"/>
              <w:rPr>
                <w:rFonts w:ascii="Calibri" w:eastAsia="Calibri" w:hAnsi="Calibri" w:cs="Calibri"/>
                <w:b/>
                <w:color w:val="000000"/>
                <w:sz w:val="22"/>
                <w:szCs w:val="22"/>
              </w:rPr>
            </w:pPr>
            <w:r>
              <w:rPr>
                <w:rFonts w:ascii="Calibri" w:eastAsia="Calibri" w:hAnsi="Calibri" w:cs="Calibri"/>
                <w:b/>
                <w:color w:val="000000"/>
                <w:sz w:val="22"/>
                <w:szCs w:val="22"/>
              </w:rPr>
              <w:t>Information source</w:t>
            </w:r>
          </w:p>
        </w:tc>
        <w:tc>
          <w:tcPr>
            <w:tcW w:w="1418" w:type="dxa"/>
            <w:shd w:val="clear" w:color="auto" w:fill="F7CBAC"/>
          </w:tcPr>
          <w:p w14:paraId="07ADE34A" w14:textId="77777777" w:rsidR="000F31AD" w:rsidRDefault="00A317E5">
            <w:pPr>
              <w:jc w:val="center"/>
              <w:rPr>
                <w:rFonts w:ascii="Calibri" w:eastAsia="Calibri" w:hAnsi="Calibri" w:cs="Calibri"/>
                <w:b/>
                <w:color w:val="000000"/>
                <w:sz w:val="22"/>
                <w:szCs w:val="22"/>
              </w:rPr>
            </w:pPr>
            <w:r>
              <w:rPr>
                <w:rFonts w:ascii="Calibri" w:eastAsia="Calibri" w:hAnsi="Calibri" w:cs="Calibri"/>
                <w:b/>
                <w:color w:val="000000"/>
                <w:sz w:val="22"/>
                <w:szCs w:val="22"/>
              </w:rPr>
              <w:t>Number of documents/ respondents</w:t>
            </w:r>
          </w:p>
        </w:tc>
        <w:tc>
          <w:tcPr>
            <w:tcW w:w="1224" w:type="dxa"/>
            <w:shd w:val="clear" w:color="auto" w:fill="F7CBAC"/>
          </w:tcPr>
          <w:p w14:paraId="34F54541" w14:textId="77777777" w:rsidR="000F31AD" w:rsidRDefault="00A317E5">
            <w:pPr>
              <w:jc w:val="center"/>
              <w:rPr>
                <w:rFonts w:ascii="Calibri" w:eastAsia="Calibri" w:hAnsi="Calibri" w:cs="Calibri"/>
                <w:b/>
                <w:color w:val="000000"/>
                <w:sz w:val="22"/>
                <w:szCs w:val="22"/>
              </w:rPr>
            </w:pPr>
            <w:r>
              <w:rPr>
                <w:rFonts w:ascii="Calibri" w:eastAsia="Calibri" w:hAnsi="Calibri" w:cs="Calibri"/>
                <w:b/>
                <w:color w:val="000000"/>
                <w:sz w:val="22"/>
                <w:szCs w:val="22"/>
              </w:rPr>
              <w:t>Annex for details</w:t>
            </w:r>
          </w:p>
        </w:tc>
      </w:tr>
      <w:tr w:rsidR="000F31AD" w14:paraId="6C2BF019" w14:textId="77777777">
        <w:tc>
          <w:tcPr>
            <w:tcW w:w="1386" w:type="dxa"/>
          </w:tcPr>
          <w:p w14:paraId="71974C6C" w14:textId="77777777" w:rsidR="000F31AD" w:rsidRDefault="00A317E5">
            <w:pPr>
              <w:jc w:val="both"/>
              <w:rPr>
                <w:rFonts w:ascii="Calibri" w:eastAsia="Calibri" w:hAnsi="Calibri" w:cs="Calibri"/>
                <w:color w:val="000000"/>
                <w:sz w:val="22"/>
                <w:szCs w:val="22"/>
              </w:rPr>
            </w:pPr>
            <w:r>
              <w:rPr>
                <w:rFonts w:ascii="Calibri" w:eastAsia="Calibri" w:hAnsi="Calibri" w:cs="Calibri"/>
                <w:color w:val="000000"/>
                <w:sz w:val="22"/>
                <w:szCs w:val="22"/>
              </w:rPr>
              <w:t>Document review</w:t>
            </w:r>
          </w:p>
        </w:tc>
        <w:tc>
          <w:tcPr>
            <w:tcW w:w="4988" w:type="dxa"/>
          </w:tcPr>
          <w:p w14:paraId="545BACF1"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Project document</w:t>
            </w:r>
          </w:p>
          <w:p w14:paraId="5C066DFE"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PIFs</w:t>
            </w:r>
          </w:p>
          <w:p w14:paraId="7DB69E4F" w14:textId="2E44174C"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Project Bo</w:t>
            </w:r>
            <w:r w:rsidR="00AC31DD">
              <w:rPr>
                <w:rFonts w:ascii="Calibri" w:eastAsia="Calibri" w:hAnsi="Calibri" w:cs="Calibri"/>
                <w:color w:val="000000"/>
                <w:sz w:val="22"/>
                <w:szCs w:val="22"/>
              </w:rPr>
              <w:t>a</w:t>
            </w:r>
            <w:r>
              <w:rPr>
                <w:rFonts w:ascii="Calibri" w:eastAsia="Calibri" w:hAnsi="Calibri" w:cs="Calibri"/>
                <w:color w:val="000000"/>
                <w:sz w:val="22"/>
                <w:szCs w:val="22"/>
              </w:rPr>
              <w:t>rd meetings' minutes</w:t>
            </w:r>
          </w:p>
          <w:p w14:paraId="61E43243"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Stakeholder meetings' reports</w:t>
            </w:r>
          </w:p>
          <w:p w14:paraId="0A690E08"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PIRs</w:t>
            </w:r>
          </w:p>
          <w:p w14:paraId="7B4C0CA3"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Workplans</w:t>
            </w:r>
          </w:p>
          <w:p w14:paraId="2F8DD136"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Financial reports</w:t>
            </w:r>
          </w:p>
          <w:p w14:paraId="6E9FD22A"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Co-financing letters</w:t>
            </w:r>
          </w:p>
          <w:p w14:paraId="044E9564"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MTR report</w:t>
            </w:r>
          </w:p>
          <w:p w14:paraId="55C5C1D1"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Workshop reports</w:t>
            </w:r>
          </w:p>
          <w:p w14:paraId="1EA95A60"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Project outputs</w:t>
            </w:r>
          </w:p>
          <w:p w14:paraId="61FCDA7B"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Miscellaneous documents</w:t>
            </w:r>
          </w:p>
          <w:p w14:paraId="3C569712" w14:textId="77777777" w:rsidR="000F31AD" w:rsidRDefault="00A317E5" w:rsidP="0052081C">
            <w:pPr>
              <w:numPr>
                <w:ilvl w:val="0"/>
                <w:numId w:val="2"/>
              </w:numPr>
              <w:pBdr>
                <w:top w:val="nil"/>
                <w:left w:val="nil"/>
                <w:bottom w:val="nil"/>
                <w:right w:val="nil"/>
                <w:between w:val="nil"/>
              </w:pBdr>
              <w:shd w:val="clear" w:color="auto" w:fill="FFFFFF"/>
              <w:ind w:left="304" w:hanging="275"/>
              <w:rPr>
                <w:rFonts w:ascii="Calibri" w:eastAsia="Calibri" w:hAnsi="Calibri" w:cs="Calibri"/>
                <w:color w:val="000000"/>
                <w:sz w:val="22"/>
                <w:szCs w:val="22"/>
              </w:rPr>
            </w:pPr>
            <w:r>
              <w:rPr>
                <w:rFonts w:ascii="Calibri" w:eastAsia="Calibri" w:hAnsi="Calibri" w:cs="Calibri"/>
                <w:color w:val="000000"/>
                <w:sz w:val="22"/>
                <w:szCs w:val="22"/>
              </w:rPr>
              <w:t xml:space="preserve">Evaluation guidelines </w:t>
            </w:r>
          </w:p>
        </w:tc>
        <w:tc>
          <w:tcPr>
            <w:tcW w:w="1418" w:type="dxa"/>
          </w:tcPr>
          <w:p w14:paraId="60EE6714" w14:textId="77777777" w:rsidR="000F31AD" w:rsidRDefault="000F31AD">
            <w:pPr>
              <w:spacing w:after="280"/>
              <w:jc w:val="both"/>
              <w:rPr>
                <w:rFonts w:ascii="Calibri" w:eastAsia="Calibri" w:hAnsi="Calibri" w:cs="Calibri"/>
                <w:color w:val="000000"/>
                <w:sz w:val="22"/>
                <w:szCs w:val="22"/>
              </w:rPr>
            </w:pPr>
          </w:p>
          <w:p w14:paraId="34F5466E" w14:textId="77777777" w:rsidR="000F31AD" w:rsidRDefault="000F31AD">
            <w:pPr>
              <w:spacing w:before="280" w:after="280"/>
              <w:jc w:val="both"/>
              <w:rPr>
                <w:rFonts w:ascii="Calibri" w:eastAsia="Calibri" w:hAnsi="Calibri" w:cs="Calibri"/>
                <w:color w:val="000000"/>
                <w:sz w:val="22"/>
                <w:szCs w:val="22"/>
              </w:rPr>
            </w:pPr>
          </w:p>
          <w:p w14:paraId="409BAD79" w14:textId="77777777" w:rsidR="000F31AD" w:rsidRDefault="00A317E5">
            <w:pPr>
              <w:spacing w:before="280"/>
              <w:jc w:val="center"/>
              <w:rPr>
                <w:rFonts w:ascii="Calibri" w:eastAsia="Calibri" w:hAnsi="Calibri" w:cs="Calibri"/>
                <w:color w:val="000000"/>
                <w:sz w:val="22"/>
                <w:szCs w:val="22"/>
              </w:rPr>
            </w:pPr>
            <w:r>
              <w:rPr>
                <w:rFonts w:ascii="Calibri" w:eastAsia="Calibri" w:hAnsi="Calibri" w:cs="Calibri"/>
                <w:color w:val="000000"/>
                <w:sz w:val="22"/>
                <w:szCs w:val="22"/>
              </w:rPr>
              <w:t>130</w:t>
            </w:r>
          </w:p>
        </w:tc>
        <w:tc>
          <w:tcPr>
            <w:tcW w:w="1224" w:type="dxa"/>
          </w:tcPr>
          <w:p w14:paraId="2F5AC7AF" w14:textId="77777777" w:rsidR="000F31AD" w:rsidRDefault="000F31AD">
            <w:pPr>
              <w:spacing w:after="280"/>
              <w:jc w:val="both"/>
              <w:rPr>
                <w:rFonts w:ascii="Calibri" w:eastAsia="Calibri" w:hAnsi="Calibri" w:cs="Calibri"/>
                <w:color w:val="000000"/>
                <w:sz w:val="22"/>
                <w:szCs w:val="22"/>
              </w:rPr>
            </w:pPr>
          </w:p>
          <w:p w14:paraId="48AB5E6A" w14:textId="77777777" w:rsidR="000F31AD" w:rsidRDefault="000F31AD">
            <w:pPr>
              <w:spacing w:before="280" w:after="280"/>
              <w:jc w:val="both"/>
              <w:rPr>
                <w:rFonts w:ascii="Calibri" w:eastAsia="Calibri" w:hAnsi="Calibri" w:cs="Calibri"/>
                <w:color w:val="000000"/>
                <w:sz w:val="22"/>
                <w:szCs w:val="22"/>
              </w:rPr>
            </w:pPr>
          </w:p>
          <w:p w14:paraId="7151DA2D" w14:textId="77777777" w:rsidR="000F31AD" w:rsidRDefault="00A317E5">
            <w:pPr>
              <w:spacing w:before="280"/>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0F31AD" w14:paraId="1DAD5B43" w14:textId="77777777">
        <w:trPr>
          <w:trHeight w:val="1128"/>
        </w:trPr>
        <w:tc>
          <w:tcPr>
            <w:tcW w:w="1386" w:type="dxa"/>
          </w:tcPr>
          <w:p w14:paraId="6CA6E3BE" w14:textId="77777777" w:rsidR="000F31AD" w:rsidRDefault="00A317E5">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Key informant interviews</w:t>
            </w:r>
          </w:p>
        </w:tc>
        <w:tc>
          <w:tcPr>
            <w:tcW w:w="4988" w:type="dxa"/>
          </w:tcPr>
          <w:p w14:paraId="597BE92E" w14:textId="77777777" w:rsidR="000F31AD" w:rsidRDefault="00A317E5" w:rsidP="0052081C">
            <w:pPr>
              <w:numPr>
                <w:ilvl w:val="0"/>
                <w:numId w:val="4"/>
              </w:numPr>
              <w:pBdr>
                <w:top w:val="nil"/>
                <w:left w:val="nil"/>
                <w:bottom w:val="nil"/>
                <w:right w:val="nil"/>
                <w:between w:val="nil"/>
              </w:pBdr>
              <w:ind w:left="313" w:hanging="284"/>
              <w:jc w:val="both"/>
              <w:rPr>
                <w:rFonts w:ascii="Calibri" w:eastAsia="Calibri" w:hAnsi="Calibri" w:cs="Calibri"/>
                <w:color w:val="000000"/>
                <w:sz w:val="22"/>
                <w:szCs w:val="22"/>
              </w:rPr>
            </w:pPr>
            <w:r>
              <w:rPr>
                <w:rFonts w:ascii="Calibri" w:eastAsia="Calibri" w:hAnsi="Calibri" w:cs="Calibri"/>
                <w:color w:val="000000"/>
                <w:sz w:val="22"/>
                <w:szCs w:val="22"/>
              </w:rPr>
              <w:t>Implementing agency</w:t>
            </w:r>
          </w:p>
          <w:p w14:paraId="01AD7EFA" w14:textId="77777777" w:rsidR="000F31AD" w:rsidRDefault="00A317E5" w:rsidP="0052081C">
            <w:pPr>
              <w:numPr>
                <w:ilvl w:val="0"/>
                <w:numId w:val="4"/>
              </w:numPr>
              <w:pBdr>
                <w:top w:val="nil"/>
                <w:left w:val="nil"/>
                <w:bottom w:val="nil"/>
                <w:right w:val="nil"/>
                <w:between w:val="nil"/>
              </w:pBdr>
              <w:ind w:left="313" w:hanging="284"/>
              <w:jc w:val="both"/>
              <w:rPr>
                <w:rFonts w:ascii="Calibri" w:eastAsia="Calibri" w:hAnsi="Calibri" w:cs="Calibri"/>
                <w:color w:val="000000"/>
                <w:sz w:val="22"/>
                <w:szCs w:val="22"/>
              </w:rPr>
            </w:pPr>
            <w:r>
              <w:rPr>
                <w:rFonts w:ascii="Calibri" w:eastAsia="Calibri" w:hAnsi="Calibri" w:cs="Calibri"/>
                <w:color w:val="000000"/>
                <w:sz w:val="22"/>
                <w:szCs w:val="22"/>
              </w:rPr>
              <w:t>Executing agency</w:t>
            </w:r>
          </w:p>
          <w:p w14:paraId="77ECFA8F" w14:textId="77777777" w:rsidR="000F31AD" w:rsidRDefault="00A317E5" w:rsidP="0052081C">
            <w:pPr>
              <w:numPr>
                <w:ilvl w:val="0"/>
                <w:numId w:val="4"/>
              </w:numPr>
              <w:pBdr>
                <w:top w:val="nil"/>
                <w:left w:val="nil"/>
                <w:bottom w:val="nil"/>
                <w:right w:val="nil"/>
                <w:between w:val="nil"/>
              </w:pBdr>
              <w:ind w:left="313" w:hanging="284"/>
              <w:jc w:val="both"/>
              <w:rPr>
                <w:rFonts w:ascii="Calibri" w:eastAsia="Calibri" w:hAnsi="Calibri" w:cs="Calibri"/>
                <w:color w:val="000000"/>
                <w:sz w:val="22"/>
                <w:szCs w:val="22"/>
              </w:rPr>
            </w:pPr>
            <w:r>
              <w:rPr>
                <w:rFonts w:ascii="Calibri" w:eastAsia="Calibri" w:hAnsi="Calibri" w:cs="Calibri"/>
                <w:color w:val="000000"/>
                <w:sz w:val="22"/>
                <w:szCs w:val="22"/>
              </w:rPr>
              <w:t>Executing partners</w:t>
            </w:r>
          </w:p>
          <w:p w14:paraId="59553391" w14:textId="77777777" w:rsidR="000F31AD" w:rsidRDefault="00A317E5" w:rsidP="0052081C">
            <w:pPr>
              <w:numPr>
                <w:ilvl w:val="0"/>
                <w:numId w:val="4"/>
              </w:numPr>
              <w:pBdr>
                <w:top w:val="nil"/>
                <w:left w:val="nil"/>
                <w:bottom w:val="nil"/>
                <w:right w:val="nil"/>
                <w:between w:val="nil"/>
              </w:pBdr>
              <w:ind w:left="313" w:hanging="284"/>
              <w:jc w:val="both"/>
              <w:rPr>
                <w:rFonts w:ascii="Calibri" w:eastAsia="Calibri" w:hAnsi="Calibri" w:cs="Calibri"/>
                <w:color w:val="000000"/>
                <w:sz w:val="22"/>
                <w:szCs w:val="22"/>
              </w:rPr>
            </w:pPr>
            <w:r>
              <w:rPr>
                <w:rFonts w:ascii="Calibri" w:eastAsia="Calibri" w:hAnsi="Calibri" w:cs="Calibri"/>
                <w:color w:val="000000"/>
                <w:sz w:val="22"/>
                <w:szCs w:val="22"/>
              </w:rPr>
              <w:t>Key stakeholders</w:t>
            </w:r>
          </w:p>
        </w:tc>
        <w:tc>
          <w:tcPr>
            <w:tcW w:w="1418" w:type="dxa"/>
          </w:tcPr>
          <w:p w14:paraId="34A81692" w14:textId="77777777" w:rsidR="000F31AD" w:rsidRDefault="000F31AD">
            <w:pPr>
              <w:spacing w:after="280"/>
              <w:jc w:val="both"/>
              <w:rPr>
                <w:rFonts w:ascii="Calibri" w:eastAsia="Calibri" w:hAnsi="Calibri" w:cs="Calibri"/>
                <w:color w:val="000000"/>
                <w:sz w:val="22"/>
                <w:szCs w:val="22"/>
              </w:rPr>
            </w:pPr>
          </w:p>
          <w:p w14:paraId="2F76B129" w14:textId="398AEE21" w:rsidR="000F31AD" w:rsidRDefault="00A317E5">
            <w:pPr>
              <w:spacing w:before="280"/>
              <w:jc w:val="center"/>
              <w:rPr>
                <w:rFonts w:ascii="Calibri" w:eastAsia="Calibri" w:hAnsi="Calibri" w:cs="Calibri"/>
                <w:color w:val="000000"/>
                <w:sz w:val="22"/>
                <w:szCs w:val="22"/>
              </w:rPr>
            </w:pPr>
            <w:r>
              <w:rPr>
                <w:rFonts w:ascii="Calibri" w:eastAsia="Calibri" w:hAnsi="Calibri" w:cs="Calibri"/>
                <w:color w:val="000000"/>
                <w:sz w:val="22"/>
                <w:szCs w:val="22"/>
              </w:rPr>
              <w:t>1</w:t>
            </w:r>
            <w:r w:rsidR="009A1DB5">
              <w:rPr>
                <w:rFonts w:ascii="Calibri" w:eastAsia="Calibri" w:hAnsi="Calibri" w:cs="Calibri"/>
                <w:color w:val="000000"/>
                <w:sz w:val="22"/>
                <w:szCs w:val="22"/>
              </w:rPr>
              <w:t>4</w:t>
            </w:r>
          </w:p>
        </w:tc>
        <w:tc>
          <w:tcPr>
            <w:tcW w:w="1224" w:type="dxa"/>
          </w:tcPr>
          <w:p w14:paraId="77774EBA" w14:textId="77777777" w:rsidR="000F31AD" w:rsidRDefault="000F31AD">
            <w:pPr>
              <w:spacing w:after="280"/>
              <w:jc w:val="both"/>
              <w:rPr>
                <w:rFonts w:ascii="Calibri" w:eastAsia="Calibri" w:hAnsi="Calibri" w:cs="Calibri"/>
                <w:color w:val="000000"/>
                <w:sz w:val="22"/>
                <w:szCs w:val="22"/>
              </w:rPr>
            </w:pPr>
          </w:p>
          <w:p w14:paraId="371437CC" w14:textId="77777777" w:rsidR="000F31AD" w:rsidRDefault="00A317E5">
            <w:pPr>
              <w:spacing w:before="280"/>
              <w:jc w:val="center"/>
              <w:rPr>
                <w:rFonts w:ascii="Calibri" w:eastAsia="Calibri" w:hAnsi="Calibri" w:cs="Calibri"/>
                <w:color w:val="000000"/>
                <w:sz w:val="22"/>
                <w:szCs w:val="22"/>
              </w:rPr>
            </w:pPr>
            <w:r>
              <w:rPr>
                <w:rFonts w:ascii="Calibri" w:eastAsia="Calibri" w:hAnsi="Calibri" w:cs="Calibri"/>
                <w:color w:val="000000"/>
                <w:sz w:val="22"/>
                <w:szCs w:val="22"/>
              </w:rPr>
              <w:t>3</w:t>
            </w:r>
          </w:p>
        </w:tc>
      </w:tr>
    </w:tbl>
    <w:p w14:paraId="1E92DE20" w14:textId="77777777" w:rsidR="000F31AD" w:rsidRDefault="000F31AD">
      <w:pPr>
        <w:pStyle w:val="Heading2"/>
      </w:pPr>
    </w:p>
    <w:p w14:paraId="036041BA" w14:textId="77777777" w:rsidR="000F31AD" w:rsidRDefault="00A317E5">
      <w:pPr>
        <w:pStyle w:val="Heading2"/>
      </w:pPr>
      <w:bookmarkStart w:id="9" w:name="_Toc81335833"/>
      <w:r>
        <w:t>1.4.</w:t>
      </w:r>
      <w:r>
        <w:tab/>
        <w:t>Limitations</w:t>
      </w:r>
      <w:bookmarkEnd w:id="9"/>
    </w:p>
    <w:p w14:paraId="1EC636B8" w14:textId="77777777" w:rsidR="000F31AD" w:rsidRDefault="000F31AD">
      <w:pPr>
        <w:rPr>
          <w:rFonts w:ascii="Calibri" w:eastAsia="Calibri" w:hAnsi="Calibri" w:cs="Calibri"/>
          <w:sz w:val="22"/>
          <w:szCs w:val="22"/>
        </w:rPr>
      </w:pPr>
    </w:p>
    <w:p w14:paraId="352DE286" w14:textId="77777777" w:rsidR="000F31AD" w:rsidRDefault="00A317E5">
      <w:pPr>
        <w:jc w:val="both"/>
        <w:rPr>
          <w:rFonts w:ascii="Calibri" w:eastAsia="Calibri" w:hAnsi="Calibri" w:cs="Calibri"/>
          <w:sz w:val="22"/>
          <w:szCs w:val="22"/>
        </w:rPr>
      </w:pPr>
      <w:r>
        <w:rPr>
          <w:rFonts w:ascii="Calibri" w:eastAsia="Calibri" w:hAnsi="Calibri" w:cs="Calibri"/>
          <w:sz w:val="22"/>
          <w:szCs w:val="22"/>
        </w:rPr>
        <w:t xml:space="preserve">This terminal evaluation had a very limited timeframe for completion compared to other projects of this value, scope and duration.  A specific consequence of this time limitation was that the consultant was not in a position to interview as many stakeholders as desirable, and was only limited to the key partners participating in the project.  </w:t>
      </w:r>
    </w:p>
    <w:p w14:paraId="3C57F291" w14:textId="77777777" w:rsidR="000F31AD" w:rsidRDefault="000F31AD">
      <w:pPr>
        <w:jc w:val="both"/>
        <w:rPr>
          <w:rFonts w:ascii="Calibri" w:eastAsia="Calibri" w:hAnsi="Calibri" w:cs="Calibri"/>
          <w:sz w:val="22"/>
          <w:szCs w:val="22"/>
        </w:rPr>
      </w:pPr>
    </w:p>
    <w:p w14:paraId="15016DE2" w14:textId="7C07A8A3" w:rsidR="000F31AD" w:rsidRDefault="00A317E5">
      <w:pPr>
        <w:jc w:val="both"/>
        <w:rPr>
          <w:rFonts w:ascii="Calibri" w:eastAsia="Calibri" w:hAnsi="Calibri" w:cs="Calibri"/>
          <w:sz w:val="22"/>
          <w:szCs w:val="22"/>
        </w:rPr>
      </w:pPr>
      <w:r>
        <w:rPr>
          <w:rFonts w:ascii="Calibri" w:eastAsia="Calibri" w:hAnsi="Calibri" w:cs="Calibri"/>
          <w:sz w:val="22"/>
          <w:szCs w:val="22"/>
        </w:rPr>
        <w:t xml:space="preserve">Also, because of the COVID-19 pandemic, as well as the limited time-frame, there was no possibility for an extended mission to visit all the beneficiary countries of the project. However, the consultant was able to visit the executing partner’s office (GWP-Med) in Athens, </w:t>
      </w:r>
      <w:r w:rsidR="00393BBC">
        <w:rPr>
          <w:rFonts w:ascii="Calibri" w:eastAsia="Calibri" w:hAnsi="Calibri" w:cs="Calibri"/>
          <w:sz w:val="22"/>
          <w:szCs w:val="22"/>
        </w:rPr>
        <w:t xml:space="preserve">as well as the Project Office in Montenegro and the Montenegro authorities, </w:t>
      </w:r>
      <w:r>
        <w:rPr>
          <w:rFonts w:ascii="Calibri" w:eastAsia="Calibri" w:hAnsi="Calibri" w:cs="Calibri"/>
          <w:sz w:val="22"/>
          <w:szCs w:val="22"/>
        </w:rPr>
        <w:t xml:space="preserve">which proved to be extremely useful and important for the evaluation process. </w:t>
      </w:r>
    </w:p>
    <w:p w14:paraId="72E13C55" w14:textId="77777777" w:rsidR="000F31AD" w:rsidRDefault="000F31AD">
      <w:pPr>
        <w:rPr>
          <w:rFonts w:ascii="Calibri" w:eastAsia="Calibri" w:hAnsi="Calibri" w:cs="Calibri"/>
          <w:sz w:val="22"/>
          <w:szCs w:val="22"/>
        </w:rPr>
      </w:pPr>
    </w:p>
    <w:p w14:paraId="45D482CA" w14:textId="77777777" w:rsidR="000F31AD" w:rsidRDefault="00A317E5">
      <w:pPr>
        <w:pStyle w:val="Heading2"/>
      </w:pPr>
      <w:bookmarkStart w:id="10" w:name="_Toc81335834"/>
      <w:r>
        <w:t>1.5.</w:t>
      </w:r>
      <w:r>
        <w:tab/>
        <w:t>Structure of the Terminal Evaluation Report</w:t>
      </w:r>
      <w:bookmarkEnd w:id="10"/>
    </w:p>
    <w:p w14:paraId="04AA473E" w14:textId="77777777" w:rsidR="000F31AD" w:rsidRDefault="000F31AD">
      <w:pPr>
        <w:rPr>
          <w:rFonts w:ascii="Calibri" w:eastAsia="Calibri" w:hAnsi="Calibri" w:cs="Calibri"/>
          <w:sz w:val="22"/>
          <w:szCs w:val="22"/>
        </w:rPr>
      </w:pPr>
    </w:p>
    <w:p w14:paraId="137BD06C" w14:textId="77777777" w:rsidR="000F31AD" w:rsidRDefault="00A317E5">
      <w:pPr>
        <w:jc w:val="both"/>
        <w:rPr>
          <w:rFonts w:ascii="Calibri" w:eastAsia="Calibri" w:hAnsi="Calibri" w:cs="Calibri"/>
          <w:sz w:val="22"/>
          <w:szCs w:val="22"/>
        </w:rPr>
      </w:pPr>
      <w:r>
        <w:rPr>
          <w:rFonts w:ascii="Calibri" w:eastAsia="Calibri" w:hAnsi="Calibri" w:cs="Calibri"/>
          <w:sz w:val="22"/>
          <w:szCs w:val="22"/>
        </w:rPr>
        <w:t>The TE report follows the structure required by the respective UNDP Guidance</w:t>
      </w:r>
      <w:r>
        <w:rPr>
          <w:rFonts w:ascii="Calibri" w:eastAsia="Calibri" w:hAnsi="Calibri" w:cs="Calibri"/>
          <w:sz w:val="22"/>
          <w:szCs w:val="22"/>
          <w:vertAlign w:val="superscript"/>
        </w:rPr>
        <w:footnoteReference w:id="4"/>
      </w:r>
      <w:r>
        <w:rPr>
          <w:rFonts w:ascii="Calibri" w:eastAsia="Calibri" w:hAnsi="Calibri" w:cs="Calibri"/>
          <w:sz w:val="22"/>
          <w:szCs w:val="22"/>
        </w:rPr>
        <w:t xml:space="preserve"> as summarized in the ToR (Annex 1). The main sections of the report are as follows:</w:t>
      </w:r>
    </w:p>
    <w:p w14:paraId="0FF769DF" w14:textId="77777777" w:rsidR="000F31AD" w:rsidRDefault="000F31AD">
      <w:pPr>
        <w:jc w:val="both"/>
        <w:rPr>
          <w:rFonts w:ascii="Calibri" w:eastAsia="Calibri" w:hAnsi="Calibri" w:cs="Calibri"/>
          <w:sz w:val="22"/>
          <w:szCs w:val="22"/>
        </w:rPr>
      </w:pPr>
    </w:p>
    <w:p w14:paraId="21A5510D" w14:textId="77777777" w:rsidR="000F31AD" w:rsidRDefault="00A317E5" w:rsidP="0052081C">
      <w:pPr>
        <w:numPr>
          <w:ilvl w:val="0"/>
          <w:numId w:val="6"/>
        </w:numPr>
        <w:pBdr>
          <w:top w:val="nil"/>
          <w:left w:val="nil"/>
          <w:bottom w:val="nil"/>
          <w:right w:val="nil"/>
          <w:between w:val="nil"/>
        </w:pBdr>
        <w:spacing w:before="280"/>
        <w:ind w:left="426" w:hanging="426"/>
        <w:jc w:val="both"/>
        <w:rPr>
          <w:color w:val="000000"/>
        </w:rPr>
      </w:pPr>
      <w:r>
        <w:rPr>
          <w:rFonts w:ascii="Calibri" w:eastAsia="Calibri" w:hAnsi="Calibri" w:cs="Calibri"/>
          <w:color w:val="000000"/>
          <w:sz w:val="22"/>
          <w:szCs w:val="22"/>
        </w:rPr>
        <w:t xml:space="preserve">Section 1 Introduction: purpose and objectives of the evaluation; scope, methodology, limitations and report structure </w:t>
      </w:r>
    </w:p>
    <w:p w14:paraId="5E232CAC" w14:textId="77777777" w:rsidR="000F31AD" w:rsidRDefault="00A317E5" w:rsidP="0052081C">
      <w:pPr>
        <w:numPr>
          <w:ilvl w:val="0"/>
          <w:numId w:val="6"/>
        </w:numPr>
        <w:pBdr>
          <w:top w:val="nil"/>
          <w:left w:val="nil"/>
          <w:bottom w:val="nil"/>
          <w:right w:val="nil"/>
          <w:between w:val="nil"/>
        </w:pBdr>
        <w:ind w:left="426" w:hanging="426"/>
        <w:jc w:val="both"/>
        <w:rPr>
          <w:color w:val="000000"/>
        </w:rPr>
      </w:pPr>
      <w:r>
        <w:rPr>
          <w:rFonts w:ascii="Calibri" w:eastAsia="Calibri" w:hAnsi="Calibri" w:cs="Calibri"/>
          <w:color w:val="000000"/>
          <w:sz w:val="22"/>
          <w:szCs w:val="22"/>
        </w:rPr>
        <w:t>Section 2 Project Description: development context; problems that the projects sought to address; project objectives; project’s Theory of Change; expected results; available resources;  main stakeholders; project partners; and outcome of the mid-term evaluation</w:t>
      </w:r>
    </w:p>
    <w:p w14:paraId="0675B13B" w14:textId="77777777" w:rsidR="000F31AD" w:rsidRDefault="00A317E5" w:rsidP="0052081C">
      <w:pPr>
        <w:numPr>
          <w:ilvl w:val="0"/>
          <w:numId w:val="6"/>
        </w:numPr>
        <w:pBdr>
          <w:top w:val="nil"/>
          <w:left w:val="nil"/>
          <w:bottom w:val="nil"/>
          <w:right w:val="nil"/>
          <w:between w:val="nil"/>
        </w:pBdr>
        <w:ind w:left="426" w:hanging="426"/>
        <w:jc w:val="both"/>
        <w:rPr>
          <w:color w:val="000000"/>
        </w:rPr>
      </w:pPr>
      <w:r>
        <w:rPr>
          <w:rFonts w:ascii="Calibri" w:eastAsia="Calibri" w:hAnsi="Calibri" w:cs="Calibri"/>
          <w:color w:val="000000"/>
          <w:sz w:val="22"/>
          <w:szCs w:val="22"/>
        </w:rPr>
        <w:t xml:space="preserve">Section 3 Findings: project design; project implementation; project results  </w:t>
      </w:r>
    </w:p>
    <w:p w14:paraId="6C1CE9BD" w14:textId="77777777" w:rsidR="000F31AD" w:rsidRDefault="00A317E5" w:rsidP="0052081C">
      <w:pPr>
        <w:numPr>
          <w:ilvl w:val="0"/>
          <w:numId w:val="6"/>
        </w:numPr>
        <w:pBdr>
          <w:top w:val="nil"/>
          <w:left w:val="nil"/>
          <w:bottom w:val="nil"/>
          <w:right w:val="nil"/>
          <w:between w:val="nil"/>
        </w:pBdr>
        <w:spacing w:after="280"/>
        <w:ind w:left="426" w:hanging="426"/>
        <w:jc w:val="both"/>
        <w:rPr>
          <w:color w:val="000000"/>
        </w:rPr>
      </w:pPr>
      <w:r>
        <w:rPr>
          <w:rFonts w:ascii="Calibri" w:eastAsia="Calibri" w:hAnsi="Calibri" w:cs="Calibri"/>
          <w:color w:val="000000"/>
          <w:sz w:val="22"/>
          <w:szCs w:val="22"/>
        </w:rPr>
        <w:t xml:space="preserve">Section 4 Conclusions, Recommendations and Lessons Learnt: main findings; conclusions; recommendations; and lessons learnt </w:t>
      </w:r>
    </w:p>
    <w:p w14:paraId="2C3FF88A" w14:textId="77777777" w:rsidR="000F31AD" w:rsidRPr="004A0ACB"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Although this report covers two projects, they will be analysed as one project because the Mid-Sized Project (MSP) addition referred only to the territory of Kosovo, while the substantive issues remained the same as in the Full-Sized Project (FSP). </w:t>
      </w:r>
    </w:p>
    <w:p w14:paraId="2D2E89CB" w14:textId="77777777" w:rsidR="004A0ACB" w:rsidRDefault="004A0ACB">
      <w:pPr>
        <w:pStyle w:val="Heading1"/>
      </w:pPr>
    </w:p>
    <w:p w14:paraId="6D690B68" w14:textId="77777777" w:rsidR="000F31AD" w:rsidRDefault="00A317E5">
      <w:pPr>
        <w:pStyle w:val="Heading1"/>
      </w:pPr>
      <w:bookmarkStart w:id="11" w:name="_Toc81335835"/>
      <w:r>
        <w:t xml:space="preserve">2. </w:t>
      </w:r>
      <w:r>
        <w:tab/>
        <w:t>Project description</w:t>
      </w:r>
      <w:bookmarkEnd w:id="11"/>
    </w:p>
    <w:p w14:paraId="71E78CBD" w14:textId="77777777" w:rsidR="000F31AD" w:rsidRDefault="000F31AD"/>
    <w:p w14:paraId="5B0F2785" w14:textId="77777777" w:rsidR="000F31AD" w:rsidRDefault="00A317E5">
      <w:pPr>
        <w:pStyle w:val="Heading2"/>
      </w:pPr>
      <w:bookmarkStart w:id="12" w:name="_Toc81335836"/>
      <w:r>
        <w:t>2.1.</w:t>
      </w:r>
      <w:r>
        <w:tab/>
        <w:t>Project start and duration</w:t>
      </w:r>
      <w:bookmarkEnd w:id="12"/>
    </w:p>
    <w:p w14:paraId="6F6BF2B4" w14:textId="77777777" w:rsidR="000F31AD" w:rsidRDefault="000F31AD">
      <w:pPr>
        <w:rPr>
          <w:rFonts w:ascii="Calibri" w:eastAsia="Calibri" w:hAnsi="Calibri" w:cs="Calibri"/>
          <w:sz w:val="22"/>
          <w:szCs w:val="22"/>
        </w:rPr>
      </w:pPr>
    </w:p>
    <w:p w14:paraId="1B4AD7FB" w14:textId="77777777" w:rsidR="000F31AD" w:rsidRDefault="00A317E5">
      <w:pPr>
        <w:rPr>
          <w:rFonts w:ascii="Calibri" w:eastAsia="Calibri" w:hAnsi="Calibri" w:cs="Calibri"/>
          <w:b/>
          <w:sz w:val="22"/>
          <w:szCs w:val="22"/>
        </w:rPr>
      </w:pPr>
      <w:r>
        <w:rPr>
          <w:rFonts w:ascii="Calibri" w:eastAsia="Calibri" w:hAnsi="Calibri" w:cs="Calibri"/>
          <w:b/>
          <w:sz w:val="22"/>
          <w:szCs w:val="22"/>
        </w:rPr>
        <w:t>Project Milestones</w:t>
      </w:r>
    </w:p>
    <w:p w14:paraId="214C83F0" w14:textId="77777777" w:rsidR="000F31AD" w:rsidRDefault="00A317E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PIF submitted: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12 July 2012 (FSP)</w:t>
      </w:r>
    </w:p>
    <w:p w14:paraId="0F6E5A2B" w14:textId="77777777" w:rsidR="000F31AD" w:rsidRDefault="00A317E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PIF approved:</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15 November 2012 (FSP) </w:t>
      </w:r>
    </w:p>
    <w:p w14:paraId="1785DE25" w14:textId="77777777" w:rsidR="000F31AD" w:rsidRDefault="00A317E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PPG approved:</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15 December 2012 (FSP)</w:t>
      </w:r>
      <w:r>
        <w:rPr>
          <w:rFonts w:ascii="Calibri" w:eastAsia="Calibri" w:hAnsi="Calibri" w:cs="Calibri"/>
          <w:color w:val="000000"/>
          <w:sz w:val="22"/>
          <w:szCs w:val="22"/>
        </w:rPr>
        <w:br/>
        <w:t xml:space="preserve">GEF CEO Endorsement: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17 October 2014 (FSP)</w:t>
      </w:r>
    </w:p>
    <w:p w14:paraId="05A7DF9A" w14:textId="77777777" w:rsidR="000F31AD" w:rsidRDefault="00A317E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26 May 2015 (MSP)</w:t>
      </w:r>
    </w:p>
    <w:p w14:paraId="1439C63A" w14:textId="77777777" w:rsidR="000F31AD" w:rsidRDefault="00A317E5">
      <w:pPr>
        <w:pBdr>
          <w:top w:val="nil"/>
          <w:left w:val="nil"/>
          <w:bottom w:val="nil"/>
          <w:right w:val="nil"/>
          <w:between w:val="nil"/>
        </w:pBdr>
        <w:rPr>
          <w:color w:val="000000"/>
        </w:rPr>
      </w:pPr>
      <w:r>
        <w:rPr>
          <w:rFonts w:ascii="Calibri" w:eastAsia="Calibri" w:hAnsi="Calibri" w:cs="Calibri"/>
          <w:color w:val="000000"/>
          <w:sz w:val="22"/>
          <w:szCs w:val="22"/>
        </w:rPr>
        <w:t>Start Date (Inception Workshop date):</w:t>
      </w:r>
      <w:r>
        <w:rPr>
          <w:rFonts w:ascii="Calibri" w:eastAsia="Calibri" w:hAnsi="Calibri" w:cs="Calibri"/>
          <w:color w:val="000000"/>
          <w:sz w:val="22"/>
          <w:szCs w:val="22"/>
        </w:rPr>
        <w:tab/>
      </w:r>
      <w:r>
        <w:rPr>
          <w:rFonts w:ascii="Calibri" w:eastAsia="Calibri" w:hAnsi="Calibri" w:cs="Calibri"/>
          <w:color w:val="000000"/>
          <w:sz w:val="22"/>
          <w:szCs w:val="22"/>
        </w:rPr>
        <w:tab/>
        <w:t xml:space="preserve">16 December 2015 </w:t>
      </w:r>
    </w:p>
    <w:p w14:paraId="07766A27" w14:textId="77777777" w:rsidR="000F31AD" w:rsidRDefault="00A317E5">
      <w:pPr>
        <w:pBdr>
          <w:top w:val="nil"/>
          <w:left w:val="nil"/>
          <w:bottom w:val="nil"/>
          <w:right w:val="nil"/>
          <w:between w:val="nil"/>
        </w:pBdr>
        <w:rPr>
          <w:color w:val="000000"/>
        </w:rPr>
      </w:pPr>
      <w:r>
        <w:rPr>
          <w:rFonts w:ascii="Calibri" w:eastAsia="Calibri" w:hAnsi="Calibri" w:cs="Calibri"/>
          <w:color w:val="000000"/>
          <w:sz w:val="22"/>
          <w:szCs w:val="22"/>
        </w:rPr>
        <w:t>Project Duration: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48 months</w:t>
      </w:r>
      <w:r>
        <w:rPr>
          <w:rFonts w:ascii="Calibri" w:eastAsia="Calibri" w:hAnsi="Calibri" w:cs="Calibri"/>
          <w:color w:val="000000"/>
          <w:sz w:val="22"/>
          <w:szCs w:val="22"/>
        </w:rPr>
        <w:br/>
        <w:t xml:space="preserve">Project End Date (planned):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31 July 2021</w:t>
      </w:r>
    </w:p>
    <w:p w14:paraId="64D30DCB" w14:textId="77777777" w:rsidR="000F31AD" w:rsidRDefault="000F31AD">
      <w:pPr>
        <w:rPr>
          <w:rFonts w:ascii="Calibri" w:eastAsia="Calibri" w:hAnsi="Calibri" w:cs="Calibri"/>
          <w:sz w:val="22"/>
          <w:szCs w:val="22"/>
        </w:rPr>
      </w:pPr>
    </w:p>
    <w:p w14:paraId="0FC5045C" w14:textId="77777777" w:rsidR="000F31AD" w:rsidRDefault="00A317E5">
      <w:pPr>
        <w:pStyle w:val="Heading2"/>
      </w:pPr>
      <w:bookmarkStart w:id="13" w:name="_Toc81335837"/>
      <w:r>
        <w:t>2.2.</w:t>
      </w:r>
      <w:r>
        <w:tab/>
        <w:t>Development context</w:t>
      </w:r>
      <w:bookmarkEnd w:id="13"/>
    </w:p>
    <w:p w14:paraId="1444E835" w14:textId="77777777" w:rsidR="000F31AD" w:rsidRDefault="000F31AD">
      <w:pPr>
        <w:rPr>
          <w:rFonts w:ascii="Calibri" w:eastAsia="Calibri" w:hAnsi="Calibri" w:cs="Calibri"/>
          <w:sz w:val="22"/>
          <w:szCs w:val="22"/>
        </w:rPr>
      </w:pPr>
    </w:p>
    <w:p w14:paraId="328D083B" w14:textId="7BF8D16F" w:rsidR="000F31AD" w:rsidRDefault="004A0ACB" w:rsidP="00894841">
      <w:pPr>
        <w:pStyle w:val="CommentText"/>
        <w:jc w:val="both"/>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06B1D353" wp14:editId="3BE11063">
            <wp:simplePos x="0" y="0"/>
            <wp:positionH relativeFrom="column">
              <wp:posOffset>-74295</wp:posOffset>
            </wp:positionH>
            <wp:positionV relativeFrom="paragraph">
              <wp:posOffset>1742440</wp:posOffset>
            </wp:positionV>
            <wp:extent cx="2954020" cy="3509645"/>
            <wp:effectExtent l="0" t="0" r="0" b="0"/>
            <wp:wrapSquare wrapText="bothSides" distT="0" distB="0" distL="114300" distR="114300"/>
            <wp:docPr id="21" name="image5.jpg" descr="page21image15944752"/>
            <wp:cNvGraphicFramePr/>
            <a:graphic xmlns:a="http://schemas.openxmlformats.org/drawingml/2006/main">
              <a:graphicData uri="http://schemas.openxmlformats.org/drawingml/2006/picture">
                <pic:pic xmlns:pic="http://schemas.openxmlformats.org/drawingml/2006/picture">
                  <pic:nvPicPr>
                    <pic:cNvPr id="0" name="image5.jpg" descr="page21image15944752"/>
                    <pic:cNvPicPr preferRelativeResize="0"/>
                  </pic:nvPicPr>
                  <pic:blipFill>
                    <a:blip r:embed="rId16"/>
                    <a:srcRect/>
                    <a:stretch>
                      <a:fillRect/>
                    </a:stretch>
                  </pic:blipFill>
                  <pic:spPr>
                    <a:xfrm>
                      <a:off x="0" y="0"/>
                      <a:ext cx="2954020" cy="3509645"/>
                    </a:xfrm>
                    <a:prstGeom prst="rect">
                      <a:avLst/>
                    </a:prstGeom>
                    <a:ln/>
                  </pic:spPr>
                </pic:pic>
              </a:graphicData>
            </a:graphic>
          </wp:anchor>
        </w:drawing>
      </w:r>
      <w:r w:rsidR="0066179B" w:rsidRPr="00894841">
        <w:rPr>
          <w:rFonts w:asciiTheme="minorHAnsi" w:hAnsiTheme="minorHAnsi" w:cstheme="minorHAnsi"/>
          <w:sz w:val="22"/>
          <w:szCs w:val="22"/>
        </w:rPr>
        <w:t xml:space="preserve">The Drin Basin is located in the southwestern part of the Balkan Peninsula. It comprises the sub–basins of the White Drin, Black Drin, Drin and Buna/Bojana Rivers and of the Prespa, Ohrid and Skadar/Shkoder Lakes. The Drin River is the “connecting body” of the “extended” Drin Basin, linking the lakes, wetlands, rivers and other aquatic habitats into a single, yet complex, ecosystem of major importance. The water bodies and their watersheds are spread in a geographical area that includes Albania, Greece, North Macedonia, Montenegro and Kosovo. The total geographical area of the Drin Basin is 20,361 km2. The basin is characterized mainly by mountainous relief, the highest peaks of which are the Dinaric Alps at over 2,500 m above sea level, with the exception of the basin’s coastal area in Albania. The basin is home to over 1.61 million people, living in over 1,450 settlements. </w:t>
      </w:r>
      <w:r w:rsidR="00A317E5" w:rsidRPr="00894841">
        <w:rPr>
          <w:rFonts w:asciiTheme="minorHAnsi" w:eastAsia="Calibri" w:hAnsiTheme="minorHAnsi" w:cstheme="minorHAnsi"/>
          <w:color w:val="000000"/>
          <w:sz w:val="22"/>
          <w:szCs w:val="22"/>
        </w:rPr>
        <w:t xml:space="preserve"> </w:t>
      </w:r>
      <w:r w:rsidR="00A317E5">
        <w:rPr>
          <w:rFonts w:ascii="Calibri" w:eastAsia="Calibri" w:hAnsi="Calibri" w:cs="Calibri"/>
          <w:color w:val="000000"/>
          <w:sz w:val="22"/>
          <w:szCs w:val="22"/>
        </w:rPr>
        <w:t>The extended basin therefore includes the three well known Balkan lakes of Prespa, Ohrid and Skadar - Shkoder. The first two are linked together by their predominantly karstic nature while the latter two by the flow of the Drin River which originates from Lake Ohrid, in its turn alimented via subterranean flows by Lake Prespa, and flows North to receive the White Drin and then enters the coastal plain joining the Buna/Bojana river, outflow of Lake Skadar– Shkoder. With its rich water resources (&gt;350,</w:t>
      </w:r>
      <w:r w:rsidR="00A317E5">
        <w:rPr>
          <w:rFonts w:ascii="Calibri" w:eastAsia="Calibri" w:hAnsi="Calibri" w:cs="Calibri"/>
          <w:b/>
          <w:sz w:val="22"/>
          <w:szCs w:val="22"/>
        </w:rPr>
        <w:t xml:space="preserve"> </w:t>
      </w:r>
      <w:r w:rsidR="00A317E5">
        <w:rPr>
          <w:rFonts w:ascii="Calibri" w:eastAsia="Calibri" w:hAnsi="Calibri" w:cs="Calibri"/>
          <w:color w:val="000000"/>
          <w:sz w:val="22"/>
          <w:szCs w:val="22"/>
        </w:rPr>
        <w:t>000 mc/s) and ecosystems, this complex interconnected hydrologic and hydro-geologic system provides a wealth of services to the countries that share the Basin: abundant energy supply, fisheries, water supply for irrigation and domestic uses, sustenance of unique endemic biodiversity, and livelihoods, such as recreation and tourism, which are becoming increasingly important in the economic strategies in particular of Montenegro and Albania. Figure 1 shows the geographical extent of the Drin river basin.</w:t>
      </w:r>
    </w:p>
    <w:p w14:paraId="67818424" w14:textId="77777777" w:rsidR="000F31AD" w:rsidRDefault="000F31AD">
      <w:pPr>
        <w:rPr>
          <w:rFonts w:ascii="Calibri" w:eastAsia="Calibri" w:hAnsi="Calibri" w:cs="Calibri"/>
          <w:b/>
          <w:sz w:val="22"/>
          <w:szCs w:val="22"/>
        </w:rPr>
      </w:pPr>
    </w:p>
    <w:p w14:paraId="6EB74892" w14:textId="77777777" w:rsidR="000F31AD" w:rsidRDefault="00A317E5">
      <w:pPr>
        <w:rPr>
          <w:rFonts w:ascii="Calibri" w:eastAsia="Calibri" w:hAnsi="Calibri" w:cs="Calibri"/>
          <w:sz w:val="22"/>
          <w:szCs w:val="22"/>
        </w:rPr>
      </w:pPr>
      <w:r>
        <w:rPr>
          <w:rFonts w:ascii="Calibri" w:eastAsia="Calibri" w:hAnsi="Calibri" w:cs="Calibri"/>
          <w:b/>
          <w:sz w:val="22"/>
          <w:szCs w:val="22"/>
        </w:rPr>
        <w:t>Figure 1: Map of the Extended Drin River Basin</w:t>
      </w:r>
      <w:r>
        <w:rPr>
          <w:rFonts w:ascii="Calibri" w:eastAsia="Calibri" w:hAnsi="Calibri" w:cs="Calibri"/>
          <w:color w:val="000000"/>
          <w:sz w:val="22"/>
          <w:szCs w:val="22"/>
        </w:rPr>
        <w:t xml:space="preserve">        </w:t>
      </w:r>
    </w:p>
    <w:p w14:paraId="0867EDAC" w14:textId="77777777" w:rsidR="000F31AD" w:rsidRDefault="000F31AD">
      <w:pPr>
        <w:pBdr>
          <w:top w:val="nil"/>
          <w:left w:val="nil"/>
          <w:bottom w:val="nil"/>
          <w:right w:val="nil"/>
          <w:between w:val="nil"/>
        </w:pBdr>
        <w:jc w:val="both"/>
        <w:rPr>
          <w:rFonts w:ascii="Calibri" w:eastAsia="Calibri" w:hAnsi="Calibri" w:cs="Calibri"/>
          <w:color w:val="000000"/>
          <w:sz w:val="22"/>
          <w:szCs w:val="22"/>
        </w:rPr>
      </w:pPr>
    </w:p>
    <w:p w14:paraId="161590DD" w14:textId="2637475F" w:rsidR="000F31AD" w:rsidRPr="00894841" w:rsidRDefault="00A317E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basis for the project dates back to a consultation meeting for shared lakes management organized by the German Federal Ministry for the Environment, Nature Conservation and Nuclear Safety (BMU), World Bank and GWP-Med under the Petersberg Phase II/Athens Declaration Process</w:t>
      </w:r>
      <w:r>
        <w:rPr>
          <w:rFonts w:ascii="Calibri" w:eastAsia="Calibri" w:hAnsi="Calibri" w:cs="Calibri"/>
          <w:color w:val="0260BF"/>
          <w:sz w:val="23"/>
          <w:szCs w:val="23"/>
          <w:vertAlign w:val="superscript"/>
        </w:rPr>
        <w:t xml:space="preserve"> </w:t>
      </w:r>
      <w:r>
        <w:rPr>
          <w:rFonts w:ascii="Calibri" w:eastAsia="Calibri" w:hAnsi="Calibri" w:cs="Calibri"/>
          <w:color w:val="000000"/>
          <w:sz w:val="22"/>
          <w:szCs w:val="22"/>
        </w:rPr>
        <w:t>and the Global Environment Facility (GEF) IW:LEARN Programme, in Ohrid, North Macedonia, on 12-14 October 2006.</w:t>
      </w:r>
      <w:r>
        <w:rPr>
          <w:rFonts w:ascii="Calibri" w:eastAsia="Calibri" w:hAnsi="Calibri" w:cs="Calibri"/>
          <w:color w:val="000000"/>
          <w:sz w:val="23"/>
          <w:szCs w:val="23"/>
          <w:vertAlign w:val="superscript"/>
        </w:rPr>
        <w:t xml:space="preserve"> </w:t>
      </w:r>
      <w:r>
        <w:rPr>
          <w:rFonts w:ascii="Calibri" w:eastAsia="Calibri" w:hAnsi="Calibri" w:cs="Calibri"/>
          <w:color w:val="000000"/>
          <w:sz w:val="22"/>
          <w:szCs w:val="22"/>
        </w:rPr>
        <w:t>Another consultation meeting on integrated management of transboundary water resources in the Drin was held in 2008 to advance cooperation and understanding between the riparian countries. The Drin Core Group was established (2009) as an informal body to “provide a Forum for coordination among the Parties to enable communication and cooperation among them and the key stakeholders, and for the coordination and the facilitation of implementation of the Drin Dialogue”.</w:t>
      </w:r>
      <w:r>
        <w:rPr>
          <w:rFonts w:ascii="Calibri" w:eastAsia="Calibri" w:hAnsi="Calibri" w:cs="Calibri"/>
          <w:color w:val="000000"/>
          <w:sz w:val="23"/>
          <w:szCs w:val="23"/>
          <w:vertAlign w:val="superscript"/>
        </w:rPr>
        <w:t xml:space="preserve"> </w:t>
      </w:r>
      <w:r>
        <w:rPr>
          <w:rFonts w:ascii="Calibri" w:eastAsia="Calibri" w:hAnsi="Calibri" w:cs="Calibri"/>
          <w:color w:val="000000"/>
          <w:sz w:val="22"/>
          <w:szCs w:val="22"/>
        </w:rPr>
        <w:t xml:space="preserve">Between </w:t>
      </w:r>
      <w:r w:rsidR="00CC0150">
        <w:rPr>
          <w:rFonts w:ascii="Calibri" w:eastAsia="Calibri" w:hAnsi="Calibri" w:cs="Calibri"/>
          <w:color w:val="000000"/>
          <w:sz w:val="22"/>
          <w:szCs w:val="22"/>
        </w:rPr>
        <w:t xml:space="preserve">2009 </w:t>
      </w:r>
      <w:r>
        <w:rPr>
          <w:rFonts w:ascii="Calibri" w:eastAsia="Calibri" w:hAnsi="Calibri" w:cs="Calibri"/>
          <w:color w:val="000000"/>
          <w:sz w:val="22"/>
          <w:szCs w:val="22"/>
        </w:rPr>
        <w:lastRenderedPageBreak/>
        <w:t>and 2011, a Drin Dialogue Process took place, which has created the political will that was translated into the signing of a Memorandum of Understanding</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(MoU) by the Ministers of the water and environment management competent ministries of the riparian countries (Drin MoU - Tirana, 25 November 2011). It included as its objective the Strategic Shared Vision developed through the Drin Dialogue: </w:t>
      </w:r>
      <w:r>
        <w:rPr>
          <w:rFonts w:ascii="Calibri" w:eastAsia="Calibri" w:hAnsi="Calibri" w:cs="Calibri"/>
          <w:i/>
          <w:color w:val="000000"/>
          <w:sz w:val="22"/>
          <w:szCs w:val="22"/>
        </w:rPr>
        <w:t xml:space="preserve">“to promote joint action for the coordinated integrated management of the shared water resources in the Drin Basin, as a means to safeguard and restore to the extent possible the ecosystems and the services they provide, and to promote sustainable development across the Drin Basin”. </w:t>
      </w:r>
      <w:r>
        <w:rPr>
          <w:rFonts w:ascii="Calibri" w:eastAsia="Calibri" w:hAnsi="Calibri" w:cs="Calibri"/>
          <w:color w:val="000000"/>
          <w:sz w:val="22"/>
          <w:szCs w:val="22"/>
        </w:rPr>
        <w:t>The Drin MoU identifies short, medium and long-term actions to address problems identified as affecting sustainable development in the entire Drin Basin or in one or more of the Sub-Basins</w:t>
      </w:r>
      <w:r w:rsidR="008240ED">
        <w:rPr>
          <w:rFonts w:ascii="Calibri" w:eastAsia="Calibri" w:hAnsi="Calibri" w:cs="Calibri"/>
          <w:color w:val="000000"/>
          <w:sz w:val="22"/>
          <w:szCs w:val="22"/>
        </w:rPr>
        <w:t xml:space="preserve"> </w:t>
      </w:r>
      <w:r w:rsidR="008240ED" w:rsidRPr="0066179B">
        <w:rPr>
          <w:rFonts w:ascii="Calibri" w:eastAsia="Calibri" w:hAnsi="Calibri" w:cs="Calibri"/>
          <w:color w:val="000000"/>
          <w:sz w:val="22"/>
          <w:szCs w:val="22"/>
        </w:rPr>
        <w:t xml:space="preserve">and establishes the </w:t>
      </w:r>
      <w:r w:rsidR="008240ED" w:rsidRPr="008028AE">
        <w:rPr>
          <w:rFonts w:ascii="Calibri" w:eastAsia="Calibri" w:hAnsi="Calibri" w:cs="Calibri"/>
          <w:color w:val="000000"/>
          <w:sz w:val="22"/>
          <w:szCs w:val="22"/>
        </w:rPr>
        <w:t xml:space="preserve">institutional setting for transboundary cooperation: </w:t>
      </w:r>
      <w:r w:rsidR="00894841" w:rsidRPr="008028AE">
        <w:rPr>
          <w:rFonts w:ascii="Calibri" w:eastAsia="Calibri" w:hAnsi="Calibri" w:cs="Calibri"/>
          <w:color w:val="000000"/>
          <w:sz w:val="22"/>
          <w:szCs w:val="22"/>
        </w:rPr>
        <w:t>The</w:t>
      </w:r>
      <w:r w:rsidR="008240ED" w:rsidRPr="008028AE">
        <w:rPr>
          <w:rFonts w:ascii="Calibri" w:eastAsia="Calibri" w:hAnsi="Calibri" w:cs="Calibri"/>
          <w:color w:val="000000"/>
          <w:sz w:val="22"/>
          <w:szCs w:val="22"/>
        </w:rPr>
        <w:t xml:space="preserve"> Meeting of the Parties Drin Core Group, its Expert Working Groups and its Secretariat</w:t>
      </w:r>
      <w:r w:rsidRPr="008028AE">
        <w:rPr>
          <w:rFonts w:ascii="Calibri" w:eastAsia="Calibri" w:hAnsi="Calibri" w:cs="Calibri"/>
          <w:color w:val="000000"/>
          <w:sz w:val="22"/>
          <w:szCs w:val="22"/>
        </w:rPr>
        <w:t>.</w:t>
      </w:r>
      <w:r w:rsidR="008240ED" w:rsidRPr="008028AE">
        <w:rPr>
          <w:rFonts w:ascii="Calibri" w:eastAsia="Calibri" w:hAnsi="Calibri" w:cs="Calibri"/>
          <w:color w:val="000000"/>
          <w:sz w:val="22"/>
          <w:szCs w:val="22"/>
        </w:rPr>
        <w:t xml:space="preserve"> </w:t>
      </w:r>
      <w:r w:rsidRPr="00894841">
        <w:rPr>
          <w:rFonts w:ascii="Calibri" w:eastAsia="Calibri" w:hAnsi="Calibri" w:cs="Calibri"/>
          <w:color w:val="000000"/>
          <w:sz w:val="22"/>
          <w:szCs w:val="22"/>
        </w:rPr>
        <w:t>The Drin MoU provides the political framework for and defines the context of the cooperation among the Drin riparian countries</w:t>
      </w:r>
      <w:r>
        <w:rPr>
          <w:rFonts w:ascii="Calibri" w:eastAsia="Calibri" w:hAnsi="Calibri" w:cs="Calibri"/>
          <w:i/>
          <w:color w:val="000000"/>
          <w:sz w:val="22"/>
          <w:szCs w:val="22"/>
        </w:rPr>
        <w:t>. </w:t>
      </w:r>
      <w:r>
        <w:rPr>
          <w:rFonts w:ascii="Calibri" w:eastAsia="Calibri" w:hAnsi="Calibri" w:cs="Calibri"/>
          <w:color w:val="000000"/>
          <w:sz w:val="22"/>
          <w:szCs w:val="22"/>
        </w:rPr>
        <w:t xml:space="preserve">The UNECE Water Convention and the EU Water Framework Directive provided (and continue to provide) the legislative framework advancing </w:t>
      </w:r>
      <w:r w:rsidR="008240ED">
        <w:rPr>
          <w:rFonts w:ascii="Calibri" w:eastAsia="Calibri" w:hAnsi="Calibri" w:cs="Calibri"/>
          <w:color w:val="000000"/>
          <w:sz w:val="22"/>
          <w:szCs w:val="22"/>
        </w:rPr>
        <w:t xml:space="preserve">water resources management </w:t>
      </w:r>
      <w:r>
        <w:rPr>
          <w:rFonts w:ascii="Calibri" w:eastAsia="Calibri" w:hAnsi="Calibri" w:cs="Calibri"/>
          <w:color w:val="000000"/>
          <w:sz w:val="22"/>
          <w:szCs w:val="22"/>
        </w:rPr>
        <w:t xml:space="preserve">in the region. The Drin Core Group was given the mandate to coordinate actions for the implementation of the MoU. </w:t>
      </w:r>
    </w:p>
    <w:p w14:paraId="54633CA9" w14:textId="77777777" w:rsidR="000F31AD" w:rsidRDefault="000F31AD">
      <w:pPr>
        <w:pStyle w:val="Heading2"/>
      </w:pPr>
    </w:p>
    <w:p w14:paraId="7E1AF915" w14:textId="77777777" w:rsidR="000F31AD" w:rsidRDefault="00A317E5">
      <w:pPr>
        <w:pStyle w:val="Heading2"/>
      </w:pPr>
      <w:bookmarkStart w:id="14" w:name="_Toc81335838"/>
      <w:r>
        <w:t>2.3.</w:t>
      </w:r>
      <w:r>
        <w:tab/>
        <w:t>Problems that the project sought to address</w:t>
      </w:r>
      <w:bookmarkEnd w:id="14"/>
    </w:p>
    <w:p w14:paraId="6BD284BA" w14:textId="77777777" w:rsidR="000F31AD" w:rsidRDefault="000F31AD">
      <w:pPr>
        <w:rPr>
          <w:rFonts w:ascii="Calibri" w:eastAsia="Calibri" w:hAnsi="Calibri" w:cs="Calibri"/>
          <w:sz w:val="22"/>
          <w:szCs w:val="22"/>
        </w:rPr>
      </w:pPr>
    </w:p>
    <w:p w14:paraId="063AB535" w14:textId="2D64C00E" w:rsidR="000F31AD" w:rsidRDefault="00A317E5" w:rsidP="00894841">
      <w:pPr>
        <w:jc w:val="both"/>
        <w:rPr>
          <w:rFonts w:ascii="Calibri" w:eastAsia="Calibri" w:hAnsi="Calibri" w:cs="Calibri"/>
          <w:sz w:val="22"/>
          <w:szCs w:val="22"/>
        </w:rPr>
      </w:pPr>
      <w:r>
        <w:rPr>
          <w:rFonts w:ascii="Calibri" w:eastAsia="Calibri" w:hAnsi="Calibri" w:cs="Calibri"/>
          <w:sz w:val="22"/>
          <w:szCs w:val="22"/>
        </w:rPr>
        <w:t>The MTR Report summarised the issues that the project sought to address</w:t>
      </w:r>
      <w:r w:rsidR="00AA6208">
        <w:rPr>
          <w:rFonts w:ascii="Calibri" w:eastAsia="Calibri" w:hAnsi="Calibri" w:cs="Calibri"/>
          <w:sz w:val="22"/>
          <w:szCs w:val="22"/>
        </w:rPr>
        <w:t xml:space="preserve"> being also the transboundary issues listed in the Drin MoU</w:t>
      </w:r>
      <w:r>
        <w:rPr>
          <w:rFonts w:ascii="Calibri" w:eastAsia="Calibri" w:hAnsi="Calibri" w:cs="Calibri"/>
          <w:sz w:val="22"/>
          <w:szCs w:val="22"/>
        </w:rPr>
        <w:t>, namely:</w:t>
      </w:r>
    </w:p>
    <w:p w14:paraId="15465972" w14:textId="77777777" w:rsidR="000F31AD" w:rsidRDefault="000F31AD">
      <w:pPr>
        <w:rPr>
          <w:rFonts w:ascii="Calibri" w:eastAsia="Calibri" w:hAnsi="Calibri" w:cs="Calibri"/>
          <w:sz w:val="22"/>
          <w:szCs w:val="22"/>
        </w:rPr>
      </w:pPr>
    </w:p>
    <w:p w14:paraId="46E21DD1" w14:textId="77777777" w:rsidR="000F31AD" w:rsidRDefault="00A317E5" w:rsidP="0052081C">
      <w:pPr>
        <w:numPr>
          <w:ilvl w:val="0"/>
          <w:numId w:val="8"/>
        </w:numPr>
        <w:pBdr>
          <w:top w:val="nil"/>
          <w:left w:val="nil"/>
          <w:bottom w:val="nil"/>
          <w:right w:val="nil"/>
          <w:between w:val="nil"/>
        </w:pBdr>
        <w:ind w:left="426" w:hanging="426"/>
        <w:jc w:val="both"/>
        <w:rPr>
          <w:rFonts w:ascii="Noto Sans Symbols" w:eastAsia="Noto Sans Symbols" w:hAnsi="Noto Sans Symbols" w:cs="Noto Sans Symbols"/>
          <w:color w:val="000000"/>
          <w:sz w:val="20"/>
          <w:szCs w:val="20"/>
        </w:rPr>
      </w:pPr>
      <w:r>
        <w:rPr>
          <w:rFonts w:ascii="Calibri" w:eastAsia="Calibri" w:hAnsi="Calibri" w:cs="Calibri"/>
          <w:color w:val="000000"/>
          <w:sz w:val="22"/>
          <w:szCs w:val="22"/>
        </w:rPr>
        <w:t xml:space="preserve">Improving access to comprehensive data and adequate information to fully understand the current state of the environment and the water resources and the hydrologic system (including surface, underground and coastal waters) as well as ecosystems of the Drin Basin; </w:t>
      </w:r>
    </w:p>
    <w:p w14:paraId="6B9EA5A1" w14:textId="77777777" w:rsidR="000F31AD" w:rsidRDefault="00A317E5" w:rsidP="0052081C">
      <w:pPr>
        <w:numPr>
          <w:ilvl w:val="0"/>
          <w:numId w:val="8"/>
        </w:numPr>
        <w:pBdr>
          <w:top w:val="nil"/>
          <w:left w:val="nil"/>
          <w:bottom w:val="nil"/>
          <w:right w:val="nil"/>
          <w:between w:val="nil"/>
        </w:pBdr>
        <w:ind w:left="426" w:hanging="426"/>
        <w:jc w:val="both"/>
        <w:rPr>
          <w:rFonts w:ascii="Noto Sans Symbols" w:eastAsia="Noto Sans Symbols" w:hAnsi="Noto Sans Symbols" w:cs="Noto Sans Symbols"/>
          <w:color w:val="000000"/>
          <w:sz w:val="20"/>
          <w:szCs w:val="20"/>
        </w:rPr>
      </w:pPr>
      <w:r>
        <w:rPr>
          <w:rFonts w:ascii="Calibri" w:eastAsia="Calibri" w:hAnsi="Calibri" w:cs="Calibri"/>
          <w:color w:val="000000"/>
          <w:sz w:val="22"/>
          <w:szCs w:val="22"/>
        </w:rPr>
        <w:t xml:space="preserve">Establishing conditions for a sustainable use of water and other natural resources; </w:t>
      </w:r>
    </w:p>
    <w:p w14:paraId="4044EF00" w14:textId="77777777" w:rsidR="000F31AD" w:rsidRDefault="00A317E5" w:rsidP="0052081C">
      <w:pPr>
        <w:numPr>
          <w:ilvl w:val="0"/>
          <w:numId w:val="8"/>
        </w:numPr>
        <w:pBdr>
          <w:top w:val="nil"/>
          <w:left w:val="nil"/>
          <w:bottom w:val="nil"/>
          <w:right w:val="nil"/>
          <w:between w:val="nil"/>
        </w:pBdr>
        <w:ind w:left="426" w:hanging="426"/>
        <w:jc w:val="both"/>
        <w:rPr>
          <w:rFonts w:ascii="Noto Sans Symbols" w:eastAsia="Noto Sans Symbols" w:hAnsi="Noto Sans Symbols" w:cs="Noto Sans Symbols"/>
          <w:color w:val="000000"/>
          <w:sz w:val="20"/>
          <w:szCs w:val="20"/>
        </w:rPr>
      </w:pPr>
      <w:r>
        <w:rPr>
          <w:rFonts w:ascii="Calibri" w:eastAsia="Calibri" w:hAnsi="Calibri" w:cs="Calibri"/>
          <w:color w:val="000000"/>
          <w:sz w:val="22"/>
          <w:szCs w:val="22"/>
        </w:rPr>
        <w:t xml:space="preserve">Developing cooperation and measures to minimize flooding especially in the lower parts of the Drin Basin; </w:t>
      </w:r>
    </w:p>
    <w:p w14:paraId="2F91A0DA" w14:textId="77777777" w:rsidR="000F31AD" w:rsidRDefault="00A317E5" w:rsidP="0052081C">
      <w:pPr>
        <w:numPr>
          <w:ilvl w:val="0"/>
          <w:numId w:val="8"/>
        </w:numPr>
        <w:pBdr>
          <w:top w:val="nil"/>
          <w:left w:val="nil"/>
          <w:bottom w:val="nil"/>
          <w:right w:val="nil"/>
          <w:between w:val="nil"/>
        </w:pBdr>
        <w:ind w:left="426" w:hanging="426"/>
        <w:jc w:val="both"/>
        <w:rPr>
          <w:rFonts w:ascii="Noto Sans Symbols" w:eastAsia="Noto Sans Symbols" w:hAnsi="Noto Sans Symbols" w:cs="Noto Sans Symbols"/>
          <w:color w:val="000000"/>
          <w:sz w:val="20"/>
          <w:szCs w:val="20"/>
        </w:rPr>
      </w:pPr>
      <w:r>
        <w:rPr>
          <w:rFonts w:ascii="Calibri" w:eastAsia="Calibri" w:hAnsi="Calibri" w:cs="Calibri"/>
          <w:color w:val="000000"/>
          <w:sz w:val="22"/>
          <w:szCs w:val="22"/>
        </w:rPr>
        <w:t xml:space="preserve">Improving management and appropriate disposal of solid wastes; </w:t>
      </w:r>
    </w:p>
    <w:p w14:paraId="00D49A79" w14:textId="77777777" w:rsidR="000F31AD" w:rsidRDefault="00A317E5" w:rsidP="0052081C">
      <w:pPr>
        <w:numPr>
          <w:ilvl w:val="0"/>
          <w:numId w:val="8"/>
        </w:numPr>
        <w:pBdr>
          <w:top w:val="nil"/>
          <w:left w:val="nil"/>
          <w:bottom w:val="nil"/>
          <w:right w:val="nil"/>
          <w:between w:val="nil"/>
        </w:pBdr>
        <w:ind w:left="426" w:hanging="426"/>
        <w:jc w:val="both"/>
        <w:rPr>
          <w:rFonts w:ascii="Noto Sans Symbols" w:eastAsia="Noto Sans Symbols" w:hAnsi="Noto Sans Symbols" w:cs="Noto Sans Symbols"/>
          <w:color w:val="000000"/>
          <w:sz w:val="20"/>
          <w:szCs w:val="20"/>
        </w:rPr>
      </w:pPr>
      <w:r>
        <w:rPr>
          <w:rFonts w:ascii="Calibri" w:eastAsia="Calibri" w:hAnsi="Calibri" w:cs="Calibri"/>
          <w:color w:val="000000"/>
          <w:sz w:val="22"/>
          <w:szCs w:val="22"/>
        </w:rPr>
        <w:t xml:space="preserve">Decreasing nutrient pollution deriving from untreated or poorly treated wastewater discharges and unsustainable agricultural practices; </w:t>
      </w:r>
    </w:p>
    <w:p w14:paraId="7736CE2C" w14:textId="77777777" w:rsidR="000F31AD" w:rsidRDefault="00A317E5" w:rsidP="0052081C">
      <w:pPr>
        <w:numPr>
          <w:ilvl w:val="0"/>
          <w:numId w:val="8"/>
        </w:numPr>
        <w:pBdr>
          <w:top w:val="nil"/>
          <w:left w:val="nil"/>
          <w:bottom w:val="nil"/>
          <w:right w:val="nil"/>
          <w:between w:val="nil"/>
        </w:pBdr>
        <w:ind w:left="426" w:hanging="426"/>
        <w:jc w:val="both"/>
        <w:rPr>
          <w:rFonts w:ascii="Noto Sans Symbols" w:eastAsia="Noto Sans Symbols" w:hAnsi="Noto Sans Symbols" w:cs="Noto Sans Symbols"/>
          <w:color w:val="000000"/>
          <w:sz w:val="20"/>
          <w:szCs w:val="20"/>
        </w:rPr>
      </w:pPr>
      <w:r>
        <w:rPr>
          <w:rFonts w:ascii="Calibri" w:eastAsia="Calibri" w:hAnsi="Calibri" w:cs="Calibri"/>
          <w:color w:val="000000"/>
          <w:sz w:val="22"/>
          <w:szCs w:val="22"/>
        </w:rPr>
        <w:t xml:space="preserve">Decreasing pollution from hazardous substances such as heavy metals and pesticides; and, </w:t>
      </w:r>
    </w:p>
    <w:p w14:paraId="1CA65BBA" w14:textId="0546BF8E" w:rsidR="000F31AD" w:rsidRPr="00F54000" w:rsidRDefault="00A317E5" w:rsidP="0052081C">
      <w:pPr>
        <w:numPr>
          <w:ilvl w:val="0"/>
          <w:numId w:val="8"/>
        </w:numPr>
        <w:pBdr>
          <w:top w:val="nil"/>
          <w:left w:val="nil"/>
          <w:bottom w:val="nil"/>
          <w:right w:val="nil"/>
          <w:between w:val="nil"/>
        </w:pBdr>
        <w:ind w:left="426" w:hanging="426"/>
        <w:jc w:val="both"/>
        <w:rPr>
          <w:rFonts w:ascii="Noto Sans Symbols" w:eastAsia="Noto Sans Symbols" w:hAnsi="Noto Sans Symbols" w:cs="Noto Sans Symbols"/>
          <w:sz w:val="20"/>
          <w:szCs w:val="20"/>
        </w:rPr>
      </w:pPr>
      <w:r>
        <w:rPr>
          <w:rFonts w:ascii="Calibri" w:eastAsia="Calibri" w:hAnsi="Calibri" w:cs="Calibri"/>
          <w:color w:val="000000"/>
          <w:sz w:val="22"/>
          <w:szCs w:val="22"/>
        </w:rPr>
        <w:t xml:space="preserve">Minimizing effects of hydro-morphologic interventions that alter the nature of the hydrologic system and the </w:t>
      </w:r>
      <w:r w:rsidR="0066179B">
        <w:rPr>
          <w:rFonts w:ascii="Calibri" w:eastAsia="Calibri" w:hAnsi="Calibri" w:cs="Calibri"/>
          <w:color w:val="000000"/>
          <w:sz w:val="22"/>
          <w:szCs w:val="22"/>
        </w:rPr>
        <w:t>supported</w:t>
      </w:r>
      <w:r>
        <w:rPr>
          <w:rFonts w:ascii="Calibri" w:eastAsia="Calibri" w:hAnsi="Calibri" w:cs="Calibri"/>
          <w:color w:val="000000"/>
          <w:sz w:val="22"/>
          <w:szCs w:val="22"/>
        </w:rPr>
        <w:t xml:space="preserve"> ecosystems, resulting in their deterioration. </w:t>
      </w:r>
    </w:p>
    <w:p w14:paraId="0058005A" w14:textId="77777777" w:rsidR="00F54000" w:rsidRDefault="00F54000">
      <w:pPr>
        <w:jc w:val="both"/>
        <w:rPr>
          <w:rFonts w:ascii="Noto Sans Symbols" w:eastAsia="Noto Sans Symbols" w:hAnsi="Noto Sans Symbols" w:cs="Noto Sans Symbols"/>
          <w:sz w:val="20"/>
          <w:szCs w:val="20"/>
        </w:rPr>
      </w:pPr>
    </w:p>
    <w:p w14:paraId="16377F97" w14:textId="77777777" w:rsidR="008028AE" w:rsidRDefault="00A317E5" w:rsidP="00894841">
      <w:pPr>
        <w:pStyle w:val="CommentText"/>
        <w:jc w:val="both"/>
        <w:rPr>
          <w:lang w:val="en-US"/>
        </w:rPr>
      </w:pPr>
      <w:r>
        <w:rPr>
          <w:rFonts w:ascii="Calibri" w:eastAsia="Calibri" w:hAnsi="Calibri" w:cs="Calibri"/>
          <w:sz w:val="22"/>
          <w:szCs w:val="22"/>
        </w:rPr>
        <w:t xml:space="preserve">The above issues remained salient throughout the remaining period of the project’s implementation. </w:t>
      </w:r>
    </w:p>
    <w:p w14:paraId="57E77691" w14:textId="42609A18" w:rsidR="008028AE" w:rsidRDefault="008028AE" w:rsidP="008028AE">
      <w:pPr>
        <w:pStyle w:val="CommentText"/>
        <w:jc w:val="both"/>
        <w:rPr>
          <w:rFonts w:asciiTheme="minorHAnsi" w:hAnsiTheme="minorHAnsi" w:cstheme="minorHAnsi"/>
          <w:sz w:val="22"/>
          <w:szCs w:val="22"/>
          <w:lang w:val="en-US"/>
        </w:rPr>
      </w:pPr>
      <w:r w:rsidRPr="00894841">
        <w:rPr>
          <w:rFonts w:asciiTheme="minorHAnsi" w:hAnsiTheme="minorHAnsi" w:cstheme="minorHAnsi"/>
          <w:sz w:val="22"/>
          <w:szCs w:val="22"/>
          <w:lang w:val="en-US"/>
        </w:rPr>
        <w:t>Equally</w:t>
      </w:r>
      <w:r w:rsidRPr="00894841">
        <w:rPr>
          <w:rFonts w:asciiTheme="minorHAnsi" w:hAnsiTheme="minorHAnsi" w:cstheme="minorHAnsi"/>
          <w:sz w:val="22"/>
          <w:szCs w:val="22"/>
        </w:rPr>
        <w:t xml:space="preserve"> </w:t>
      </w:r>
      <w:r w:rsidRPr="00894841">
        <w:rPr>
          <w:rFonts w:asciiTheme="minorHAnsi" w:hAnsiTheme="minorHAnsi" w:cstheme="minorHAnsi"/>
          <w:sz w:val="22"/>
          <w:szCs w:val="22"/>
          <w:lang w:val="en-US"/>
        </w:rPr>
        <w:t>so</w:t>
      </w:r>
      <w:r w:rsidRPr="00894841">
        <w:rPr>
          <w:rFonts w:asciiTheme="minorHAnsi" w:hAnsiTheme="minorHAnsi" w:cstheme="minorHAnsi"/>
          <w:sz w:val="22"/>
          <w:szCs w:val="22"/>
        </w:rPr>
        <w:t xml:space="preserve">, the </w:t>
      </w:r>
      <w:r w:rsidRPr="00894841">
        <w:rPr>
          <w:rFonts w:asciiTheme="minorHAnsi" w:hAnsiTheme="minorHAnsi" w:cstheme="minorHAnsi"/>
          <w:sz w:val="22"/>
          <w:szCs w:val="22"/>
          <w:lang w:val="en-US"/>
        </w:rPr>
        <w:t>key</w:t>
      </w:r>
      <w:r w:rsidRPr="00894841">
        <w:rPr>
          <w:rFonts w:asciiTheme="minorHAnsi" w:hAnsiTheme="minorHAnsi" w:cstheme="minorHAnsi"/>
          <w:sz w:val="22"/>
          <w:szCs w:val="22"/>
        </w:rPr>
        <w:t xml:space="preserve"> </w:t>
      </w:r>
      <w:r w:rsidRPr="00894841">
        <w:rPr>
          <w:rFonts w:asciiTheme="minorHAnsi" w:hAnsiTheme="minorHAnsi" w:cstheme="minorHAnsi"/>
          <w:sz w:val="22"/>
          <w:szCs w:val="22"/>
          <w:lang w:val="en-US"/>
        </w:rPr>
        <w:t>threats</w:t>
      </w:r>
      <w:r w:rsidRPr="00894841">
        <w:rPr>
          <w:rFonts w:asciiTheme="minorHAnsi" w:hAnsiTheme="minorHAnsi" w:cstheme="minorHAnsi"/>
          <w:sz w:val="22"/>
          <w:szCs w:val="22"/>
        </w:rPr>
        <w:t xml:space="preserve">, </w:t>
      </w:r>
      <w:r w:rsidRPr="00894841">
        <w:rPr>
          <w:rFonts w:asciiTheme="minorHAnsi" w:hAnsiTheme="minorHAnsi" w:cstheme="minorHAnsi"/>
          <w:sz w:val="22"/>
          <w:szCs w:val="22"/>
          <w:lang w:val="en-US"/>
        </w:rPr>
        <w:t>identified</w:t>
      </w:r>
      <w:r w:rsidRPr="00894841">
        <w:rPr>
          <w:rFonts w:asciiTheme="minorHAnsi" w:hAnsiTheme="minorHAnsi" w:cstheme="minorHAnsi"/>
          <w:sz w:val="22"/>
          <w:szCs w:val="22"/>
        </w:rPr>
        <w:t xml:space="preserve"> </w:t>
      </w:r>
      <w:r w:rsidRPr="00894841">
        <w:rPr>
          <w:rFonts w:asciiTheme="minorHAnsi" w:hAnsiTheme="minorHAnsi" w:cstheme="minorHAnsi"/>
          <w:sz w:val="22"/>
          <w:szCs w:val="22"/>
          <w:lang w:val="en-US"/>
        </w:rPr>
        <w:t>during</w:t>
      </w:r>
      <w:r w:rsidRPr="00894841">
        <w:rPr>
          <w:rFonts w:asciiTheme="minorHAnsi" w:hAnsiTheme="minorHAnsi" w:cstheme="minorHAnsi"/>
          <w:sz w:val="22"/>
          <w:szCs w:val="22"/>
        </w:rPr>
        <w:t xml:space="preserve"> the </w:t>
      </w:r>
      <w:r w:rsidRPr="00894841">
        <w:rPr>
          <w:rFonts w:asciiTheme="minorHAnsi" w:hAnsiTheme="minorHAnsi" w:cstheme="minorHAnsi"/>
          <w:sz w:val="22"/>
          <w:szCs w:val="22"/>
          <w:lang w:val="en-US"/>
        </w:rPr>
        <w:t>project</w:t>
      </w:r>
      <w:r w:rsidRPr="00894841">
        <w:rPr>
          <w:rFonts w:asciiTheme="minorHAnsi" w:hAnsiTheme="minorHAnsi" w:cstheme="minorHAnsi"/>
          <w:sz w:val="22"/>
          <w:szCs w:val="22"/>
        </w:rPr>
        <w:t xml:space="preserve"> </w:t>
      </w:r>
      <w:r w:rsidRPr="00894841">
        <w:rPr>
          <w:rFonts w:asciiTheme="minorHAnsi" w:hAnsiTheme="minorHAnsi" w:cstheme="minorHAnsi"/>
          <w:sz w:val="22"/>
          <w:szCs w:val="22"/>
          <w:lang w:val="en-US"/>
        </w:rPr>
        <w:t>preparation</w:t>
      </w:r>
      <w:r w:rsidRPr="00894841">
        <w:rPr>
          <w:rFonts w:asciiTheme="minorHAnsi" w:hAnsiTheme="minorHAnsi" w:cstheme="minorHAnsi"/>
          <w:sz w:val="22"/>
          <w:szCs w:val="22"/>
        </w:rPr>
        <w:t xml:space="preserve"> </w:t>
      </w:r>
      <w:r w:rsidRPr="00894841">
        <w:rPr>
          <w:rFonts w:asciiTheme="minorHAnsi" w:hAnsiTheme="minorHAnsi" w:cstheme="minorHAnsi"/>
          <w:sz w:val="22"/>
          <w:szCs w:val="22"/>
          <w:lang w:val="en-US"/>
        </w:rPr>
        <w:t>stage</w:t>
      </w:r>
      <w:r w:rsidRPr="00894841">
        <w:rPr>
          <w:rFonts w:asciiTheme="minorHAnsi" w:hAnsiTheme="minorHAnsi" w:cstheme="minorHAnsi"/>
          <w:sz w:val="22"/>
          <w:szCs w:val="22"/>
        </w:rPr>
        <w:t xml:space="preserve">, </w:t>
      </w:r>
      <w:r w:rsidRPr="00894841">
        <w:rPr>
          <w:rFonts w:asciiTheme="minorHAnsi" w:hAnsiTheme="minorHAnsi" w:cstheme="minorHAnsi"/>
          <w:sz w:val="22"/>
          <w:szCs w:val="22"/>
          <w:lang w:val="en-US"/>
        </w:rPr>
        <w:t>through</w:t>
      </w:r>
      <w:r w:rsidRPr="00894841">
        <w:rPr>
          <w:rFonts w:asciiTheme="minorHAnsi" w:hAnsiTheme="minorHAnsi" w:cstheme="minorHAnsi"/>
          <w:sz w:val="22"/>
          <w:szCs w:val="22"/>
        </w:rPr>
        <w:t xml:space="preserve"> </w:t>
      </w:r>
      <w:r w:rsidRPr="00894841">
        <w:rPr>
          <w:rFonts w:asciiTheme="minorHAnsi" w:hAnsiTheme="minorHAnsi" w:cstheme="minorHAnsi"/>
          <w:sz w:val="22"/>
          <w:szCs w:val="22"/>
          <w:lang w:val="en-US"/>
        </w:rPr>
        <w:t>the Drin Situation Analysis study (</w:t>
      </w:r>
      <w:hyperlink r:id="rId17" w:history="1">
        <w:r w:rsidRPr="00894841">
          <w:rPr>
            <w:rStyle w:val="Hyperlink"/>
            <w:rFonts w:asciiTheme="minorHAnsi" w:hAnsiTheme="minorHAnsi" w:cstheme="minorHAnsi"/>
            <w:sz w:val="22"/>
            <w:szCs w:val="22"/>
            <w:lang w:val="en-US"/>
          </w:rPr>
          <w:t>http://drincorda.iwlearn.org/library-main/Docs/major-issues-problems-and-drivers-in-the-drin-basin/view</w:t>
        </w:r>
      </w:hyperlink>
      <w:r w:rsidRPr="00894841">
        <w:rPr>
          <w:rFonts w:asciiTheme="minorHAnsi" w:hAnsiTheme="minorHAnsi" w:cstheme="minorHAnsi"/>
          <w:sz w:val="22"/>
          <w:szCs w:val="22"/>
          <w:lang w:val="en-US"/>
        </w:rPr>
        <w:t>) continued</w:t>
      </w:r>
      <w:r w:rsidRPr="00894841">
        <w:rPr>
          <w:rFonts w:asciiTheme="minorHAnsi" w:hAnsiTheme="minorHAnsi" w:cstheme="minorHAnsi"/>
          <w:sz w:val="22"/>
          <w:szCs w:val="22"/>
        </w:rPr>
        <w:t xml:space="preserve"> </w:t>
      </w:r>
      <w:r w:rsidRPr="00894841">
        <w:rPr>
          <w:rFonts w:asciiTheme="minorHAnsi" w:hAnsiTheme="minorHAnsi" w:cstheme="minorHAnsi"/>
          <w:sz w:val="22"/>
          <w:szCs w:val="22"/>
          <w:lang w:val="en-US"/>
        </w:rPr>
        <w:t>to</w:t>
      </w:r>
      <w:r w:rsidRPr="00894841">
        <w:rPr>
          <w:rFonts w:asciiTheme="minorHAnsi" w:hAnsiTheme="minorHAnsi" w:cstheme="minorHAnsi"/>
          <w:sz w:val="22"/>
          <w:szCs w:val="22"/>
        </w:rPr>
        <w:t xml:space="preserve"> </w:t>
      </w:r>
      <w:r w:rsidRPr="00894841">
        <w:rPr>
          <w:rFonts w:asciiTheme="minorHAnsi" w:hAnsiTheme="minorHAnsi" w:cstheme="minorHAnsi"/>
          <w:sz w:val="22"/>
          <w:szCs w:val="22"/>
          <w:lang w:val="en-US"/>
        </w:rPr>
        <w:t>remain the same as indicated by the transboundary issues identified through the TDA each one exacerbated by the impacts of climate variability and change:</w:t>
      </w:r>
    </w:p>
    <w:p w14:paraId="0F045128" w14:textId="77777777" w:rsidR="008028AE" w:rsidRPr="00894841" w:rsidRDefault="008028AE" w:rsidP="00894841">
      <w:pPr>
        <w:pStyle w:val="CommentText"/>
        <w:jc w:val="both"/>
        <w:rPr>
          <w:rFonts w:asciiTheme="minorHAnsi" w:hAnsiTheme="minorHAnsi" w:cstheme="minorHAnsi"/>
          <w:sz w:val="22"/>
          <w:szCs w:val="22"/>
        </w:rPr>
      </w:pPr>
    </w:p>
    <w:p w14:paraId="65BC7FED" w14:textId="5FAFD116" w:rsidR="008028AE" w:rsidRPr="00894841" w:rsidRDefault="008028AE" w:rsidP="0052081C">
      <w:pPr>
        <w:pStyle w:val="ListParagraph"/>
        <w:numPr>
          <w:ilvl w:val="0"/>
          <w:numId w:val="11"/>
        </w:numPr>
        <w:ind w:left="426" w:hanging="426"/>
        <w:rPr>
          <w:rFonts w:asciiTheme="minorHAnsi" w:hAnsiTheme="minorHAnsi" w:cstheme="minorHAnsi"/>
          <w:sz w:val="22"/>
          <w:szCs w:val="22"/>
        </w:rPr>
      </w:pPr>
      <w:r w:rsidRPr="00894841">
        <w:rPr>
          <w:rFonts w:asciiTheme="minorHAnsi" w:hAnsiTheme="minorHAnsi" w:cstheme="minorHAnsi"/>
          <w:sz w:val="22"/>
          <w:szCs w:val="22"/>
          <w:lang w:val="en-US"/>
        </w:rPr>
        <w:t>Deterioration of</w:t>
      </w:r>
      <w:r w:rsidR="00894841">
        <w:rPr>
          <w:rFonts w:asciiTheme="minorHAnsi" w:hAnsiTheme="minorHAnsi" w:cstheme="minorHAnsi"/>
          <w:sz w:val="22"/>
          <w:szCs w:val="22"/>
          <w:lang w:val="en-US"/>
        </w:rPr>
        <w:t xml:space="preserve"> water quality</w:t>
      </w:r>
      <w:r w:rsidR="00894841" w:rsidRPr="00894841">
        <w:rPr>
          <w:rFonts w:asciiTheme="minorHAnsi" w:hAnsiTheme="minorHAnsi" w:cstheme="minorHAnsi"/>
          <w:sz w:val="22"/>
          <w:szCs w:val="22"/>
          <w:lang w:val="en-US"/>
        </w:rPr>
        <w:t> </w:t>
      </w:r>
    </w:p>
    <w:p w14:paraId="0B848C7B" w14:textId="2EAC0B19" w:rsidR="008028AE" w:rsidRPr="00894841" w:rsidRDefault="008028AE" w:rsidP="0052081C">
      <w:pPr>
        <w:pStyle w:val="ListParagraph"/>
        <w:numPr>
          <w:ilvl w:val="0"/>
          <w:numId w:val="11"/>
        </w:numPr>
        <w:ind w:left="426" w:hanging="426"/>
        <w:rPr>
          <w:rFonts w:asciiTheme="minorHAnsi" w:hAnsiTheme="minorHAnsi" w:cstheme="minorHAnsi"/>
          <w:sz w:val="22"/>
          <w:szCs w:val="22"/>
        </w:rPr>
      </w:pPr>
      <w:r w:rsidRPr="00894841">
        <w:rPr>
          <w:rFonts w:asciiTheme="minorHAnsi" w:hAnsiTheme="minorHAnsi" w:cstheme="minorHAnsi"/>
          <w:sz w:val="22"/>
          <w:szCs w:val="22"/>
          <w:lang w:val="en-US"/>
        </w:rPr>
        <w:t>Variability of</w:t>
      </w:r>
      <w:r w:rsidR="00894841">
        <w:rPr>
          <w:rFonts w:asciiTheme="minorHAnsi" w:hAnsiTheme="minorHAnsi" w:cstheme="minorHAnsi"/>
          <w:sz w:val="22"/>
          <w:szCs w:val="22"/>
          <w:lang w:val="en-US"/>
        </w:rPr>
        <w:t xml:space="preserve"> hydrological regime</w:t>
      </w:r>
      <w:r w:rsidR="00894841" w:rsidRPr="00894841">
        <w:rPr>
          <w:rFonts w:asciiTheme="minorHAnsi" w:hAnsiTheme="minorHAnsi" w:cstheme="minorHAnsi"/>
          <w:sz w:val="22"/>
          <w:szCs w:val="22"/>
          <w:lang w:val="en-US"/>
        </w:rPr>
        <w:t> </w:t>
      </w:r>
      <w:r w:rsidR="00894841" w:rsidRPr="00894841">
        <w:rPr>
          <w:rFonts w:asciiTheme="minorHAnsi" w:hAnsiTheme="minorHAnsi" w:cstheme="minorHAnsi"/>
          <w:sz w:val="22"/>
          <w:szCs w:val="22"/>
        </w:rPr>
        <w:t xml:space="preserve"> </w:t>
      </w:r>
    </w:p>
    <w:p w14:paraId="770DF4F1" w14:textId="41F2ED53" w:rsidR="008028AE" w:rsidRPr="00894841" w:rsidRDefault="00894841" w:rsidP="0052081C">
      <w:pPr>
        <w:pStyle w:val="ListParagraph"/>
        <w:numPr>
          <w:ilvl w:val="0"/>
          <w:numId w:val="11"/>
        </w:numPr>
        <w:ind w:left="426" w:hanging="426"/>
        <w:rPr>
          <w:rStyle w:val="Hyperlink"/>
          <w:rFonts w:asciiTheme="minorHAnsi" w:hAnsiTheme="minorHAnsi" w:cstheme="minorHAnsi"/>
          <w:sz w:val="22"/>
          <w:szCs w:val="22"/>
        </w:rPr>
      </w:pPr>
      <w:r>
        <w:rPr>
          <w:rFonts w:asciiTheme="minorHAnsi" w:hAnsiTheme="minorHAnsi" w:cstheme="minorHAnsi"/>
          <w:sz w:val="22"/>
          <w:szCs w:val="22"/>
        </w:rPr>
        <w:t>Biodiversity degradation</w:t>
      </w:r>
      <w:r w:rsidR="008028AE" w:rsidRPr="00894841">
        <w:rPr>
          <w:rFonts w:asciiTheme="minorHAnsi" w:hAnsiTheme="minorHAnsi" w:cstheme="minorHAnsi"/>
          <w:sz w:val="22"/>
          <w:szCs w:val="22"/>
        </w:rPr>
        <w:fldChar w:fldCharType="begin"/>
      </w:r>
      <w:r w:rsidR="008028AE" w:rsidRPr="00894841">
        <w:rPr>
          <w:rFonts w:asciiTheme="minorHAnsi" w:hAnsiTheme="minorHAnsi" w:cstheme="minorHAnsi"/>
          <w:sz w:val="22"/>
          <w:szCs w:val="22"/>
        </w:rPr>
        <w:instrText xml:space="preserve"> HYPERLINK "http://drincorda.iwlearn.org/library-main/Docs/pdf-only/BiodiversityDegradation.pdf" </w:instrText>
      </w:r>
      <w:r w:rsidR="008028AE" w:rsidRPr="00894841">
        <w:rPr>
          <w:rFonts w:asciiTheme="minorHAnsi" w:hAnsiTheme="minorHAnsi" w:cstheme="minorHAnsi"/>
          <w:sz w:val="22"/>
          <w:szCs w:val="22"/>
        </w:rPr>
        <w:fldChar w:fldCharType="separate"/>
      </w:r>
    </w:p>
    <w:p w14:paraId="6D7AAC79" w14:textId="7A93E933" w:rsidR="008028AE" w:rsidRPr="00894841" w:rsidRDefault="008028AE" w:rsidP="0052081C">
      <w:pPr>
        <w:pStyle w:val="CommentText"/>
        <w:numPr>
          <w:ilvl w:val="0"/>
          <w:numId w:val="11"/>
        </w:numPr>
        <w:ind w:left="426" w:hanging="426"/>
        <w:rPr>
          <w:rFonts w:asciiTheme="minorHAnsi" w:hAnsiTheme="minorHAnsi" w:cstheme="minorHAnsi"/>
          <w:sz w:val="22"/>
          <w:szCs w:val="22"/>
        </w:rPr>
      </w:pPr>
      <w:r w:rsidRPr="00894841">
        <w:rPr>
          <w:rFonts w:asciiTheme="minorHAnsi" w:hAnsiTheme="minorHAnsi" w:cstheme="minorHAnsi"/>
          <w:sz w:val="22"/>
          <w:szCs w:val="22"/>
        </w:rPr>
        <w:fldChar w:fldCharType="end"/>
      </w:r>
      <w:r w:rsidRPr="00894841">
        <w:rPr>
          <w:rFonts w:asciiTheme="minorHAnsi" w:hAnsiTheme="minorHAnsi" w:cstheme="minorHAnsi"/>
          <w:sz w:val="22"/>
          <w:szCs w:val="22"/>
          <w:lang w:val="en-US"/>
        </w:rPr>
        <w:t>Disturbance of the natural</w:t>
      </w:r>
      <w:r w:rsidR="00894841">
        <w:rPr>
          <w:rFonts w:asciiTheme="minorHAnsi" w:hAnsiTheme="minorHAnsi" w:cstheme="minorHAnsi"/>
          <w:sz w:val="22"/>
          <w:szCs w:val="22"/>
          <w:lang w:val="en-US"/>
        </w:rPr>
        <w:t xml:space="preserve"> sediment transport</w:t>
      </w:r>
      <w:r w:rsidR="00894841" w:rsidRPr="00894841">
        <w:rPr>
          <w:rFonts w:asciiTheme="minorHAnsi" w:hAnsiTheme="minorHAnsi" w:cstheme="minorHAnsi"/>
          <w:sz w:val="22"/>
          <w:szCs w:val="22"/>
          <w:lang w:val="en-US"/>
        </w:rPr>
        <w:t>  </w:t>
      </w:r>
      <w:r w:rsidRPr="00894841">
        <w:rPr>
          <w:rFonts w:asciiTheme="minorHAnsi" w:hAnsiTheme="minorHAnsi" w:cstheme="minorHAnsi"/>
          <w:sz w:val="22"/>
          <w:szCs w:val="22"/>
          <w:lang w:val="en-US"/>
        </w:rPr>
        <w:t>regime</w:t>
      </w:r>
    </w:p>
    <w:p w14:paraId="64A51C8B" w14:textId="77777777" w:rsidR="008028AE" w:rsidRDefault="008028AE" w:rsidP="008028AE">
      <w:pPr>
        <w:jc w:val="both"/>
        <w:rPr>
          <w:rFonts w:ascii="Calibri" w:eastAsia="Calibri" w:hAnsi="Calibri" w:cs="Calibri"/>
          <w:sz w:val="22"/>
          <w:szCs w:val="22"/>
        </w:rPr>
      </w:pPr>
    </w:p>
    <w:p w14:paraId="035C82A9" w14:textId="01D2162A" w:rsidR="000F31AD" w:rsidRDefault="00A317E5" w:rsidP="004A0AC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ProDoc identified that on-the-ground implementation of the reforms and implementation and enforcement of new laws was, however, still lagging behind, even if the steps have been made over recent years in all the participating countries towards the alignment with the EU environmental legislation</w:t>
      </w:r>
      <w:r>
        <w:rPr>
          <w:color w:val="000000"/>
          <w:sz w:val="22"/>
          <w:szCs w:val="22"/>
        </w:rPr>
        <w:t>. Having that in mind, t</w:t>
      </w:r>
      <w:r>
        <w:rPr>
          <w:rFonts w:ascii="Calibri" w:eastAsia="Calibri" w:hAnsi="Calibri" w:cs="Calibri"/>
          <w:color w:val="000000"/>
          <w:sz w:val="22"/>
          <w:szCs w:val="22"/>
        </w:rPr>
        <w:t>he project respond</w:t>
      </w:r>
      <w:r w:rsidR="00BE64E7">
        <w:rPr>
          <w:rFonts w:ascii="Calibri" w:eastAsia="Calibri" w:hAnsi="Calibri" w:cs="Calibri"/>
          <w:color w:val="000000"/>
          <w:sz w:val="22"/>
          <w:szCs w:val="22"/>
        </w:rPr>
        <w:t>ed</w:t>
      </w:r>
      <w:r>
        <w:rPr>
          <w:rFonts w:ascii="Calibri" w:eastAsia="Calibri" w:hAnsi="Calibri" w:cs="Calibri"/>
          <w:color w:val="000000"/>
          <w:sz w:val="22"/>
          <w:szCs w:val="22"/>
        </w:rPr>
        <w:t xml:space="preserve"> to the stated priorities set forth in the Drin MoU and the individual natural resources management needs at national level. </w:t>
      </w:r>
      <w:r w:rsidR="00BE64E7">
        <w:rPr>
          <w:rFonts w:ascii="Calibri" w:eastAsia="Calibri" w:hAnsi="Calibri" w:cs="Calibri"/>
          <w:color w:val="000000"/>
          <w:sz w:val="22"/>
          <w:szCs w:val="22"/>
        </w:rPr>
        <w:t>It</w:t>
      </w:r>
      <w:r>
        <w:rPr>
          <w:rFonts w:ascii="Calibri" w:eastAsia="Calibri" w:hAnsi="Calibri" w:cs="Calibri"/>
          <w:color w:val="000000"/>
          <w:sz w:val="22"/>
          <w:szCs w:val="22"/>
        </w:rPr>
        <w:t xml:space="preserve"> aim</w:t>
      </w:r>
      <w:r w:rsidR="00BE64E7">
        <w:rPr>
          <w:rFonts w:ascii="Calibri" w:eastAsia="Calibri" w:hAnsi="Calibri" w:cs="Calibri"/>
          <w:color w:val="000000"/>
          <w:sz w:val="22"/>
          <w:szCs w:val="22"/>
        </w:rPr>
        <w:t>ed</w:t>
      </w:r>
      <w:r>
        <w:rPr>
          <w:rFonts w:ascii="Calibri" w:eastAsia="Calibri" w:hAnsi="Calibri" w:cs="Calibri"/>
          <w:color w:val="000000"/>
          <w:sz w:val="22"/>
          <w:szCs w:val="22"/>
        </w:rPr>
        <w:t xml:space="preserve"> at fostering </w:t>
      </w:r>
      <w:r>
        <w:rPr>
          <w:rFonts w:ascii="Calibri" w:eastAsia="Calibri" w:hAnsi="Calibri" w:cs="Calibri"/>
          <w:color w:val="000000"/>
          <w:sz w:val="22"/>
          <w:szCs w:val="22"/>
        </w:rPr>
        <w:lastRenderedPageBreak/>
        <w:t xml:space="preserve">the joint, transboundary and integrated management of the Drin River Basin, assisting to overcome the present fragmented approaches and diverse administrative and legal frameworks. </w:t>
      </w:r>
    </w:p>
    <w:p w14:paraId="31667EAB" w14:textId="77777777" w:rsidR="00F54000" w:rsidRDefault="00F54000" w:rsidP="004A0ACB">
      <w:pPr>
        <w:pBdr>
          <w:top w:val="nil"/>
          <w:left w:val="nil"/>
          <w:bottom w:val="nil"/>
          <w:right w:val="nil"/>
          <w:between w:val="nil"/>
        </w:pBdr>
        <w:jc w:val="both"/>
        <w:rPr>
          <w:rFonts w:ascii="Calibri" w:eastAsia="Calibri" w:hAnsi="Calibri" w:cs="Calibri"/>
          <w:color w:val="000000"/>
        </w:rPr>
      </w:pPr>
    </w:p>
    <w:p w14:paraId="3DC563C6" w14:textId="4442EB8D" w:rsidR="00BE64E7" w:rsidRDefault="00A317E5" w:rsidP="004A0AC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Drin Project is fully consistent with the long-term goal of the GEF International Waters focal area, i.e.: the promotion of collective management for transboundary water systems and subsequent implementation of the full range of policy, legal, and institutional reforms and investments contributing to sustainable use and maintenance of ecosystem services. The project’s objectives and components are commensurate with the stated GEF objective. The project also fit</w:t>
      </w:r>
      <w:r w:rsidR="00BE64E7">
        <w:rPr>
          <w:rFonts w:ascii="Calibri" w:eastAsia="Calibri" w:hAnsi="Calibri" w:cs="Calibri"/>
          <w:color w:val="000000"/>
          <w:sz w:val="22"/>
          <w:szCs w:val="22"/>
        </w:rPr>
        <w:t>s</w:t>
      </w:r>
      <w:r>
        <w:rPr>
          <w:rFonts w:ascii="Calibri" w:eastAsia="Calibri" w:hAnsi="Calibri" w:cs="Calibri"/>
          <w:color w:val="000000"/>
          <w:sz w:val="22"/>
          <w:szCs w:val="22"/>
        </w:rPr>
        <w:t xml:space="preserve"> into UNDP’s core Water Governance Programme, and adheres to the UNDP role as identified in the UNDAF</w:t>
      </w:r>
      <w:r w:rsidR="00AA715D">
        <w:rPr>
          <w:rFonts w:ascii="Calibri" w:eastAsia="Calibri" w:hAnsi="Calibri" w:cs="Calibri"/>
          <w:color w:val="000000"/>
          <w:sz w:val="22"/>
          <w:szCs w:val="22"/>
        </w:rPr>
        <w:t xml:space="preserve">, </w:t>
      </w:r>
      <w:r w:rsidR="008028AE">
        <w:rPr>
          <w:rFonts w:ascii="Calibri" w:eastAsia="Calibri" w:hAnsi="Calibri" w:cs="Calibri"/>
          <w:color w:val="000000"/>
          <w:sz w:val="22"/>
          <w:szCs w:val="22"/>
        </w:rPr>
        <w:t xml:space="preserve">UNCDP (for Kosovo only), </w:t>
      </w:r>
      <w:r>
        <w:rPr>
          <w:rFonts w:ascii="Calibri" w:eastAsia="Calibri" w:hAnsi="Calibri" w:cs="Calibri"/>
          <w:color w:val="000000"/>
          <w:sz w:val="22"/>
          <w:szCs w:val="22"/>
        </w:rPr>
        <w:t>Country Programme</w:t>
      </w:r>
      <w:r w:rsidR="008028AE">
        <w:rPr>
          <w:rFonts w:ascii="Calibri" w:eastAsia="Calibri" w:hAnsi="Calibri" w:cs="Calibri"/>
          <w:color w:val="000000"/>
          <w:sz w:val="22"/>
          <w:szCs w:val="22"/>
        </w:rPr>
        <w:t xml:space="preserve">, </w:t>
      </w:r>
      <w:r>
        <w:rPr>
          <w:rFonts w:ascii="Calibri" w:eastAsia="Calibri" w:hAnsi="Calibri" w:cs="Calibri"/>
          <w:color w:val="000000"/>
          <w:sz w:val="22"/>
          <w:szCs w:val="22"/>
        </w:rPr>
        <w:t>Countries Programme Action Plans (CPAP)</w:t>
      </w:r>
      <w:r w:rsidR="008028AE">
        <w:rPr>
          <w:rFonts w:ascii="Calibri" w:eastAsia="Calibri" w:hAnsi="Calibri" w:cs="Calibri"/>
          <w:color w:val="000000"/>
          <w:sz w:val="22"/>
          <w:szCs w:val="22"/>
        </w:rPr>
        <w:t>, and RRF (for Kosovo only</w:t>
      </w:r>
      <w:r>
        <w:rPr>
          <w:rFonts w:ascii="Calibri" w:eastAsia="Calibri" w:hAnsi="Calibri" w:cs="Calibri"/>
          <w:color w:val="000000"/>
          <w:sz w:val="22"/>
          <w:szCs w:val="22"/>
        </w:rPr>
        <w:t xml:space="preserve">. </w:t>
      </w:r>
    </w:p>
    <w:p w14:paraId="5E025F0B" w14:textId="77777777" w:rsidR="00BE64E7" w:rsidRDefault="00BE64E7" w:rsidP="004A0ACB">
      <w:pPr>
        <w:pBdr>
          <w:top w:val="nil"/>
          <w:left w:val="nil"/>
          <w:bottom w:val="nil"/>
          <w:right w:val="nil"/>
          <w:between w:val="nil"/>
        </w:pBdr>
        <w:jc w:val="both"/>
        <w:rPr>
          <w:rFonts w:ascii="Calibri" w:eastAsia="Calibri" w:hAnsi="Calibri" w:cs="Calibri"/>
          <w:color w:val="000000"/>
          <w:sz w:val="22"/>
          <w:szCs w:val="22"/>
        </w:rPr>
      </w:pPr>
    </w:p>
    <w:p w14:paraId="0F0D4080" w14:textId="58916CA8" w:rsidR="000F31AD" w:rsidRDefault="00A317E5" w:rsidP="004A0AC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Finally, the project is compatible with the SDG 6, as well as SDGs 13, 16 and 17. This was not explicitly stated in none of the project related documents (Project Identification Form-PIF, CEO Endorsement, or ProDoc), because they were approved before the SDGs were adopted. However, the analysis of the projects’ objectives, components and activities shows high level of compatibility.</w:t>
      </w:r>
    </w:p>
    <w:p w14:paraId="0A701D55" w14:textId="77777777" w:rsidR="004A0ACB" w:rsidRDefault="004A0ACB" w:rsidP="004A0ACB">
      <w:pPr>
        <w:pBdr>
          <w:top w:val="nil"/>
          <w:left w:val="nil"/>
          <w:bottom w:val="nil"/>
          <w:right w:val="nil"/>
          <w:between w:val="nil"/>
        </w:pBdr>
        <w:jc w:val="both"/>
        <w:rPr>
          <w:rFonts w:ascii="Calibri" w:eastAsia="Calibri" w:hAnsi="Calibri" w:cs="Calibri"/>
          <w:color w:val="000000"/>
          <w:sz w:val="22"/>
          <w:szCs w:val="22"/>
        </w:rPr>
      </w:pPr>
    </w:p>
    <w:p w14:paraId="0A220D84" w14:textId="77777777" w:rsidR="000F31AD" w:rsidRDefault="00A317E5">
      <w:pPr>
        <w:pStyle w:val="Heading2"/>
      </w:pPr>
      <w:bookmarkStart w:id="15" w:name="_Toc81335839"/>
      <w:r>
        <w:t>2.4.</w:t>
      </w:r>
      <w:r>
        <w:tab/>
        <w:t>Immediate and development objectives</w:t>
      </w:r>
      <w:bookmarkEnd w:id="15"/>
    </w:p>
    <w:p w14:paraId="576D26F1" w14:textId="77777777" w:rsidR="004A0ACB" w:rsidRDefault="004A0ACB">
      <w:pPr>
        <w:pBdr>
          <w:top w:val="nil"/>
          <w:left w:val="nil"/>
          <w:bottom w:val="nil"/>
          <w:right w:val="nil"/>
          <w:between w:val="nil"/>
        </w:pBdr>
        <w:jc w:val="both"/>
        <w:rPr>
          <w:rFonts w:ascii="Calibri" w:eastAsia="Calibri" w:hAnsi="Calibri" w:cs="Calibri"/>
          <w:color w:val="000000"/>
          <w:sz w:val="22"/>
          <w:szCs w:val="22"/>
        </w:rPr>
      </w:pPr>
    </w:p>
    <w:p w14:paraId="117BC8EA" w14:textId="1C05060F" w:rsidR="000F31AD" w:rsidRDefault="00A317E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“GEF Drin Project” consists of a Full-Sized Project (FSP) “Enabling transboundary cooperation and integrated water resources management in the extended Drin River Basin” (PIMS 4482/ GEF ID 4483, with three beneficiary countries: Albania, Montenegro and North Macedonia), with an add-on Medium-Sized Project (MSP) “Enabling transboundary cooperation and integrated water resources management in the White Drin and the extended Drin Basin” (PIMS 5510 / GEF ID 9121, with Kosovo as the beneficiary country). Since both projects have substantially the same contents, structure and objectives, from now on they will be referred to as the “GEF Drin Project” (The Project).</w:t>
      </w:r>
    </w:p>
    <w:p w14:paraId="07C637DB" w14:textId="77777777" w:rsidR="00BE64E7" w:rsidRDefault="00BE64E7">
      <w:pPr>
        <w:pBdr>
          <w:top w:val="nil"/>
          <w:left w:val="nil"/>
          <w:bottom w:val="nil"/>
          <w:right w:val="nil"/>
          <w:between w:val="nil"/>
        </w:pBdr>
        <w:jc w:val="both"/>
        <w:rPr>
          <w:rFonts w:ascii="Calibri" w:eastAsia="Calibri" w:hAnsi="Calibri" w:cs="Calibri"/>
          <w:color w:val="000000"/>
          <w:sz w:val="22"/>
          <w:szCs w:val="22"/>
        </w:rPr>
      </w:pPr>
    </w:p>
    <w:p w14:paraId="6946CD40" w14:textId="4C4670EF" w:rsidR="000F31AD" w:rsidRDefault="00A317E5">
      <w:pPr>
        <w:pBdr>
          <w:top w:val="nil"/>
          <w:left w:val="nil"/>
          <w:bottom w:val="nil"/>
          <w:right w:val="nil"/>
          <w:between w:val="nil"/>
        </w:pBdr>
        <w:jc w:val="both"/>
        <w:rPr>
          <w:color w:val="000000"/>
        </w:rPr>
      </w:pPr>
      <w:r>
        <w:rPr>
          <w:rFonts w:ascii="Calibri" w:eastAsia="Calibri" w:hAnsi="Calibri" w:cs="Calibri"/>
          <w:color w:val="000000"/>
          <w:sz w:val="22"/>
          <w:szCs w:val="22"/>
        </w:rPr>
        <w:t xml:space="preserve">The ProDoc also states that the Project’s goal is to foster the joint management of the shared water resources of the extended transboundary Drin River Basin, including coordination mechanisms among the various sub-basin commissions and committees (Lakes Prespa, Ohrid and Skadar). </w:t>
      </w:r>
      <w:r w:rsidR="00BE64E7">
        <w:rPr>
          <w:rFonts w:ascii="Calibri" w:eastAsia="Calibri" w:hAnsi="Calibri" w:cs="Calibri"/>
          <w:color w:val="000000"/>
          <w:sz w:val="22"/>
          <w:szCs w:val="22"/>
        </w:rPr>
        <w:t>This was</w:t>
      </w:r>
      <w:r>
        <w:rPr>
          <w:rFonts w:ascii="Calibri" w:eastAsia="Calibri" w:hAnsi="Calibri" w:cs="Calibri"/>
          <w:color w:val="000000"/>
          <w:sz w:val="22"/>
          <w:szCs w:val="22"/>
        </w:rPr>
        <w:t xml:space="preserve"> expected </w:t>
      </w:r>
      <w:r w:rsidR="00BE64E7">
        <w:rPr>
          <w:rFonts w:ascii="Calibri" w:eastAsia="Calibri" w:hAnsi="Calibri" w:cs="Calibri"/>
          <w:color w:val="000000"/>
          <w:sz w:val="22"/>
          <w:szCs w:val="22"/>
        </w:rPr>
        <w:t xml:space="preserve">to </w:t>
      </w:r>
      <w:r>
        <w:rPr>
          <w:rFonts w:ascii="Calibri" w:eastAsia="Calibri" w:hAnsi="Calibri" w:cs="Calibri"/>
          <w:color w:val="000000"/>
          <w:sz w:val="22"/>
          <w:szCs w:val="22"/>
        </w:rPr>
        <w:t xml:space="preserve">be achieved by (i) building consensus among countries on key transboundary concerns and drivers of change, including climate variability and change, reached through joint fact finding; (ii) facilitating the agreement on a shared vision and on a program of priority actions deemed necessary to achieve the vision; (iii) strengthening technical and institutional capacities. </w:t>
      </w:r>
    </w:p>
    <w:p w14:paraId="5C3CF015" w14:textId="77777777" w:rsidR="004A0ACB" w:rsidRDefault="004A0ACB">
      <w:pPr>
        <w:pStyle w:val="Heading2"/>
      </w:pPr>
    </w:p>
    <w:p w14:paraId="28D33BAF" w14:textId="77777777" w:rsidR="000F31AD" w:rsidRDefault="00A317E5">
      <w:pPr>
        <w:pStyle w:val="Heading2"/>
      </w:pPr>
      <w:bookmarkStart w:id="16" w:name="_Toc81335840"/>
      <w:r>
        <w:t>2.5.</w:t>
      </w:r>
      <w:r>
        <w:tab/>
        <w:t>Description of the project’s Theory of Change</w:t>
      </w:r>
      <w:bookmarkEnd w:id="16"/>
    </w:p>
    <w:p w14:paraId="4AA56B2F" w14:textId="77777777" w:rsidR="000F31AD" w:rsidRDefault="000F31AD">
      <w:pPr>
        <w:jc w:val="both"/>
        <w:rPr>
          <w:rFonts w:ascii="Calibri" w:eastAsia="Calibri" w:hAnsi="Calibri" w:cs="Calibri"/>
          <w:sz w:val="22"/>
          <w:szCs w:val="22"/>
        </w:rPr>
      </w:pPr>
    </w:p>
    <w:p w14:paraId="470DD645" w14:textId="77777777" w:rsidR="000F31AD" w:rsidRDefault="00A317E5">
      <w:pPr>
        <w:jc w:val="both"/>
        <w:rPr>
          <w:rFonts w:ascii="Calibri" w:eastAsia="Calibri" w:hAnsi="Calibri" w:cs="Calibri"/>
          <w:sz w:val="22"/>
          <w:szCs w:val="22"/>
        </w:rPr>
      </w:pPr>
      <w:r>
        <w:rPr>
          <w:rFonts w:ascii="Calibri" w:eastAsia="Calibri" w:hAnsi="Calibri" w:cs="Calibri"/>
          <w:sz w:val="22"/>
          <w:szCs w:val="22"/>
        </w:rPr>
        <w:t>The ProDoc has elaborated the design strategy and the Theory of Change (ToC). The Project’s strategy leads to the following Project’s components and outcomes:</w:t>
      </w:r>
    </w:p>
    <w:p w14:paraId="78E1F9FE" w14:textId="77777777" w:rsidR="000F31AD" w:rsidRDefault="000F31AD">
      <w:pPr>
        <w:jc w:val="both"/>
        <w:rPr>
          <w:rFonts w:ascii="Calibri" w:eastAsia="Calibri" w:hAnsi="Calibri" w:cs="Calibri"/>
          <w:sz w:val="22"/>
          <w:szCs w:val="22"/>
        </w:rPr>
      </w:pPr>
    </w:p>
    <w:p w14:paraId="104078D1" w14:textId="77777777" w:rsidR="000F31AD" w:rsidRDefault="00A317E5" w:rsidP="0052081C">
      <w:pPr>
        <w:numPr>
          <w:ilvl w:val="0"/>
          <w:numId w:val="9"/>
        </w:numPr>
        <w:pBdr>
          <w:top w:val="nil"/>
          <w:left w:val="nil"/>
          <w:bottom w:val="nil"/>
          <w:right w:val="nil"/>
          <w:between w:val="nil"/>
        </w:pBdr>
        <w:ind w:left="426" w:hanging="426"/>
        <w:jc w:val="both"/>
        <w:rPr>
          <w:rFonts w:ascii="Calibri" w:eastAsia="Calibri" w:hAnsi="Calibri" w:cs="Calibri"/>
          <w:color w:val="000000"/>
        </w:rPr>
      </w:pPr>
      <w:r>
        <w:rPr>
          <w:rFonts w:ascii="Calibri" w:eastAsia="Calibri" w:hAnsi="Calibri" w:cs="Calibri"/>
          <w:color w:val="000000"/>
          <w:sz w:val="22"/>
          <w:szCs w:val="22"/>
        </w:rPr>
        <w:t xml:space="preserve">COMPONENT 1. CONSOLIDATING A COMMON KNOWLEDGE BASE </w:t>
      </w:r>
    </w:p>
    <w:p w14:paraId="1467A100" w14:textId="77777777" w:rsidR="000F31AD" w:rsidRDefault="00A317E5" w:rsidP="0052081C">
      <w:pPr>
        <w:numPr>
          <w:ilvl w:val="1"/>
          <w:numId w:val="9"/>
        </w:numPr>
        <w:pBdr>
          <w:top w:val="nil"/>
          <w:left w:val="nil"/>
          <w:bottom w:val="nil"/>
          <w:right w:val="nil"/>
          <w:between w:val="nil"/>
        </w:pBdr>
        <w:ind w:left="851" w:hanging="425"/>
        <w:jc w:val="both"/>
        <w:rPr>
          <w:rFonts w:ascii="Calibri" w:eastAsia="Calibri" w:hAnsi="Calibri" w:cs="Calibri"/>
          <w:color w:val="000000"/>
        </w:rPr>
      </w:pPr>
      <w:r>
        <w:rPr>
          <w:rFonts w:ascii="Calibri" w:eastAsia="Calibri" w:hAnsi="Calibri" w:cs="Calibri"/>
          <w:color w:val="000000"/>
          <w:sz w:val="22"/>
          <w:szCs w:val="22"/>
        </w:rPr>
        <w:t xml:space="preserve">Outcome 1: Consensus among countries on key transboundary concerns, including climate change and variability, reached through joint fact finding </w:t>
      </w:r>
    </w:p>
    <w:p w14:paraId="669843E1" w14:textId="77777777" w:rsidR="000F31AD" w:rsidRDefault="00A317E5" w:rsidP="0052081C">
      <w:pPr>
        <w:numPr>
          <w:ilvl w:val="0"/>
          <w:numId w:val="9"/>
        </w:numPr>
        <w:pBdr>
          <w:top w:val="nil"/>
          <w:left w:val="nil"/>
          <w:bottom w:val="nil"/>
          <w:right w:val="nil"/>
          <w:between w:val="nil"/>
        </w:pBdr>
        <w:ind w:left="426" w:hanging="426"/>
        <w:jc w:val="both"/>
        <w:rPr>
          <w:rFonts w:ascii="Calibri" w:eastAsia="Calibri" w:hAnsi="Calibri" w:cs="Calibri"/>
          <w:color w:val="000000"/>
        </w:rPr>
      </w:pPr>
      <w:r>
        <w:rPr>
          <w:rFonts w:ascii="Calibri" w:eastAsia="Calibri" w:hAnsi="Calibri" w:cs="Calibri"/>
          <w:color w:val="000000"/>
          <w:sz w:val="22"/>
          <w:szCs w:val="22"/>
        </w:rPr>
        <w:t xml:space="preserve">COMPONENT 2. BUILDING THE FOUNDATION FOR MULTI-COUNTRY COOPERATION </w:t>
      </w:r>
    </w:p>
    <w:p w14:paraId="7A71087E" w14:textId="77777777" w:rsidR="000F31AD" w:rsidRDefault="00A317E5" w:rsidP="0052081C">
      <w:pPr>
        <w:numPr>
          <w:ilvl w:val="1"/>
          <w:numId w:val="9"/>
        </w:numPr>
        <w:pBdr>
          <w:top w:val="nil"/>
          <w:left w:val="nil"/>
          <w:bottom w:val="nil"/>
          <w:right w:val="nil"/>
          <w:between w:val="nil"/>
        </w:pBdr>
        <w:ind w:left="851" w:hanging="425"/>
        <w:jc w:val="both"/>
        <w:rPr>
          <w:rFonts w:ascii="Calibri" w:eastAsia="Calibri" w:hAnsi="Calibri" w:cs="Calibri"/>
          <w:color w:val="000000"/>
          <w:sz w:val="22"/>
          <w:szCs w:val="22"/>
        </w:rPr>
      </w:pPr>
      <w:r>
        <w:rPr>
          <w:rFonts w:ascii="Calibri" w:eastAsia="Calibri" w:hAnsi="Calibri" w:cs="Calibri"/>
          <w:color w:val="000000"/>
          <w:sz w:val="22"/>
          <w:szCs w:val="22"/>
        </w:rPr>
        <w:t xml:space="preserve">Outcome 2: Visioning process opens the way for systematic cooperation in the management of the transboundary Drin river basin. </w:t>
      </w:r>
    </w:p>
    <w:p w14:paraId="5D5FD058" w14:textId="77777777" w:rsidR="000F31AD" w:rsidRDefault="00A317E5" w:rsidP="0052081C">
      <w:pPr>
        <w:numPr>
          <w:ilvl w:val="1"/>
          <w:numId w:val="9"/>
        </w:numPr>
        <w:pBdr>
          <w:top w:val="nil"/>
          <w:left w:val="nil"/>
          <w:bottom w:val="nil"/>
          <w:right w:val="nil"/>
          <w:between w:val="nil"/>
        </w:pBdr>
        <w:ind w:left="851" w:hanging="425"/>
        <w:jc w:val="both"/>
        <w:rPr>
          <w:rFonts w:ascii="Calibri" w:eastAsia="Calibri" w:hAnsi="Calibri" w:cs="Calibri"/>
          <w:color w:val="000000"/>
        </w:rPr>
      </w:pPr>
      <w:r>
        <w:rPr>
          <w:rFonts w:ascii="Calibri" w:eastAsia="Calibri" w:hAnsi="Calibri" w:cs="Calibri"/>
          <w:color w:val="000000"/>
          <w:sz w:val="22"/>
          <w:szCs w:val="22"/>
        </w:rPr>
        <w:t xml:space="preserve">Outcome 3: Countries and donors commit to sustain joint cooperation mechanisms and to undertake priority reforms and investments. </w:t>
      </w:r>
    </w:p>
    <w:p w14:paraId="3FC8A280" w14:textId="77777777" w:rsidR="000F31AD" w:rsidRDefault="00A317E5" w:rsidP="0052081C">
      <w:pPr>
        <w:numPr>
          <w:ilvl w:val="0"/>
          <w:numId w:val="9"/>
        </w:numPr>
        <w:pBdr>
          <w:top w:val="nil"/>
          <w:left w:val="nil"/>
          <w:bottom w:val="nil"/>
          <w:right w:val="nil"/>
          <w:between w:val="nil"/>
        </w:pBdr>
        <w:ind w:left="426" w:hanging="426"/>
        <w:jc w:val="both"/>
        <w:rPr>
          <w:rFonts w:ascii="Calibri" w:eastAsia="Calibri" w:hAnsi="Calibri" w:cs="Calibri"/>
          <w:color w:val="000000"/>
        </w:rPr>
      </w:pPr>
      <w:r>
        <w:rPr>
          <w:rFonts w:ascii="Calibri" w:eastAsia="Calibri" w:hAnsi="Calibri" w:cs="Calibri"/>
          <w:color w:val="000000"/>
          <w:sz w:val="22"/>
          <w:szCs w:val="22"/>
        </w:rPr>
        <w:t xml:space="preserve">COMPONENT 3. INSTITUTIONAL STRENGTHENING FOR INTEGRATED RIVER BASIN MANAGEMENT (IRBM) </w:t>
      </w:r>
    </w:p>
    <w:p w14:paraId="0F0EDCDF" w14:textId="77777777" w:rsidR="000F31AD" w:rsidRDefault="00A317E5" w:rsidP="0052081C">
      <w:pPr>
        <w:numPr>
          <w:ilvl w:val="1"/>
          <w:numId w:val="9"/>
        </w:numPr>
        <w:pBdr>
          <w:top w:val="nil"/>
          <w:left w:val="nil"/>
          <w:bottom w:val="nil"/>
          <w:right w:val="nil"/>
          <w:between w:val="nil"/>
        </w:pBdr>
        <w:ind w:left="851" w:hanging="425"/>
        <w:jc w:val="both"/>
        <w:rPr>
          <w:rFonts w:ascii="Calibri" w:eastAsia="Calibri" w:hAnsi="Calibri" w:cs="Calibri"/>
          <w:color w:val="000000"/>
        </w:rPr>
      </w:pPr>
      <w:r>
        <w:rPr>
          <w:rFonts w:ascii="Calibri" w:eastAsia="Calibri" w:hAnsi="Calibri" w:cs="Calibri"/>
          <w:color w:val="000000"/>
          <w:sz w:val="22"/>
          <w:szCs w:val="22"/>
        </w:rPr>
        <w:lastRenderedPageBreak/>
        <w:t xml:space="preserve">Outcome 4: The operationalization and strengthening of the institutional and legal frameworks for transboundary cooperation will facilitate balancing of water uses and sustaining environmental quality throughout the extended Drin basin. </w:t>
      </w:r>
    </w:p>
    <w:p w14:paraId="483C1EB8" w14:textId="77777777" w:rsidR="000F31AD" w:rsidRDefault="00A317E5" w:rsidP="0052081C">
      <w:pPr>
        <w:numPr>
          <w:ilvl w:val="0"/>
          <w:numId w:val="9"/>
        </w:numPr>
        <w:pBdr>
          <w:top w:val="nil"/>
          <w:left w:val="nil"/>
          <w:bottom w:val="nil"/>
          <w:right w:val="nil"/>
          <w:between w:val="nil"/>
        </w:pBdr>
        <w:ind w:left="426" w:hanging="426"/>
        <w:jc w:val="both"/>
        <w:rPr>
          <w:rFonts w:ascii="Calibri" w:eastAsia="Calibri" w:hAnsi="Calibri" w:cs="Calibri"/>
          <w:color w:val="000000"/>
        </w:rPr>
      </w:pPr>
      <w:r>
        <w:rPr>
          <w:rFonts w:ascii="Calibri" w:eastAsia="Calibri" w:hAnsi="Calibri" w:cs="Calibri"/>
          <w:color w:val="000000"/>
          <w:sz w:val="22"/>
          <w:szCs w:val="22"/>
        </w:rPr>
        <w:t xml:space="preserve">COMPONENT 4. DEMONSTRATION OF TECHNOLOGIES AND PRACTICES FOR IWRM AND ECOSYSTEM MANAGEMENT </w:t>
      </w:r>
    </w:p>
    <w:p w14:paraId="45734C2A" w14:textId="77777777" w:rsidR="000F31AD" w:rsidRDefault="00A317E5" w:rsidP="0052081C">
      <w:pPr>
        <w:numPr>
          <w:ilvl w:val="1"/>
          <w:numId w:val="9"/>
        </w:numPr>
        <w:pBdr>
          <w:top w:val="nil"/>
          <w:left w:val="nil"/>
          <w:bottom w:val="nil"/>
          <w:right w:val="nil"/>
          <w:between w:val="nil"/>
        </w:pBdr>
        <w:ind w:left="851" w:hanging="425"/>
        <w:jc w:val="both"/>
        <w:rPr>
          <w:rFonts w:ascii="Calibri" w:eastAsia="Calibri" w:hAnsi="Calibri" w:cs="Calibri"/>
          <w:color w:val="000000"/>
        </w:rPr>
      </w:pPr>
      <w:r>
        <w:rPr>
          <w:rFonts w:ascii="Calibri" w:eastAsia="Calibri" w:hAnsi="Calibri" w:cs="Calibri"/>
          <w:color w:val="000000"/>
          <w:sz w:val="22"/>
          <w:szCs w:val="22"/>
        </w:rPr>
        <w:t xml:space="preserve">Outcome 5: Benefits demonstrated on the ground by environmentally sound approaches and technologies new to the region. </w:t>
      </w:r>
    </w:p>
    <w:p w14:paraId="733DC07F" w14:textId="77777777" w:rsidR="000F31AD" w:rsidRDefault="00A317E5" w:rsidP="0052081C">
      <w:pPr>
        <w:numPr>
          <w:ilvl w:val="0"/>
          <w:numId w:val="9"/>
        </w:numPr>
        <w:pBdr>
          <w:top w:val="nil"/>
          <w:left w:val="nil"/>
          <w:bottom w:val="nil"/>
          <w:right w:val="nil"/>
          <w:between w:val="nil"/>
        </w:pBdr>
        <w:ind w:left="426" w:hanging="426"/>
        <w:jc w:val="both"/>
        <w:rPr>
          <w:rFonts w:ascii="Calibri" w:eastAsia="Calibri" w:hAnsi="Calibri" w:cs="Calibri"/>
          <w:color w:val="000000"/>
        </w:rPr>
      </w:pPr>
      <w:r>
        <w:rPr>
          <w:rFonts w:ascii="Calibri" w:eastAsia="Calibri" w:hAnsi="Calibri" w:cs="Calibri"/>
          <w:color w:val="000000"/>
          <w:sz w:val="22"/>
          <w:szCs w:val="22"/>
        </w:rPr>
        <w:t xml:space="preserve">COMPONENT 5. STAKEHOLDER INVOLVEMENT, GENDER MAINSTREAMING AND COMMUNICATION </w:t>
      </w:r>
    </w:p>
    <w:p w14:paraId="230EAECA" w14:textId="77777777" w:rsidR="000F31AD" w:rsidRDefault="00A317E5" w:rsidP="0052081C">
      <w:pPr>
        <w:numPr>
          <w:ilvl w:val="1"/>
          <w:numId w:val="9"/>
        </w:numPr>
        <w:pBdr>
          <w:top w:val="nil"/>
          <w:left w:val="nil"/>
          <w:bottom w:val="nil"/>
          <w:right w:val="nil"/>
          <w:between w:val="nil"/>
        </w:pBdr>
        <w:ind w:left="851" w:hanging="425"/>
        <w:jc w:val="both"/>
        <w:rPr>
          <w:rFonts w:ascii="Calibri" w:eastAsia="Calibri" w:hAnsi="Calibri" w:cs="Calibri"/>
          <w:color w:val="000000"/>
        </w:rPr>
      </w:pPr>
      <w:r>
        <w:rPr>
          <w:rFonts w:ascii="Calibri" w:eastAsia="Calibri" w:hAnsi="Calibri" w:cs="Calibri"/>
          <w:color w:val="000000"/>
          <w:sz w:val="22"/>
          <w:szCs w:val="22"/>
        </w:rPr>
        <w:t xml:space="preserve">Outcome 6: Public support and participation to IWRM and joint multi-country management enhanced through stakeholder involvement and gender mainstreaming. </w:t>
      </w:r>
    </w:p>
    <w:p w14:paraId="05544F88" w14:textId="77777777" w:rsidR="000F31AD" w:rsidRDefault="00A317E5" w:rsidP="0052081C">
      <w:pPr>
        <w:numPr>
          <w:ilvl w:val="1"/>
          <w:numId w:val="9"/>
        </w:numPr>
        <w:pBdr>
          <w:top w:val="nil"/>
          <w:left w:val="nil"/>
          <w:bottom w:val="nil"/>
          <w:right w:val="nil"/>
          <w:between w:val="nil"/>
        </w:pBdr>
        <w:ind w:left="851" w:hanging="425"/>
        <w:jc w:val="both"/>
        <w:rPr>
          <w:rFonts w:ascii="Calibri" w:eastAsia="Calibri" w:hAnsi="Calibri" w:cs="Calibri"/>
          <w:color w:val="000000"/>
        </w:rPr>
      </w:pPr>
      <w:r>
        <w:rPr>
          <w:rFonts w:ascii="Calibri" w:eastAsia="Calibri" w:hAnsi="Calibri" w:cs="Calibri"/>
          <w:color w:val="000000"/>
          <w:sz w:val="22"/>
          <w:szCs w:val="22"/>
        </w:rPr>
        <w:t xml:space="preserve">Outcome 7: Political awareness at all levels and private sector participation strengthened through higher visibility of the project’s developments and targeted outreach initiatives. </w:t>
      </w:r>
    </w:p>
    <w:p w14:paraId="0E7BC736" w14:textId="5F411A0D" w:rsidR="000F31AD" w:rsidRDefault="000F31AD">
      <w:pPr>
        <w:jc w:val="both"/>
        <w:rPr>
          <w:rFonts w:ascii="Calibri" w:eastAsia="Calibri" w:hAnsi="Calibri" w:cs="Calibri"/>
          <w:sz w:val="22"/>
          <w:szCs w:val="22"/>
        </w:rPr>
      </w:pPr>
    </w:p>
    <w:p w14:paraId="5F915257" w14:textId="7B76A2E3" w:rsidR="009174C6" w:rsidRDefault="009174C6">
      <w:pPr>
        <w:jc w:val="both"/>
        <w:rPr>
          <w:rFonts w:ascii="Calibri" w:eastAsia="Calibri" w:hAnsi="Calibri" w:cs="Calibri"/>
          <w:sz w:val="22"/>
          <w:szCs w:val="22"/>
        </w:rPr>
      </w:pPr>
      <w:r>
        <w:rPr>
          <w:rFonts w:ascii="Calibri" w:eastAsia="Calibri" w:hAnsi="Calibri" w:cs="Calibri"/>
          <w:sz w:val="22"/>
          <w:szCs w:val="22"/>
        </w:rPr>
        <w:t xml:space="preserve">The Theory of Change is logically proposed, albeit at a strategic level, which only implicitly indicates the pathway in descending order from upper to lower levels. The ProDoc does not have the description of the logic of the Theory of Change, but it is understood how it leads from the project objectives to the project’s components, outcomes and activities. </w:t>
      </w:r>
    </w:p>
    <w:p w14:paraId="501C2F12" w14:textId="77777777" w:rsidR="009174C6" w:rsidRDefault="009174C6">
      <w:pPr>
        <w:jc w:val="both"/>
        <w:rPr>
          <w:rFonts w:ascii="Calibri" w:eastAsia="Calibri" w:hAnsi="Calibri" w:cs="Calibri"/>
          <w:sz w:val="22"/>
          <w:szCs w:val="22"/>
        </w:rPr>
      </w:pPr>
    </w:p>
    <w:p w14:paraId="3D961BF0" w14:textId="77777777" w:rsidR="000F31AD" w:rsidRDefault="00A317E5">
      <w:pPr>
        <w:pStyle w:val="Heading2"/>
      </w:pPr>
      <w:bookmarkStart w:id="17" w:name="_Toc81335841"/>
      <w:r>
        <w:t>2.6.</w:t>
      </w:r>
      <w:r>
        <w:tab/>
        <w:t>Expected results</w:t>
      </w:r>
      <w:bookmarkEnd w:id="17"/>
    </w:p>
    <w:p w14:paraId="42BA9E4E" w14:textId="77777777" w:rsidR="004A0ACB" w:rsidRDefault="004A0ACB">
      <w:pPr>
        <w:pBdr>
          <w:top w:val="nil"/>
          <w:left w:val="nil"/>
          <w:bottom w:val="nil"/>
          <w:right w:val="nil"/>
          <w:between w:val="nil"/>
        </w:pBdr>
        <w:jc w:val="both"/>
        <w:rPr>
          <w:rFonts w:ascii="Calibri" w:eastAsia="Calibri" w:hAnsi="Calibri" w:cs="Calibri"/>
          <w:color w:val="000000"/>
          <w:sz w:val="22"/>
          <w:szCs w:val="22"/>
        </w:rPr>
      </w:pPr>
    </w:p>
    <w:p w14:paraId="0C57E131" w14:textId="5D49D7A9" w:rsidR="000F31AD" w:rsidRDefault="00A317E5">
      <w:pPr>
        <w:pBdr>
          <w:top w:val="nil"/>
          <w:left w:val="nil"/>
          <w:bottom w:val="nil"/>
          <w:right w:val="nil"/>
          <w:between w:val="nil"/>
        </w:pBdr>
        <w:jc w:val="both"/>
        <w:rPr>
          <w:color w:val="000000"/>
        </w:rPr>
      </w:pPr>
      <w:r>
        <w:rPr>
          <w:rFonts w:ascii="Calibri" w:eastAsia="Calibri" w:hAnsi="Calibri" w:cs="Calibri"/>
          <w:color w:val="000000"/>
          <w:sz w:val="22"/>
          <w:szCs w:val="22"/>
        </w:rPr>
        <w:t xml:space="preserve">The Project’s expected results were provided in the Project Results Framework (PRF) in the ProDoc, named also as the Strategic Results Framework (SRF). The framework was modified by the </w:t>
      </w:r>
      <w:r w:rsidR="00282A0B">
        <w:rPr>
          <w:rFonts w:ascii="Calibri" w:eastAsia="Calibri" w:hAnsi="Calibri" w:cs="Calibri"/>
          <w:color w:val="000000"/>
          <w:sz w:val="22"/>
          <w:szCs w:val="22"/>
        </w:rPr>
        <w:t xml:space="preserve">following </w:t>
      </w:r>
      <w:r>
        <w:rPr>
          <w:rFonts w:ascii="Calibri" w:eastAsia="Calibri" w:hAnsi="Calibri" w:cs="Calibri"/>
          <w:color w:val="000000"/>
          <w:sz w:val="22"/>
          <w:szCs w:val="22"/>
        </w:rPr>
        <w:t>Project Board Meeting</w:t>
      </w:r>
      <w:r w:rsidR="00282A0B">
        <w:rPr>
          <w:rFonts w:ascii="Calibri" w:eastAsia="Calibri" w:hAnsi="Calibri" w:cs="Calibri"/>
          <w:color w:val="000000"/>
          <w:sz w:val="22"/>
          <w:szCs w:val="22"/>
        </w:rPr>
        <w:t xml:space="preserve">s: </w:t>
      </w:r>
      <w:bookmarkStart w:id="18" w:name="_Hlk79658272"/>
      <w:r w:rsidR="00282A0B" w:rsidRPr="00282A0B">
        <w:rPr>
          <w:rFonts w:ascii="Calibri" w:eastAsia="Calibri" w:hAnsi="Calibri" w:cs="Calibri"/>
          <w:color w:val="000000"/>
          <w:sz w:val="22"/>
          <w:szCs w:val="22"/>
        </w:rPr>
        <w:t xml:space="preserve">Ad hoc </w:t>
      </w:r>
      <w:r w:rsidR="00560C67">
        <w:rPr>
          <w:rFonts w:ascii="Calibri" w:eastAsia="Calibri" w:hAnsi="Calibri" w:cs="Calibri"/>
          <w:color w:val="000000"/>
          <w:sz w:val="22"/>
          <w:szCs w:val="22"/>
        </w:rPr>
        <w:t>m</w:t>
      </w:r>
      <w:r w:rsidR="00282A0B" w:rsidRPr="00282A0B">
        <w:rPr>
          <w:rFonts w:ascii="Calibri" w:eastAsia="Calibri" w:hAnsi="Calibri" w:cs="Calibri"/>
          <w:color w:val="000000"/>
          <w:sz w:val="22"/>
          <w:szCs w:val="22"/>
        </w:rPr>
        <w:t>eeting</w:t>
      </w:r>
      <w:r w:rsidR="00282A0B">
        <w:rPr>
          <w:rFonts w:ascii="Calibri" w:eastAsia="Calibri" w:hAnsi="Calibri" w:cs="Calibri"/>
          <w:color w:val="000000"/>
          <w:sz w:val="22"/>
          <w:szCs w:val="22"/>
        </w:rPr>
        <w:t xml:space="preserve"> on </w:t>
      </w:r>
      <w:r w:rsidR="00282A0B" w:rsidRPr="00282A0B">
        <w:rPr>
          <w:rFonts w:ascii="Calibri" w:eastAsia="Calibri" w:hAnsi="Calibri" w:cs="Calibri"/>
          <w:color w:val="000000"/>
          <w:sz w:val="22"/>
          <w:szCs w:val="22"/>
        </w:rPr>
        <w:t>30</w:t>
      </w:r>
      <w:r w:rsidR="00282A0B">
        <w:rPr>
          <w:rFonts w:ascii="Calibri" w:eastAsia="Calibri" w:hAnsi="Calibri" w:cs="Calibri"/>
          <w:color w:val="000000"/>
          <w:sz w:val="22"/>
          <w:szCs w:val="22"/>
        </w:rPr>
        <w:t xml:space="preserve"> March </w:t>
      </w:r>
      <w:r w:rsidR="00A11D95">
        <w:rPr>
          <w:rFonts w:ascii="Calibri" w:eastAsia="Calibri" w:hAnsi="Calibri" w:cs="Calibri"/>
          <w:color w:val="000000"/>
          <w:sz w:val="22"/>
          <w:szCs w:val="22"/>
        </w:rPr>
        <w:t>20</w:t>
      </w:r>
      <w:r w:rsidR="00282A0B" w:rsidRPr="00282A0B">
        <w:rPr>
          <w:rFonts w:ascii="Calibri" w:eastAsia="Calibri" w:hAnsi="Calibri" w:cs="Calibri"/>
          <w:color w:val="000000"/>
          <w:sz w:val="22"/>
          <w:szCs w:val="22"/>
        </w:rPr>
        <w:t>16</w:t>
      </w:r>
      <w:r w:rsidR="009174C6">
        <w:rPr>
          <w:rFonts w:ascii="Calibri" w:eastAsia="Calibri" w:hAnsi="Calibri" w:cs="Calibri"/>
          <w:color w:val="000000"/>
          <w:sz w:val="22"/>
          <w:szCs w:val="22"/>
        </w:rPr>
        <w:t>;</w:t>
      </w:r>
      <w:r w:rsidR="00282A0B">
        <w:rPr>
          <w:rFonts w:ascii="Calibri" w:eastAsia="Calibri" w:hAnsi="Calibri" w:cs="Calibri"/>
          <w:color w:val="000000"/>
          <w:sz w:val="22"/>
          <w:szCs w:val="22"/>
        </w:rPr>
        <w:t xml:space="preserve"> </w:t>
      </w:r>
      <w:r w:rsidR="00560C67">
        <w:rPr>
          <w:rFonts w:ascii="Calibri" w:eastAsia="Calibri" w:hAnsi="Calibri" w:cs="Calibri"/>
          <w:color w:val="000000"/>
          <w:sz w:val="22"/>
          <w:szCs w:val="22"/>
        </w:rPr>
        <w:t xml:space="preserve">its </w:t>
      </w:r>
      <w:r w:rsidR="00282A0B" w:rsidRPr="00282A0B">
        <w:rPr>
          <w:rFonts w:ascii="Calibri" w:eastAsia="Calibri" w:hAnsi="Calibri" w:cs="Calibri"/>
          <w:color w:val="000000"/>
          <w:sz w:val="22"/>
          <w:szCs w:val="22"/>
        </w:rPr>
        <w:t xml:space="preserve">2nd </w:t>
      </w:r>
      <w:r w:rsidR="00560C67">
        <w:rPr>
          <w:rFonts w:ascii="Calibri" w:eastAsia="Calibri" w:hAnsi="Calibri" w:cs="Calibri"/>
          <w:color w:val="000000"/>
          <w:sz w:val="22"/>
          <w:szCs w:val="22"/>
        </w:rPr>
        <w:t>m</w:t>
      </w:r>
      <w:r w:rsidR="00282A0B" w:rsidRPr="00282A0B">
        <w:rPr>
          <w:rFonts w:ascii="Calibri" w:eastAsia="Calibri" w:hAnsi="Calibri" w:cs="Calibri"/>
          <w:color w:val="000000"/>
          <w:sz w:val="22"/>
          <w:szCs w:val="22"/>
        </w:rPr>
        <w:t>eeting</w:t>
      </w:r>
      <w:r w:rsidR="00282A0B">
        <w:rPr>
          <w:rFonts w:ascii="Calibri" w:eastAsia="Calibri" w:hAnsi="Calibri" w:cs="Calibri"/>
          <w:color w:val="000000"/>
          <w:sz w:val="22"/>
          <w:szCs w:val="22"/>
        </w:rPr>
        <w:t xml:space="preserve"> on 13 June 2016 in response to the request of the beneficiary countries; </w:t>
      </w:r>
      <w:r w:rsidR="009174C6">
        <w:rPr>
          <w:rFonts w:ascii="Calibri" w:eastAsia="Calibri" w:hAnsi="Calibri" w:cs="Calibri"/>
          <w:color w:val="000000"/>
          <w:sz w:val="22"/>
          <w:szCs w:val="22"/>
        </w:rPr>
        <w:t xml:space="preserve">and </w:t>
      </w:r>
      <w:r w:rsidR="00560C67">
        <w:rPr>
          <w:rFonts w:ascii="Calibri" w:eastAsia="Calibri" w:hAnsi="Calibri" w:cs="Calibri"/>
          <w:color w:val="000000"/>
          <w:sz w:val="22"/>
          <w:szCs w:val="22"/>
        </w:rPr>
        <w:t xml:space="preserve">its </w:t>
      </w:r>
      <w:r>
        <w:rPr>
          <w:rFonts w:ascii="Calibri" w:eastAsia="Calibri" w:hAnsi="Calibri" w:cs="Calibri"/>
          <w:color w:val="000000"/>
          <w:sz w:val="22"/>
          <w:szCs w:val="22"/>
        </w:rPr>
        <w:t xml:space="preserve"> </w:t>
      </w:r>
      <w:r w:rsidR="00282A0B">
        <w:rPr>
          <w:rFonts w:ascii="Calibri" w:eastAsia="Calibri" w:hAnsi="Calibri" w:cs="Calibri"/>
          <w:color w:val="000000"/>
          <w:sz w:val="22"/>
          <w:szCs w:val="22"/>
        </w:rPr>
        <w:t>8</w:t>
      </w:r>
      <w:r>
        <w:rPr>
          <w:rFonts w:ascii="Calibri" w:eastAsia="Calibri" w:hAnsi="Calibri" w:cs="Calibri"/>
          <w:color w:val="000000"/>
          <w:sz w:val="22"/>
          <w:szCs w:val="22"/>
        </w:rPr>
        <w:t>th meeting on 31 May 2019</w:t>
      </w:r>
      <w:bookmarkEnd w:id="18"/>
      <w:r>
        <w:rPr>
          <w:rFonts w:ascii="Calibri" w:eastAsia="Calibri" w:hAnsi="Calibri" w:cs="Calibri"/>
          <w:color w:val="000000"/>
          <w:sz w:val="22"/>
          <w:szCs w:val="22"/>
        </w:rPr>
        <w:t xml:space="preserve"> in response to changes recommended in the MTR report. The final PRF used as the basis for the TE is provided in Annex 6</w:t>
      </w:r>
      <w:r>
        <w:rPr>
          <w:rFonts w:ascii="Calibri" w:eastAsia="Calibri" w:hAnsi="Calibri" w:cs="Calibri"/>
          <w:color w:val="02498E"/>
          <w:sz w:val="22"/>
          <w:szCs w:val="22"/>
        </w:rPr>
        <w:t xml:space="preserve"> </w:t>
      </w:r>
      <w:r>
        <w:rPr>
          <w:rFonts w:ascii="Calibri" w:eastAsia="Calibri" w:hAnsi="Calibri" w:cs="Calibri"/>
          <w:color w:val="000000"/>
          <w:sz w:val="22"/>
          <w:szCs w:val="22"/>
        </w:rPr>
        <w:t xml:space="preserve">and an assessment of achievement of project outcomes and objectives is discussed in Section 3.3. </w:t>
      </w:r>
    </w:p>
    <w:p w14:paraId="2266D9E3" w14:textId="77777777" w:rsidR="004A0ACB" w:rsidRDefault="004A0ACB">
      <w:pPr>
        <w:pStyle w:val="Heading2"/>
      </w:pPr>
    </w:p>
    <w:p w14:paraId="5EC19F12" w14:textId="77777777" w:rsidR="000F31AD" w:rsidRDefault="00A317E5">
      <w:pPr>
        <w:pStyle w:val="Heading2"/>
      </w:pPr>
      <w:bookmarkStart w:id="19" w:name="_Toc81335842"/>
      <w:r>
        <w:t>2.7.</w:t>
      </w:r>
      <w:r>
        <w:tab/>
        <w:t>Total resources</w:t>
      </w:r>
      <w:bookmarkEnd w:id="19"/>
    </w:p>
    <w:p w14:paraId="45006BED" w14:textId="77777777" w:rsidR="000F31AD" w:rsidRDefault="000F31AD">
      <w:pPr>
        <w:rPr>
          <w:rFonts w:ascii="Calibri" w:eastAsia="Calibri" w:hAnsi="Calibri" w:cs="Calibri"/>
          <w:sz w:val="22"/>
          <w:szCs w:val="22"/>
        </w:rPr>
      </w:pPr>
    </w:p>
    <w:p w14:paraId="3C393CA3" w14:textId="77777777" w:rsidR="000F31AD" w:rsidRDefault="00A317E5">
      <w:pPr>
        <w:jc w:val="both"/>
        <w:rPr>
          <w:rFonts w:ascii="Calibri" w:eastAsia="Calibri" w:hAnsi="Calibri" w:cs="Calibri"/>
          <w:sz w:val="22"/>
          <w:szCs w:val="22"/>
        </w:rPr>
      </w:pPr>
      <w:r>
        <w:rPr>
          <w:rFonts w:ascii="Calibri" w:eastAsia="Calibri" w:hAnsi="Calibri" w:cs="Calibri"/>
          <w:sz w:val="22"/>
          <w:szCs w:val="22"/>
        </w:rPr>
        <w:t>The FSP project has approved financing from GEF Trust Fund in the amount of US$4,500,000 and co-financing from Project partners in the amount of US$226,429,721. The MSP Project has the approved financing from the GEF Trust Fund in the amount of US$1,000,000 and co-financing from Project partners in the amount of US$8,853,373. The combine total for both projects has approved financing from GEF Trust Fund in the amount of US$5,500,000 and co-financing from Project partners in the amount of US$235,283,094.</w:t>
      </w:r>
    </w:p>
    <w:p w14:paraId="7AD81560" w14:textId="77777777" w:rsidR="000F31AD" w:rsidRDefault="000F31AD">
      <w:pPr>
        <w:rPr>
          <w:rFonts w:ascii="Calibri" w:eastAsia="Calibri" w:hAnsi="Calibri" w:cs="Calibri"/>
          <w:sz w:val="22"/>
          <w:szCs w:val="22"/>
        </w:rPr>
      </w:pPr>
    </w:p>
    <w:p w14:paraId="4EB8EDC0" w14:textId="77777777" w:rsidR="000F31AD" w:rsidRDefault="00A317E5">
      <w:pPr>
        <w:pStyle w:val="Heading2"/>
      </w:pPr>
      <w:bookmarkStart w:id="20" w:name="_Toc81335843"/>
      <w:r>
        <w:t>2.8.</w:t>
      </w:r>
      <w:r>
        <w:tab/>
        <w:t>Main stakeholders</w:t>
      </w:r>
      <w:bookmarkEnd w:id="20"/>
    </w:p>
    <w:p w14:paraId="2785AB8E" w14:textId="77777777" w:rsidR="004A0ACB" w:rsidRDefault="004A0ACB">
      <w:pPr>
        <w:pBdr>
          <w:top w:val="nil"/>
          <w:left w:val="nil"/>
          <w:bottom w:val="nil"/>
          <w:right w:val="nil"/>
          <w:between w:val="nil"/>
        </w:pBdr>
        <w:jc w:val="both"/>
        <w:rPr>
          <w:rFonts w:ascii="Calibri" w:eastAsia="Calibri" w:hAnsi="Calibri" w:cs="Calibri"/>
          <w:color w:val="000000"/>
          <w:sz w:val="22"/>
          <w:szCs w:val="22"/>
        </w:rPr>
      </w:pPr>
    </w:p>
    <w:p w14:paraId="4E132108" w14:textId="539048DD" w:rsidR="000F31AD" w:rsidRDefault="00A317E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ProDoc identifies two major group of project’s stakeholders: various levels of government; and Civil-society, private sector actors (farmers, fishermen, tourism, industry), environmental groups, community groups, special interest groups). The main project areas where the above stakeholders </w:t>
      </w:r>
      <w:r w:rsidR="00BE64E7">
        <w:rPr>
          <w:rFonts w:ascii="Calibri" w:eastAsia="Calibri" w:hAnsi="Calibri" w:cs="Calibri"/>
          <w:color w:val="000000"/>
          <w:sz w:val="22"/>
          <w:szCs w:val="22"/>
        </w:rPr>
        <w:t>w</w:t>
      </w:r>
      <w:r w:rsidR="009174C6">
        <w:rPr>
          <w:rFonts w:ascii="Calibri" w:eastAsia="Calibri" w:hAnsi="Calibri" w:cs="Calibri"/>
          <w:color w:val="000000"/>
          <w:sz w:val="22"/>
          <w:szCs w:val="22"/>
        </w:rPr>
        <w:t>ere</w:t>
      </w:r>
      <w:r w:rsidR="00BE64E7">
        <w:rPr>
          <w:rFonts w:ascii="Calibri" w:eastAsia="Calibri" w:hAnsi="Calibri" w:cs="Calibri"/>
          <w:color w:val="000000"/>
          <w:sz w:val="22"/>
          <w:szCs w:val="22"/>
        </w:rPr>
        <w:t xml:space="preserve"> planned to </w:t>
      </w:r>
      <w:r>
        <w:rPr>
          <w:rFonts w:ascii="Calibri" w:eastAsia="Calibri" w:hAnsi="Calibri" w:cs="Calibri"/>
          <w:color w:val="000000"/>
          <w:sz w:val="22"/>
          <w:szCs w:val="22"/>
        </w:rPr>
        <w:t xml:space="preserve">be involved </w:t>
      </w:r>
      <w:r w:rsidR="00BE64E7">
        <w:rPr>
          <w:rFonts w:ascii="Calibri" w:eastAsia="Calibri" w:hAnsi="Calibri" w:cs="Calibri"/>
          <w:color w:val="000000"/>
          <w:sz w:val="22"/>
          <w:szCs w:val="22"/>
        </w:rPr>
        <w:t xml:space="preserve">was </w:t>
      </w:r>
      <w:r>
        <w:rPr>
          <w:rFonts w:ascii="Calibri" w:eastAsia="Calibri" w:hAnsi="Calibri" w:cs="Calibri"/>
          <w:color w:val="000000"/>
          <w:sz w:val="22"/>
          <w:szCs w:val="22"/>
        </w:rPr>
        <w:t>in consultation process dialogue</w:t>
      </w:r>
      <w:r w:rsidR="00282A0B">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during the preparation of the Transboundary Diagnostic Analysis (TDA) and the Strategic Actions Programme (SAP). It was planned that the Stakeholder Analysis and Mapping document be prepared when the project started. According to that document, and summarized in the MTR Report, the representative </w:t>
      </w:r>
      <w:r w:rsidR="00BE64E7">
        <w:rPr>
          <w:rFonts w:ascii="Calibri" w:eastAsia="Calibri" w:hAnsi="Calibri" w:cs="Calibri"/>
          <w:color w:val="000000"/>
          <w:sz w:val="22"/>
          <w:szCs w:val="22"/>
        </w:rPr>
        <w:t xml:space="preserve">main </w:t>
      </w:r>
      <w:r>
        <w:rPr>
          <w:rFonts w:ascii="Calibri" w:eastAsia="Calibri" w:hAnsi="Calibri" w:cs="Calibri"/>
          <w:color w:val="000000"/>
          <w:sz w:val="22"/>
          <w:szCs w:val="22"/>
        </w:rPr>
        <w:t xml:space="preserve">stakeholders </w:t>
      </w:r>
      <w:r w:rsidR="00282A0B">
        <w:rPr>
          <w:rFonts w:ascii="Calibri" w:eastAsia="Calibri" w:hAnsi="Calibri" w:cs="Calibri"/>
          <w:color w:val="000000"/>
          <w:sz w:val="22"/>
          <w:szCs w:val="22"/>
        </w:rPr>
        <w:t xml:space="preserve">involved in the project implementation </w:t>
      </w:r>
      <w:r>
        <w:rPr>
          <w:rFonts w:ascii="Calibri" w:eastAsia="Calibri" w:hAnsi="Calibri" w:cs="Calibri"/>
          <w:color w:val="000000"/>
          <w:sz w:val="22"/>
          <w:szCs w:val="22"/>
        </w:rPr>
        <w:t>include:</w:t>
      </w:r>
    </w:p>
    <w:p w14:paraId="4EE6FD75" w14:textId="77777777" w:rsidR="004A0ACB" w:rsidRDefault="004A0ACB">
      <w:pPr>
        <w:pBdr>
          <w:top w:val="nil"/>
          <w:left w:val="nil"/>
          <w:bottom w:val="nil"/>
          <w:right w:val="nil"/>
          <w:between w:val="nil"/>
        </w:pBdr>
        <w:jc w:val="both"/>
        <w:rPr>
          <w:rFonts w:ascii="Calibri" w:eastAsia="Calibri" w:hAnsi="Calibri" w:cs="Calibri"/>
          <w:color w:val="000000"/>
          <w:sz w:val="22"/>
          <w:szCs w:val="22"/>
        </w:rPr>
      </w:pPr>
    </w:p>
    <w:p w14:paraId="0E964B45" w14:textId="77777777" w:rsidR="004A0ACB" w:rsidRDefault="004A0ACB">
      <w:pPr>
        <w:pBdr>
          <w:top w:val="nil"/>
          <w:left w:val="nil"/>
          <w:bottom w:val="nil"/>
          <w:right w:val="nil"/>
          <w:between w:val="nil"/>
        </w:pBdr>
        <w:jc w:val="both"/>
        <w:rPr>
          <w:rFonts w:ascii="Calibri" w:eastAsia="Calibri" w:hAnsi="Calibri" w:cs="Calibri"/>
          <w:color w:val="000000"/>
          <w:sz w:val="22"/>
          <w:szCs w:val="22"/>
        </w:rPr>
      </w:pPr>
    </w:p>
    <w:p w14:paraId="36D260C5" w14:textId="28B469E6" w:rsidR="000F31AD" w:rsidRDefault="00A317E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Table 2: </w:t>
      </w:r>
      <w:r w:rsidR="00BE64E7">
        <w:rPr>
          <w:rFonts w:ascii="Calibri" w:eastAsia="Calibri" w:hAnsi="Calibri" w:cs="Calibri"/>
          <w:b/>
          <w:color w:val="000000"/>
          <w:sz w:val="22"/>
          <w:szCs w:val="22"/>
        </w:rPr>
        <w:t>Main s</w:t>
      </w:r>
      <w:r>
        <w:rPr>
          <w:rFonts w:ascii="Calibri" w:eastAsia="Calibri" w:hAnsi="Calibri" w:cs="Calibri"/>
          <w:b/>
          <w:color w:val="000000"/>
          <w:sz w:val="22"/>
          <w:szCs w:val="22"/>
        </w:rPr>
        <w:t>takeholder</w:t>
      </w:r>
      <w:r w:rsidR="00BE64E7">
        <w:rPr>
          <w:rFonts w:ascii="Calibri" w:eastAsia="Calibri" w:hAnsi="Calibri" w:cs="Calibri"/>
          <w:b/>
          <w:color w:val="000000"/>
          <w:sz w:val="22"/>
          <w:szCs w:val="22"/>
        </w:rPr>
        <w:t>s involved in the project implementation</w:t>
      </w:r>
      <w:r>
        <w:rPr>
          <w:rFonts w:ascii="Calibri" w:eastAsia="Calibri" w:hAnsi="Calibri" w:cs="Calibri"/>
          <w:b/>
          <w:color w:val="000000"/>
          <w:sz w:val="22"/>
          <w:szCs w:val="22"/>
          <w:vertAlign w:val="superscript"/>
        </w:rPr>
        <w:footnoteReference w:id="5"/>
      </w:r>
    </w:p>
    <w:p w14:paraId="3FD74314" w14:textId="77777777" w:rsidR="004A0ACB" w:rsidRDefault="004A0ACB">
      <w:pPr>
        <w:pBdr>
          <w:top w:val="nil"/>
          <w:left w:val="nil"/>
          <w:bottom w:val="nil"/>
          <w:right w:val="nil"/>
          <w:between w:val="nil"/>
        </w:pBdr>
        <w:jc w:val="both"/>
        <w:rPr>
          <w:rFonts w:ascii="Calibri" w:eastAsia="Calibri" w:hAnsi="Calibri" w:cs="Calibri"/>
          <w:b/>
          <w:color w:val="000000"/>
          <w:sz w:val="22"/>
          <w:szCs w:val="22"/>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953"/>
        <w:gridCol w:w="2254"/>
        <w:gridCol w:w="2254"/>
      </w:tblGrid>
      <w:tr w:rsidR="000F31AD" w14:paraId="6674D6B4" w14:textId="77777777">
        <w:tc>
          <w:tcPr>
            <w:tcW w:w="1555" w:type="dxa"/>
            <w:shd w:val="clear" w:color="auto" w:fill="F7CBAC"/>
          </w:tcPr>
          <w:p w14:paraId="4035241E" w14:textId="77777777" w:rsidR="000F31AD" w:rsidRDefault="00A317E5">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Country</w:t>
            </w:r>
          </w:p>
        </w:tc>
        <w:tc>
          <w:tcPr>
            <w:tcW w:w="2953" w:type="dxa"/>
            <w:shd w:val="clear" w:color="auto" w:fill="F7CBAC"/>
          </w:tcPr>
          <w:p w14:paraId="51B7622C" w14:textId="77777777" w:rsidR="000F31AD" w:rsidRDefault="00A317E5">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National level</w:t>
            </w:r>
          </w:p>
        </w:tc>
        <w:tc>
          <w:tcPr>
            <w:tcW w:w="2254" w:type="dxa"/>
            <w:shd w:val="clear" w:color="auto" w:fill="F7CBAC"/>
          </w:tcPr>
          <w:p w14:paraId="033E1292" w14:textId="77777777" w:rsidR="000F31AD" w:rsidRDefault="00A317E5">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Local level</w:t>
            </w:r>
          </w:p>
        </w:tc>
        <w:tc>
          <w:tcPr>
            <w:tcW w:w="2254" w:type="dxa"/>
            <w:shd w:val="clear" w:color="auto" w:fill="F7CBAC"/>
          </w:tcPr>
          <w:p w14:paraId="7F5B23AE" w14:textId="77777777" w:rsidR="000F31AD" w:rsidRDefault="00A317E5">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NGO/Academia</w:t>
            </w:r>
          </w:p>
        </w:tc>
      </w:tr>
      <w:tr w:rsidR="000F31AD" w14:paraId="5998AC55" w14:textId="77777777">
        <w:tc>
          <w:tcPr>
            <w:tcW w:w="1555" w:type="dxa"/>
          </w:tcPr>
          <w:p w14:paraId="2B5D97FA" w14:textId="77777777" w:rsidR="000F31AD" w:rsidRDefault="00A317E5">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 xml:space="preserve">Albania </w:t>
            </w:r>
          </w:p>
        </w:tc>
        <w:tc>
          <w:tcPr>
            <w:tcW w:w="2953" w:type="dxa"/>
          </w:tcPr>
          <w:p w14:paraId="409C0A77" w14:textId="77777777"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Agency of Water Resources Management</w:t>
            </w:r>
          </w:p>
          <w:p w14:paraId="3D4A5D5C" w14:textId="1EAA2248"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Ministry of Environment</w:t>
            </w:r>
            <w:r w:rsidR="000C7033">
              <w:rPr>
                <w:rFonts w:ascii="Calibri" w:eastAsia="Calibri" w:hAnsi="Calibri" w:cs="Calibri"/>
                <w:color w:val="000000"/>
                <w:sz w:val="20"/>
                <w:szCs w:val="20"/>
              </w:rPr>
              <w:t xml:space="preserve"> and Tourism</w:t>
            </w:r>
          </w:p>
          <w:p w14:paraId="68EC5C00" w14:textId="1AB71C8B"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Institute of Geosciences, </w:t>
            </w:r>
            <w:r w:rsidR="000C7033">
              <w:rPr>
                <w:rFonts w:ascii="Calibri" w:eastAsia="Calibri" w:hAnsi="Calibri" w:cs="Calibri"/>
                <w:color w:val="000000"/>
                <w:sz w:val="20"/>
                <w:szCs w:val="20"/>
              </w:rPr>
              <w:t xml:space="preserve">Energy, </w:t>
            </w:r>
            <w:r>
              <w:rPr>
                <w:rFonts w:ascii="Calibri" w:eastAsia="Calibri" w:hAnsi="Calibri" w:cs="Calibri"/>
                <w:color w:val="000000"/>
                <w:sz w:val="20"/>
                <w:szCs w:val="20"/>
              </w:rPr>
              <w:t>Water and Environment</w:t>
            </w:r>
          </w:p>
          <w:p w14:paraId="4E925413" w14:textId="77777777"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National Environmental Agency</w:t>
            </w:r>
          </w:p>
        </w:tc>
        <w:tc>
          <w:tcPr>
            <w:tcW w:w="2254" w:type="dxa"/>
          </w:tcPr>
          <w:p w14:paraId="5EB04234" w14:textId="77777777" w:rsidR="000F31AD" w:rsidRDefault="00A317E5">
            <w:pPr>
              <w:pBdr>
                <w:top w:val="nil"/>
                <w:left w:val="nil"/>
                <w:bottom w:val="nil"/>
                <w:right w:val="nil"/>
                <w:between w:val="nil"/>
              </w:pBdr>
              <w:rPr>
                <w:color w:val="000000"/>
                <w:sz w:val="20"/>
                <w:szCs w:val="20"/>
              </w:rPr>
            </w:pPr>
            <w:r>
              <w:rPr>
                <w:rFonts w:ascii="Calibri" w:eastAsia="Calibri" w:hAnsi="Calibri" w:cs="Calibri"/>
                <w:color w:val="000000"/>
                <w:sz w:val="20"/>
                <w:szCs w:val="20"/>
              </w:rPr>
              <w:t xml:space="preserve">Municipality of Shkodra </w:t>
            </w:r>
          </w:p>
          <w:p w14:paraId="2AE8B4E9" w14:textId="77777777" w:rsidR="000F31AD" w:rsidRDefault="000F31AD">
            <w:pPr>
              <w:pBdr>
                <w:top w:val="nil"/>
                <w:left w:val="nil"/>
                <w:bottom w:val="nil"/>
                <w:right w:val="nil"/>
                <w:between w:val="nil"/>
              </w:pBdr>
              <w:jc w:val="both"/>
              <w:rPr>
                <w:rFonts w:ascii="Calibri" w:eastAsia="Calibri" w:hAnsi="Calibri" w:cs="Calibri"/>
                <w:b/>
                <w:color w:val="000000"/>
                <w:sz w:val="20"/>
                <w:szCs w:val="20"/>
              </w:rPr>
            </w:pPr>
          </w:p>
        </w:tc>
        <w:tc>
          <w:tcPr>
            <w:tcW w:w="2254" w:type="dxa"/>
          </w:tcPr>
          <w:p w14:paraId="3C711753" w14:textId="77777777" w:rsidR="000F31AD" w:rsidRDefault="000F31AD">
            <w:pPr>
              <w:pBdr>
                <w:top w:val="nil"/>
                <w:left w:val="nil"/>
                <w:bottom w:val="nil"/>
                <w:right w:val="nil"/>
                <w:between w:val="nil"/>
              </w:pBdr>
              <w:jc w:val="both"/>
              <w:rPr>
                <w:rFonts w:ascii="Calibri" w:eastAsia="Calibri" w:hAnsi="Calibri" w:cs="Calibri"/>
                <w:b/>
                <w:color w:val="000000"/>
                <w:sz w:val="20"/>
                <w:szCs w:val="20"/>
              </w:rPr>
            </w:pPr>
          </w:p>
        </w:tc>
      </w:tr>
      <w:tr w:rsidR="000F31AD" w14:paraId="53BA6686" w14:textId="77777777">
        <w:tc>
          <w:tcPr>
            <w:tcW w:w="1555" w:type="dxa"/>
          </w:tcPr>
          <w:p w14:paraId="51182945" w14:textId="77777777" w:rsidR="000F31AD" w:rsidRDefault="00A317E5">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Kosovo</w:t>
            </w:r>
          </w:p>
        </w:tc>
        <w:tc>
          <w:tcPr>
            <w:tcW w:w="2953" w:type="dxa"/>
          </w:tcPr>
          <w:p w14:paraId="26F42797" w14:textId="77777777"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River Basin Authority</w:t>
            </w:r>
          </w:p>
          <w:p w14:paraId="7F9F986E" w14:textId="77777777"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MESP</w:t>
            </w:r>
          </w:p>
          <w:p w14:paraId="28A7A63A" w14:textId="77777777"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Hydro-meteorological Institute</w:t>
            </w:r>
          </w:p>
          <w:p w14:paraId="42A0D90F" w14:textId="77777777"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Environmental Protection Agency (KEPA) </w:t>
            </w:r>
          </w:p>
        </w:tc>
        <w:tc>
          <w:tcPr>
            <w:tcW w:w="2254" w:type="dxa"/>
          </w:tcPr>
          <w:p w14:paraId="2FB3F40F" w14:textId="77777777" w:rsidR="000F31AD" w:rsidRDefault="00A317E5">
            <w:pPr>
              <w:pBdr>
                <w:top w:val="nil"/>
                <w:left w:val="nil"/>
                <w:bottom w:val="nil"/>
                <w:right w:val="nil"/>
                <w:between w:val="nil"/>
              </w:pBdr>
              <w:rPr>
                <w:color w:val="000000"/>
                <w:sz w:val="20"/>
                <w:szCs w:val="20"/>
              </w:rPr>
            </w:pPr>
            <w:r>
              <w:rPr>
                <w:rFonts w:ascii="Calibri" w:eastAsia="Calibri" w:hAnsi="Calibri" w:cs="Calibri"/>
                <w:color w:val="000000"/>
                <w:sz w:val="20"/>
                <w:szCs w:val="20"/>
              </w:rPr>
              <w:t xml:space="preserve">Municipality of Rahovec </w:t>
            </w:r>
          </w:p>
          <w:p w14:paraId="25A6B499" w14:textId="77777777" w:rsidR="000F31AD" w:rsidRDefault="000F31AD">
            <w:pPr>
              <w:pBdr>
                <w:top w:val="nil"/>
                <w:left w:val="nil"/>
                <w:bottom w:val="nil"/>
                <w:right w:val="nil"/>
                <w:between w:val="nil"/>
              </w:pBdr>
              <w:jc w:val="both"/>
              <w:rPr>
                <w:rFonts w:ascii="Calibri" w:eastAsia="Calibri" w:hAnsi="Calibri" w:cs="Calibri"/>
                <w:color w:val="000000"/>
                <w:sz w:val="20"/>
                <w:szCs w:val="20"/>
              </w:rPr>
            </w:pPr>
          </w:p>
        </w:tc>
        <w:tc>
          <w:tcPr>
            <w:tcW w:w="2254" w:type="dxa"/>
          </w:tcPr>
          <w:p w14:paraId="076B208F" w14:textId="77777777" w:rsidR="000F31AD" w:rsidRDefault="00A317E5">
            <w:pPr>
              <w:pBdr>
                <w:top w:val="nil"/>
                <w:left w:val="nil"/>
                <w:bottom w:val="nil"/>
                <w:right w:val="nil"/>
                <w:between w:val="nil"/>
              </w:pBdr>
              <w:rPr>
                <w:color w:val="000000"/>
                <w:sz w:val="20"/>
                <w:szCs w:val="20"/>
              </w:rPr>
            </w:pPr>
            <w:r>
              <w:rPr>
                <w:rFonts w:ascii="Calibri" w:eastAsia="Calibri" w:hAnsi="Calibri" w:cs="Calibri"/>
                <w:color w:val="000000"/>
                <w:sz w:val="20"/>
                <w:szCs w:val="20"/>
              </w:rPr>
              <w:t xml:space="preserve">University of Pristina NGO Finch </w:t>
            </w:r>
          </w:p>
          <w:p w14:paraId="33CCD2A9" w14:textId="77777777" w:rsidR="000F31AD" w:rsidRDefault="000F31AD">
            <w:pPr>
              <w:pBdr>
                <w:top w:val="nil"/>
                <w:left w:val="nil"/>
                <w:bottom w:val="nil"/>
                <w:right w:val="nil"/>
                <w:between w:val="nil"/>
              </w:pBdr>
              <w:jc w:val="both"/>
              <w:rPr>
                <w:rFonts w:ascii="Calibri" w:eastAsia="Calibri" w:hAnsi="Calibri" w:cs="Calibri"/>
                <w:color w:val="000000"/>
                <w:sz w:val="20"/>
                <w:szCs w:val="20"/>
              </w:rPr>
            </w:pPr>
          </w:p>
        </w:tc>
      </w:tr>
      <w:tr w:rsidR="000F31AD" w14:paraId="69DA343E" w14:textId="77777777">
        <w:tc>
          <w:tcPr>
            <w:tcW w:w="1555" w:type="dxa"/>
          </w:tcPr>
          <w:p w14:paraId="30FC074F" w14:textId="77777777" w:rsidR="000F31AD" w:rsidRDefault="00A317E5">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North Macedonia</w:t>
            </w:r>
          </w:p>
        </w:tc>
        <w:tc>
          <w:tcPr>
            <w:tcW w:w="2953" w:type="dxa"/>
          </w:tcPr>
          <w:p w14:paraId="4FB1395D" w14:textId="77777777"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Ministry of Environment</w:t>
            </w:r>
          </w:p>
          <w:p w14:paraId="5CF2928E" w14:textId="07619A2D" w:rsidR="000F31AD" w:rsidRDefault="006F4ED4">
            <w:pPr>
              <w:pBdr>
                <w:top w:val="nil"/>
                <w:left w:val="nil"/>
                <w:bottom w:val="nil"/>
                <w:right w:val="nil"/>
                <w:between w:val="nil"/>
              </w:pBdr>
              <w:rPr>
                <w:rFonts w:ascii="Calibri" w:eastAsia="Calibri" w:hAnsi="Calibri" w:cs="Calibri"/>
                <w:color w:val="000000"/>
                <w:sz w:val="20"/>
                <w:szCs w:val="20"/>
              </w:rPr>
            </w:pPr>
            <w:r w:rsidRPr="006F4ED4">
              <w:rPr>
                <w:rFonts w:ascii="Calibri" w:eastAsia="Calibri" w:hAnsi="Calibri" w:cs="Calibri"/>
                <w:color w:val="000000"/>
                <w:sz w:val="20"/>
                <w:szCs w:val="20"/>
              </w:rPr>
              <w:t>Environmental Protection Agency</w:t>
            </w:r>
            <w:r w:rsidR="00A317E5">
              <w:rPr>
                <w:rFonts w:ascii="Calibri" w:eastAsia="Calibri" w:hAnsi="Calibri" w:cs="Calibri"/>
                <w:color w:val="000000"/>
                <w:sz w:val="20"/>
                <w:szCs w:val="20"/>
              </w:rPr>
              <w:t xml:space="preserve"> </w:t>
            </w:r>
          </w:p>
          <w:p w14:paraId="60ED2F65" w14:textId="77777777" w:rsidR="000F31AD" w:rsidRDefault="000F31AD">
            <w:pPr>
              <w:pBdr>
                <w:top w:val="nil"/>
                <w:left w:val="nil"/>
                <w:bottom w:val="nil"/>
                <w:right w:val="nil"/>
                <w:between w:val="nil"/>
              </w:pBdr>
              <w:rPr>
                <w:rFonts w:ascii="Calibri" w:eastAsia="Calibri" w:hAnsi="Calibri" w:cs="Calibri"/>
                <w:color w:val="000000"/>
                <w:sz w:val="20"/>
                <w:szCs w:val="20"/>
              </w:rPr>
            </w:pPr>
          </w:p>
        </w:tc>
        <w:tc>
          <w:tcPr>
            <w:tcW w:w="2254" w:type="dxa"/>
          </w:tcPr>
          <w:p w14:paraId="06401F6B" w14:textId="77777777"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Municipality of Ohrid</w:t>
            </w:r>
          </w:p>
          <w:p w14:paraId="65020AA9" w14:textId="466466AC" w:rsidR="000F31AD" w:rsidRDefault="00A317E5">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 xml:space="preserve">ELEM – Crni Drin Division, Hydrobiological Institute- Ohrid </w:t>
            </w:r>
          </w:p>
        </w:tc>
        <w:tc>
          <w:tcPr>
            <w:tcW w:w="2254" w:type="dxa"/>
          </w:tcPr>
          <w:p w14:paraId="1A5FD77A" w14:textId="77777777" w:rsidR="000F31AD" w:rsidRDefault="00A317E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NGO Ecological Movement</w:t>
            </w:r>
          </w:p>
        </w:tc>
      </w:tr>
      <w:tr w:rsidR="000F31AD" w14:paraId="302F25A9" w14:textId="77777777">
        <w:tc>
          <w:tcPr>
            <w:tcW w:w="1555" w:type="dxa"/>
          </w:tcPr>
          <w:p w14:paraId="73130EF4" w14:textId="77777777" w:rsidR="000F31AD" w:rsidRDefault="00A317E5">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Montenegro</w:t>
            </w:r>
          </w:p>
        </w:tc>
        <w:tc>
          <w:tcPr>
            <w:tcW w:w="2953" w:type="dxa"/>
          </w:tcPr>
          <w:p w14:paraId="3D319E14" w14:textId="77777777" w:rsidR="000F31AD" w:rsidRPr="00894841" w:rsidRDefault="00A317E5">
            <w:pPr>
              <w:pBdr>
                <w:top w:val="nil"/>
                <w:left w:val="nil"/>
                <w:bottom w:val="nil"/>
                <w:right w:val="nil"/>
                <w:between w:val="nil"/>
              </w:pBdr>
              <w:rPr>
                <w:rFonts w:ascii="Calibri" w:eastAsia="Calibri" w:hAnsi="Calibri" w:cs="Calibri"/>
                <w:color w:val="000000"/>
                <w:sz w:val="20"/>
                <w:szCs w:val="20"/>
              </w:rPr>
            </w:pPr>
            <w:r w:rsidRPr="00894841">
              <w:rPr>
                <w:rFonts w:ascii="Calibri" w:eastAsia="Calibri" w:hAnsi="Calibri" w:cs="Calibri"/>
                <w:color w:val="000000"/>
                <w:sz w:val="20"/>
                <w:szCs w:val="20"/>
              </w:rPr>
              <w:t>Ministry of Agriculture and Rural Development</w:t>
            </w:r>
          </w:p>
          <w:p w14:paraId="338A2D6C" w14:textId="3ED717B8" w:rsidR="000F31AD" w:rsidRPr="00894841" w:rsidRDefault="00A317E5">
            <w:pPr>
              <w:pBdr>
                <w:top w:val="nil"/>
                <w:left w:val="nil"/>
                <w:bottom w:val="nil"/>
                <w:right w:val="nil"/>
                <w:between w:val="nil"/>
              </w:pBdr>
              <w:rPr>
                <w:rFonts w:ascii="Calibri" w:eastAsia="Calibri" w:hAnsi="Calibri" w:cs="Calibri"/>
                <w:color w:val="000000"/>
                <w:sz w:val="20"/>
                <w:szCs w:val="20"/>
              </w:rPr>
            </w:pPr>
            <w:r w:rsidRPr="00894841">
              <w:rPr>
                <w:rFonts w:ascii="Calibri" w:eastAsia="Calibri" w:hAnsi="Calibri" w:cs="Calibri"/>
                <w:color w:val="000000"/>
                <w:sz w:val="20"/>
                <w:szCs w:val="20"/>
              </w:rPr>
              <w:t>Ministry of Sustainable Development and Tourism</w:t>
            </w:r>
          </w:p>
          <w:p w14:paraId="5CB5B579" w14:textId="14C3A26A" w:rsidR="00BF45C4" w:rsidRPr="00894841" w:rsidRDefault="00BF45C4">
            <w:pPr>
              <w:pBdr>
                <w:top w:val="nil"/>
                <w:left w:val="nil"/>
                <w:bottom w:val="nil"/>
                <w:right w:val="nil"/>
                <w:between w:val="nil"/>
              </w:pBdr>
              <w:rPr>
                <w:rFonts w:ascii="Calibri" w:eastAsia="Calibri" w:hAnsi="Calibri" w:cs="Calibri"/>
                <w:color w:val="000000"/>
                <w:sz w:val="20"/>
                <w:szCs w:val="20"/>
              </w:rPr>
            </w:pPr>
            <w:r w:rsidRPr="00894841">
              <w:rPr>
                <w:rFonts w:ascii="Calibri" w:eastAsia="Calibri" w:hAnsi="Calibri" w:cs="Calibri"/>
                <w:color w:val="000000"/>
                <w:sz w:val="20"/>
                <w:szCs w:val="20"/>
              </w:rPr>
              <w:t xml:space="preserve">Hydro-meteorological </w:t>
            </w:r>
            <w:r w:rsidR="00431FE1" w:rsidRPr="00894841">
              <w:rPr>
                <w:rFonts w:ascii="Calibri" w:eastAsia="Calibri" w:hAnsi="Calibri" w:cs="Calibri"/>
                <w:color w:val="000000"/>
                <w:sz w:val="20"/>
                <w:szCs w:val="20"/>
              </w:rPr>
              <w:t>I</w:t>
            </w:r>
            <w:r w:rsidRPr="00894841">
              <w:rPr>
                <w:rFonts w:ascii="Calibri" w:eastAsia="Calibri" w:hAnsi="Calibri" w:cs="Calibri"/>
                <w:color w:val="000000"/>
                <w:sz w:val="20"/>
                <w:szCs w:val="20"/>
              </w:rPr>
              <w:t>nstitute</w:t>
            </w:r>
          </w:p>
          <w:p w14:paraId="7B6CB5EC" w14:textId="148C1845" w:rsidR="003303A6" w:rsidRPr="00894841" w:rsidRDefault="003303A6">
            <w:pPr>
              <w:pBdr>
                <w:top w:val="nil"/>
                <w:left w:val="nil"/>
                <w:bottom w:val="nil"/>
                <w:right w:val="nil"/>
                <w:between w:val="nil"/>
              </w:pBdr>
              <w:rPr>
                <w:rFonts w:ascii="Calibri" w:eastAsia="Calibri" w:hAnsi="Calibri" w:cs="Calibri"/>
                <w:color w:val="000000"/>
                <w:sz w:val="20"/>
                <w:szCs w:val="20"/>
              </w:rPr>
            </w:pPr>
            <w:r w:rsidRPr="00431FE1">
              <w:rPr>
                <w:rFonts w:ascii="Calibri" w:eastAsia="Calibri" w:hAnsi="Calibri" w:cs="Calibri"/>
                <w:color w:val="000000"/>
                <w:sz w:val="20"/>
                <w:szCs w:val="20"/>
              </w:rPr>
              <w:t>Environmental Protection Agency</w:t>
            </w:r>
          </w:p>
          <w:p w14:paraId="56FD5F00" w14:textId="77777777" w:rsidR="000F31AD" w:rsidRDefault="00A317E5">
            <w:pPr>
              <w:pBdr>
                <w:top w:val="nil"/>
                <w:left w:val="nil"/>
                <w:bottom w:val="nil"/>
                <w:right w:val="nil"/>
                <w:between w:val="nil"/>
              </w:pBdr>
              <w:rPr>
                <w:rFonts w:ascii="Calibri" w:eastAsia="Calibri" w:hAnsi="Calibri" w:cs="Calibri"/>
                <w:color w:val="000000"/>
                <w:sz w:val="20"/>
                <w:szCs w:val="20"/>
              </w:rPr>
            </w:pPr>
            <w:r w:rsidRPr="00894841">
              <w:rPr>
                <w:rFonts w:ascii="Calibri" w:eastAsia="Calibri" w:hAnsi="Calibri" w:cs="Calibri"/>
                <w:color w:val="000000"/>
                <w:sz w:val="20"/>
                <w:szCs w:val="20"/>
              </w:rPr>
              <w:t>National parks of Montenegro</w:t>
            </w:r>
          </w:p>
        </w:tc>
        <w:tc>
          <w:tcPr>
            <w:tcW w:w="2254" w:type="dxa"/>
          </w:tcPr>
          <w:p w14:paraId="513269E0" w14:textId="77777777" w:rsidR="000F31AD" w:rsidRDefault="000F31AD">
            <w:pPr>
              <w:pBdr>
                <w:top w:val="nil"/>
                <w:left w:val="nil"/>
                <w:bottom w:val="nil"/>
                <w:right w:val="nil"/>
                <w:between w:val="nil"/>
              </w:pBdr>
              <w:jc w:val="both"/>
              <w:rPr>
                <w:rFonts w:ascii="Calibri" w:eastAsia="Calibri" w:hAnsi="Calibri" w:cs="Calibri"/>
                <w:color w:val="000000"/>
                <w:sz w:val="20"/>
                <w:szCs w:val="20"/>
              </w:rPr>
            </w:pPr>
          </w:p>
        </w:tc>
        <w:tc>
          <w:tcPr>
            <w:tcW w:w="2254" w:type="dxa"/>
          </w:tcPr>
          <w:p w14:paraId="16149F47" w14:textId="77777777" w:rsidR="000F31AD" w:rsidRDefault="000F31AD">
            <w:pPr>
              <w:pBdr>
                <w:top w:val="nil"/>
                <w:left w:val="nil"/>
                <w:bottom w:val="nil"/>
                <w:right w:val="nil"/>
                <w:between w:val="nil"/>
              </w:pBdr>
              <w:jc w:val="both"/>
              <w:rPr>
                <w:rFonts w:ascii="Calibri" w:eastAsia="Calibri" w:hAnsi="Calibri" w:cs="Calibri"/>
                <w:color w:val="000000"/>
                <w:sz w:val="20"/>
                <w:szCs w:val="20"/>
              </w:rPr>
            </w:pPr>
          </w:p>
        </w:tc>
      </w:tr>
    </w:tbl>
    <w:p w14:paraId="1BC48715" w14:textId="77777777" w:rsidR="000F31AD" w:rsidRDefault="000F31AD">
      <w:pPr>
        <w:rPr>
          <w:rFonts w:ascii="Calibri" w:eastAsia="Calibri" w:hAnsi="Calibri" w:cs="Calibri"/>
          <w:sz w:val="22"/>
          <w:szCs w:val="22"/>
        </w:rPr>
      </w:pPr>
    </w:p>
    <w:p w14:paraId="5D7EFD6E" w14:textId="77777777" w:rsidR="000F31AD" w:rsidRDefault="00A317E5">
      <w:pPr>
        <w:pStyle w:val="Heading2"/>
      </w:pPr>
      <w:bookmarkStart w:id="21" w:name="_Toc81335844"/>
      <w:r>
        <w:t>2.9.</w:t>
      </w:r>
      <w:r>
        <w:tab/>
        <w:t>Key partners in the project</w:t>
      </w:r>
      <w:bookmarkEnd w:id="21"/>
    </w:p>
    <w:p w14:paraId="0400DD17" w14:textId="77777777" w:rsidR="00431FE1" w:rsidRDefault="00431FE1">
      <w:pPr>
        <w:pBdr>
          <w:top w:val="nil"/>
          <w:left w:val="nil"/>
          <w:bottom w:val="nil"/>
          <w:right w:val="nil"/>
          <w:between w:val="nil"/>
        </w:pBdr>
        <w:jc w:val="both"/>
        <w:rPr>
          <w:rFonts w:ascii="Calibri" w:eastAsia="Calibri" w:hAnsi="Calibri" w:cs="Calibri"/>
          <w:color w:val="000000"/>
          <w:sz w:val="22"/>
          <w:szCs w:val="22"/>
        </w:rPr>
      </w:pPr>
    </w:p>
    <w:p w14:paraId="6BCD45C4" w14:textId="2F31A6BD" w:rsidR="000F31AD" w:rsidRDefault="00A317E5" w:rsidP="00894841">
      <w:pPr>
        <w:pStyle w:val="CommentText"/>
        <w:jc w:val="both"/>
        <w:rPr>
          <w:color w:val="000000"/>
        </w:rPr>
      </w:pPr>
      <w:r>
        <w:rPr>
          <w:rFonts w:ascii="Calibri" w:eastAsia="Calibri" w:hAnsi="Calibri" w:cs="Calibri"/>
          <w:color w:val="000000"/>
          <w:sz w:val="22"/>
          <w:szCs w:val="22"/>
        </w:rPr>
        <w:t>Implementing agency for the project is the United Nations Development Programme (UNDP), while the executing agency is the Global Water Partnership – Mediterranean (GWP-Med). The UNDP Albania act</w:t>
      </w:r>
      <w:r w:rsidR="00F00147">
        <w:rPr>
          <w:rFonts w:ascii="Calibri" w:eastAsia="Calibri" w:hAnsi="Calibri" w:cs="Calibri"/>
          <w:color w:val="000000"/>
          <w:sz w:val="22"/>
          <w:szCs w:val="22"/>
        </w:rPr>
        <w:t>ed</w:t>
      </w:r>
      <w:r>
        <w:rPr>
          <w:rFonts w:ascii="Calibri" w:eastAsia="Calibri" w:hAnsi="Calibri" w:cs="Calibri"/>
          <w:color w:val="000000"/>
          <w:sz w:val="22"/>
          <w:szCs w:val="22"/>
        </w:rPr>
        <w:t xml:space="preserve"> as the Principal </w:t>
      </w:r>
      <w:r w:rsidR="000C7033">
        <w:rPr>
          <w:rFonts w:ascii="Calibri" w:eastAsia="Calibri" w:hAnsi="Calibri" w:cs="Calibri"/>
          <w:color w:val="000000"/>
          <w:sz w:val="22"/>
          <w:szCs w:val="22"/>
        </w:rPr>
        <w:t xml:space="preserve">Project Representative </w:t>
      </w:r>
      <w:r>
        <w:rPr>
          <w:rFonts w:ascii="Calibri" w:eastAsia="Calibri" w:hAnsi="Calibri" w:cs="Calibri"/>
          <w:color w:val="000000"/>
          <w:sz w:val="22"/>
          <w:szCs w:val="22"/>
        </w:rPr>
        <w:t xml:space="preserve">Country Office (CO), </w:t>
      </w:r>
      <w:r w:rsidR="000C7033">
        <w:rPr>
          <w:rFonts w:ascii="Calibri" w:eastAsia="Calibri" w:hAnsi="Calibri" w:cs="Calibri"/>
          <w:color w:val="000000"/>
          <w:sz w:val="22"/>
          <w:szCs w:val="22"/>
        </w:rPr>
        <w:t xml:space="preserve">for the FSP project and UNDP Kosovo for the MSP project accordingly </w:t>
      </w:r>
      <w:r>
        <w:rPr>
          <w:rFonts w:ascii="Calibri" w:eastAsia="Calibri" w:hAnsi="Calibri" w:cs="Calibri"/>
          <w:color w:val="000000"/>
          <w:sz w:val="22"/>
          <w:szCs w:val="22"/>
        </w:rPr>
        <w:t xml:space="preserve">and </w:t>
      </w:r>
      <w:r w:rsidR="00F00147">
        <w:rPr>
          <w:rFonts w:ascii="Calibri" w:eastAsia="Calibri" w:hAnsi="Calibri" w:cs="Calibri"/>
          <w:color w:val="000000"/>
          <w:sz w:val="22"/>
          <w:szCs w:val="22"/>
        </w:rPr>
        <w:t>w</w:t>
      </w:r>
      <w:r w:rsidR="000C7033">
        <w:rPr>
          <w:rFonts w:ascii="Calibri" w:eastAsia="Calibri" w:hAnsi="Calibri" w:cs="Calibri"/>
          <w:color w:val="000000"/>
          <w:sz w:val="22"/>
          <w:szCs w:val="22"/>
        </w:rPr>
        <w:t>ere</w:t>
      </w:r>
      <w:r w:rsidR="00F00147">
        <w:rPr>
          <w:rFonts w:ascii="Calibri" w:eastAsia="Calibri" w:hAnsi="Calibri" w:cs="Calibri"/>
          <w:color w:val="000000"/>
          <w:sz w:val="22"/>
          <w:szCs w:val="22"/>
        </w:rPr>
        <w:t xml:space="preserve"> </w:t>
      </w:r>
      <w:r>
        <w:rPr>
          <w:rFonts w:ascii="Calibri" w:eastAsia="Calibri" w:hAnsi="Calibri" w:cs="Calibri"/>
          <w:color w:val="000000"/>
          <w:sz w:val="22"/>
          <w:szCs w:val="22"/>
        </w:rPr>
        <w:t>accountable to the GEF for the use of funds and reporting to GEF on all aspects of the project per the Monitoring and Evaluation Plan, with support of UNDP Country Offices in</w:t>
      </w:r>
      <w:r w:rsidR="006A037E">
        <w:rPr>
          <w:rFonts w:ascii="Calibri" w:eastAsia="Calibri" w:hAnsi="Calibri" w:cs="Calibri"/>
          <w:color w:val="000000"/>
          <w:sz w:val="22"/>
          <w:szCs w:val="22"/>
        </w:rPr>
        <w:t xml:space="preserve"> North</w:t>
      </w:r>
      <w:r>
        <w:rPr>
          <w:rFonts w:ascii="Calibri" w:eastAsia="Calibri" w:hAnsi="Calibri" w:cs="Calibri"/>
          <w:color w:val="000000"/>
          <w:sz w:val="22"/>
          <w:szCs w:val="22"/>
        </w:rPr>
        <w:t xml:space="preserve"> Macedonia and Montenegro. Regional Centre in Istanbul (IRC) ensure</w:t>
      </w:r>
      <w:r w:rsidR="006A037E">
        <w:rPr>
          <w:rFonts w:ascii="Calibri" w:eastAsia="Calibri" w:hAnsi="Calibri" w:cs="Calibri"/>
          <w:color w:val="000000"/>
          <w:sz w:val="22"/>
          <w:szCs w:val="22"/>
        </w:rPr>
        <w:t>d</w:t>
      </w:r>
      <w:r>
        <w:rPr>
          <w:rFonts w:ascii="Calibri" w:eastAsia="Calibri" w:hAnsi="Calibri" w:cs="Calibri"/>
          <w:color w:val="000000"/>
          <w:sz w:val="22"/>
          <w:szCs w:val="22"/>
        </w:rPr>
        <w:t xml:space="preserve"> additional regional coordination and oversight.</w:t>
      </w:r>
      <w:r>
        <w:rPr>
          <w:color w:val="000000"/>
          <w:sz w:val="22"/>
          <w:szCs w:val="22"/>
        </w:rPr>
        <w:t xml:space="preserve"> </w:t>
      </w:r>
      <w:r>
        <w:rPr>
          <w:rFonts w:ascii="Calibri" w:eastAsia="Calibri" w:hAnsi="Calibri" w:cs="Calibri"/>
          <w:color w:val="000000"/>
          <w:sz w:val="22"/>
          <w:szCs w:val="22"/>
        </w:rPr>
        <w:t xml:space="preserve">The GWP </w:t>
      </w:r>
      <w:r w:rsidR="006A037E">
        <w:rPr>
          <w:rFonts w:ascii="Calibri" w:eastAsia="Calibri" w:hAnsi="Calibri" w:cs="Calibri"/>
          <w:color w:val="000000"/>
          <w:sz w:val="22"/>
          <w:szCs w:val="22"/>
        </w:rPr>
        <w:t>has had</w:t>
      </w:r>
      <w:r>
        <w:rPr>
          <w:rFonts w:ascii="Calibri" w:eastAsia="Calibri" w:hAnsi="Calibri" w:cs="Calibri"/>
          <w:color w:val="000000"/>
          <w:sz w:val="22"/>
          <w:szCs w:val="22"/>
        </w:rPr>
        <w:t xml:space="preserve"> full control over project operations, and use</w:t>
      </w:r>
      <w:r w:rsidR="00B52F89">
        <w:rPr>
          <w:rFonts w:ascii="Calibri" w:eastAsia="Calibri" w:hAnsi="Calibri" w:cs="Calibri"/>
          <w:color w:val="000000"/>
          <w:sz w:val="22"/>
          <w:szCs w:val="22"/>
        </w:rPr>
        <w:t>d</w:t>
      </w:r>
      <w:r>
        <w:rPr>
          <w:rFonts w:ascii="Calibri" w:eastAsia="Calibri" w:hAnsi="Calibri" w:cs="Calibri"/>
          <w:color w:val="000000"/>
          <w:sz w:val="22"/>
          <w:szCs w:val="22"/>
        </w:rPr>
        <w:t xml:space="preserve"> its own supply channels for recruitment and procurement, </w:t>
      </w:r>
      <w:r w:rsidR="00B52F89">
        <w:rPr>
          <w:rFonts w:ascii="Calibri" w:eastAsia="Calibri" w:hAnsi="Calibri" w:cs="Calibri"/>
          <w:color w:val="000000"/>
          <w:sz w:val="22"/>
          <w:szCs w:val="22"/>
        </w:rPr>
        <w:t xml:space="preserve">ensuring </w:t>
      </w:r>
      <w:r>
        <w:rPr>
          <w:rFonts w:ascii="Calibri" w:eastAsia="Calibri" w:hAnsi="Calibri" w:cs="Calibri"/>
          <w:color w:val="000000"/>
          <w:sz w:val="22"/>
          <w:szCs w:val="22"/>
        </w:rPr>
        <w:t xml:space="preserve">that the process is in line with UNDP standard requirements and based on “best value for money”. The Project </w:t>
      </w:r>
      <w:r w:rsidR="00B52F89">
        <w:rPr>
          <w:rFonts w:ascii="Calibri" w:eastAsia="Calibri" w:hAnsi="Calibri" w:cs="Calibri"/>
          <w:color w:val="000000"/>
          <w:sz w:val="22"/>
          <w:szCs w:val="22"/>
        </w:rPr>
        <w:t xml:space="preserve">was </w:t>
      </w:r>
      <w:r>
        <w:rPr>
          <w:rFonts w:ascii="Calibri" w:eastAsia="Calibri" w:hAnsi="Calibri" w:cs="Calibri"/>
          <w:color w:val="000000"/>
          <w:sz w:val="22"/>
          <w:szCs w:val="22"/>
        </w:rPr>
        <w:t>managed by the Project Coordination Unit (PCU)</w:t>
      </w:r>
      <w:r w:rsidR="008110C2">
        <w:rPr>
          <w:rFonts w:ascii="Calibri" w:eastAsia="Calibri" w:hAnsi="Calibri" w:cs="Calibri"/>
          <w:color w:val="000000"/>
          <w:sz w:val="22"/>
          <w:szCs w:val="22"/>
        </w:rPr>
        <w:t xml:space="preserve"> with</w:t>
      </w:r>
      <w:r>
        <w:rPr>
          <w:rFonts w:ascii="Calibri" w:eastAsia="Calibri" w:hAnsi="Calibri" w:cs="Calibri"/>
          <w:color w:val="000000"/>
          <w:sz w:val="22"/>
          <w:szCs w:val="22"/>
        </w:rPr>
        <w:t xml:space="preserve"> staff stationed in</w:t>
      </w:r>
      <w:r w:rsidR="00282A0B">
        <w:rPr>
          <w:rFonts w:ascii="Calibri" w:eastAsia="Calibri" w:hAnsi="Calibri" w:cs="Calibri"/>
          <w:color w:val="000000"/>
          <w:sz w:val="22"/>
          <w:szCs w:val="22"/>
        </w:rPr>
        <w:t xml:space="preserve"> project offices in</w:t>
      </w:r>
      <w:r>
        <w:rPr>
          <w:rFonts w:ascii="Calibri" w:eastAsia="Calibri" w:hAnsi="Calibri" w:cs="Calibri"/>
          <w:color w:val="000000"/>
          <w:sz w:val="22"/>
          <w:szCs w:val="22"/>
        </w:rPr>
        <w:t xml:space="preserve"> </w:t>
      </w:r>
      <w:r w:rsidR="00062BAA">
        <w:rPr>
          <w:rFonts w:ascii="Calibri" w:eastAsia="Calibri" w:hAnsi="Calibri" w:cs="Calibri"/>
          <w:color w:val="000000"/>
          <w:sz w:val="22"/>
          <w:szCs w:val="22"/>
        </w:rPr>
        <w:t>Tirana</w:t>
      </w:r>
      <w:r w:rsidR="008110C2">
        <w:rPr>
          <w:rFonts w:ascii="Calibri" w:eastAsia="Calibri" w:hAnsi="Calibri" w:cs="Calibri"/>
          <w:color w:val="000000"/>
          <w:sz w:val="22"/>
          <w:szCs w:val="22"/>
        </w:rPr>
        <w:t xml:space="preserve">, Albania; </w:t>
      </w:r>
      <w:r>
        <w:rPr>
          <w:rFonts w:ascii="Calibri" w:eastAsia="Calibri" w:hAnsi="Calibri" w:cs="Calibri"/>
          <w:color w:val="000000"/>
          <w:sz w:val="22"/>
          <w:szCs w:val="22"/>
        </w:rPr>
        <w:t>Podgorica, Montenegro; Ohrid, North Macedonia</w:t>
      </w:r>
      <w:r w:rsidR="008110C2">
        <w:rPr>
          <w:rFonts w:ascii="Calibri" w:eastAsia="Calibri" w:hAnsi="Calibri" w:cs="Calibri"/>
          <w:color w:val="000000"/>
          <w:sz w:val="22"/>
          <w:szCs w:val="22"/>
        </w:rPr>
        <w:t>;</w:t>
      </w:r>
      <w:r>
        <w:rPr>
          <w:rFonts w:ascii="Calibri" w:eastAsia="Calibri" w:hAnsi="Calibri" w:cs="Calibri"/>
          <w:color w:val="000000"/>
          <w:sz w:val="22"/>
          <w:szCs w:val="22"/>
        </w:rPr>
        <w:t xml:space="preserve"> Prishtina, Kosovo; and Athens, Greece. </w:t>
      </w:r>
      <w:r w:rsidR="00A2727E">
        <w:rPr>
          <w:rFonts w:ascii="Calibri" w:eastAsia="Calibri" w:hAnsi="Calibri" w:cs="Calibri"/>
          <w:color w:val="000000"/>
          <w:sz w:val="22"/>
          <w:szCs w:val="22"/>
        </w:rPr>
        <w:t>Initially the P</w:t>
      </w:r>
      <w:r w:rsidR="00560C67">
        <w:rPr>
          <w:rFonts w:ascii="Calibri" w:eastAsia="Calibri" w:hAnsi="Calibri" w:cs="Calibri"/>
          <w:color w:val="000000"/>
          <w:sz w:val="22"/>
          <w:szCs w:val="22"/>
        </w:rPr>
        <w:t>C</w:t>
      </w:r>
      <w:r w:rsidR="00A2727E">
        <w:rPr>
          <w:rFonts w:ascii="Calibri" w:eastAsia="Calibri" w:hAnsi="Calibri" w:cs="Calibri"/>
          <w:color w:val="000000"/>
          <w:sz w:val="22"/>
          <w:szCs w:val="22"/>
        </w:rPr>
        <w:t xml:space="preserve">U was based in Tirana, Albania. </w:t>
      </w:r>
      <w:r w:rsidR="00431FE1">
        <w:rPr>
          <w:rFonts w:asciiTheme="minorHAnsi" w:hAnsiTheme="minorHAnsi" w:cstheme="minorHAnsi"/>
          <w:sz w:val="22"/>
          <w:szCs w:val="22"/>
        </w:rPr>
        <w:t>However, w</w:t>
      </w:r>
      <w:r w:rsidR="00431FE1" w:rsidRPr="00894841">
        <w:rPr>
          <w:rFonts w:asciiTheme="minorHAnsi" w:hAnsiTheme="minorHAnsi" w:cstheme="minorHAnsi"/>
          <w:sz w:val="22"/>
          <w:szCs w:val="22"/>
        </w:rPr>
        <w:t xml:space="preserve">hen the water portfolio was transferred from the Ministry of Agriculture </w:t>
      </w:r>
      <w:r w:rsidR="00431FE1">
        <w:rPr>
          <w:rFonts w:asciiTheme="minorHAnsi" w:hAnsiTheme="minorHAnsi" w:cstheme="minorHAnsi"/>
          <w:sz w:val="22"/>
          <w:szCs w:val="22"/>
        </w:rPr>
        <w:t xml:space="preserve">of Albania </w:t>
      </w:r>
      <w:r w:rsidR="00431FE1" w:rsidRPr="00894841">
        <w:rPr>
          <w:rFonts w:asciiTheme="minorHAnsi" w:hAnsiTheme="minorHAnsi" w:cstheme="minorHAnsi"/>
          <w:sz w:val="22"/>
          <w:szCs w:val="22"/>
        </w:rPr>
        <w:t>to the National Agency of Water Resources Management</w:t>
      </w:r>
      <w:r w:rsidR="00431FE1">
        <w:rPr>
          <w:rFonts w:asciiTheme="minorHAnsi" w:hAnsiTheme="minorHAnsi" w:cstheme="minorHAnsi"/>
          <w:sz w:val="22"/>
          <w:szCs w:val="22"/>
        </w:rPr>
        <w:t>,</w:t>
      </w:r>
      <w:r w:rsidR="00431FE1" w:rsidRPr="00894841">
        <w:rPr>
          <w:rFonts w:asciiTheme="minorHAnsi" w:hAnsiTheme="minorHAnsi" w:cstheme="minorHAnsi"/>
          <w:sz w:val="22"/>
          <w:szCs w:val="22"/>
        </w:rPr>
        <w:t xml:space="preserve"> the latter was a new agency that was lacking premises, thus impossible for them to provide a separate office for the project</w:t>
      </w:r>
      <w:r w:rsidR="00431FE1">
        <w:rPr>
          <w:rFonts w:asciiTheme="minorHAnsi" w:hAnsiTheme="minorHAnsi" w:cstheme="minorHAnsi"/>
          <w:sz w:val="22"/>
          <w:szCs w:val="22"/>
        </w:rPr>
        <w:t xml:space="preserve">. The PCU office was then moved to Athens. </w:t>
      </w:r>
      <w:r w:rsidR="00A2727E">
        <w:rPr>
          <w:rFonts w:ascii="Calibri" w:eastAsia="Calibri" w:hAnsi="Calibri" w:cs="Calibri"/>
          <w:color w:val="000000"/>
          <w:sz w:val="22"/>
          <w:szCs w:val="22"/>
        </w:rPr>
        <w:t xml:space="preserve">After the first year the </w:t>
      </w:r>
      <w:r w:rsidR="00ED7647">
        <w:rPr>
          <w:rFonts w:ascii="Calibri" w:eastAsia="Calibri" w:hAnsi="Calibri" w:cs="Calibri"/>
          <w:color w:val="000000"/>
          <w:sz w:val="22"/>
          <w:szCs w:val="22"/>
        </w:rPr>
        <w:t>P</w:t>
      </w:r>
      <w:r w:rsidR="006E1639">
        <w:rPr>
          <w:rFonts w:ascii="Calibri" w:eastAsia="Calibri" w:hAnsi="Calibri" w:cs="Calibri"/>
          <w:color w:val="000000"/>
          <w:sz w:val="22"/>
          <w:szCs w:val="22"/>
        </w:rPr>
        <w:t>C</w:t>
      </w:r>
      <w:r w:rsidR="00ED7647">
        <w:rPr>
          <w:rFonts w:ascii="Calibri" w:eastAsia="Calibri" w:hAnsi="Calibri" w:cs="Calibri"/>
          <w:color w:val="000000"/>
          <w:sz w:val="22"/>
          <w:szCs w:val="22"/>
        </w:rPr>
        <w:t xml:space="preserve">U was operating </w:t>
      </w:r>
      <w:r w:rsidR="006E1639">
        <w:rPr>
          <w:rFonts w:ascii="Calibri" w:eastAsia="Calibri" w:hAnsi="Calibri" w:cs="Calibri"/>
          <w:color w:val="000000"/>
          <w:sz w:val="22"/>
          <w:szCs w:val="22"/>
        </w:rPr>
        <w:t>on-line</w:t>
      </w:r>
      <w:r w:rsidR="00ED7647">
        <w:rPr>
          <w:rFonts w:ascii="Calibri" w:eastAsia="Calibri" w:hAnsi="Calibri" w:cs="Calibri"/>
          <w:color w:val="000000"/>
          <w:sz w:val="22"/>
          <w:szCs w:val="22"/>
        </w:rPr>
        <w:t xml:space="preserve"> using web-based </w:t>
      </w:r>
      <w:r w:rsidR="002F4D95">
        <w:rPr>
          <w:rFonts w:ascii="Calibri" w:eastAsia="Calibri" w:hAnsi="Calibri" w:cs="Calibri"/>
          <w:color w:val="000000"/>
          <w:sz w:val="22"/>
          <w:szCs w:val="22"/>
        </w:rPr>
        <w:t xml:space="preserve">communication, </w:t>
      </w:r>
      <w:r w:rsidR="00ED7647">
        <w:rPr>
          <w:rFonts w:ascii="Calibri" w:eastAsia="Calibri" w:hAnsi="Calibri" w:cs="Calibri"/>
          <w:color w:val="000000"/>
          <w:sz w:val="22"/>
          <w:szCs w:val="22"/>
        </w:rPr>
        <w:t>pla</w:t>
      </w:r>
      <w:r w:rsidR="001670E0">
        <w:rPr>
          <w:rFonts w:ascii="Calibri" w:eastAsia="Calibri" w:hAnsi="Calibri" w:cs="Calibri"/>
          <w:color w:val="000000"/>
          <w:sz w:val="22"/>
          <w:szCs w:val="22"/>
        </w:rPr>
        <w:t>nning and monitoring tools (in the absence of today</w:t>
      </w:r>
      <w:r w:rsidR="006E1639">
        <w:rPr>
          <w:rFonts w:ascii="Calibri" w:eastAsia="Calibri" w:hAnsi="Calibri" w:cs="Calibri"/>
          <w:color w:val="000000"/>
          <w:sz w:val="22"/>
          <w:szCs w:val="22"/>
        </w:rPr>
        <w:t>’</w:t>
      </w:r>
      <w:r w:rsidR="001670E0">
        <w:rPr>
          <w:rFonts w:ascii="Calibri" w:eastAsia="Calibri" w:hAnsi="Calibri" w:cs="Calibri"/>
          <w:color w:val="000000"/>
          <w:sz w:val="22"/>
          <w:szCs w:val="22"/>
        </w:rPr>
        <w:t xml:space="preserve">s IT web-based facilities such as Microsoft Teams, the planning and monitoring tools used were custom-made using the MS </w:t>
      </w:r>
      <w:r w:rsidR="006A2CB4">
        <w:rPr>
          <w:rFonts w:ascii="Calibri" w:eastAsia="Calibri" w:hAnsi="Calibri" w:cs="Calibri"/>
          <w:color w:val="000000"/>
          <w:sz w:val="22"/>
          <w:szCs w:val="22"/>
        </w:rPr>
        <w:t>SharePoint</w:t>
      </w:r>
      <w:r w:rsidR="001670E0">
        <w:rPr>
          <w:rFonts w:ascii="Calibri" w:eastAsia="Calibri" w:hAnsi="Calibri" w:cs="Calibri"/>
          <w:color w:val="000000"/>
          <w:sz w:val="22"/>
          <w:szCs w:val="22"/>
        </w:rPr>
        <w:t xml:space="preserve"> platform).</w:t>
      </w:r>
      <w:r w:rsidR="00A2727E">
        <w:rPr>
          <w:rFonts w:ascii="Calibri" w:eastAsia="Calibri" w:hAnsi="Calibri" w:cs="Calibri"/>
          <w:color w:val="000000"/>
          <w:sz w:val="22"/>
          <w:szCs w:val="22"/>
        </w:rPr>
        <w:t xml:space="preserve"> </w:t>
      </w:r>
      <w:r>
        <w:rPr>
          <w:rFonts w:ascii="Calibri" w:eastAsia="Calibri" w:hAnsi="Calibri" w:cs="Calibri"/>
          <w:color w:val="000000"/>
          <w:sz w:val="22"/>
          <w:szCs w:val="22"/>
        </w:rPr>
        <w:t>UNECE provid</w:t>
      </w:r>
      <w:r w:rsidR="001670E0">
        <w:rPr>
          <w:rFonts w:ascii="Calibri" w:eastAsia="Calibri" w:hAnsi="Calibri" w:cs="Calibri"/>
          <w:color w:val="000000"/>
          <w:sz w:val="22"/>
          <w:szCs w:val="22"/>
        </w:rPr>
        <w:t>ed</w:t>
      </w:r>
      <w:r>
        <w:rPr>
          <w:rFonts w:ascii="Calibri" w:eastAsia="Calibri" w:hAnsi="Calibri" w:cs="Calibri"/>
          <w:color w:val="000000"/>
          <w:sz w:val="22"/>
          <w:szCs w:val="22"/>
        </w:rPr>
        <w:t xml:space="preserve"> technical assistance and advise on issues of expertise; these </w:t>
      </w:r>
      <w:r w:rsidR="001670E0">
        <w:rPr>
          <w:rFonts w:ascii="Calibri" w:eastAsia="Calibri" w:hAnsi="Calibri" w:cs="Calibri"/>
          <w:color w:val="000000"/>
          <w:sz w:val="22"/>
          <w:szCs w:val="22"/>
        </w:rPr>
        <w:t xml:space="preserve">were  </w:t>
      </w:r>
      <w:r>
        <w:rPr>
          <w:rFonts w:ascii="Calibri" w:eastAsia="Calibri" w:hAnsi="Calibri" w:cs="Calibri"/>
          <w:color w:val="000000"/>
          <w:sz w:val="22"/>
          <w:szCs w:val="22"/>
        </w:rPr>
        <w:t>detailed in an inter-agency agreement established with UNDP. Figure 2, taken from the ProDoc, shows the project management arrangements.</w:t>
      </w:r>
      <w:r>
        <w:rPr>
          <w:color w:val="000000"/>
        </w:rPr>
        <w:t xml:space="preserve"> </w:t>
      </w:r>
    </w:p>
    <w:p w14:paraId="3CFA641E" w14:textId="77777777" w:rsidR="000F31AD" w:rsidRDefault="00A317E5">
      <w:pPr>
        <w:pBdr>
          <w:top w:val="nil"/>
          <w:left w:val="nil"/>
          <w:bottom w:val="nil"/>
          <w:right w:val="nil"/>
          <w:between w:val="nil"/>
        </w:pBdr>
        <w:jc w:val="center"/>
        <w:rPr>
          <w:color w:val="000000"/>
        </w:rPr>
      </w:pPr>
      <w:r>
        <w:rPr>
          <w:noProof/>
          <w:color w:val="000000"/>
        </w:rPr>
        <w:lastRenderedPageBreak/>
        <w:drawing>
          <wp:inline distT="0" distB="0" distL="0" distR="0" wp14:anchorId="27A19FDC" wp14:editId="7E7E7331">
            <wp:extent cx="3002946" cy="2252376"/>
            <wp:effectExtent l="0" t="0" r="0" b="0"/>
            <wp:docPr id="25" name="image7.png" descr="page66image16269312"/>
            <wp:cNvGraphicFramePr/>
            <a:graphic xmlns:a="http://schemas.openxmlformats.org/drawingml/2006/main">
              <a:graphicData uri="http://schemas.openxmlformats.org/drawingml/2006/picture">
                <pic:pic xmlns:pic="http://schemas.openxmlformats.org/drawingml/2006/picture">
                  <pic:nvPicPr>
                    <pic:cNvPr id="0" name="image7.png" descr="page66image16269312"/>
                    <pic:cNvPicPr preferRelativeResize="0"/>
                  </pic:nvPicPr>
                  <pic:blipFill>
                    <a:blip r:embed="rId18"/>
                    <a:srcRect/>
                    <a:stretch>
                      <a:fillRect/>
                    </a:stretch>
                  </pic:blipFill>
                  <pic:spPr>
                    <a:xfrm>
                      <a:off x="0" y="0"/>
                      <a:ext cx="3002946" cy="2252376"/>
                    </a:xfrm>
                    <a:prstGeom prst="rect">
                      <a:avLst/>
                    </a:prstGeom>
                    <a:ln/>
                  </pic:spPr>
                </pic:pic>
              </a:graphicData>
            </a:graphic>
          </wp:inline>
        </w:drawing>
      </w:r>
    </w:p>
    <w:p w14:paraId="6CDFACBC" w14:textId="77777777" w:rsidR="000F31AD" w:rsidRDefault="00A317E5">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Figure 2: Project Management Arrangements</w:t>
      </w:r>
    </w:p>
    <w:p w14:paraId="5BF2A055" w14:textId="77777777" w:rsidR="004A0ACB" w:rsidRDefault="004A0ACB">
      <w:pPr>
        <w:pStyle w:val="Heading2"/>
      </w:pPr>
    </w:p>
    <w:p w14:paraId="05FDB66C" w14:textId="77777777" w:rsidR="000F31AD" w:rsidRDefault="00A317E5">
      <w:pPr>
        <w:pStyle w:val="Heading2"/>
      </w:pPr>
      <w:bookmarkStart w:id="22" w:name="_Toc81335845"/>
      <w:r>
        <w:t>2.10.</w:t>
      </w:r>
      <w:r>
        <w:tab/>
        <w:t>Mid-Term Evaluation</w:t>
      </w:r>
      <w:bookmarkEnd w:id="22"/>
    </w:p>
    <w:p w14:paraId="714C0308" w14:textId="77777777" w:rsidR="000F31AD" w:rsidRDefault="000F31AD"/>
    <w:p w14:paraId="0C1D33C9" w14:textId="77777777" w:rsidR="000F31AD" w:rsidRDefault="00A317E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Mid-Term Review (MTR) was carried out in the period from 11 January 2019 to 30 April 2019, roughly in the middle of the project’s implementation period, taking in the account the extension of the project. Therefore, the Terminal Evaluation covers roughly half of the project’s implementation time.</w:t>
      </w:r>
    </w:p>
    <w:p w14:paraId="57584C75" w14:textId="77777777" w:rsidR="000F31AD" w:rsidRDefault="000F31AD">
      <w:pPr>
        <w:pStyle w:val="Heading2"/>
        <w:jc w:val="both"/>
        <w:rPr>
          <w:rFonts w:ascii="Calibri" w:eastAsia="Calibri" w:hAnsi="Calibri" w:cs="Calibri"/>
          <w:sz w:val="22"/>
          <w:szCs w:val="22"/>
        </w:rPr>
      </w:pPr>
    </w:p>
    <w:p w14:paraId="717A054F" w14:textId="77777777" w:rsidR="000F31AD" w:rsidRDefault="00A317E5">
      <w:pPr>
        <w:pStyle w:val="Heading1"/>
      </w:pPr>
      <w:bookmarkStart w:id="23" w:name="_Toc81335846"/>
      <w:r>
        <w:t xml:space="preserve">3. </w:t>
      </w:r>
      <w:r>
        <w:tab/>
        <w:t>Findings</w:t>
      </w:r>
      <w:bookmarkEnd w:id="23"/>
      <w:r>
        <w:t xml:space="preserve"> </w:t>
      </w:r>
    </w:p>
    <w:p w14:paraId="712A9B9C" w14:textId="77777777" w:rsidR="004A0ACB" w:rsidRDefault="004A0ACB">
      <w:pPr>
        <w:pBdr>
          <w:top w:val="nil"/>
          <w:left w:val="nil"/>
          <w:bottom w:val="nil"/>
          <w:right w:val="nil"/>
          <w:between w:val="nil"/>
        </w:pBdr>
        <w:jc w:val="both"/>
        <w:rPr>
          <w:rFonts w:ascii="Calibri" w:eastAsia="Calibri" w:hAnsi="Calibri" w:cs="Calibri"/>
          <w:color w:val="000000"/>
          <w:sz w:val="22"/>
          <w:szCs w:val="22"/>
        </w:rPr>
      </w:pPr>
    </w:p>
    <w:p w14:paraId="0306DB51" w14:textId="19FC0443" w:rsidR="00E2321F" w:rsidRDefault="00A317E5" w:rsidP="00894841">
      <w:pPr>
        <w:pStyle w:val="CommentText"/>
        <w:jc w:val="both"/>
        <w:rPr>
          <w:lang w:val="en-US"/>
        </w:rPr>
      </w:pPr>
      <w:r>
        <w:rPr>
          <w:rFonts w:ascii="Calibri" w:eastAsia="Calibri" w:hAnsi="Calibri" w:cs="Calibri"/>
          <w:color w:val="000000"/>
          <w:sz w:val="22"/>
          <w:szCs w:val="22"/>
        </w:rPr>
        <w:t xml:space="preserve">This section presents the findings of this TE adhering to the basic structure proposed in the </w:t>
      </w:r>
      <w:r w:rsidR="00E2321F">
        <w:rPr>
          <w:rFonts w:ascii="Calibri" w:eastAsia="Calibri" w:hAnsi="Calibri" w:cs="Calibri"/>
          <w:color w:val="000000"/>
          <w:sz w:val="22"/>
          <w:szCs w:val="22"/>
        </w:rPr>
        <w:t xml:space="preserve">ToRs </w:t>
      </w:r>
      <w:r>
        <w:rPr>
          <w:rFonts w:ascii="Calibri" w:eastAsia="Calibri" w:hAnsi="Calibri" w:cs="Calibri"/>
          <w:color w:val="000000"/>
          <w:sz w:val="22"/>
          <w:szCs w:val="22"/>
        </w:rPr>
        <w:t>and as reflected in the UNDP project evaluation guidance. It is clear from a review of the ProDocs, PIRs, PSC meeting minutes, other project documents and interviews with stakeholders that the Drin Projects is complex in its scope, presenting challenges for their implementation and management. The project has a total of 5 components, 7 outcomes, 11 outputs and a large number of activities that, however, are not presented in a consistent manner throughout both project documents. The first</w:t>
      </w:r>
      <w:r w:rsidR="002E5BED">
        <w:rPr>
          <w:rFonts w:ascii="Calibri" w:eastAsia="Calibri" w:hAnsi="Calibri" w:cs="Calibri"/>
          <w:color w:val="000000"/>
          <w:sz w:val="22"/>
          <w:szCs w:val="22"/>
        </w:rPr>
        <w:t xml:space="preserve"> (Full Size)</w:t>
      </w:r>
      <w:r>
        <w:rPr>
          <w:rFonts w:ascii="Calibri" w:eastAsia="Calibri" w:hAnsi="Calibri" w:cs="Calibri"/>
          <w:color w:val="000000"/>
          <w:sz w:val="22"/>
          <w:szCs w:val="22"/>
        </w:rPr>
        <w:t xml:space="preserve"> </w:t>
      </w:r>
      <w:r w:rsidR="00B25063">
        <w:rPr>
          <w:rFonts w:ascii="Calibri" w:eastAsia="Calibri" w:hAnsi="Calibri" w:cs="Calibri"/>
          <w:color w:val="000000"/>
          <w:sz w:val="22"/>
          <w:szCs w:val="22"/>
        </w:rPr>
        <w:t xml:space="preserve">Project </w:t>
      </w:r>
      <w:r>
        <w:rPr>
          <w:rFonts w:ascii="Calibri" w:eastAsia="Calibri" w:hAnsi="Calibri" w:cs="Calibri"/>
          <w:color w:val="000000"/>
          <w:sz w:val="22"/>
          <w:szCs w:val="22"/>
        </w:rPr>
        <w:t>included three countries of the Drin River Basin (Albania, Montenegro and North Macedonia)</w:t>
      </w:r>
      <w:r w:rsidR="00E2321F">
        <w:rPr>
          <w:rFonts w:ascii="Calibri" w:eastAsia="Calibri" w:hAnsi="Calibri" w:cs="Calibri"/>
          <w:color w:val="000000"/>
          <w:sz w:val="22"/>
          <w:szCs w:val="22"/>
        </w:rPr>
        <w:t>. A</w:t>
      </w:r>
      <w:r w:rsidR="00B25063">
        <w:rPr>
          <w:rFonts w:ascii="Calibri" w:eastAsia="Calibri" w:hAnsi="Calibri" w:cs="Calibri"/>
          <w:color w:val="000000"/>
          <w:sz w:val="22"/>
          <w:szCs w:val="22"/>
        </w:rPr>
        <w:t>fter Kosovo bec</w:t>
      </w:r>
      <w:r w:rsidR="00E2321F">
        <w:rPr>
          <w:rFonts w:ascii="Calibri" w:eastAsia="Calibri" w:hAnsi="Calibri" w:cs="Calibri"/>
          <w:color w:val="000000"/>
          <w:sz w:val="22"/>
          <w:szCs w:val="22"/>
        </w:rPr>
        <w:t>a</w:t>
      </w:r>
      <w:r w:rsidR="00561868">
        <w:rPr>
          <w:rFonts w:ascii="Calibri" w:eastAsia="Calibri" w:hAnsi="Calibri" w:cs="Calibri"/>
          <w:color w:val="000000"/>
          <w:sz w:val="22"/>
          <w:szCs w:val="22"/>
        </w:rPr>
        <w:t>m</w:t>
      </w:r>
      <w:r w:rsidR="00E2321F">
        <w:rPr>
          <w:rFonts w:ascii="Calibri" w:eastAsia="Calibri" w:hAnsi="Calibri" w:cs="Calibri"/>
          <w:color w:val="000000"/>
          <w:sz w:val="22"/>
          <w:szCs w:val="22"/>
        </w:rPr>
        <w:t>e</w:t>
      </w:r>
      <w:r w:rsidR="00B25063">
        <w:rPr>
          <w:rFonts w:ascii="Calibri" w:eastAsia="Calibri" w:hAnsi="Calibri" w:cs="Calibri"/>
          <w:color w:val="000000"/>
          <w:sz w:val="22"/>
          <w:szCs w:val="22"/>
        </w:rPr>
        <w:t xml:space="preserve"> eligible under the GEF IW</w:t>
      </w:r>
      <w:r w:rsidR="00E2321F">
        <w:rPr>
          <w:rFonts w:ascii="Calibri" w:eastAsia="Calibri" w:hAnsi="Calibri" w:cs="Calibri"/>
          <w:color w:val="000000"/>
          <w:sz w:val="22"/>
          <w:szCs w:val="22"/>
        </w:rPr>
        <w:t>,</w:t>
      </w:r>
      <w:r w:rsidR="00B25063">
        <w:rPr>
          <w:rFonts w:ascii="Calibri" w:eastAsia="Calibri" w:hAnsi="Calibri" w:cs="Calibri"/>
          <w:color w:val="000000"/>
          <w:sz w:val="22"/>
          <w:szCs w:val="22"/>
        </w:rPr>
        <w:t xml:space="preserve"> </w:t>
      </w:r>
      <w:r w:rsidR="0087429F">
        <w:rPr>
          <w:rFonts w:ascii="Calibri" w:eastAsia="Calibri" w:hAnsi="Calibri" w:cs="Calibri"/>
          <w:color w:val="000000"/>
          <w:sz w:val="22"/>
          <w:szCs w:val="22"/>
        </w:rPr>
        <w:t xml:space="preserve">an add-on </w:t>
      </w:r>
      <w:r w:rsidR="002E5BED">
        <w:rPr>
          <w:rFonts w:ascii="Calibri" w:eastAsia="Calibri" w:hAnsi="Calibri" w:cs="Calibri"/>
          <w:color w:val="000000"/>
          <w:sz w:val="22"/>
          <w:szCs w:val="22"/>
        </w:rPr>
        <w:t xml:space="preserve">(Medium Size) </w:t>
      </w:r>
      <w:r w:rsidR="0087429F">
        <w:rPr>
          <w:rFonts w:ascii="Calibri" w:eastAsia="Calibri" w:hAnsi="Calibri" w:cs="Calibri"/>
          <w:color w:val="000000"/>
          <w:sz w:val="22"/>
          <w:szCs w:val="22"/>
        </w:rPr>
        <w:t>project was designed and approved</w:t>
      </w:r>
      <w:r w:rsidR="002E5BED">
        <w:rPr>
          <w:rFonts w:ascii="Calibri" w:eastAsia="Calibri" w:hAnsi="Calibri" w:cs="Calibri"/>
          <w:color w:val="000000"/>
          <w:sz w:val="22"/>
          <w:szCs w:val="22"/>
        </w:rPr>
        <w:t>,</w:t>
      </w:r>
      <w:r w:rsidR="0087429F">
        <w:rPr>
          <w:rFonts w:ascii="Calibri" w:eastAsia="Calibri" w:hAnsi="Calibri" w:cs="Calibri"/>
          <w:color w:val="000000"/>
          <w:sz w:val="22"/>
          <w:szCs w:val="22"/>
        </w:rPr>
        <w:t xml:space="preserve"> to </w:t>
      </w:r>
      <w:r w:rsidR="00C81836">
        <w:rPr>
          <w:rFonts w:ascii="Calibri" w:eastAsia="Calibri" w:hAnsi="Calibri" w:cs="Calibri"/>
          <w:color w:val="000000"/>
          <w:sz w:val="22"/>
          <w:szCs w:val="22"/>
        </w:rPr>
        <w:t xml:space="preserve">fill the gap, </w:t>
      </w:r>
      <w:r w:rsidR="00B46B86">
        <w:rPr>
          <w:rFonts w:ascii="Calibri" w:eastAsia="Calibri" w:hAnsi="Calibri" w:cs="Calibri"/>
          <w:color w:val="000000"/>
          <w:sz w:val="22"/>
          <w:szCs w:val="22"/>
        </w:rPr>
        <w:t>bringing</w:t>
      </w:r>
      <w:r w:rsidR="0087429F">
        <w:rPr>
          <w:rFonts w:ascii="Calibri" w:eastAsia="Calibri" w:hAnsi="Calibri" w:cs="Calibri"/>
          <w:color w:val="000000"/>
          <w:sz w:val="22"/>
          <w:szCs w:val="22"/>
        </w:rPr>
        <w:t xml:space="preserve"> Kosovo in the team of </w:t>
      </w:r>
      <w:r w:rsidR="00B46B86">
        <w:rPr>
          <w:rFonts w:ascii="Calibri" w:eastAsia="Calibri" w:hAnsi="Calibri" w:cs="Calibri"/>
          <w:color w:val="000000"/>
          <w:sz w:val="22"/>
          <w:szCs w:val="22"/>
        </w:rPr>
        <w:t>riparian</w:t>
      </w:r>
      <w:r w:rsidR="00894841">
        <w:rPr>
          <w:rFonts w:ascii="Calibri" w:eastAsia="Calibri" w:hAnsi="Calibri" w:cs="Calibri"/>
          <w:color w:val="000000"/>
          <w:sz w:val="22"/>
          <w:szCs w:val="22"/>
        </w:rPr>
        <w:t xml:space="preserve"> countries</w:t>
      </w:r>
      <w:r w:rsidR="0087429F">
        <w:rPr>
          <w:rFonts w:ascii="Calibri" w:eastAsia="Calibri" w:hAnsi="Calibri" w:cs="Calibri"/>
          <w:color w:val="000000"/>
          <w:sz w:val="22"/>
          <w:szCs w:val="22"/>
        </w:rPr>
        <w:t xml:space="preserve"> work</w:t>
      </w:r>
      <w:r w:rsidR="00B46B86">
        <w:rPr>
          <w:rFonts w:ascii="Calibri" w:eastAsia="Calibri" w:hAnsi="Calibri" w:cs="Calibri"/>
          <w:color w:val="000000"/>
          <w:sz w:val="22"/>
          <w:szCs w:val="22"/>
        </w:rPr>
        <w:t>ing</w:t>
      </w:r>
      <w:r w:rsidR="0087429F">
        <w:rPr>
          <w:rFonts w:ascii="Calibri" w:eastAsia="Calibri" w:hAnsi="Calibri" w:cs="Calibri"/>
          <w:color w:val="000000"/>
          <w:sz w:val="22"/>
          <w:szCs w:val="22"/>
        </w:rPr>
        <w:t xml:space="preserve"> together towards enhance</w:t>
      </w:r>
      <w:r w:rsidR="002E5BED">
        <w:rPr>
          <w:rFonts w:ascii="Calibri" w:eastAsia="Calibri" w:hAnsi="Calibri" w:cs="Calibri"/>
          <w:color w:val="000000"/>
          <w:sz w:val="22"/>
          <w:szCs w:val="22"/>
        </w:rPr>
        <w:t xml:space="preserve">d </w:t>
      </w:r>
      <w:r w:rsidR="001A4F39">
        <w:rPr>
          <w:rFonts w:ascii="Calibri" w:eastAsia="Calibri" w:hAnsi="Calibri" w:cs="Calibri"/>
          <w:color w:val="000000"/>
          <w:sz w:val="22"/>
          <w:szCs w:val="22"/>
        </w:rPr>
        <w:t>cooperation for the management of the Drin Basin</w:t>
      </w:r>
      <w:r>
        <w:rPr>
          <w:rFonts w:ascii="Calibri" w:eastAsia="Calibri" w:hAnsi="Calibri" w:cs="Calibri"/>
          <w:color w:val="000000"/>
          <w:sz w:val="22"/>
          <w:szCs w:val="22"/>
        </w:rPr>
        <w:t xml:space="preserve">. </w:t>
      </w:r>
    </w:p>
    <w:p w14:paraId="77F39C39" w14:textId="77777777" w:rsidR="00E2321F" w:rsidRDefault="00E2321F" w:rsidP="00E2321F">
      <w:pPr>
        <w:pStyle w:val="CommentText"/>
        <w:jc w:val="both"/>
        <w:rPr>
          <w:rFonts w:asciiTheme="minorHAnsi" w:hAnsiTheme="minorHAnsi" w:cstheme="minorHAnsi"/>
          <w:sz w:val="22"/>
          <w:szCs w:val="22"/>
          <w:lang w:val="en-US"/>
        </w:rPr>
      </w:pPr>
    </w:p>
    <w:p w14:paraId="1D93900D" w14:textId="7EC047F8" w:rsidR="00E2321F" w:rsidRDefault="00E2321F" w:rsidP="00E2321F">
      <w:pPr>
        <w:pStyle w:val="CommentText"/>
        <w:jc w:val="both"/>
        <w:rPr>
          <w:rFonts w:asciiTheme="minorHAnsi" w:hAnsiTheme="minorHAnsi" w:cstheme="minorHAnsi"/>
          <w:sz w:val="22"/>
          <w:szCs w:val="22"/>
          <w:lang w:val="en-US"/>
        </w:rPr>
      </w:pPr>
      <w:r w:rsidRPr="00894841">
        <w:rPr>
          <w:rFonts w:asciiTheme="minorHAnsi" w:hAnsiTheme="minorHAnsi" w:cstheme="minorHAnsi"/>
          <w:sz w:val="22"/>
          <w:szCs w:val="22"/>
          <w:lang w:val="en-US"/>
        </w:rPr>
        <w:t>The Outcomes</w:t>
      </w:r>
      <w:r>
        <w:rPr>
          <w:rFonts w:asciiTheme="minorHAnsi" w:hAnsiTheme="minorHAnsi" w:cstheme="minorHAnsi"/>
          <w:sz w:val="22"/>
          <w:szCs w:val="22"/>
          <w:lang w:val="en-US"/>
        </w:rPr>
        <w:t xml:space="preserve"> and</w:t>
      </w:r>
      <w:r w:rsidRPr="00894841">
        <w:rPr>
          <w:rFonts w:asciiTheme="minorHAnsi" w:hAnsiTheme="minorHAnsi" w:cstheme="minorHAnsi"/>
          <w:sz w:val="22"/>
          <w:szCs w:val="22"/>
          <w:lang w:val="en-US"/>
        </w:rPr>
        <w:t xml:space="preserve"> Outputs are the same in both documents. The only difference is in Component 4</w:t>
      </w:r>
      <w:r>
        <w:rPr>
          <w:rFonts w:asciiTheme="minorHAnsi" w:hAnsiTheme="minorHAnsi" w:cstheme="minorHAnsi"/>
          <w:sz w:val="22"/>
          <w:szCs w:val="22"/>
          <w:lang w:val="en-US"/>
        </w:rPr>
        <w:t xml:space="preserve">: </w:t>
      </w:r>
      <w:r w:rsidRPr="00894841">
        <w:rPr>
          <w:rFonts w:asciiTheme="minorHAnsi" w:hAnsiTheme="minorHAnsi" w:cstheme="minorHAnsi"/>
          <w:sz w:val="22"/>
          <w:szCs w:val="22"/>
          <w:lang w:val="en-US"/>
        </w:rPr>
        <w:t xml:space="preserve"> Demonstration of Technologies and practices for </w:t>
      </w:r>
      <w:r w:rsidRPr="00E2321F">
        <w:rPr>
          <w:rFonts w:asciiTheme="minorHAnsi" w:hAnsiTheme="minorHAnsi" w:cstheme="minorHAnsi"/>
          <w:sz w:val="22"/>
          <w:szCs w:val="22"/>
          <w:lang w:val="en-US"/>
        </w:rPr>
        <w:t>IWRM</w:t>
      </w:r>
      <w:r w:rsidRPr="00894841">
        <w:rPr>
          <w:rFonts w:asciiTheme="minorHAnsi" w:hAnsiTheme="minorHAnsi" w:cstheme="minorHAnsi"/>
          <w:sz w:val="22"/>
          <w:szCs w:val="22"/>
          <w:lang w:val="en-US"/>
        </w:rPr>
        <w:t xml:space="preserve"> and ecosystem management:</w:t>
      </w:r>
    </w:p>
    <w:p w14:paraId="78953225" w14:textId="77777777" w:rsidR="00E2321F" w:rsidRPr="00894841" w:rsidRDefault="00E2321F" w:rsidP="00894841">
      <w:pPr>
        <w:pStyle w:val="CommentText"/>
        <w:jc w:val="both"/>
        <w:rPr>
          <w:rFonts w:asciiTheme="minorHAnsi" w:hAnsiTheme="minorHAnsi" w:cstheme="minorHAnsi"/>
          <w:sz w:val="22"/>
          <w:szCs w:val="22"/>
        </w:rPr>
      </w:pPr>
    </w:p>
    <w:p w14:paraId="410A0004" w14:textId="79E450B0" w:rsidR="00E2321F" w:rsidRPr="00894841" w:rsidRDefault="00E2321F" w:rsidP="0052081C">
      <w:pPr>
        <w:pStyle w:val="CommentText"/>
        <w:numPr>
          <w:ilvl w:val="0"/>
          <w:numId w:val="12"/>
        </w:numPr>
        <w:ind w:left="426" w:hanging="426"/>
        <w:jc w:val="both"/>
        <w:rPr>
          <w:rFonts w:asciiTheme="minorHAnsi" w:hAnsiTheme="minorHAnsi" w:cstheme="minorHAnsi"/>
          <w:sz w:val="22"/>
          <w:szCs w:val="22"/>
        </w:rPr>
      </w:pPr>
      <w:r w:rsidRPr="00894841">
        <w:rPr>
          <w:rFonts w:asciiTheme="minorHAnsi" w:hAnsiTheme="minorHAnsi" w:cstheme="minorHAnsi"/>
          <w:sz w:val="22"/>
          <w:szCs w:val="22"/>
          <w:lang w:val="en-US"/>
        </w:rPr>
        <w:t>In the FSP there are five demonstration projects in the three project beneficiaries</w:t>
      </w:r>
      <w:r>
        <w:rPr>
          <w:rFonts w:asciiTheme="minorHAnsi" w:hAnsiTheme="minorHAnsi" w:cstheme="minorHAnsi"/>
          <w:sz w:val="22"/>
          <w:szCs w:val="22"/>
          <w:lang w:val="en-US"/>
        </w:rPr>
        <w:t>; and</w:t>
      </w:r>
    </w:p>
    <w:p w14:paraId="37AF6EC3" w14:textId="3EBD1807" w:rsidR="00E2321F" w:rsidRPr="00894841" w:rsidRDefault="00E2321F" w:rsidP="0052081C">
      <w:pPr>
        <w:pStyle w:val="CommentText"/>
        <w:numPr>
          <w:ilvl w:val="0"/>
          <w:numId w:val="12"/>
        </w:numPr>
        <w:ind w:left="426" w:hanging="426"/>
        <w:jc w:val="both"/>
        <w:rPr>
          <w:rFonts w:asciiTheme="minorHAnsi" w:hAnsiTheme="minorHAnsi" w:cstheme="minorHAnsi"/>
          <w:sz w:val="22"/>
          <w:szCs w:val="22"/>
        </w:rPr>
      </w:pPr>
      <w:r w:rsidRPr="00894841">
        <w:rPr>
          <w:rFonts w:asciiTheme="minorHAnsi" w:hAnsiTheme="minorHAnsi" w:cstheme="minorHAnsi"/>
          <w:sz w:val="22"/>
          <w:szCs w:val="22"/>
          <w:lang w:val="en-US"/>
        </w:rPr>
        <w:t>In the MSP there is one demonstration project in Kosovo</w:t>
      </w:r>
      <w:r>
        <w:rPr>
          <w:rFonts w:asciiTheme="minorHAnsi" w:hAnsiTheme="minorHAnsi" w:cstheme="minorHAnsi"/>
          <w:sz w:val="22"/>
          <w:szCs w:val="22"/>
          <w:lang w:val="en-US"/>
        </w:rPr>
        <w:t>.</w:t>
      </w:r>
    </w:p>
    <w:p w14:paraId="1C0A900C" w14:textId="77777777" w:rsidR="00E2321F" w:rsidRDefault="00E2321F" w:rsidP="00E2321F">
      <w:pPr>
        <w:pStyle w:val="CommentText"/>
        <w:jc w:val="both"/>
        <w:rPr>
          <w:rFonts w:asciiTheme="minorHAnsi" w:hAnsiTheme="minorHAnsi" w:cstheme="minorHAnsi"/>
          <w:sz w:val="22"/>
          <w:szCs w:val="22"/>
          <w:lang w:val="en-US"/>
        </w:rPr>
      </w:pPr>
    </w:p>
    <w:p w14:paraId="0AA0AFE1" w14:textId="2F27376E" w:rsidR="000F31AD" w:rsidRDefault="00E2321F" w:rsidP="00894841">
      <w:pPr>
        <w:pStyle w:val="CommentText"/>
        <w:jc w:val="both"/>
        <w:rPr>
          <w:color w:val="000000"/>
        </w:rPr>
      </w:pPr>
      <w:r w:rsidRPr="00894841">
        <w:rPr>
          <w:rFonts w:asciiTheme="minorHAnsi" w:hAnsiTheme="minorHAnsi" w:cstheme="minorHAnsi"/>
          <w:sz w:val="22"/>
          <w:szCs w:val="22"/>
          <w:lang w:val="en-US"/>
        </w:rPr>
        <w:t>Naturally the indicators and targets in this Component are different in the two projects.</w:t>
      </w:r>
      <w:r>
        <w:rPr>
          <w:rFonts w:asciiTheme="minorHAnsi" w:hAnsiTheme="minorHAnsi" w:cstheme="minorHAnsi"/>
          <w:sz w:val="22"/>
          <w:szCs w:val="22"/>
          <w:lang w:val="en-US"/>
        </w:rPr>
        <w:t xml:space="preserve"> </w:t>
      </w:r>
      <w:r w:rsidR="00A317E5">
        <w:rPr>
          <w:rFonts w:ascii="Calibri" w:eastAsia="Calibri" w:hAnsi="Calibri" w:cs="Calibri"/>
          <w:color w:val="000000"/>
          <w:sz w:val="22"/>
          <w:szCs w:val="22"/>
        </w:rPr>
        <w:t>As mentioned earlier, further analysis will refer to both projects as one project.</w:t>
      </w:r>
    </w:p>
    <w:p w14:paraId="5187F61F" w14:textId="77777777" w:rsidR="004A0ACB" w:rsidRDefault="004A0ACB">
      <w:pPr>
        <w:pBdr>
          <w:top w:val="nil"/>
          <w:left w:val="nil"/>
          <w:bottom w:val="nil"/>
          <w:right w:val="nil"/>
          <w:between w:val="nil"/>
        </w:pBdr>
        <w:jc w:val="both"/>
        <w:rPr>
          <w:rFonts w:ascii="Calibri" w:eastAsia="Calibri" w:hAnsi="Calibri" w:cs="Calibri"/>
          <w:color w:val="000000"/>
          <w:sz w:val="22"/>
          <w:szCs w:val="22"/>
        </w:rPr>
      </w:pPr>
    </w:p>
    <w:p w14:paraId="67F9E39E" w14:textId="4D952B29" w:rsidR="000F31AD" w:rsidRDefault="00A317E5">
      <w:pPr>
        <w:pBdr>
          <w:top w:val="nil"/>
          <w:left w:val="nil"/>
          <w:bottom w:val="nil"/>
          <w:right w:val="nil"/>
          <w:between w:val="nil"/>
        </w:pBdr>
        <w:jc w:val="both"/>
        <w:rPr>
          <w:color w:val="000000"/>
        </w:rPr>
      </w:pPr>
      <w:r>
        <w:rPr>
          <w:rFonts w:ascii="Calibri" w:eastAsia="Calibri" w:hAnsi="Calibri" w:cs="Calibri"/>
          <w:color w:val="000000"/>
          <w:sz w:val="22"/>
          <w:szCs w:val="22"/>
        </w:rPr>
        <w:t>The MTR report proposed 12 recommendations to improve the performance of the project in terms of its efficiency and to make it better able to meet its targets by the end date. Annex 6</w:t>
      </w:r>
      <w:r>
        <w:rPr>
          <w:rFonts w:ascii="Calibri" w:eastAsia="Calibri" w:hAnsi="Calibri" w:cs="Calibri"/>
          <w:color w:val="02498E"/>
          <w:sz w:val="22"/>
          <w:szCs w:val="22"/>
        </w:rPr>
        <w:t xml:space="preserve"> </w:t>
      </w:r>
      <w:r>
        <w:rPr>
          <w:rFonts w:ascii="Calibri" w:eastAsia="Calibri" w:hAnsi="Calibri" w:cs="Calibri"/>
          <w:color w:val="000000"/>
          <w:sz w:val="22"/>
          <w:szCs w:val="22"/>
        </w:rPr>
        <w:t xml:space="preserve">lists these recommendations together with the management response and assesses the extent to which they have been addressed. </w:t>
      </w:r>
      <w:r w:rsidR="00E2321F">
        <w:rPr>
          <w:rFonts w:ascii="Calibri" w:eastAsia="Calibri" w:hAnsi="Calibri" w:cs="Calibri"/>
          <w:color w:val="000000"/>
          <w:sz w:val="22"/>
          <w:szCs w:val="22"/>
        </w:rPr>
        <w:t xml:space="preserve">Most </w:t>
      </w:r>
      <w:r>
        <w:rPr>
          <w:rFonts w:ascii="Calibri" w:eastAsia="Calibri" w:hAnsi="Calibri" w:cs="Calibri"/>
          <w:color w:val="000000"/>
          <w:sz w:val="22"/>
          <w:szCs w:val="22"/>
        </w:rPr>
        <w:t xml:space="preserve">of the recommendations were accepted and have been addressed. </w:t>
      </w:r>
    </w:p>
    <w:p w14:paraId="789E14DD" w14:textId="77777777" w:rsidR="000F31AD" w:rsidRDefault="000F31AD">
      <w:pPr>
        <w:pStyle w:val="Heading2"/>
      </w:pPr>
    </w:p>
    <w:p w14:paraId="639354C6" w14:textId="77777777" w:rsidR="000F31AD" w:rsidRDefault="00A317E5">
      <w:pPr>
        <w:pStyle w:val="Heading2"/>
      </w:pPr>
      <w:bookmarkStart w:id="24" w:name="_Toc81335847"/>
      <w:r>
        <w:t xml:space="preserve">3.1 </w:t>
      </w:r>
      <w:r>
        <w:tab/>
        <w:t>Project Formulation</w:t>
      </w:r>
      <w:bookmarkEnd w:id="24"/>
      <w:r>
        <w:t xml:space="preserve"> </w:t>
      </w:r>
    </w:p>
    <w:p w14:paraId="26281EC0" w14:textId="77777777" w:rsidR="000F31AD" w:rsidRDefault="000F31AD">
      <w:pPr>
        <w:pStyle w:val="Heading3"/>
      </w:pPr>
    </w:p>
    <w:p w14:paraId="6C307806" w14:textId="77777777" w:rsidR="000F31AD" w:rsidRDefault="00A317E5">
      <w:pPr>
        <w:pStyle w:val="Heading3"/>
      </w:pPr>
      <w:bookmarkStart w:id="25" w:name="_Toc81335848"/>
      <w:r>
        <w:t>3.1.1.</w:t>
      </w:r>
      <w:r>
        <w:tab/>
        <w:t>Analysis of Results Framework</w:t>
      </w:r>
      <w:bookmarkEnd w:id="25"/>
    </w:p>
    <w:p w14:paraId="1A797AF0" w14:textId="77777777" w:rsidR="000F31AD" w:rsidRDefault="000F31AD">
      <w:pPr>
        <w:pStyle w:val="Heading3"/>
      </w:pPr>
    </w:p>
    <w:p w14:paraId="416E0D4C" w14:textId="60E93AC1" w:rsidR="000F31AD" w:rsidRDefault="00E2321F">
      <w:pPr>
        <w:jc w:val="both"/>
        <w:rPr>
          <w:rFonts w:ascii="Calibri" w:eastAsia="Calibri" w:hAnsi="Calibri" w:cs="Calibri"/>
          <w:sz w:val="22"/>
          <w:szCs w:val="22"/>
        </w:rPr>
      </w:pPr>
      <w:r>
        <w:rPr>
          <w:noProof/>
        </w:rPr>
        <mc:AlternateContent>
          <mc:Choice Requires="wps">
            <w:drawing>
              <wp:anchor distT="0" distB="0" distL="114300" distR="114300" simplePos="0" relativeHeight="251661312" behindDoc="0" locked="0" layoutInCell="1" hidden="0" allowOverlap="1" wp14:anchorId="54160873" wp14:editId="597EEA79">
                <wp:simplePos x="0" y="0"/>
                <wp:positionH relativeFrom="column">
                  <wp:posOffset>2804160</wp:posOffset>
                </wp:positionH>
                <wp:positionV relativeFrom="paragraph">
                  <wp:posOffset>232833</wp:posOffset>
                </wp:positionV>
                <wp:extent cx="127000" cy="69850"/>
                <wp:effectExtent l="0" t="12700" r="25400" b="31750"/>
                <wp:wrapNone/>
                <wp:docPr id="19" name="Right Arrow 19"/>
                <wp:cNvGraphicFramePr/>
                <a:graphic xmlns:a="http://schemas.openxmlformats.org/drawingml/2006/main">
                  <a:graphicData uri="http://schemas.microsoft.com/office/word/2010/wordprocessingShape">
                    <wps:wsp>
                      <wps:cNvSpPr/>
                      <wps:spPr>
                        <a:xfrm>
                          <a:off x="0" y="0"/>
                          <a:ext cx="127000" cy="69850"/>
                        </a:xfrm>
                        <a:prstGeom prst="rightArrow">
                          <a:avLst>
                            <a:gd name="adj1" fmla="val 50000"/>
                            <a:gd name="adj2" fmla="val 50000"/>
                          </a:avLst>
                        </a:prstGeom>
                        <a:solidFill>
                          <a:schemeClr val="dk1"/>
                        </a:solidFill>
                        <a:ln w="12700" cap="flat" cmpd="sng">
                          <a:solidFill>
                            <a:srgbClr val="31538F"/>
                          </a:solidFill>
                          <a:prstDash val="solid"/>
                          <a:miter lim="800000"/>
                          <a:headEnd type="none" w="sm" len="sm"/>
                          <a:tailEnd type="none" w="sm" len="sm"/>
                        </a:ln>
                      </wps:spPr>
                      <wps:txbx>
                        <w:txbxContent>
                          <w:p w14:paraId="5FADDB9F" w14:textId="77777777" w:rsidR="00894841" w:rsidRDefault="00894841">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1608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left:0;text-align:left;margin-left:220.8pt;margin-top:18.35pt;width:10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StqUAIAAMAEAAAOAAAAZHJzL2Uyb0RvYy54bWysVNtuEzEQfUfiHyy/k91Nm5KusqmqhiCk&#13;&#10;ikYUPmBie7MG37CdbPL3jJ1tmkIlJMSL41mPz8w5x5PZzV4rshM+SGsaWo1KSoRhlkuzaei3r8t3&#13;&#10;U0pCBMNBWSMaehCB3szfvpn1rhZj21nFhScIYkLdu4Z2Mbq6KALrhIYwsk4YPGyt1xAx9JuCe+gR&#13;&#10;XatiXJZXRW89d94yEQJ+XRwP6Tzjt61g8aFtg4hENRR7i3n1eV2ntZjPoN54cJ1kQxvwD11okAaL&#13;&#10;nqAWEIFsvfwDSkvmbbBtHDGrC9u2konMAdlU5W9sHjtwInNBcYI7yRT+Hyz7vFt5Ijl6d02JAY0e&#13;&#10;fZGbLpJb721P8CtK1LtQY+ajW/khCrhNfPet1+kXmZB9lvVwklXsI2H4sRq/L0sUn+HR1fV0klUv&#13;&#10;nu86H+JHYTVJm4b6VD5Xz4rC7j7ELC0f+gP+vaKk1Qqd2oEiE0R/cvIsZ/xqDtYdEHH3VDnBB6sk&#13;&#10;X0qlcpDen7hTnmCBhvIfVZIBb7zIUob0Az1kB/h8WwURt9qhoMFsMoEXV4LfrE+wF9XkYrp8DTk1&#13;&#10;toDQHctnhJQGtZYR50VJ3dBpoj3w7gTwD4aTeHBooMFRo6m1oClRAgcTN/l6BKn+noc8lUG6yfaj&#13;&#10;0WkX9+v94P7a8gM+m+DYUmKn9xDiCjzagb70OExY8OcWPDahPhl8rdfV5XiC05eDywk+B0r8+cn6&#13;&#10;/AQM6yzOKIuekmNwF/PMJgWMvd1G28qYDEl9HZsZAhyT7NMw0mkOz+Oc9fzHM/8FAAD//wMAUEsD&#13;&#10;BBQABgAIAAAAIQALsXiR4QAAAA4BAAAPAAAAZHJzL2Rvd25yZXYueG1sTE87T8MwEN6R+A/WIbFR&#13;&#10;pxASlMapEBUsLLRQdXVsE6eNzyF22+Tfc51gOd3ju+9RLkfXsZMZQutRwHyWADOovG6xEfD1+Xr3&#13;&#10;BCxEiVp2Ho2AyQRYVtdXpSy0P+PanDaxYUSCoZACbIx9wXlQ1jgZZr43SLdvPzgZaRwargd5JnLX&#13;&#10;8fskybiTLZKClb15sUYdNkcn4G3Ffx4/9vV7ZlU71dNht98qFOL2ZlwtqDwvgEUzxr8PuGQg/1CR&#13;&#10;sdofUQfWCUjTeUZQAQ9ZDowAaXZZ1NTkOfCq5P9jVL8AAAD//wMAUEsBAi0AFAAGAAgAAAAhALaD&#13;&#10;OJL+AAAA4QEAABMAAAAAAAAAAAAAAAAAAAAAAFtDb250ZW50X1R5cGVzXS54bWxQSwECLQAUAAYA&#13;&#10;CAAAACEAOP0h/9YAAACUAQAACwAAAAAAAAAAAAAAAAAvAQAAX3JlbHMvLnJlbHNQSwECLQAUAAYA&#13;&#10;CAAAACEA0xEralACAADABAAADgAAAAAAAAAAAAAAAAAuAgAAZHJzL2Uyb0RvYy54bWxQSwECLQAU&#13;&#10;AAYACAAAACEAC7F4keEAAAAOAQAADwAAAAAAAAAAAAAAAACqBAAAZHJzL2Rvd25yZXYueG1sUEsF&#13;&#10;BgAAAAAEAAQA8wAAALgFAAAAAA==&#13;&#10;" adj="15660" fillcolor="black [3200]" strokecolor="#31538f" strokeweight="1pt">
                <v:stroke startarrowwidth="narrow" startarrowlength="short" endarrowwidth="narrow" endarrowlength="short"/>
                <v:textbox inset="2.53958mm,1.2694mm,2.53958mm,1.2694mm">
                  <w:txbxContent>
                    <w:p w14:paraId="5FADDB9F" w14:textId="77777777" w:rsidR="00894841" w:rsidRDefault="00894841">
                      <w:pPr>
                        <w:jc w:val="center"/>
                        <w:textDirection w:val="btLr"/>
                      </w:pPr>
                      <w:r>
                        <w:rPr>
                          <w:color w:val="000000"/>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60FE2B97" wp14:editId="421FF7A6">
                <wp:simplePos x="0" y="0"/>
                <wp:positionH relativeFrom="column">
                  <wp:posOffset>1168400</wp:posOffset>
                </wp:positionH>
                <wp:positionV relativeFrom="paragraph">
                  <wp:posOffset>231140</wp:posOffset>
                </wp:positionV>
                <wp:extent cx="127000" cy="69850"/>
                <wp:effectExtent l="0" t="12700" r="25400" b="31750"/>
                <wp:wrapNone/>
                <wp:docPr id="18" name="Right Arrow 18"/>
                <wp:cNvGraphicFramePr/>
                <a:graphic xmlns:a="http://schemas.openxmlformats.org/drawingml/2006/main">
                  <a:graphicData uri="http://schemas.microsoft.com/office/word/2010/wordprocessingShape">
                    <wps:wsp>
                      <wps:cNvSpPr/>
                      <wps:spPr>
                        <a:xfrm>
                          <a:off x="0" y="0"/>
                          <a:ext cx="127000" cy="69850"/>
                        </a:xfrm>
                        <a:prstGeom prst="rightArrow">
                          <a:avLst>
                            <a:gd name="adj1" fmla="val 50000"/>
                            <a:gd name="adj2" fmla="val 50000"/>
                          </a:avLst>
                        </a:prstGeom>
                        <a:solidFill>
                          <a:schemeClr val="dk1"/>
                        </a:solidFill>
                        <a:ln w="12700" cap="flat" cmpd="sng">
                          <a:solidFill>
                            <a:srgbClr val="31538F"/>
                          </a:solidFill>
                          <a:prstDash val="solid"/>
                          <a:miter lim="800000"/>
                          <a:headEnd type="none" w="sm" len="sm"/>
                          <a:tailEnd type="none" w="sm" len="sm"/>
                        </a:ln>
                      </wps:spPr>
                      <wps:txbx>
                        <w:txbxContent>
                          <w:p w14:paraId="0DEF46CC" w14:textId="77777777" w:rsidR="00894841" w:rsidRDefault="00894841">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60FE2B97" id="Right Arrow 18" o:spid="_x0000_s1027" type="#_x0000_t13" style="position:absolute;left:0;text-align:left;margin-left:92pt;margin-top:18.2pt;width:10pt;height: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g4uUgIAAMcEAAAOAAAAZHJzL2Uyb0RvYy54bWysVNtu2zAMfR+wfxD0vjhOmy414hRFswwD&#13;&#10;ijVYtw9gJNnWptskNU7+fpTiJulWYMCwF4eUqEMeHjLzm51WZCt8kNbUtByNKRGGWS5NW9NvX1fv&#13;&#10;ZpSECIaDskbUdC8CvVm8fTPvXSUmtrOKC08QxISqdzXtYnRVUQTWCQ1hZJ0weNlYryGi69uCe+gR&#13;&#10;XatiMh5fFb313HnLRAh4ujxc0kXGbxrB4kPTBBGJqinWFvPX5+8mfYvFHKrWg+skG8qAf6hCgzSY&#13;&#10;9Ai1hAjkycs/oLRk3gbbxBGzurBNI5nIHJBNOf6NzWMHTmQu2Jzgjm0K/w+Wfd6uPZEctUOlDGjU&#13;&#10;6Itsu0huvbc9wVNsUe9ChZGPbu0HL6CZ+O4ar9MvMiG73Nb9sa1iFwnDw3LyfjzG5jO8urqeTXPX&#13;&#10;i9Nb50P8KKwmyaipT+lz9txR2N6HmFvLh/qAfy8pabRCpbagyBTRn5U8i5m8GoN5B0S0njMn+GCV&#13;&#10;5CupVHbS/Ik75QkmqCn/UaY24IsXUcqQfqCH7ADHt1EQ0dQOGxpMmwm8eBJ8uznCXpTTi9nqNeRU&#13;&#10;2BJCd0ifEVIYVFpG3BcldU1nifbAuxPAPxhO4t6hgAZXjabSgqZECVxMNPLzCFL9PQ55KoN0k+wH&#13;&#10;oZMVd5vdYVISVjrZWL7H6QmOrSQWfA8hrsGjKihPjzuFeX8+gcda1CeDQ3tdXk6muITZuZziVFDi&#13;&#10;z2825zdgWGdxVVn0lBycu5hXNzXC2NunaBsZky6nYgYHtyXLNWx2WsdzP0ed/n8WvwAAAP//AwBQ&#13;&#10;SwMEFAAGAAgAAAAhAA8IbjLiAAAADgEAAA8AAABkcnMvZG93bnJldi54bWxMj81OwzAQhO9IvIO1&#13;&#10;SNyoQwmhSuNUiAouXGgBcXXiJU4br0Pstsnbsz3BZaXZn9n5itXoOnHEIbSeFNzOEhBItTctNQo+&#13;&#10;3p9vFiBC1GR05wkVTBhgVV5eFDo3/kQbPG5jI9iEQq4V2Bj7XMpQW3Q6zHyPxLNvPzgdWQ6NNIM+&#13;&#10;sbnr5DxJMul0S/zB6h6fLNb77cEpeFnLn/u3XfWa2bqdqmn/tfusSanrq3G95PK4BBFxjH8XcGbg&#13;&#10;/FBysMofyATRsV6kDBQV3GUpCF6YJ+dGpSB9SEGWhfyPUf4CAAD//wMAUEsBAi0AFAAGAAgAAAAh&#13;&#10;ALaDOJL+AAAA4QEAABMAAAAAAAAAAAAAAAAAAAAAAFtDb250ZW50X1R5cGVzXS54bWxQSwECLQAU&#13;&#10;AAYACAAAACEAOP0h/9YAAACUAQAACwAAAAAAAAAAAAAAAAAvAQAAX3JlbHMvLnJlbHNQSwECLQAU&#13;&#10;AAYACAAAACEAZcYOLlICAADHBAAADgAAAAAAAAAAAAAAAAAuAgAAZHJzL2Uyb0RvYy54bWxQSwEC&#13;&#10;LQAUAAYACAAAACEADwhuMuIAAAAOAQAADwAAAAAAAAAAAAAAAACsBAAAZHJzL2Rvd25yZXYueG1s&#13;&#10;UEsFBgAAAAAEAAQA8wAAALsFAAAAAA==&#13;&#10;" adj="15660" fillcolor="black [3200]" strokecolor="#31538f" strokeweight="1pt">
                <v:stroke startarrowwidth="narrow" startarrowlength="short" endarrowwidth="narrow" endarrowlength="short"/>
                <v:textbox inset="2.53958mm,1.2694mm,2.53958mm,1.2694mm">
                  <w:txbxContent>
                    <w:p w14:paraId="0DEF46CC" w14:textId="77777777" w:rsidR="00894841" w:rsidRDefault="00894841">
                      <w:pPr>
                        <w:jc w:val="center"/>
                        <w:textDirection w:val="btLr"/>
                      </w:pPr>
                      <w:r>
                        <w:rPr>
                          <w:color w:val="000000"/>
                        </w:rPr>
                        <w:t xml:space="preserve">  </w:t>
                      </w: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2E10E050" wp14:editId="2B66ED6B">
                <wp:simplePos x="0" y="0"/>
                <wp:positionH relativeFrom="column">
                  <wp:posOffset>2044700</wp:posOffset>
                </wp:positionH>
                <wp:positionV relativeFrom="paragraph">
                  <wp:posOffset>231140</wp:posOffset>
                </wp:positionV>
                <wp:extent cx="127000" cy="69850"/>
                <wp:effectExtent l="0" t="12700" r="25400" b="31750"/>
                <wp:wrapNone/>
                <wp:docPr id="20" name="Right Arrow 20"/>
                <wp:cNvGraphicFramePr/>
                <a:graphic xmlns:a="http://schemas.openxmlformats.org/drawingml/2006/main">
                  <a:graphicData uri="http://schemas.microsoft.com/office/word/2010/wordprocessingShape">
                    <wps:wsp>
                      <wps:cNvSpPr/>
                      <wps:spPr>
                        <a:xfrm>
                          <a:off x="0" y="0"/>
                          <a:ext cx="127000" cy="69850"/>
                        </a:xfrm>
                        <a:prstGeom prst="rightArrow">
                          <a:avLst>
                            <a:gd name="adj1" fmla="val 50000"/>
                            <a:gd name="adj2" fmla="val 50000"/>
                          </a:avLst>
                        </a:prstGeom>
                        <a:solidFill>
                          <a:schemeClr val="dk1"/>
                        </a:solidFill>
                        <a:ln w="12700" cap="flat" cmpd="sng">
                          <a:solidFill>
                            <a:srgbClr val="31538F"/>
                          </a:solidFill>
                          <a:prstDash val="solid"/>
                          <a:miter lim="800000"/>
                          <a:headEnd type="none" w="sm" len="sm"/>
                          <a:tailEnd type="none" w="sm" len="sm"/>
                        </a:ln>
                      </wps:spPr>
                      <wps:txbx>
                        <w:txbxContent>
                          <w:p w14:paraId="49E43FA4" w14:textId="77777777" w:rsidR="00894841" w:rsidRDefault="00894841">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2E10E050" id="Right Arrow 20" o:spid="_x0000_s1028" type="#_x0000_t13" style="position:absolute;left:0;text-align:left;margin-left:161pt;margin-top:18.2pt;width:10pt;height: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aZGUgIAAMcEAAAOAAAAZHJzL2Uyb0RvYy54bWysVNtu2zAMfR+wfxD0vjh2my4N4hRFswwD&#13;&#10;ijVYtw9gJNnWptskNU7+fpTiJulWYMCwF4eUqEOeQzLzm51WZCt8kNbUtByNKRGGWS5NW9NvX1fv&#13;&#10;ppSECIaDskbUdC8CvVm8fTPv3UxUtrOKC08QxIRZ72raxehmRRFYJzSEkXXC4GVjvYaIrm8L7qFH&#13;&#10;dK2Kajy+KnrrufOWiRDwdHm4pIuM3zSCxYemCSISVVOsLeavz99N+haLOcxaD66TbCgD/qEKDdJg&#13;&#10;0iPUEiKQJy//gNKSeRtsE0fM6sI2jWQic0A25fg3No8dOJG5oDjBHWUK/w+Wfd6uPZG8phXKY0Bj&#13;&#10;j77Itovk1nvbEzxFiXoXZhj56NZ+8AKaie+u8Tr9IhOyy7Luj7KKXSQMD8vq/XiM6Ayvrq6nkwxZ&#13;&#10;nN46H+JHYTVJRk19Sp+zZ0Vhex9ilpYP9QH/XlLSaIWd2oIiE0R/7uRZTPVqDOYdENF6zpzgg1WS&#13;&#10;r6RS2UnzJ+6UJ5igpvxHmWTAFy+ilCH9QA/ZAY5voyCiqR0KGkybCbx4Eny7OcJelJOL6eo15FTY&#13;&#10;EkJ3SJ8RUhjMtIy4L0rqmk4T7YF3J4B/MJzEvcMGGlw1mkoLmhIlcDHRyM8jSPX3OOSpDNJNbT80&#13;&#10;Ollxt9kdJiVhpZON5XucnuDYSmLB9xDiGjx2BdvT405h3p9P4LEW9cng0F6Xl9UElzA7lxOcCkr8&#13;&#10;+c3m/AYM6yyuKouekoNzF/PqJiGMvX2KtpEx9eVUzODgtuR2DZud1vHcz1Gn/5/FLwAAAP//AwBQ&#13;&#10;SwMEFAAGAAgAAAAhAESLhUbiAAAADgEAAA8AAABkcnMvZG93bnJldi54bWxMjz1PwzAQhnck/oN1&#13;&#10;SGzUIQ0pSuNUiAoWFlqoWB3bxGnjc4jdNvn3XCdYTvf53vuUq9F17GSG0HoUcD9LgBlUXrfYCPj8&#13;&#10;eLl7BBaiRC07j0bAZAKsquurUhban3FjTtvYMBLBUEgBNsa+4Dwoa5wMM98bpNm3H5yMVA4N14M8&#13;&#10;k7jreJokOXeyRfpgZW+erVGH7dEJeF3zn4f3ff2WW9VO9XT42u8UCnF7M66XFJ6WwKIZ498FXBjI&#13;&#10;P1RkrPZH1IF1AuZpSkCRkjwDRgvz7NKoBWSLDHhV8v8Y1S8AAAD//wMAUEsBAi0AFAAGAAgAAAAh&#13;&#10;ALaDOJL+AAAA4QEAABMAAAAAAAAAAAAAAAAAAAAAAFtDb250ZW50X1R5cGVzXS54bWxQSwECLQAU&#13;&#10;AAYACAAAACEAOP0h/9YAAACUAQAACwAAAAAAAAAAAAAAAAAvAQAAX3JlbHMvLnJlbHNQSwECLQAU&#13;&#10;AAYACAAAACEAaeWmRlICAADHBAAADgAAAAAAAAAAAAAAAAAuAgAAZHJzL2Uyb0RvYy54bWxQSwEC&#13;&#10;LQAUAAYACAAAACEARIuFRuIAAAAOAQAADwAAAAAAAAAAAAAAAACsBAAAZHJzL2Rvd25yZXYueG1s&#13;&#10;UEsFBgAAAAAEAAQA8wAAALsFAAAAAA==&#13;&#10;" adj="15660" fillcolor="black [3200]" strokecolor="#31538f" strokeweight="1pt">
                <v:stroke startarrowwidth="narrow" startarrowlength="short" endarrowwidth="narrow" endarrowlength="short"/>
                <v:textbox inset="2.53958mm,1.2694mm,2.53958mm,1.2694mm">
                  <w:txbxContent>
                    <w:p w14:paraId="49E43FA4" w14:textId="77777777" w:rsidR="00894841" w:rsidRDefault="00894841">
                      <w:pPr>
                        <w:jc w:val="center"/>
                        <w:textDirection w:val="btLr"/>
                      </w:pPr>
                      <w:r>
                        <w:rPr>
                          <w:color w:val="000000"/>
                        </w:rPr>
                        <w:t xml:space="preserve">  </w:t>
                      </w:r>
                    </w:p>
                  </w:txbxContent>
                </v:textbox>
              </v:shape>
            </w:pict>
          </mc:Fallback>
        </mc:AlternateContent>
      </w:r>
      <w:r w:rsidR="00A317E5">
        <w:rPr>
          <w:rFonts w:ascii="Calibri" w:eastAsia="Calibri" w:hAnsi="Calibri" w:cs="Calibri"/>
          <w:sz w:val="22"/>
          <w:szCs w:val="22"/>
        </w:rPr>
        <w:t>The Drin Project’s overall objective and components are clear and practical and follow a logical sequence (objective       component      outcome       output).  The project’s components also respond adequately to the participating countries’ priorities. This fact was clearly emphasized by all the stakeholders that were interviewed. The flow of the Theory of Change (ToC) diagram looks logical and the drivers and assumptions are correctly stated. However, the project’s objective is not clearly stated in the ToC diagram, there is no clear definition of the problem to be addressed, there is no identification of the barriers to achieving the outcomes (enablers are indicated in the ToC diagram), and there is no indication of the phased withdrawal of the project, i.e. the exit strategy. However, the implementation of the Strategic Actions Programme (SAP) is stated as an Intermediate Goal, which is the task to be implemented, eventually, in the next stage of the project. Finally, the textual description of the project’s strategy and the ToC is rather elementary.</w:t>
      </w:r>
    </w:p>
    <w:p w14:paraId="3600FAB8" w14:textId="77777777" w:rsidR="000F31AD" w:rsidRDefault="000F31AD">
      <w:pPr>
        <w:jc w:val="both"/>
        <w:rPr>
          <w:rFonts w:ascii="Calibri" w:eastAsia="Calibri" w:hAnsi="Calibri" w:cs="Calibri"/>
          <w:sz w:val="22"/>
          <w:szCs w:val="22"/>
        </w:rPr>
      </w:pPr>
    </w:p>
    <w:p w14:paraId="5E9F4413" w14:textId="440E2F58" w:rsidR="000F31AD" w:rsidRDefault="00A317E5" w:rsidP="00962B7C">
      <w:pPr>
        <w:jc w:val="both"/>
        <w:rPr>
          <w:rFonts w:ascii="Calibri" w:eastAsia="Calibri" w:hAnsi="Calibri" w:cs="Calibri"/>
          <w:sz w:val="22"/>
          <w:szCs w:val="22"/>
        </w:rPr>
      </w:pPr>
      <w:r>
        <w:rPr>
          <w:rFonts w:ascii="Calibri" w:eastAsia="Calibri" w:hAnsi="Calibri" w:cs="Calibri"/>
          <w:sz w:val="22"/>
          <w:szCs w:val="22"/>
        </w:rPr>
        <w:t xml:space="preserve">The Strategic Results Framework (SRF) identified during the design phase mostly presents a good and clear set of expected results. No changes were made during the Inception Phase. However, the </w:t>
      </w:r>
      <w:r w:rsidR="00962B7C">
        <w:rPr>
          <w:rFonts w:ascii="Calibri" w:eastAsia="Calibri" w:hAnsi="Calibri" w:cs="Calibri"/>
          <w:sz w:val="22"/>
          <w:szCs w:val="22"/>
        </w:rPr>
        <w:t xml:space="preserve">countries and the </w:t>
      </w:r>
      <w:r>
        <w:rPr>
          <w:rFonts w:ascii="Calibri" w:eastAsia="Calibri" w:hAnsi="Calibri" w:cs="Calibri"/>
          <w:sz w:val="22"/>
          <w:szCs w:val="22"/>
        </w:rPr>
        <w:t>MTR proposed several revisions of indicators and targets</w:t>
      </w:r>
      <w:r w:rsidR="00A11D95" w:rsidRPr="00A11D95">
        <w:rPr>
          <w:rFonts w:ascii="Calibri" w:eastAsia="Calibri" w:hAnsi="Calibri" w:cs="Calibri"/>
          <w:sz w:val="22"/>
          <w:szCs w:val="22"/>
        </w:rPr>
        <w:t xml:space="preserve"> </w:t>
      </w:r>
      <w:r w:rsidR="00A11D95">
        <w:rPr>
          <w:rFonts w:ascii="Calibri" w:eastAsia="Calibri" w:hAnsi="Calibri" w:cs="Calibri"/>
          <w:sz w:val="22"/>
          <w:szCs w:val="22"/>
        </w:rPr>
        <w:t xml:space="preserve">and </w:t>
      </w:r>
      <w:r w:rsidR="00A11D95" w:rsidRPr="00A11D95">
        <w:rPr>
          <w:rFonts w:ascii="Calibri" w:eastAsia="Calibri" w:hAnsi="Calibri" w:cs="Calibri"/>
          <w:sz w:val="22"/>
          <w:szCs w:val="22"/>
        </w:rPr>
        <w:t xml:space="preserve">the SC </w:t>
      </w:r>
      <w:r w:rsidR="00A11D95">
        <w:rPr>
          <w:rFonts w:ascii="Calibri" w:eastAsia="Calibri" w:hAnsi="Calibri" w:cs="Calibri"/>
          <w:sz w:val="22"/>
          <w:szCs w:val="22"/>
        </w:rPr>
        <w:t xml:space="preserve">approved these </w:t>
      </w:r>
      <w:r w:rsidR="00A11D95" w:rsidRPr="00A11D95">
        <w:rPr>
          <w:rFonts w:ascii="Calibri" w:eastAsia="Calibri" w:hAnsi="Calibri" w:cs="Calibri"/>
          <w:sz w:val="22"/>
          <w:szCs w:val="22"/>
        </w:rPr>
        <w:t xml:space="preserve">in its Ad hoc meeting on 30 March </w:t>
      </w:r>
      <w:r w:rsidR="00A11D95">
        <w:rPr>
          <w:rFonts w:ascii="Calibri" w:eastAsia="Calibri" w:hAnsi="Calibri" w:cs="Calibri"/>
          <w:sz w:val="22"/>
          <w:szCs w:val="22"/>
        </w:rPr>
        <w:t>20</w:t>
      </w:r>
      <w:r w:rsidR="00A11D95" w:rsidRPr="00A11D95">
        <w:rPr>
          <w:rFonts w:ascii="Calibri" w:eastAsia="Calibri" w:hAnsi="Calibri" w:cs="Calibri"/>
          <w:sz w:val="22"/>
          <w:szCs w:val="22"/>
        </w:rPr>
        <w:t>16 and 2nd meeting on 13 June 2016</w:t>
      </w:r>
      <w:r w:rsidR="00A11D95">
        <w:rPr>
          <w:rFonts w:ascii="Calibri" w:eastAsia="Calibri" w:hAnsi="Calibri" w:cs="Calibri"/>
          <w:sz w:val="22"/>
          <w:szCs w:val="22"/>
        </w:rPr>
        <w:t xml:space="preserve"> (changes proposed by countries), and its</w:t>
      </w:r>
      <w:r w:rsidR="00A11D95" w:rsidRPr="00A11D95">
        <w:rPr>
          <w:rFonts w:ascii="Calibri" w:eastAsia="Calibri" w:hAnsi="Calibri" w:cs="Calibri"/>
          <w:sz w:val="22"/>
          <w:szCs w:val="22"/>
        </w:rPr>
        <w:t xml:space="preserve"> 8th meeting on 31 May 2019</w:t>
      </w:r>
      <w:r w:rsidR="00A11D95">
        <w:rPr>
          <w:rFonts w:ascii="Calibri" w:eastAsia="Calibri" w:hAnsi="Calibri" w:cs="Calibri"/>
          <w:sz w:val="22"/>
          <w:szCs w:val="22"/>
        </w:rPr>
        <w:t xml:space="preserve"> (changes proposed by the MTR)</w:t>
      </w:r>
      <w:r>
        <w:rPr>
          <w:rFonts w:ascii="Calibri" w:eastAsia="Calibri" w:hAnsi="Calibri" w:cs="Calibri"/>
          <w:sz w:val="22"/>
          <w:szCs w:val="22"/>
        </w:rPr>
        <w:t>. The indicators were changed in Outcomes</w:t>
      </w:r>
      <w:r w:rsidR="00820EDD">
        <w:rPr>
          <w:rFonts w:ascii="Calibri" w:eastAsia="Calibri" w:hAnsi="Calibri" w:cs="Calibri"/>
          <w:sz w:val="22"/>
          <w:szCs w:val="22"/>
        </w:rPr>
        <w:t xml:space="preserve"> </w:t>
      </w:r>
      <w:r>
        <w:rPr>
          <w:rFonts w:ascii="Calibri" w:eastAsia="Calibri" w:hAnsi="Calibri" w:cs="Calibri"/>
          <w:sz w:val="22"/>
          <w:szCs w:val="22"/>
        </w:rPr>
        <w:t xml:space="preserve">2, 4 and 5, while the targets were changed in Outcomes 2 and 4. TE finds that MTR proposed changes are sound in particular because they have streamlined the indicators and targets, thus making them more </w:t>
      </w:r>
      <w:r w:rsidR="00B5080E">
        <w:rPr>
          <w:rFonts w:ascii="Calibri" w:eastAsia="Calibri" w:hAnsi="Calibri" w:cs="Calibri"/>
          <w:sz w:val="22"/>
          <w:szCs w:val="22"/>
        </w:rPr>
        <w:t>realistic</w:t>
      </w:r>
      <w:r>
        <w:rPr>
          <w:rFonts w:ascii="Calibri" w:eastAsia="Calibri" w:hAnsi="Calibri" w:cs="Calibri"/>
          <w:sz w:val="22"/>
          <w:szCs w:val="22"/>
        </w:rPr>
        <w:t>.  The revised SRF is attached as Annex 7. The TE also finds that the revised indicators of the SRF are SMART and fully compatible with the stated project’s objective.</w:t>
      </w:r>
    </w:p>
    <w:p w14:paraId="1F0387F0" w14:textId="77777777" w:rsidR="000F31AD" w:rsidRDefault="000F31AD">
      <w:pPr>
        <w:pStyle w:val="Heading3"/>
      </w:pPr>
    </w:p>
    <w:p w14:paraId="6582BF67" w14:textId="77777777" w:rsidR="000F31AD" w:rsidRDefault="00A317E5">
      <w:pPr>
        <w:pStyle w:val="Heading3"/>
      </w:pPr>
      <w:bookmarkStart w:id="26" w:name="_Toc81335849"/>
      <w:r>
        <w:t>3.1.2.</w:t>
      </w:r>
      <w:r>
        <w:tab/>
        <w:t>Assumptions and risks</w:t>
      </w:r>
      <w:bookmarkEnd w:id="26"/>
    </w:p>
    <w:p w14:paraId="63F5BB9E" w14:textId="77777777" w:rsidR="004A0ACB" w:rsidRDefault="004A0ACB">
      <w:pPr>
        <w:pBdr>
          <w:top w:val="nil"/>
          <w:left w:val="nil"/>
          <w:bottom w:val="nil"/>
          <w:right w:val="nil"/>
          <w:between w:val="nil"/>
        </w:pBdr>
        <w:jc w:val="both"/>
        <w:rPr>
          <w:rFonts w:ascii="Calibri" w:eastAsia="Calibri" w:hAnsi="Calibri" w:cs="Calibri"/>
          <w:color w:val="000000"/>
          <w:sz w:val="22"/>
          <w:szCs w:val="22"/>
        </w:rPr>
      </w:pPr>
    </w:p>
    <w:p w14:paraId="347EBBF9" w14:textId="576A71BB" w:rsidR="00B5080E" w:rsidRPr="00894841" w:rsidRDefault="00A317E5" w:rsidP="00894841">
      <w:pPr>
        <w:pStyle w:val="CommentText"/>
        <w:jc w:val="both"/>
        <w:rPr>
          <w:rFonts w:asciiTheme="minorHAnsi" w:hAnsiTheme="minorHAnsi" w:cstheme="minorHAnsi"/>
          <w:sz w:val="22"/>
          <w:szCs w:val="22"/>
          <w:lang w:val="en-US"/>
        </w:rPr>
      </w:pPr>
      <w:r>
        <w:rPr>
          <w:rFonts w:ascii="Calibri" w:eastAsia="Calibri" w:hAnsi="Calibri" w:cs="Calibri"/>
          <w:color w:val="000000"/>
          <w:sz w:val="22"/>
          <w:szCs w:val="22"/>
        </w:rPr>
        <w:t xml:space="preserve">The PIFs and, subsequently, the ProDoc assess the project as the low risk one. </w:t>
      </w:r>
      <w:r w:rsidR="00B5080E" w:rsidRPr="00894841">
        <w:rPr>
          <w:rFonts w:asciiTheme="minorHAnsi" w:hAnsiTheme="minorHAnsi" w:cstheme="minorHAnsi"/>
          <w:sz w:val="22"/>
          <w:szCs w:val="22"/>
          <w:lang w:val="en-US"/>
        </w:rPr>
        <w:t xml:space="preserve">The Project Results Framework lists a number of risks and assumptions that were identified as applying to all project activities.  These mainly relate to the political will and capacity of the Drin Riparians’ institutions to contribute </w:t>
      </w:r>
      <w:r w:rsidR="00B5080E">
        <w:rPr>
          <w:rFonts w:asciiTheme="minorHAnsi" w:hAnsiTheme="minorHAnsi" w:cstheme="minorHAnsi"/>
          <w:sz w:val="22"/>
          <w:szCs w:val="22"/>
          <w:lang w:val="en-US"/>
        </w:rPr>
        <w:t>to the</w:t>
      </w:r>
      <w:r w:rsidR="00B5080E" w:rsidRPr="00894841">
        <w:rPr>
          <w:rFonts w:asciiTheme="minorHAnsi" w:hAnsiTheme="minorHAnsi" w:cstheme="minorHAnsi"/>
          <w:sz w:val="22"/>
          <w:szCs w:val="22"/>
          <w:lang w:val="en-US"/>
        </w:rPr>
        <w:t xml:space="preserve"> project activities, the timely provision of data and information and participation in meetings and conferences.  </w:t>
      </w:r>
    </w:p>
    <w:p w14:paraId="7CFE06DC" w14:textId="77777777" w:rsidR="00B5080E" w:rsidRPr="00894841" w:rsidRDefault="00B5080E" w:rsidP="00894841">
      <w:pPr>
        <w:pStyle w:val="CommentText"/>
        <w:jc w:val="both"/>
        <w:rPr>
          <w:rFonts w:asciiTheme="minorHAnsi" w:hAnsiTheme="minorHAnsi" w:cstheme="minorHAnsi"/>
          <w:sz w:val="22"/>
          <w:szCs w:val="22"/>
          <w:lang w:val="en-US"/>
        </w:rPr>
      </w:pPr>
    </w:p>
    <w:p w14:paraId="78E5951E" w14:textId="4DD36686" w:rsidR="00B5080E" w:rsidRPr="00894841" w:rsidRDefault="00B5080E" w:rsidP="00894841">
      <w:pPr>
        <w:pStyle w:val="CommentText"/>
        <w:jc w:val="both"/>
        <w:rPr>
          <w:rFonts w:asciiTheme="minorHAnsi" w:hAnsiTheme="minorHAnsi" w:cstheme="minorHAnsi"/>
          <w:sz w:val="22"/>
          <w:szCs w:val="22"/>
          <w:lang w:val="en-US"/>
        </w:rPr>
      </w:pPr>
      <w:r w:rsidRPr="00894841">
        <w:rPr>
          <w:rFonts w:asciiTheme="minorHAnsi" w:hAnsiTheme="minorHAnsi" w:cstheme="minorHAnsi"/>
          <w:sz w:val="22"/>
          <w:szCs w:val="22"/>
          <w:lang w:val="en-US"/>
        </w:rPr>
        <w:t xml:space="preserve">The UNDP Risks-Log (Annex </w:t>
      </w:r>
      <w:r>
        <w:rPr>
          <w:rFonts w:asciiTheme="minorHAnsi" w:hAnsiTheme="minorHAnsi" w:cstheme="minorHAnsi"/>
          <w:sz w:val="22"/>
          <w:szCs w:val="22"/>
          <w:lang w:val="en-US"/>
        </w:rPr>
        <w:t>6</w:t>
      </w:r>
      <w:r w:rsidRPr="00894841">
        <w:rPr>
          <w:rFonts w:asciiTheme="minorHAnsi" w:hAnsiTheme="minorHAnsi" w:cstheme="minorHAnsi"/>
          <w:sz w:val="22"/>
          <w:szCs w:val="22"/>
          <w:lang w:val="en-US"/>
        </w:rPr>
        <w:t xml:space="preserve"> of the ProDoc) identifies </w:t>
      </w:r>
      <w:r>
        <w:rPr>
          <w:rFonts w:asciiTheme="minorHAnsi" w:hAnsiTheme="minorHAnsi" w:cstheme="minorHAnsi"/>
          <w:sz w:val="22"/>
          <w:szCs w:val="22"/>
          <w:lang w:val="en-US"/>
        </w:rPr>
        <w:t xml:space="preserve">two risks only. </w:t>
      </w:r>
      <w:r w:rsidRPr="00894841">
        <w:rPr>
          <w:rFonts w:asciiTheme="minorHAnsi" w:hAnsiTheme="minorHAnsi" w:cstheme="minorHAnsi"/>
          <w:sz w:val="22"/>
          <w:szCs w:val="22"/>
          <w:lang w:val="en-US"/>
        </w:rPr>
        <w:t>Lack of sustained political support by the project countries may hinder the ability of the project to reach its objective</w:t>
      </w:r>
      <w:r>
        <w:rPr>
          <w:rFonts w:asciiTheme="minorHAnsi" w:hAnsiTheme="minorHAnsi" w:cstheme="minorHAnsi"/>
          <w:sz w:val="22"/>
          <w:szCs w:val="22"/>
          <w:lang w:val="en-US"/>
        </w:rPr>
        <w:t xml:space="preserve"> is</w:t>
      </w:r>
      <w:r w:rsidRPr="00894841">
        <w:rPr>
          <w:rFonts w:asciiTheme="minorHAnsi" w:hAnsiTheme="minorHAnsi" w:cstheme="minorHAnsi"/>
          <w:sz w:val="22"/>
          <w:szCs w:val="22"/>
          <w:lang w:val="en-US"/>
        </w:rPr>
        <w:t xml:space="preserve"> rated as low.</w:t>
      </w:r>
      <w:r>
        <w:rPr>
          <w:rFonts w:asciiTheme="minorHAnsi" w:hAnsiTheme="minorHAnsi" w:cstheme="minorHAnsi"/>
          <w:sz w:val="22"/>
          <w:szCs w:val="22"/>
          <w:lang w:val="en-US"/>
        </w:rPr>
        <w:t xml:space="preserve"> </w:t>
      </w:r>
      <w:r w:rsidRPr="00894841">
        <w:rPr>
          <w:rFonts w:asciiTheme="minorHAnsi" w:hAnsiTheme="minorHAnsi" w:cstheme="minorHAnsi"/>
          <w:sz w:val="22"/>
          <w:szCs w:val="22"/>
          <w:lang w:val="en-US"/>
        </w:rPr>
        <w:t>Climate Change may have an effect to the hydrological system in the Drin Basin affecting the ecosystems, the frequency and intensity of floods hence the society and the economy etc.</w:t>
      </w:r>
      <w:r>
        <w:rPr>
          <w:rFonts w:asciiTheme="minorHAnsi" w:hAnsiTheme="minorHAnsi" w:cstheme="minorHAnsi"/>
          <w:sz w:val="22"/>
          <w:szCs w:val="22"/>
          <w:lang w:val="en-US"/>
        </w:rPr>
        <w:t xml:space="preserve"> is</w:t>
      </w:r>
      <w:r w:rsidRPr="00894841">
        <w:rPr>
          <w:rFonts w:asciiTheme="minorHAnsi" w:hAnsiTheme="minorHAnsi" w:cstheme="minorHAnsi"/>
          <w:sz w:val="22"/>
          <w:szCs w:val="22"/>
          <w:lang w:val="en-US"/>
        </w:rPr>
        <w:t xml:space="preserve"> rated as moderate.</w:t>
      </w:r>
    </w:p>
    <w:p w14:paraId="1A96A520" w14:textId="77777777" w:rsidR="00B5080E" w:rsidRPr="00894841" w:rsidRDefault="00B5080E" w:rsidP="00894841">
      <w:pPr>
        <w:pStyle w:val="CommentText"/>
        <w:jc w:val="both"/>
        <w:rPr>
          <w:rFonts w:asciiTheme="minorHAnsi" w:hAnsiTheme="minorHAnsi" w:cstheme="minorHAnsi"/>
          <w:sz w:val="22"/>
          <w:szCs w:val="22"/>
          <w:lang w:val="en-US"/>
        </w:rPr>
      </w:pPr>
    </w:p>
    <w:p w14:paraId="20496E9B" w14:textId="6E59899A" w:rsidR="00B5080E" w:rsidRDefault="00B5080E" w:rsidP="00B5080E">
      <w:pPr>
        <w:pStyle w:val="CommentText"/>
        <w:jc w:val="both"/>
        <w:rPr>
          <w:rFonts w:asciiTheme="minorHAnsi" w:hAnsiTheme="minorHAnsi" w:cstheme="minorHAnsi"/>
          <w:sz w:val="22"/>
          <w:szCs w:val="22"/>
          <w:lang w:val="en-US"/>
        </w:rPr>
      </w:pPr>
      <w:r w:rsidRPr="00894841">
        <w:rPr>
          <w:rFonts w:asciiTheme="minorHAnsi" w:hAnsiTheme="minorHAnsi" w:cstheme="minorHAnsi"/>
          <w:sz w:val="22"/>
          <w:szCs w:val="22"/>
          <w:lang w:val="en-US"/>
        </w:rPr>
        <w:t>Thee additional risks were identified during the project lifetime and included in the UNDP Atlas Risk Register; none of the risks were considered as critical:</w:t>
      </w:r>
    </w:p>
    <w:p w14:paraId="7C00DDF1" w14:textId="77777777" w:rsidR="00B5080E" w:rsidRPr="00894841" w:rsidRDefault="00B5080E" w:rsidP="00894841">
      <w:pPr>
        <w:pStyle w:val="CommentText"/>
        <w:jc w:val="both"/>
        <w:rPr>
          <w:rFonts w:asciiTheme="minorHAnsi" w:hAnsiTheme="minorHAnsi" w:cstheme="minorHAnsi"/>
          <w:sz w:val="22"/>
          <w:szCs w:val="22"/>
          <w:lang w:val="en-US"/>
        </w:rPr>
      </w:pPr>
    </w:p>
    <w:p w14:paraId="3C24E9B4" w14:textId="59599B9D" w:rsidR="00B5080E" w:rsidRPr="00894841" w:rsidRDefault="00B5080E" w:rsidP="0052081C">
      <w:pPr>
        <w:pStyle w:val="CommentText"/>
        <w:numPr>
          <w:ilvl w:val="0"/>
          <w:numId w:val="13"/>
        </w:numPr>
        <w:ind w:left="426" w:hanging="426"/>
        <w:jc w:val="both"/>
        <w:rPr>
          <w:rFonts w:asciiTheme="minorHAnsi" w:hAnsiTheme="minorHAnsi" w:cstheme="minorHAnsi"/>
          <w:sz w:val="22"/>
          <w:szCs w:val="22"/>
          <w:lang w:val="x-none"/>
        </w:rPr>
      </w:pPr>
      <w:r w:rsidRPr="00894841">
        <w:rPr>
          <w:rFonts w:asciiTheme="minorHAnsi" w:hAnsiTheme="minorHAnsi" w:cstheme="minorHAnsi"/>
          <w:sz w:val="22"/>
          <w:szCs w:val="22"/>
          <w:lang w:val="en-US"/>
        </w:rPr>
        <w:t>Post</w:t>
      </w:r>
      <w:r>
        <w:rPr>
          <w:rFonts w:asciiTheme="minorHAnsi" w:hAnsiTheme="minorHAnsi" w:cstheme="minorHAnsi"/>
          <w:sz w:val="22"/>
          <w:szCs w:val="22"/>
          <w:lang w:val="en-US"/>
        </w:rPr>
        <w:t>-</w:t>
      </w:r>
      <w:r w:rsidRPr="00894841">
        <w:rPr>
          <w:rFonts w:asciiTheme="minorHAnsi" w:hAnsiTheme="minorHAnsi" w:cstheme="minorHAnsi"/>
          <w:sz w:val="22"/>
          <w:szCs w:val="22"/>
          <w:lang w:val="en-US"/>
        </w:rPr>
        <w:t>earthquake in Albania and COVID-19 pandemic, that may have an impact on stakeholders</w:t>
      </w:r>
      <w:r w:rsidR="00444D9E">
        <w:rPr>
          <w:rFonts w:asciiTheme="minorHAnsi" w:hAnsiTheme="minorHAnsi" w:cstheme="minorHAnsi"/>
          <w:sz w:val="22"/>
          <w:szCs w:val="22"/>
          <w:lang w:val="en-US"/>
        </w:rPr>
        <w:t>’</w:t>
      </w:r>
      <w:r w:rsidRPr="00894841">
        <w:rPr>
          <w:rFonts w:asciiTheme="minorHAnsi" w:hAnsiTheme="minorHAnsi" w:cstheme="minorHAnsi"/>
          <w:sz w:val="22"/>
          <w:szCs w:val="22"/>
          <w:lang w:val="en-US"/>
        </w:rPr>
        <w:t xml:space="preserve"> engagement, lower responsiveness and input and, resulting in delays and lower quality of deliverables, rated as medium/moderate. </w:t>
      </w:r>
    </w:p>
    <w:p w14:paraId="6F267D79" w14:textId="1E0B7E3E" w:rsidR="00B5080E" w:rsidRPr="00894841" w:rsidRDefault="00B5080E" w:rsidP="0052081C">
      <w:pPr>
        <w:pStyle w:val="CommentText"/>
        <w:numPr>
          <w:ilvl w:val="0"/>
          <w:numId w:val="13"/>
        </w:numPr>
        <w:ind w:left="426" w:hanging="426"/>
        <w:jc w:val="both"/>
        <w:rPr>
          <w:rFonts w:asciiTheme="minorHAnsi" w:hAnsiTheme="minorHAnsi" w:cstheme="minorHAnsi"/>
          <w:sz w:val="22"/>
          <w:szCs w:val="22"/>
          <w:lang w:val="x-none"/>
        </w:rPr>
      </w:pPr>
      <w:r w:rsidRPr="00894841">
        <w:rPr>
          <w:rFonts w:asciiTheme="minorHAnsi" w:hAnsiTheme="minorHAnsi" w:cstheme="minorHAnsi"/>
          <w:sz w:val="22"/>
          <w:szCs w:val="22"/>
          <w:lang w:val="en-US"/>
        </w:rPr>
        <w:t>Changes in the government, consequently the DCG as a result of elections in the Drin Basin</w:t>
      </w:r>
      <w:r w:rsidR="00444D9E">
        <w:rPr>
          <w:rFonts w:asciiTheme="minorHAnsi" w:hAnsiTheme="minorHAnsi" w:cstheme="minorHAnsi"/>
          <w:sz w:val="22"/>
          <w:szCs w:val="22"/>
          <w:lang w:val="en-US"/>
        </w:rPr>
        <w:t>,</w:t>
      </w:r>
      <w:r w:rsidRPr="00894841">
        <w:rPr>
          <w:rFonts w:asciiTheme="minorHAnsi" w:hAnsiTheme="minorHAnsi" w:cstheme="minorHAnsi"/>
          <w:sz w:val="22"/>
          <w:szCs w:val="22"/>
          <w:lang w:val="en-US"/>
        </w:rPr>
        <w:t xml:space="preserve"> rated as low.</w:t>
      </w:r>
    </w:p>
    <w:p w14:paraId="32A8780E" w14:textId="7C935B86" w:rsidR="00B5080E" w:rsidRPr="00894841" w:rsidRDefault="00B5080E" w:rsidP="0052081C">
      <w:pPr>
        <w:pStyle w:val="CommentText"/>
        <w:numPr>
          <w:ilvl w:val="0"/>
          <w:numId w:val="13"/>
        </w:numPr>
        <w:ind w:left="426" w:hanging="426"/>
        <w:jc w:val="both"/>
        <w:rPr>
          <w:rFonts w:asciiTheme="minorHAnsi" w:hAnsiTheme="minorHAnsi" w:cstheme="minorHAnsi"/>
          <w:sz w:val="22"/>
          <w:szCs w:val="22"/>
          <w:lang w:val="x-none"/>
        </w:rPr>
      </w:pPr>
      <w:r w:rsidRPr="00894841">
        <w:rPr>
          <w:rFonts w:asciiTheme="minorHAnsi" w:hAnsiTheme="minorHAnsi" w:cstheme="minorHAnsi"/>
          <w:sz w:val="22"/>
          <w:szCs w:val="22"/>
          <w:lang w:val="en-US"/>
        </w:rPr>
        <w:lastRenderedPageBreak/>
        <w:t>The representatives of the countries in the Drin Core Group and the Steering Committee a low</w:t>
      </w:r>
      <w:r w:rsidR="00444D9E">
        <w:rPr>
          <w:rFonts w:asciiTheme="minorHAnsi" w:hAnsiTheme="minorHAnsi" w:cstheme="minorHAnsi"/>
          <w:sz w:val="22"/>
          <w:szCs w:val="22"/>
          <w:lang w:val="en-US"/>
        </w:rPr>
        <w:t>-</w:t>
      </w:r>
      <w:r w:rsidRPr="00894841">
        <w:rPr>
          <w:rFonts w:asciiTheme="minorHAnsi" w:hAnsiTheme="minorHAnsi" w:cstheme="minorHAnsi"/>
          <w:sz w:val="22"/>
          <w:szCs w:val="22"/>
          <w:lang w:val="en-US"/>
        </w:rPr>
        <w:t xml:space="preserve"> level staff of the Ministries</w:t>
      </w:r>
      <w:r w:rsidR="00444D9E">
        <w:rPr>
          <w:rFonts w:asciiTheme="minorHAnsi" w:hAnsiTheme="minorHAnsi" w:cstheme="minorHAnsi"/>
          <w:sz w:val="22"/>
          <w:szCs w:val="22"/>
          <w:lang w:val="en-US"/>
        </w:rPr>
        <w:t>,</w:t>
      </w:r>
      <w:r w:rsidRPr="00894841">
        <w:rPr>
          <w:rFonts w:asciiTheme="minorHAnsi" w:hAnsiTheme="minorHAnsi" w:cstheme="minorHAnsi"/>
          <w:sz w:val="22"/>
          <w:szCs w:val="22"/>
          <w:lang w:val="en-US"/>
        </w:rPr>
        <w:t xml:space="preserve"> rated as low.</w:t>
      </w:r>
    </w:p>
    <w:p w14:paraId="3C40F53A" w14:textId="77777777" w:rsidR="000F31AD" w:rsidRDefault="000F31AD" w:rsidP="00B5080E">
      <w:pPr>
        <w:pBdr>
          <w:top w:val="nil"/>
          <w:left w:val="nil"/>
          <w:bottom w:val="nil"/>
          <w:right w:val="nil"/>
          <w:between w:val="nil"/>
        </w:pBdr>
        <w:jc w:val="both"/>
      </w:pPr>
    </w:p>
    <w:p w14:paraId="230C79EE" w14:textId="77777777" w:rsidR="000F31AD" w:rsidRDefault="00A317E5">
      <w:pPr>
        <w:pStyle w:val="Heading3"/>
      </w:pPr>
      <w:bookmarkStart w:id="27" w:name="_Toc81335850"/>
      <w:r>
        <w:t>3.1.3.</w:t>
      </w:r>
      <w:r>
        <w:tab/>
        <w:t>Lessons from other relevant projects incorporated into project design</w:t>
      </w:r>
      <w:bookmarkEnd w:id="27"/>
    </w:p>
    <w:p w14:paraId="30AE5A5B"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The design of the project benefited from past experiences in the area of integrated river basin management. It was built on past experiences including projects supported by GEF and implemented by UNDP. The project has drawn lessons from three major GEF funded projects in the region: GEF-World Bank’s “Lake Shkoder Integrated Ecosystem Management Project”, GEF-World Bank’s “Lake Ohrid Conservation Project”, and GEF-UNDP’s “Integrated Ecosystem Management in the Prespa Lakes Basin”. Project is also linked to the 4 countries’ efforts to implement the EU environmental legislation, in particular the EU Water Directive. As the ProDoc states “…the present project responds to the stated priorities set forth in the Drin Memorandum of Understanding (MoU)…aims at fostering the joint, transboundary and integrated management of the Drin River Basin, assisting to overcome the present fragmented approaches and diverse administrative and legal frameworks.” The project is also closely linked to the Drin Dialogue Project. The TE finds that the Drin Project has integrated all relevant lessons from the similar project in the region and wider, and is well embedded in the complementary regional management initiatives. </w:t>
      </w:r>
    </w:p>
    <w:p w14:paraId="2BCD260F" w14:textId="77777777" w:rsidR="000F31AD" w:rsidRDefault="00A317E5">
      <w:pPr>
        <w:pStyle w:val="Heading3"/>
      </w:pPr>
      <w:bookmarkStart w:id="28" w:name="_Toc81335851"/>
      <w:r>
        <w:t>3.1.4.</w:t>
      </w:r>
      <w:r>
        <w:tab/>
        <w:t>Planned stakeholder participation</w:t>
      </w:r>
      <w:bookmarkEnd w:id="28"/>
    </w:p>
    <w:p w14:paraId="7839CE7C" w14:textId="77777777" w:rsidR="000F31AD" w:rsidRDefault="000F31AD"/>
    <w:p w14:paraId="5CB35E5C" w14:textId="56BEEF9D" w:rsidR="000F31AD" w:rsidRDefault="00A317E5" w:rsidP="00894841">
      <w:pPr>
        <w:jc w:val="both"/>
        <w:rPr>
          <w:rFonts w:ascii="Calibri" w:eastAsia="Calibri" w:hAnsi="Calibri" w:cs="Calibri"/>
          <w:color w:val="000000"/>
          <w:sz w:val="22"/>
          <w:szCs w:val="22"/>
        </w:rPr>
      </w:pPr>
      <w:r>
        <w:rPr>
          <w:rFonts w:ascii="Calibri" w:eastAsia="Calibri" w:hAnsi="Calibri" w:cs="Calibri"/>
          <w:color w:val="000000"/>
          <w:sz w:val="22"/>
          <w:szCs w:val="22"/>
        </w:rPr>
        <w:t xml:space="preserve">Main stakeholders were identified in a number of project related documents. The PIFs identified key stakeholders at various government levels in all four countries, as well as civil society organisations. The PIFs also outlined the basic principles for the stakeholder engagement. The ProDoc expanded on the stakeholder involvement by developing an entire component (Component 5) devoted to this aspect. The main aim of this component’s activities was to support the implementation of Components 1 to 4 of the project, in particular the Transboundary Diagnostic Analysis (TDA) and the Strategic Actions Programme (SAP). The TE also finds that, considering the fact that the project design was extensively linked to Drin MoU, which was an expression of the perspectives of major stakeholders in riparian countries, that their views on Drin transboundary water management were well presented. </w:t>
      </w:r>
    </w:p>
    <w:p w14:paraId="6837DE3D" w14:textId="77777777" w:rsidR="000F31AD" w:rsidRDefault="000F31AD">
      <w:pPr>
        <w:jc w:val="both"/>
        <w:rPr>
          <w:rFonts w:ascii="Calibri" w:eastAsia="Calibri" w:hAnsi="Calibri" w:cs="Calibri"/>
          <w:color w:val="000000"/>
          <w:sz w:val="22"/>
          <w:szCs w:val="22"/>
        </w:rPr>
      </w:pPr>
    </w:p>
    <w:p w14:paraId="4255BCCD" w14:textId="743C4BAA" w:rsidR="000F31AD" w:rsidRDefault="00A317E5" w:rsidP="00894841">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ProDoc </w:t>
      </w:r>
      <w:r w:rsidR="007D4F68">
        <w:rPr>
          <w:rFonts w:ascii="Calibri" w:eastAsia="Calibri" w:hAnsi="Calibri" w:cs="Calibri"/>
          <w:color w:val="000000"/>
          <w:sz w:val="22"/>
          <w:szCs w:val="22"/>
        </w:rPr>
        <w:t>proposed development of</w:t>
      </w:r>
      <w:r>
        <w:rPr>
          <w:rFonts w:ascii="Calibri" w:eastAsia="Calibri" w:hAnsi="Calibri" w:cs="Calibri"/>
          <w:color w:val="000000"/>
          <w:sz w:val="22"/>
          <w:szCs w:val="22"/>
        </w:rPr>
        <w:t xml:space="preserve"> the Stakeholder </w:t>
      </w:r>
      <w:r w:rsidR="007D4F68">
        <w:rPr>
          <w:rFonts w:ascii="Calibri" w:eastAsia="Calibri" w:hAnsi="Calibri" w:cs="Calibri"/>
          <w:color w:val="000000"/>
          <w:sz w:val="22"/>
          <w:szCs w:val="22"/>
        </w:rPr>
        <w:t>Involvement Strategy</w:t>
      </w:r>
      <w:r>
        <w:rPr>
          <w:rFonts w:ascii="Calibri" w:eastAsia="Calibri" w:hAnsi="Calibri" w:cs="Calibri"/>
          <w:color w:val="000000"/>
          <w:sz w:val="22"/>
          <w:szCs w:val="22"/>
        </w:rPr>
        <w:t xml:space="preserve">. </w:t>
      </w:r>
      <w:r w:rsidR="007D4F68">
        <w:rPr>
          <w:rFonts w:ascii="Calibri" w:eastAsia="Calibri" w:hAnsi="Calibri" w:cs="Calibri"/>
          <w:color w:val="000000"/>
          <w:sz w:val="22"/>
          <w:szCs w:val="22"/>
        </w:rPr>
        <w:t>I</w:t>
      </w:r>
      <w:r>
        <w:rPr>
          <w:rFonts w:ascii="Calibri" w:eastAsia="Calibri" w:hAnsi="Calibri" w:cs="Calibri"/>
          <w:color w:val="000000"/>
          <w:sz w:val="22"/>
          <w:szCs w:val="22"/>
        </w:rPr>
        <w:t xml:space="preserve">n early 2017, </w:t>
      </w:r>
      <w:r w:rsidR="0074390D">
        <w:rPr>
          <w:rFonts w:ascii="Calibri" w:eastAsia="Calibri" w:hAnsi="Calibri" w:cs="Calibri"/>
          <w:color w:val="000000"/>
          <w:sz w:val="22"/>
          <w:szCs w:val="22"/>
        </w:rPr>
        <w:t xml:space="preserve">a </w:t>
      </w:r>
      <w:r>
        <w:rPr>
          <w:rFonts w:ascii="Calibri" w:eastAsia="Calibri" w:hAnsi="Calibri" w:cs="Calibri"/>
          <w:color w:val="000000"/>
          <w:sz w:val="22"/>
          <w:szCs w:val="22"/>
        </w:rPr>
        <w:t xml:space="preserve">detailed Stakeholder Analysis was prepared </w:t>
      </w:r>
      <w:r w:rsidR="00B010A1">
        <w:rPr>
          <w:rFonts w:ascii="Calibri" w:eastAsia="Calibri" w:hAnsi="Calibri" w:cs="Calibri"/>
          <w:color w:val="000000"/>
          <w:sz w:val="22"/>
          <w:szCs w:val="22"/>
        </w:rPr>
        <w:t>analys</w:t>
      </w:r>
      <w:r w:rsidR="0074390D">
        <w:rPr>
          <w:rFonts w:ascii="Calibri" w:eastAsia="Calibri" w:hAnsi="Calibri" w:cs="Calibri"/>
          <w:color w:val="000000"/>
          <w:sz w:val="22"/>
          <w:szCs w:val="22"/>
        </w:rPr>
        <w:t xml:space="preserve">ing </w:t>
      </w:r>
      <w:r w:rsidR="00B010A1">
        <w:rPr>
          <w:rFonts w:ascii="Calibri" w:eastAsia="Calibri" w:hAnsi="Calibri" w:cs="Calibri"/>
          <w:color w:val="000000"/>
          <w:sz w:val="22"/>
          <w:szCs w:val="22"/>
        </w:rPr>
        <w:t xml:space="preserve">the characteristics </w:t>
      </w:r>
      <w:r w:rsidR="0074390D">
        <w:rPr>
          <w:rFonts w:ascii="Calibri" w:eastAsia="Calibri" w:hAnsi="Calibri" w:cs="Calibri"/>
          <w:color w:val="000000"/>
          <w:sz w:val="22"/>
          <w:szCs w:val="22"/>
        </w:rPr>
        <w:t xml:space="preserve">(power, </w:t>
      </w:r>
      <w:r w:rsidR="00C65AAF">
        <w:rPr>
          <w:rFonts w:ascii="Calibri" w:eastAsia="Calibri" w:hAnsi="Calibri" w:cs="Calibri"/>
          <w:color w:val="000000"/>
          <w:sz w:val="22"/>
          <w:szCs w:val="22"/>
        </w:rPr>
        <w:t xml:space="preserve">influence, </w:t>
      </w:r>
      <w:r w:rsidR="00A660F6">
        <w:rPr>
          <w:rFonts w:ascii="Calibri" w:eastAsia="Calibri" w:hAnsi="Calibri" w:cs="Calibri"/>
          <w:color w:val="000000"/>
          <w:sz w:val="22"/>
          <w:szCs w:val="22"/>
        </w:rPr>
        <w:t>knowledge etc.) of</w:t>
      </w:r>
      <w:r w:rsidR="00B010A1">
        <w:rPr>
          <w:rFonts w:ascii="Calibri" w:eastAsia="Calibri" w:hAnsi="Calibri" w:cs="Calibri"/>
          <w:color w:val="000000"/>
          <w:sz w:val="22"/>
          <w:szCs w:val="22"/>
        </w:rPr>
        <w:t xml:space="preserve"> the stakeholde</w:t>
      </w:r>
      <w:r w:rsidR="007D4F68">
        <w:rPr>
          <w:rFonts w:ascii="Calibri" w:eastAsia="Calibri" w:hAnsi="Calibri" w:cs="Calibri"/>
          <w:color w:val="000000"/>
          <w:sz w:val="22"/>
          <w:szCs w:val="22"/>
        </w:rPr>
        <w:t>r</w:t>
      </w:r>
      <w:r w:rsidR="00B010A1">
        <w:rPr>
          <w:rFonts w:ascii="Calibri" w:eastAsia="Calibri" w:hAnsi="Calibri" w:cs="Calibri"/>
          <w:color w:val="000000"/>
          <w:sz w:val="22"/>
          <w:szCs w:val="22"/>
        </w:rPr>
        <w:t xml:space="preserve">s </w:t>
      </w:r>
      <w:r w:rsidR="00A660F6">
        <w:rPr>
          <w:rFonts w:ascii="Calibri" w:eastAsia="Calibri" w:hAnsi="Calibri" w:cs="Calibri"/>
          <w:color w:val="000000"/>
          <w:sz w:val="22"/>
          <w:szCs w:val="22"/>
        </w:rPr>
        <w:t xml:space="preserve">allowing the planning of </w:t>
      </w:r>
      <w:r w:rsidR="003946C8">
        <w:rPr>
          <w:rFonts w:ascii="Calibri" w:eastAsia="Calibri" w:hAnsi="Calibri" w:cs="Calibri"/>
          <w:color w:val="000000"/>
          <w:sz w:val="22"/>
          <w:szCs w:val="22"/>
        </w:rPr>
        <w:t xml:space="preserve">the </w:t>
      </w:r>
      <w:r w:rsidR="00A660F6">
        <w:rPr>
          <w:rFonts w:ascii="Calibri" w:eastAsia="Calibri" w:hAnsi="Calibri" w:cs="Calibri"/>
          <w:color w:val="000000"/>
          <w:sz w:val="22"/>
          <w:szCs w:val="22"/>
        </w:rPr>
        <w:t>engagement</w:t>
      </w:r>
      <w:r w:rsidR="003946C8">
        <w:rPr>
          <w:rFonts w:ascii="Calibri" w:eastAsia="Calibri" w:hAnsi="Calibri" w:cs="Calibri"/>
          <w:color w:val="000000"/>
          <w:sz w:val="22"/>
          <w:szCs w:val="22"/>
        </w:rPr>
        <w:t xml:space="preserve"> of stakeholders and also the development of a communication plan</w:t>
      </w:r>
      <w:r w:rsidR="003E2363">
        <w:rPr>
          <w:rFonts w:ascii="Calibri" w:eastAsia="Calibri" w:hAnsi="Calibri" w:cs="Calibri"/>
          <w:color w:val="000000"/>
          <w:sz w:val="22"/>
          <w:szCs w:val="22"/>
        </w:rPr>
        <w:t>.</w:t>
      </w:r>
      <w:r>
        <w:rPr>
          <w:rFonts w:ascii="Calibri" w:eastAsia="Calibri" w:hAnsi="Calibri" w:cs="Calibri"/>
          <w:color w:val="000000"/>
          <w:sz w:val="22"/>
          <w:szCs w:val="22"/>
        </w:rPr>
        <w:t xml:space="preserve"> </w:t>
      </w:r>
      <w:r w:rsidR="00577634" w:rsidRPr="00894841">
        <w:rPr>
          <w:rFonts w:asciiTheme="minorHAnsi" w:hAnsiTheme="minorHAnsi" w:cstheme="minorHAnsi"/>
          <w:sz w:val="22"/>
          <w:szCs w:val="22"/>
        </w:rPr>
        <w:t xml:space="preserve">Stakeholder involvement activities were organized throughout the project implementation. </w:t>
      </w:r>
      <w:r w:rsidR="00577634" w:rsidRPr="00894841">
        <w:rPr>
          <w:rFonts w:asciiTheme="minorHAnsi" w:hAnsiTheme="minorHAnsi" w:cstheme="minorHAnsi"/>
          <w:bCs/>
          <w:color w:val="000000"/>
          <w:sz w:val="22"/>
          <w:szCs w:val="22"/>
        </w:rPr>
        <w:t>The TDA and the SAP were informed by extensive input provided by stakeholders that were engaged through structured processes. All project activities incorporated input by stakeholders (using focus groups meetings, interviews; by providing technical data and information). As a result</w:t>
      </w:r>
      <w:r w:rsidR="00577634">
        <w:rPr>
          <w:rFonts w:asciiTheme="minorHAnsi" w:hAnsiTheme="minorHAnsi" w:cstheme="minorHAnsi"/>
          <w:bCs/>
          <w:color w:val="000000"/>
          <w:sz w:val="22"/>
          <w:szCs w:val="22"/>
        </w:rPr>
        <w:t>,</w:t>
      </w:r>
      <w:r w:rsidR="00577634" w:rsidRPr="00894841">
        <w:rPr>
          <w:rFonts w:asciiTheme="minorHAnsi" w:hAnsiTheme="minorHAnsi" w:cstheme="minorHAnsi"/>
          <w:bCs/>
          <w:color w:val="000000"/>
          <w:sz w:val="22"/>
          <w:szCs w:val="22"/>
        </w:rPr>
        <w:t xml:space="preserve"> key stakeholders in each Drin Riparian were engaged by either providing information or input in all project activities. </w:t>
      </w:r>
      <w:r w:rsidR="00577634" w:rsidRPr="00894841">
        <w:rPr>
          <w:rFonts w:asciiTheme="minorHAnsi" w:hAnsiTheme="minorHAnsi" w:cstheme="minorHAnsi"/>
          <w:sz w:val="22"/>
          <w:szCs w:val="22"/>
        </w:rPr>
        <w:t>Meetings with responsible institutions including municipalities and consultations with stakeholders were organized as part of the implementation of the demonstration activities</w:t>
      </w:r>
      <w:r w:rsidR="00577634" w:rsidRPr="00135190">
        <w:rPr>
          <w:rFonts w:asciiTheme="majorHAnsi" w:hAnsiTheme="majorHAnsi" w:cstheme="majorHAnsi"/>
          <w:sz w:val="20"/>
          <w:szCs w:val="22"/>
        </w:rPr>
        <w:t xml:space="preserve">.  </w:t>
      </w:r>
      <w:r>
        <w:rPr>
          <w:rFonts w:ascii="Calibri" w:eastAsia="Calibri" w:hAnsi="Calibri" w:cs="Calibri"/>
          <w:color w:val="000000"/>
          <w:sz w:val="22"/>
          <w:szCs w:val="22"/>
        </w:rPr>
        <w:t>The project</w:t>
      </w:r>
      <w:r w:rsidR="00577634">
        <w:rPr>
          <w:rFonts w:ascii="Calibri" w:eastAsia="Calibri" w:hAnsi="Calibri" w:cs="Calibri"/>
          <w:color w:val="000000"/>
          <w:sz w:val="22"/>
          <w:szCs w:val="22"/>
        </w:rPr>
        <w:t>’s</w:t>
      </w:r>
      <w:r>
        <w:rPr>
          <w:rFonts w:ascii="Calibri" w:eastAsia="Calibri" w:hAnsi="Calibri" w:cs="Calibri"/>
          <w:color w:val="000000"/>
          <w:sz w:val="22"/>
          <w:szCs w:val="22"/>
        </w:rPr>
        <w:t xml:space="preserve"> </w:t>
      </w:r>
      <w:r w:rsidR="00577634">
        <w:rPr>
          <w:rFonts w:ascii="Calibri" w:eastAsia="Calibri" w:hAnsi="Calibri" w:cs="Calibri"/>
          <w:color w:val="000000"/>
          <w:sz w:val="22"/>
          <w:szCs w:val="22"/>
        </w:rPr>
        <w:t>main</w:t>
      </w:r>
      <w:r>
        <w:rPr>
          <w:rFonts w:ascii="Calibri" w:eastAsia="Calibri" w:hAnsi="Calibri" w:cs="Calibri"/>
          <w:color w:val="000000"/>
          <w:sz w:val="22"/>
          <w:szCs w:val="22"/>
        </w:rPr>
        <w:t xml:space="preserve"> stakeholder consultation </w:t>
      </w:r>
      <w:r w:rsidR="00577634">
        <w:rPr>
          <w:rFonts w:ascii="Calibri" w:eastAsia="Calibri" w:hAnsi="Calibri" w:cs="Calibri"/>
          <w:color w:val="000000"/>
          <w:sz w:val="22"/>
          <w:szCs w:val="22"/>
        </w:rPr>
        <w:t xml:space="preserve">was established </w:t>
      </w:r>
      <w:r>
        <w:rPr>
          <w:rFonts w:ascii="Calibri" w:eastAsia="Calibri" w:hAnsi="Calibri" w:cs="Calibri"/>
          <w:color w:val="000000"/>
          <w:sz w:val="22"/>
          <w:szCs w:val="22"/>
        </w:rPr>
        <w:t xml:space="preserve">in form of the annual stakeholder conferences that were very well attended by the government representatives and the civil society organisations. </w:t>
      </w:r>
      <w:r w:rsidR="00915B55">
        <w:rPr>
          <w:rFonts w:ascii="Calibri" w:eastAsia="Calibri" w:hAnsi="Calibri" w:cs="Calibri"/>
          <w:color w:val="000000"/>
          <w:sz w:val="22"/>
          <w:szCs w:val="22"/>
        </w:rPr>
        <w:t xml:space="preserve">Six </w:t>
      </w:r>
      <w:r>
        <w:rPr>
          <w:rFonts w:ascii="Calibri" w:eastAsia="Calibri" w:hAnsi="Calibri" w:cs="Calibri"/>
          <w:color w:val="000000"/>
          <w:sz w:val="22"/>
          <w:szCs w:val="22"/>
        </w:rPr>
        <w:t xml:space="preserve">conferences took place so far, </w:t>
      </w:r>
      <w:r w:rsidR="00915B55">
        <w:rPr>
          <w:rFonts w:ascii="Calibri" w:eastAsia="Calibri" w:hAnsi="Calibri" w:cs="Calibri"/>
          <w:color w:val="000000"/>
          <w:sz w:val="22"/>
          <w:szCs w:val="22"/>
        </w:rPr>
        <w:t xml:space="preserve">five </w:t>
      </w:r>
      <w:r>
        <w:rPr>
          <w:rFonts w:ascii="Calibri" w:eastAsia="Calibri" w:hAnsi="Calibri" w:cs="Calibri"/>
          <w:color w:val="000000"/>
          <w:sz w:val="22"/>
          <w:szCs w:val="22"/>
        </w:rPr>
        <w:t xml:space="preserve">of which were in-person events while the last one (in 2021) was held virtually because of COVID-19. </w:t>
      </w:r>
    </w:p>
    <w:p w14:paraId="6E38DADD" w14:textId="77777777" w:rsidR="000F31AD" w:rsidRDefault="000F31AD"/>
    <w:p w14:paraId="16313AB0" w14:textId="77777777" w:rsidR="000F31AD" w:rsidRDefault="00A317E5">
      <w:pPr>
        <w:pStyle w:val="Heading3"/>
      </w:pPr>
      <w:bookmarkStart w:id="29" w:name="_Toc81335852"/>
      <w:r>
        <w:t>3.1.5</w:t>
      </w:r>
      <w:r>
        <w:tab/>
        <w:t>Linkages between project and other interventions within the sector</w:t>
      </w:r>
      <w:bookmarkEnd w:id="29"/>
      <w:r>
        <w:t xml:space="preserve"> </w:t>
      </w:r>
    </w:p>
    <w:p w14:paraId="79A522B6" w14:textId="77777777" w:rsidR="000F31AD" w:rsidRDefault="000F31AD"/>
    <w:p w14:paraId="4F31A9D6" w14:textId="2923053F" w:rsidR="000F31AD" w:rsidRDefault="00A317E5">
      <w:pPr>
        <w:jc w:val="both"/>
        <w:rPr>
          <w:rFonts w:ascii="Calibri" w:eastAsia="Calibri" w:hAnsi="Calibri" w:cs="Calibri"/>
          <w:sz w:val="22"/>
          <w:szCs w:val="22"/>
        </w:rPr>
      </w:pPr>
      <w:r>
        <w:rPr>
          <w:rFonts w:ascii="Calibri" w:eastAsia="Calibri" w:hAnsi="Calibri" w:cs="Calibri"/>
          <w:sz w:val="22"/>
          <w:szCs w:val="22"/>
        </w:rPr>
        <w:t xml:space="preserve">The PIF lists projects, including the GEF financed ones,  that the Drin project will interact with during its implementation. Most of them were ongoing at the time when PIF was prepared, but in the </w:t>
      </w:r>
      <w:r>
        <w:rPr>
          <w:rFonts w:ascii="Calibri" w:eastAsia="Calibri" w:hAnsi="Calibri" w:cs="Calibri"/>
          <w:sz w:val="22"/>
          <w:szCs w:val="22"/>
        </w:rPr>
        <w:lastRenderedPageBreak/>
        <w:t>meantime all of them have been closed. As explained above, the linkages were established and lessons drawn from these projects were integrated in the project’s design.</w:t>
      </w:r>
    </w:p>
    <w:p w14:paraId="3F8D1C53" w14:textId="77777777" w:rsidR="00FE1C29" w:rsidRDefault="00FE1C29">
      <w:pPr>
        <w:jc w:val="both"/>
        <w:rPr>
          <w:rFonts w:ascii="Calibri" w:eastAsia="Calibri" w:hAnsi="Calibri" w:cs="Calibri"/>
          <w:sz w:val="22"/>
          <w:szCs w:val="22"/>
        </w:rPr>
      </w:pPr>
    </w:p>
    <w:p w14:paraId="0D9CE764" w14:textId="063E2751" w:rsidR="00577634" w:rsidRDefault="00A317E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MTR Report lists </w:t>
      </w:r>
      <w:r w:rsidR="00A20D20">
        <w:rPr>
          <w:rFonts w:ascii="Calibri" w:eastAsia="Calibri" w:hAnsi="Calibri" w:cs="Calibri"/>
          <w:color w:val="000000"/>
          <w:sz w:val="22"/>
          <w:szCs w:val="22"/>
        </w:rPr>
        <w:t xml:space="preserve">a number of </w:t>
      </w:r>
      <w:r>
        <w:rPr>
          <w:rFonts w:ascii="Calibri" w:eastAsia="Calibri" w:hAnsi="Calibri" w:cs="Calibri"/>
          <w:color w:val="000000"/>
          <w:sz w:val="22"/>
          <w:szCs w:val="22"/>
        </w:rPr>
        <w:t xml:space="preserve">other initiatives and organisations that the project coordinated with in recent years, namely: GIZ CSBL (Conservation and Sustainable Use of Biodiversity in Lakes Prespa, Ohrid and Shkodra/Skadar) Project; GIZ CCAWB (Climate Change Adaptation Transboundary Flood Risk </w:t>
      </w:r>
      <w:r w:rsidR="00577634">
        <w:rPr>
          <w:rFonts w:ascii="Calibri" w:eastAsia="Calibri" w:hAnsi="Calibri" w:cs="Calibri"/>
          <w:color w:val="000000"/>
          <w:sz w:val="22"/>
          <w:szCs w:val="22"/>
        </w:rPr>
        <w:t>M</w:t>
      </w:r>
      <w:r>
        <w:rPr>
          <w:rFonts w:ascii="Calibri" w:eastAsia="Calibri" w:hAnsi="Calibri" w:cs="Calibri"/>
          <w:color w:val="000000"/>
          <w:sz w:val="22"/>
          <w:szCs w:val="22"/>
        </w:rPr>
        <w:t xml:space="preserve">anagement in Western Balkans) Project; </w:t>
      </w:r>
      <w:r w:rsidR="00A20D20">
        <w:rPr>
          <w:rFonts w:ascii="Calibri" w:eastAsia="Calibri" w:hAnsi="Calibri" w:cs="Calibri"/>
          <w:color w:val="000000"/>
          <w:sz w:val="22"/>
          <w:szCs w:val="22"/>
        </w:rPr>
        <w:t xml:space="preserve">and </w:t>
      </w:r>
      <w:r>
        <w:rPr>
          <w:rFonts w:ascii="Calibri" w:eastAsia="Calibri" w:hAnsi="Calibri" w:cs="Calibri"/>
          <w:color w:val="000000"/>
          <w:sz w:val="22"/>
          <w:szCs w:val="22"/>
        </w:rPr>
        <w:t xml:space="preserve">SIDA supported project for the development of the Management Plan for the White Drin in Kosovo. </w:t>
      </w:r>
    </w:p>
    <w:p w14:paraId="4963B12C" w14:textId="77777777" w:rsidR="00577634" w:rsidRDefault="00577634">
      <w:pPr>
        <w:pBdr>
          <w:top w:val="nil"/>
          <w:left w:val="nil"/>
          <w:bottom w:val="nil"/>
          <w:right w:val="nil"/>
          <w:between w:val="nil"/>
        </w:pBdr>
        <w:jc w:val="both"/>
        <w:rPr>
          <w:rFonts w:ascii="Calibri" w:eastAsia="Calibri" w:hAnsi="Calibri" w:cs="Calibri"/>
          <w:color w:val="000000"/>
          <w:sz w:val="22"/>
          <w:szCs w:val="22"/>
        </w:rPr>
      </w:pPr>
    </w:p>
    <w:p w14:paraId="7F4D8B48" w14:textId="6A2F3982" w:rsidR="00577634" w:rsidRPr="00894841" w:rsidRDefault="00A20D20" w:rsidP="00894841">
      <w:pPr>
        <w:pStyle w:val="CommentText"/>
        <w:jc w:val="both"/>
        <w:rPr>
          <w:rFonts w:asciiTheme="minorHAnsi" w:hAnsiTheme="minorHAnsi" w:cstheme="minorHAnsi"/>
          <w:sz w:val="22"/>
          <w:szCs w:val="22"/>
        </w:rPr>
      </w:pPr>
      <w:r w:rsidRPr="00894841">
        <w:rPr>
          <w:rFonts w:asciiTheme="minorHAnsi" w:hAnsiTheme="minorHAnsi" w:cstheme="minorHAnsi"/>
          <w:sz w:val="22"/>
          <w:szCs w:val="22"/>
        </w:rPr>
        <w:t>In addition to the above, t</w:t>
      </w:r>
      <w:r>
        <w:rPr>
          <w:rFonts w:asciiTheme="minorHAnsi" w:hAnsiTheme="minorHAnsi" w:cstheme="minorHAnsi"/>
          <w:sz w:val="22"/>
          <w:szCs w:val="22"/>
        </w:rPr>
        <w:t xml:space="preserve">he Drin Project also linked to the </w:t>
      </w:r>
      <w:r w:rsidR="00577634" w:rsidRPr="00894841">
        <w:rPr>
          <w:rFonts w:asciiTheme="minorHAnsi" w:hAnsiTheme="minorHAnsi" w:cstheme="minorHAnsi"/>
          <w:sz w:val="22"/>
          <w:szCs w:val="22"/>
        </w:rPr>
        <w:t xml:space="preserve">KfW supported activities for the construction of a wastewater treatment plant for the city of Shkodra. The </w:t>
      </w:r>
      <w:r>
        <w:rPr>
          <w:rFonts w:asciiTheme="minorHAnsi" w:hAnsiTheme="minorHAnsi" w:cstheme="minorHAnsi"/>
          <w:sz w:val="22"/>
          <w:szCs w:val="22"/>
        </w:rPr>
        <w:t xml:space="preserve">Drin </w:t>
      </w:r>
      <w:r w:rsidR="00577634" w:rsidRPr="00894841">
        <w:rPr>
          <w:rFonts w:asciiTheme="minorHAnsi" w:hAnsiTheme="minorHAnsi" w:cstheme="minorHAnsi"/>
          <w:sz w:val="22"/>
          <w:szCs w:val="22"/>
        </w:rPr>
        <w:t>Project resulted in the development of two spin-off projects that were designed to contribute in the implementation of the GEF Drin Project:</w:t>
      </w:r>
      <w:r>
        <w:rPr>
          <w:rFonts w:asciiTheme="minorHAnsi" w:hAnsiTheme="minorHAnsi" w:cstheme="minorHAnsi"/>
          <w:sz w:val="22"/>
          <w:szCs w:val="22"/>
        </w:rPr>
        <w:t xml:space="preserve"> p</w:t>
      </w:r>
      <w:r w:rsidR="00577634" w:rsidRPr="00894841">
        <w:rPr>
          <w:rFonts w:asciiTheme="minorHAnsi" w:hAnsiTheme="minorHAnsi" w:cstheme="minorHAnsi"/>
          <w:sz w:val="22"/>
          <w:szCs w:val="22"/>
        </w:rPr>
        <w:t>art of the Austrian Development Agency (ADA) supported Project “Promoting the Sustainable Management of Natural Resources in South</w:t>
      </w:r>
      <w:r>
        <w:rPr>
          <w:rFonts w:asciiTheme="minorHAnsi" w:hAnsiTheme="minorHAnsi" w:cstheme="minorHAnsi"/>
          <w:sz w:val="22"/>
          <w:szCs w:val="22"/>
        </w:rPr>
        <w:t>-</w:t>
      </w:r>
      <w:r w:rsidR="00577634" w:rsidRPr="00894841">
        <w:rPr>
          <w:rFonts w:asciiTheme="minorHAnsi" w:hAnsiTheme="minorHAnsi" w:cstheme="minorHAnsi"/>
          <w:sz w:val="22"/>
          <w:szCs w:val="22"/>
        </w:rPr>
        <w:t>eastern Europe, through the use of the Nexus approach” focusing on Drin.</w:t>
      </w:r>
      <w:r>
        <w:rPr>
          <w:rFonts w:asciiTheme="minorHAnsi" w:hAnsiTheme="minorHAnsi" w:cstheme="minorHAnsi"/>
          <w:sz w:val="22"/>
          <w:szCs w:val="22"/>
        </w:rPr>
        <w:t xml:space="preserve">; and </w:t>
      </w:r>
      <w:r w:rsidR="00577634" w:rsidRPr="00894841">
        <w:rPr>
          <w:rFonts w:asciiTheme="minorHAnsi" w:hAnsiTheme="minorHAnsi" w:cstheme="minorHAnsi"/>
          <w:sz w:val="22"/>
          <w:szCs w:val="22"/>
        </w:rPr>
        <w:t>Adaptation Fund supported and UNDP implemented project “Integrated climate-resilient transboundary flood risk management in the Drin River basin in the Western Balkans”.</w:t>
      </w:r>
    </w:p>
    <w:p w14:paraId="2171FFCF" w14:textId="77777777" w:rsidR="00A20D20" w:rsidRDefault="00A20D20" w:rsidP="00A20D20">
      <w:pPr>
        <w:pStyle w:val="CommentText"/>
        <w:jc w:val="both"/>
        <w:rPr>
          <w:rFonts w:asciiTheme="minorHAnsi" w:hAnsiTheme="minorHAnsi" w:cstheme="minorHAnsi"/>
          <w:sz w:val="22"/>
          <w:szCs w:val="22"/>
        </w:rPr>
      </w:pPr>
    </w:p>
    <w:p w14:paraId="7D61DE4B" w14:textId="25601461" w:rsidR="00577634" w:rsidRPr="00894841" w:rsidRDefault="00577634" w:rsidP="00894841">
      <w:pPr>
        <w:pStyle w:val="CommentText"/>
        <w:jc w:val="both"/>
        <w:rPr>
          <w:rFonts w:asciiTheme="minorHAnsi" w:hAnsiTheme="minorHAnsi" w:cstheme="minorHAnsi"/>
          <w:sz w:val="22"/>
          <w:szCs w:val="22"/>
        </w:rPr>
      </w:pPr>
      <w:r w:rsidRPr="00894841">
        <w:rPr>
          <w:rFonts w:asciiTheme="minorHAnsi" w:hAnsiTheme="minorHAnsi" w:cstheme="minorHAnsi"/>
          <w:sz w:val="22"/>
          <w:szCs w:val="22"/>
        </w:rPr>
        <w:t xml:space="preserve">Cooperation with the </w:t>
      </w:r>
      <w:r w:rsidR="00A20D20">
        <w:rPr>
          <w:rFonts w:asciiTheme="minorHAnsi" w:hAnsiTheme="minorHAnsi" w:cstheme="minorHAnsi"/>
          <w:sz w:val="22"/>
          <w:szCs w:val="22"/>
        </w:rPr>
        <w:t>S</w:t>
      </w:r>
      <w:r w:rsidRPr="00894841">
        <w:rPr>
          <w:rFonts w:asciiTheme="minorHAnsi" w:hAnsiTheme="minorHAnsi" w:cstheme="minorHAnsi"/>
          <w:sz w:val="22"/>
          <w:szCs w:val="22"/>
        </w:rPr>
        <w:t>ecretariat of the UNECE Water Convention was close throughout the project implementation. UNECE contributed with its experience in institutional analysis and the Water-Food-Energy-Environment Nexus; it contributed in the development of the TDA thematic report on Institutional and Legal Settings and prepared the TDA thematic report on Nexus. Overall, the project contributed in the implementation of the Water Convention by the Drin Riparians. UNECE is a member of the DCG and participated in all its meetings.</w:t>
      </w:r>
    </w:p>
    <w:p w14:paraId="2E99E613" w14:textId="77777777" w:rsidR="00577634" w:rsidRPr="00894841" w:rsidRDefault="00577634" w:rsidP="00894841">
      <w:pPr>
        <w:pStyle w:val="CommentText"/>
        <w:jc w:val="both"/>
        <w:rPr>
          <w:rFonts w:asciiTheme="minorHAnsi" w:hAnsiTheme="minorHAnsi" w:cstheme="minorHAnsi"/>
          <w:sz w:val="22"/>
          <w:szCs w:val="22"/>
        </w:rPr>
      </w:pPr>
    </w:p>
    <w:p w14:paraId="611C2012" w14:textId="71BF6A9F" w:rsidR="00577634" w:rsidRPr="00894841" w:rsidRDefault="00A20D20" w:rsidP="00894841">
      <w:pPr>
        <w:pStyle w:val="CommentText"/>
        <w:jc w:val="both"/>
        <w:rPr>
          <w:rFonts w:asciiTheme="minorHAnsi" w:hAnsiTheme="minorHAnsi" w:cstheme="minorHAnsi"/>
          <w:sz w:val="22"/>
          <w:szCs w:val="22"/>
        </w:rPr>
      </w:pPr>
      <w:r>
        <w:rPr>
          <w:rFonts w:asciiTheme="minorHAnsi" w:hAnsiTheme="minorHAnsi" w:cstheme="minorHAnsi"/>
          <w:sz w:val="22"/>
          <w:szCs w:val="22"/>
        </w:rPr>
        <w:t>C</w:t>
      </w:r>
      <w:r w:rsidR="00577634" w:rsidRPr="00894841">
        <w:rPr>
          <w:rFonts w:asciiTheme="minorHAnsi" w:hAnsiTheme="minorHAnsi" w:cstheme="minorHAnsi"/>
          <w:sz w:val="22"/>
          <w:szCs w:val="22"/>
        </w:rPr>
        <w:t xml:space="preserve">ooperation with the UNESCO IHP </w:t>
      </w:r>
      <w:r>
        <w:rPr>
          <w:rFonts w:asciiTheme="minorHAnsi" w:hAnsiTheme="minorHAnsi" w:cstheme="minorHAnsi"/>
          <w:sz w:val="22"/>
          <w:szCs w:val="22"/>
        </w:rPr>
        <w:t>resulted in</w:t>
      </w:r>
      <w:r w:rsidR="00577634" w:rsidRPr="00894841">
        <w:rPr>
          <w:rFonts w:asciiTheme="minorHAnsi" w:hAnsiTheme="minorHAnsi" w:cstheme="minorHAnsi"/>
          <w:sz w:val="22"/>
          <w:szCs w:val="22"/>
        </w:rPr>
        <w:t xml:space="preserve"> the implementation of the demonstration activity “Establishment and testing of Transboundary Monitoring in Skadar/Shkoder and Buna/Bojana”. The activity was implemented using results of the GEF/UNDP/UNESCO DIKTAS project. The results of the activity will be used in the GEF/UNDP/UNESCO DIKTAS II project as well as in the GEF/UNEP/UNESCO MedProgramme.</w:t>
      </w:r>
    </w:p>
    <w:p w14:paraId="0F074316" w14:textId="77777777" w:rsidR="00577634" w:rsidRPr="00894841" w:rsidRDefault="00577634" w:rsidP="00894841">
      <w:pPr>
        <w:pStyle w:val="CommentText"/>
        <w:jc w:val="both"/>
        <w:rPr>
          <w:rFonts w:asciiTheme="minorHAnsi" w:hAnsiTheme="minorHAnsi" w:cstheme="minorHAnsi"/>
          <w:sz w:val="22"/>
          <w:szCs w:val="22"/>
        </w:rPr>
      </w:pPr>
    </w:p>
    <w:p w14:paraId="4342CEEF" w14:textId="7C8385FF" w:rsidR="00577634" w:rsidRDefault="00577634" w:rsidP="00894841">
      <w:pPr>
        <w:pStyle w:val="CommentText"/>
        <w:jc w:val="both"/>
      </w:pPr>
      <w:r w:rsidRPr="00894841">
        <w:rPr>
          <w:rFonts w:asciiTheme="minorHAnsi" w:hAnsiTheme="minorHAnsi" w:cstheme="minorHAnsi"/>
          <w:sz w:val="22"/>
          <w:szCs w:val="22"/>
        </w:rPr>
        <w:t xml:space="preserve">The project has been contributing to the implementation of the </w:t>
      </w:r>
      <w:r w:rsidRPr="00894841">
        <w:rPr>
          <w:rFonts w:asciiTheme="minorHAnsi" w:hAnsiTheme="minorHAnsi" w:cstheme="minorHAnsi"/>
          <w:sz w:val="22"/>
          <w:szCs w:val="22"/>
          <w:lang w:val="en-US"/>
        </w:rPr>
        <w:t>South East Europe (SEE) 2020 strategy</w:t>
      </w:r>
      <w:r w:rsidRPr="00894841">
        <w:rPr>
          <w:rFonts w:asciiTheme="minorHAnsi" w:hAnsiTheme="minorHAnsi" w:cstheme="minorHAnsi"/>
          <w:sz w:val="22"/>
          <w:szCs w:val="22"/>
        </w:rPr>
        <w:t xml:space="preserve"> of the Regional Cooperation Council (RCC). </w:t>
      </w:r>
      <w:r w:rsidR="00A20D20">
        <w:rPr>
          <w:rFonts w:asciiTheme="minorHAnsi" w:hAnsiTheme="minorHAnsi" w:cstheme="minorHAnsi"/>
          <w:sz w:val="22"/>
          <w:szCs w:val="22"/>
        </w:rPr>
        <w:t>T</w:t>
      </w:r>
      <w:r w:rsidRPr="00894841">
        <w:rPr>
          <w:rFonts w:asciiTheme="minorHAnsi" w:hAnsiTheme="minorHAnsi" w:cstheme="minorHAnsi"/>
          <w:sz w:val="22"/>
          <w:szCs w:val="22"/>
        </w:rPr>
        <w:t xml:space="preserve">he project has </w:t>
      </w:r>
      <w:r w:rsidR="00A20D20">
        <w:rPr>
          <w:rFonts w:asciiTheme="minorHAnsi" w:hAnsiTheme="minorHAnsi" w:cstheme="minorHAnsi"/>
          <w:sz w:val="22"/>
          <w:szCs w:val="22"/>
        </w:rPr>
        <w:t xml:space="preserve">also </w:t>
      </w:r>
      <w:r w:rsidRPr="00894841">
        <w:rPr>
          <w:rFonts w:asciiTheme="minorHAnsi" w:hAnsiTheme="minorHAnsi" w:cstheme="minorHAnsi"/>
          <w:sz w:val="22"/>
          <w:szCs w:val="22"/>
        </w:rPr>
        <w:t xml:space="preserve">been contributing in the implementation of the </w:t>
      </w:r>
      <w:r w:rsidRPr="00894841">
        <w:rPr>
          <w:rFonts w:asciiTheme="minorHAnsi" w:hAnsiTheme="minorHAnsi" w:cstheme="minorHAnsi"/>
          <w:sz w:val="22"/>
          <w:szCs w:val="22"/>
          <w:lang w:val="en-US"/>
        </w:rPr>
        <w:t>Sofia Decla</w:t>
      </w:r>
      <w:r w:rsidRPr="00894841">
        <w:rPr>
          <w:rFonts w:asciiTheme="minorHAnsi" w:hAnsiTheme="minorHAnsi" w:cstheme="minorHAnsi"/>
          <w:sz w:val="22"/>
          <w:szCs w:val="22"/>
          <w:lang w:val="en-US"/>
        </w:rPr>
        <w:t>r</w:t>
      </w:r>
      <w:r w:rsidRPr="00894841">
        <w:rPr>
          <w:rFonts w:asciiTheme="minorHAnsi" w:hAnsiTheme="minorHAnsi" w:cstheme="minorHAnsi"/>
          <w:sz w:val="22"/>
          <w:szCs w:val="22"/>
          <w:lang w:val="en-US"/>
        </w:rPr>
        <w:t>ation on the Green Agenda for the Western Balkans</w:t>
      </w:r>
      <w:r w:rsidRPr="00894841">
        <w:rPr>
          <w:rFonts w:asciiTheme="minorHAnsi" w:hAnsiTheme="minorHAnsi" w:cstheme="minorHAnsi"/>
          <w:sz w:val="22"/>
          <w:szCs w:val="22"/>
        </w:rPr>
        <w:t>.</w:t>
      </w:r>
    </w:p>
    <w:p w14:paraId="3BD69C60" w14:textId="6DC85151" w:rsidR="00577634" w:rsidRDefault="00577634">
      <w:pPr>
        <w:pBdr>
          <w:top w:val="nil"/>
          <w:left w:val="nil"/>
          <w:bottom w:val="nil"/>
          <w:right w:val="nil"/>
          <w:between w:val="nil"/>
        </w:pBdr>
        <w:jc w:val="both"/>
        <w:rPr>
          <w:rFonts w:ascii="Calibri" w:eastAsia="Calibri" w:hAnsi="Calibri" w:cs="Calibri"/>
          <w:color w:val="000000"/>
          <w:sz w:val="22"/>
          <w:szCs w:val="22"/>
        </w:rPr>
      </w:pPr>
    </w:p>
    <w:p w14:paraId="3F4D4B30" w14:textId="383A9E45" w:rsidR="000F31AD" w:rsidRDefault="00A317E5">
      <w:pPr>
        <w:pBdr>
          <w:top w:val="nil"/>
          <w:left w:val="nil"/>
          <w:bottom w:val="nil"/>
          <w:right w:val="nil"/>
          <w:between w:val="nil"/>
        </w:pBdr>
        <w:jc w:val="both"/>
        <w:rPr>
          <w:color w:val="000000"/>
        </w:rPr>
      </w:pPr>
      <w:r>
        <w:rPr>
          <w:rFonts w:ascii="Calibri" w:eastAsia="Calibri" w:hAnsi="Calibri" w:cs="Calibri"/>
          <w:color w:val="000000"/>
          <w:sz w:val="22"/>
          <w:szCs w:val="22"/>
        </w:rPr>
        <w:t xml:space="preserve">The TE concludes that the Drin Project has established good linkages with other complementary interventions. </w:t>
      </w:r>
    </w:p>
    <w:p w14:paraId="134A3F1E" w14:textId="77777777" w:rsidR="004A0ACB" w:rsidRDefault="004A0ACB">
      <w:pPr>
        <w:pStyle w:val="Heading3"/>
      </w:pPr>
    </w:p>
    <w:p w14:paraId="22640ABD" w14:textId="77777777" w:rsidR="000F31AD" w:rsidRDefault="00A317E5">
      <w:pPr>
        <w:pStyle w:val="Heading3"/>
      </w:pPr>
      <w:bookmarkStart w:id="30" w:name="_Toc81335853"/>
      <w:r>
        <w:t>3.1.6.</w:t>
      </w:r>
      <w:r>
        <w:tab/>
        <w:t>Gender responsiveness</w:t>
      </w:r>
      <w:bookmarkEnd w:id="30"/>
    </w:p>
    <w:p w14:paraId="72FCA7E9" w14:textId="77777777" w:rsidR="000F31AD" w:rsidRDefault="000F31AD"/>
    <w:p w14:paraId="61C278C6" w14:textId="77777777" w:rsidR="000F31AD" w:rsidRDefault="00A317E5">
      <w:pPr>
        <w:jc w:val="both"/>
        <w:rPr>
          <w:rFonts w:ascii="Calibri" w:eastAsia="Calibri" w:hAnsi="Calibri" w:cs="Calibri"/>
          <w:color w:val="000000"/>
          <w:sz w:val="22"/>
          <w:szCs w:val="22"/>
        </w:rPr>
      </w:pPr>
      <w:r>
        <w:rPr>
          <w:rFonts w:ascii="Calibri" w:eastAsia="Calibri" w:hAnsi="Calibri" w:cs="Calibri"/>
          <w:color w:val="000000"/>
          <w:sz w:val="22"/>
          <w:szCs w:val="22"/>
        </w:rPr>
        <w:t xml:space="preserve">Gender mainstreaming was addressed in the ProDoc in Component 5. Gender was mainstreamed in the project design following the two-pronged approach by (1) mainstreaming gender in the project execution; and (2) by integration of gender perspective into water policies. Gender action plan was not prepared during the ProDoc preparation phase, but the gender issues were integrated in the project’s strategy and rationale, though not specifically mentioned in the ToC. </w:t>
      </w:r>
    </w:p>
    <w:p w14:paraId="7CA029C1" w14:textId="77777777" w:rsidR="000F31AD" w:rsidRDefault="000F31AD">
      <w:pPr>
        <w:jc w:val="both"/>
        <w:rPr>
          <w:rFonts w:ascii="Calibri" w:eastAsia="Calibri" w:hAnsi="Calibri" w:cs="Calibri"/>
          <w:color w:val="000000"/>
          <w:sz w:val="22"/>
          <w:szCs w:val="22"/>
        </w:rPr>
      </w:pPr>
    </w:p>
    <w:p w14:paraId="276ECB8C" w14:textId="1976FE4F" w:rsidR="000F31AD" w:rsidRDefault="00A317E5">
      <w:pPr>
        <w:jc w:val="both"/>
        <w:rPr>
          <w:rFonts w:ascii="Calibri" w:eastAsia="Calibri" w:hAnsi="Calibri" w:cs="Calibri"/>
          <w:color w:val="000000"/>
          <w:sz w:val="22"/>
          <w:szCs w:val="22"/>
        </w:rPr>
      </w:pPr>
      <w:r>
        <w:rPr>
          <w:rFonts w:ascii="Calibri" w:eastAsia="Calibri" w:hAnsi="Calibri" w:cs="Calibri"/>
          <w:color w:val="000000"/>
          <w:sz w:val="22"/>
          <w:szCs w:val="22"/>
        </w:rPr>
        <w:t xml:space="preserve">In early 2018 a Gender Mainstreaming Strategy was produced by the external consultancy firm with assistance from the GWP-Med. Out of 5 experts participating in the development of the study, three were women. The document is extensive and covers all the gender-related issues at national and regional level and provides a wider international perspective. The Gender Action Plan, contained in </w:t>
      </w:r>
      <w:r>
        <w:rPr>
          <w:rFonts w:ascii="Calibri" w:eastAsia="Calibri" w:hAnsi="Calibri" w:cs="Calibri"/>
          <w:color w:val="000000"/>
          <w:sz w:val="22"/>
          <w:szCs w:val="22"/>
        </w:rPr>
        <w:lastRenderedPageBreak/>
        <w:t>the document is well articulated. The TE finds that the gender mainstreaming component of the Drin Project is well developed and feasible.</w:t>
      </w:r>
    </w:p>
    <w:p w14:paraId="60838C34" w14:textId="77777777" w:rsidR="000F31AD" w:rsidRDefault="000F31AD"/>
    <w:p w14:paraId="31A698A2" w14:textId="77777777" w:rsidR="000F31AD" w:rsidRDefault="00A317E5">
      <w:pPr>
        <w:pStyle w:val="Heading3"/>
      </w:pPr>
      <w:bookmarkStart w:id="31" w:name="_Toc81335854"/>
      <w:r>
        <w:t>3.1.7.</w:t>
      </w:r>
      <w:r>
        <w:tab/>
        <w:t>Social and Environmental Safeguards</w:t>
      </w:r>
      <w:bookmarkEnd w:id="31"/>
    </w:p>
    <w:p w14:paraId="5F3A4E59" w14:textId="77777777" w:rsidR="000F31AD" w:rsidRDefault="000F31AD"/>
    <w:p w14:paraId="5ADCA1D1" w14:textId="77777777" w:rsidR="000F31AD" w:rsidRDefault="00A317E5">
      <w:pPr>
        <w:jc w:val="both"/>
        <w:rPr>
          <w:rFonts w:ascii="Calibri" w:eastAsia="Calibri" w:hAnsi="Calibri" w:cs="Calibri"/>
          <w:color w:val="000000"/>
          <w:sz w:val="22"/>
          <w:szCs w:val="22"/>
        </w:rPr>
      </w:pPr>
      <w:r>
        <w:rPr>
          <w:rFonts w:ascii="Calibri" w:eastAsia="Calibri" w:hAnsi="Calibri" w:cs="Calibri"/>
          <w:color w:val="000000"/>
          <w:sz w:val="22"/>
          <w:szCs w:val="22"/>
        </w:rPr>
        <w:t>UNDP Social and Environmental Safeguards screening has not identified environmental and social risks as a result of the implementation of the project.</w:t>
      </w:r>
    </w:p>
    <w:p w14:paraId="5D38C7EF" w14:textId="4320FDEA" w:rsidR="000F31AD" w:rsidRDefault="000F31AD"/>
    <w:p w14:paraId="665B0313" w14:textId="77777777" w:rsidR="000F31AD" w:rsidRDefault="00A317E5">
      <w:pPr>
        <w:pStyle w:val="Heading2"/>
        <w:rPr>
          <w:rFonts w:ascii="MS Gothic" w:eastAsia="MS Gothic" w:hAnsi="MS Gothic" w:cs="MS Gothic"/>
        </w:rPr>
      </w:pPr>
      <w:bookmarkStart w:id="32" w:name="_Toc81335855"/>
      <w:r>
        <w:t xml:space="preserve">3.2. </w:t>
      </w:r>
      <w:r>
        <w:tab/>
        <w:t xml:space="preserve">Project Implementation </w:t>
      </w:r>
      <w:r>
        <w:rPr>
          <w:rFonts w:ascii="MS Gothic" w:eastAsia="MS Gothic" w:hAnsi="MS Gothic" w:cs="MS Gothic"/>
        </w:rPr>
        <w:t> </w:t>
      </w:r>
      <w:bookmarkEnd w:id="32"/>
    </w:p>
    <w:p w14:paraId="4C91D548"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This section discusses the assessment of how the project has been implemented. It assessed how efficient the management of the project was and how conducive it was to contribute to a successful project. </w:t>
      </w:r>
    </w:p>
    <w:p w14:paraId="11AFFBC8" w14:textId="77777777" w:rsidR="000F31AD" w:rsidRDefault="00A317E5">
      <w:pPr>
        <w:pStyle w:val="Heading3"/>
      </w:pPr>
      <w:bookmarkStart w:id="33" w:name="_Toc81335856"/>
      <w:r>
        <w:t>3.2.1.</w:t>
      </w:r>
      <w:r>
        <w:tab/>
        <w:t>Adaptive management</w:t>
      </w:r>
      <w:bookmarkEnd w:id="33"/>
      <w:r>
        <w:t xml:space="preserve"> </w:t>
      </w:r>
    </w:p>
    <w:p w14:paraId="275AEC38" w14:textId="37D1E971"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The project has been well managed and the project implementation and execution teams followed UNDP procedures for the implementation of the project and used adaptive management extensively to secure project deliverables while maintaining adherence to the overall project design. The TE finds that project achievements are aligned with the project document that was endorsed by stakeholders. The SRF</w:t>
      </w:r>
      <w:r>
        <w:rPr>
          <w:rFonts w:ascii="Calibri" w:eastAsia="Calibri" w:hAnsi="Calibri" w:cs="Calibri"/>
          <w:i/>
          <w:sz w:val="22"/>
          <w:szCs w:val="22"/>
        </w:rPr>
        <w:t xml:space="preserve"> </w:t>
      </w:r>
      <w:r>
        <w:rPr>
          <w:rFonts w:ascii="Calibri" w:eastAsia="Calibri" w:hAnsi="Calibri" w:cs="Calibri"/>
          <w:sz w:val="22"/>
          <w:szCs w:val="22"/>
        </w:rPr>
        <w:t xml:space="preserve">included in the ProDoc was revised </w:t>
      </w:r>
      <w:r w:rsidR="00827158" w:rsidRPr="00A11D95">
        <w:rPr>
          <w:rFonts w:ascii="Calibri" w:eastAsia="Calibri" w:hAnsi="Calibri" w:cs="Calibri"/>
          <w:sz w:val="22"/>
          <w:szCs w:val="22"/>
        </w:rPr>
        <w:t xml:space="preserve">in its Ad hoc meeting on 30 March </w:t>
      </w:r>
      <w:r w:rsidR="00827158">
        <w:rPr>
          <w:rFonts w:ascii="Calibri" w:eastAsia="Calibri" w:hAnsi="Calibri" w:cs="Calibri"/>
          <w:sz w:val="22"/>
          <w:szCs w:val="22"/>
        </w:rPr>
        <w:t>20</w:t>
      </w:r>
      <w:r w:rsidR="00827158" w:rsidRPr="00A11D95">
        <w:rPr>
          <w:rFonts w:ascii="Calibri" w:eastAsia="Calibri" w:hAnsi="Calibri" w:cs="Calibri"/>
          <w:sz w:val="22"/>
          <w:szCs w:val="22"/>
        </w:rPr>
        <w:t>16 and 2nd meeting on 13 June 2016</w:t>
      </w:r>
      <w:r w:rsidR="00827158">
        <w:rPr>
          <w:rFonts w:ascii="Calibri" w:eastAsia="Calibri" w:hAnsi="Calibri" w:cs="Calibri"/>
          <w:sz w:val="22"/>
          <w:szCs w:val="22"/>
        </w:rPr>
        <w:t xml:space="preserve"> (changes proposed by countries), and its</w:t>
      </w:r>
      <w:r w:rsidR="00827158" w:rsidRPr="00A11D95">
        <w:rPr>
          <w:rFonts w:ascii="Calibri" w:eastAsia="Calibri" w:hAnsi="Calibri" w:cs="Calibri"/>
          <w:sz w:val="22"/>
          <w:szCs w:val="22"/>
        </w:rPr>
        <w:t xml:space="preserve"> 8th meeting on 31 May 2019</w:t>
      </w:r>
      <w:r w:rsidR="00827158">
        <w:rPr>
          <w:rFonts w:ascii="Calibri" w:eastAsia="Calibri" w:hAnsi="Calibri" w:cs="Calibri"/>
          <w:sz w:val="22"/>
          <w:szCs w:val="22"/>
        </w:rPr>
        <w:t xml:space="preserve"> (changes proposed by the MTR)</w:t>
      </w:r>
      <w:r>
        <w:rPr>
          <w:rFonts w:ascii="Calibri" w:eastAsia="Calibri" w:hAnsi="Calibri" w:cs="Calibri"/>
          <w:sz w:val="22"/>
          <w:szCs w:val="22"/>
        </w:rPr>
        <w:t xml:space="preserve"> has been used as a strict guidance to implement the project. An efficient execution team has been in place, detailed work plans have been guiding the implementation, assignments were conducted with the required participation of relevant stakeholders, progress of the project was well monitored by the Drin Core Group (DCG), which acted as the Project Steering Committee (PSC). The project was implemented following a logical implementation process. Each initiative proposed by the project and supported</w:t>
      </w:r>
      <w:r w:rsidR="00827158">
        <w:rPr>
          <w:rFonts w:ascii="Calibri" w:eastAsia="Calibri" w:hAnsi="Calibri" w:cs="Calibri"/>
          <w:sz w:val="22"/>
          <w:szCs w:val="22"/>
        </w:rPr>
        <w:t xml:space="preserve"> by the </w:t>
      </w:r>
      <w:r>
        <w:rPr>
          <w:rFonts w:ascii="Calibri" w:eastAsia="Calibri" w:hAnsi="Calibri" w:cs="Calibri"/>
          <w:sz w:val="22"/>
          <w:szCs w:val="22"/>
        </w:rPr>
        <w:t>P</w:t>
      </w:r>
      <w:r w:rsidR="00827158">
        <w:rPr>
          <w:rFonts w:ascii="Calibri" w:eastAsia="Calibri" w:hAnsi="Calibri" w:cs="Calibri"/>
          <w:sz w:val="22"/>
          <w:szCs w:val="22"/>
        </w:rPr>
        <w:t xml:space="preserve">roject </w:t>
      </w:r>
      <w:r>
        <w:rPr>
          <w:rFonts w:ascii="Calibri" w:eastAsia="Calibri" w:hAnsi="Calibri" w:cs="Calibri"/>
          <w:sz w:val="22"/>
          <w:szCs w:val="22"/>
        </w:rPr>
        <w:t>B</w:t>
      </w:r>
      <w:r w:rsidR="00827158">
        <w:rPr>
          <w:rFonts w:ascii="Calibri" w:eastAsia="Calibri" w:hAnsi="Calibri" w:cs="Calibri"/>
          <w:sz w:val="22"/>
          <w:szCs w:val="22"/>
        </w:rPr>
        <w:t>oard (PSC)</w:t>
      </w:r>
      <w:r>
        <w:rPr>
          <w:rFonts w:ascii="Calibri" w:eastAsia="Calibri" w:hAnsi="Calibri" w:cs="Calibri"/>
          <w:sz w:val="22"/>
          <w:szCs w:val="22"/>
        </w:rPr>
        <w:t xml:space="preserve"> was conducted following well-defined terms of reference. </w:t>
      </w:r>
    </w:p>
    <w:p w14:paraId="6624DB89" w14:textId="29E818AA"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One example of good adaptive management was used when the no-cost extension was proposed by the MTR. Immediately after the MTR report was adopted, the management response was prepared and subsequently, within a short period of time, the PB approved the extension for one year (until February 2021). Similarly, an additional six-months extension was granted because of the COVID-19. The Project team quickly adapted to the changing situation and adapted the project work plan to the new circumstances. </w:t>
      </w:r>
      <w:r w:rsidR="00827158">
        <w:rPr>
          <w:rFonts w:asciiTheme="minorHAnsi" w:hAnsiTheme="minorHAnsi" w:cstheme="minorHAnsi"/>
          <w:sz w:val="22"/>
          <w:szCs w:val="22"/>
          <w:lang w:val="en-US"/>
        </w:rPr>
        <w:t>It is also important to mention that</w:t>
      </w:r>
      <w:r w:rsidR="00827158" w:rsidRPr="00894841">
        <w:rPr>
          <w:rFonts w:asciiTheme="minorHAnsi" w:hAnsiTheme="minorHAnsi" w:cstheme="minorHAnsi"/>
          <w:sz w:val="22"/>
          <w:szCs w:val="22"/>
          <w:lang w:val="en-US"/>
        </w:rPr>
        <w:t xml:space="preserve">, with the SAP document and SAP endorsement declaration ready one year before the end of the project, an on-line meeting for the signing of the SAP endorsement at Ministerial / high level was organized, being </w:t>
      </w:r>
      <w:r w:rsidR="00827158">
        <w:rPr>
          <w:rFonts w:asciiTheme="minorHAnsi" w:hAnsiTheme="minorHAnsi" w:cstheme="minorHAnsi"/>
          <w:sz w:val="22"/>
          <w:szCs w:val="22"/>
          <w:lang w:val="en-US"/>
        </w:rPr>
        <w:t xml:space="preserve">thus </w:t>
      </w:r>
      <w:r w:rsidR="00827158" w:rsidRPr="00894841">
        <w:rPr>
          <w:rFonts w:asciiTheme="minorHAnsi" w:hAnsiTheme="minorHAnsi" w:cstheme="minorHAnsi"/>
          <w:sz w:val="22"/>
          <w:szCs w:val="22"/>
          <w:lang w:val="en-US"/>
        </w:rPr>
        <w:t xml:space="preserve">the </w:t>
      </w:r>
      <w:r w:rsidR="00827158" w:rsidRPr="00894841">
        <w:rPr>
          <w:rFonts w:asciiTheme="minorHAnsi" w:eastAsia="Calibri" w:hAnsiTheme="minorHAnsi" w:cstheme="minorHAnsi"/>
          <w:sz w:val="22"/>
          <w:szCs w:val="22"/>
        </w:rPr>
        <w:t>first high-level online meeting of any project in the GEF International Waters (IW) portfolio</w:t>
      </w:r>
      <w:r w:rsidR="00827158" w:rsidRPr="00894841">
        <w:rPr>
          <w:rStyle w:val="CommentReference"/>
          <w:rFonts w:asciiTheme="minorHAnsi" w:hAnsiTheme="minorHAnsi" w:cstheme="minorHAnsi"/>
          <w:sz w:val="22"/>
          <w:szCs w:val="22"/>
        </w:rPr>
        <w:t/>
      </w:r>
      <w:r w:rsidR="00827158" w:rsidRPr="00894841">
        <w:rPr>
          <w:rFonts w:asciiTheme="minorHAnsi" w:eastAsia="Calibri" w:hAnsiTheme="minorHAnsi" w:cstheme="minorHAnsi"/>
          <w:sz w:val="22"/>
          <w:szCs w:val="22"/>
        </w:rPr>
        <w:t>.</w:t>
      </w:r>
    </w:p>
    <w:p w14:paraId="2F0703A4" w14:textId="77777777" w:rsidR="000F31AD" w:rsidRDefault="00A317E5">
      <w:pPr>
        <w:jc w:val="both"/>
        <w:rPr>
          <w:rFonts w:ascii="Calibri" w:eastAsia="Calibri" w:hAnsi="Calibri" w:cs="Calibri"/>
          <w:sz w:val="22"/>
          <w:szCs w:val="22"/>
        </w:rPr>
      </w:pPr>
      <w:r>
        <w:rPr>
          <w:rFonts w:ascii="Calibri" w:eastAsia="Calibri" w:hAnsi="Calibri" w:cs="Calibri"/>
          <w:sz w:val="22"/>
          <w:szCs w:val="22"/>
        </w:rPr>
        <w:t xml:space="preserve">The changes to the budget were minimal. One illustrative example is the change related to the Shared Vision, whose development was initially planned to be financed by the project. However, since the Shared Vision contained in the 2011 Drin MoU was consistent with the findings of the TDA, there was no need to develop a new one, and the earlier one was to be followed. The funds earmarked for that purpose were redirected to finance the SAP Financing Study and development of additional 4 project proposals. Similarly, a list of pilot projects, initially included in the ProDoc, was changed when the DCG asked for it. Finally, the inclusion of Kosovo in the Drin Project’s implementation, one year after the FSP started and when MSP was approved, was carried efficiently. </w:t>
      </w:r>
    </w:p>
    <w:p w14:paraId="3B23817F" w14:textId="77777777" w:rsidR="000F31AD" w:rsidRDefault="000F31AD"/>
    <w:p w14:paraId="5C2BB396" w14:textId="77777777" w:rsidR="000F31AD" w:rsidRDefault="00A317E5">
      <w:pPr>
        <w:jc w:val="both"/>
        <w:rPr>
          <w:rFonts w:ascii="Calibri" w:eastAsia="Calibri" w:hAnsi="Calibri" w:cs="Calibri"/>
          <w:sz w:val="22"/>
          <w:szCs w:val="22"/>
        </w:rPr>
      </w:pPr>
      <w:r>
        <w:rPr>
          <w:rFonts w:ascii="Calibri" w:eastAsia="Calibri" w:hAnsi="Calibri" w:cs="Calibri"/>
          <w:sz w:val="22"/>
          <w:szCs w:val="22"/>
        </w:rPr>
        <w:lastRenderedPageBreak/>
        <w:t xml:space="preserve">COVID-19 created a significant challenge to the project’s implementation process. The PCU addressed the challenge quite efficiently and quickly made necessary changes to secure smooth implementation of the project. The face-to-face meetings were replaced by the online meetings, and the pace of online consultations came back to normal very quickly. </w:t>
      </w:r>
    </w:p>
    <w:p w14:paraId="13956227"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Overall, the use of adaptive management is best demonstrated with the review contained in the Project Implementation Reports (PIRs). These reports (except the last, 2021 PIR, where the adjustments would be irrelevant since the project is closing down) include Section </w:t>
      </w:r>
      <w:r>
        <w:rPr>
          <w:rFonts w:ascii="Calibri" w:eastAsia="Calibri" w:hAnsi="Calibri" w:cs="Calibri"/>
          <w:i/>
          <w:sz w:val="22"/>
          <w:szCs w:val="22"/>
        </w:rPr>
        <w:t xml:space="preserve">F. Adjustments </w:t>
      </w:r>
      <w:r>
        <w:rPr>
          <w:rFonts w:ascii="Calibri" w:eastAsia="Calibri" w:hAnsi="Calibri" w:cs="Calibri"/>
          <w:sz w:val="22"/>
          <w:szCs w:val="22"/>
        </w:rPr>
        <w:t>which is annually a discussion to report the adjustments made during the past year to the implementation of the project to adapt to changing circumstances.</w:t>
      </w:r>
      <w:r>
        <w:rPr>
          <w:sz w:val="20"/>
          <w:szCs w:val="20"/>
        </w:rPr>
        <w:t xml:space="preserve"> </w:t>
      </w:r>
      <w:r>
        <w:rPr>
          <w:rFonts w:ascii="Calibri" w:eastAsia="Calibri" w:hAnsi="Calibri" w:cs="Calibri"/>
          <w:sz w:val="22"/>
          <w:szCs w:val="22"/>
        </w:rPr>
        <w:t xml:space="preserve">The first PIR (2017) did not report any adjustments, but the 2018 PIR reported that due to a delay to start the project, caused by the political crises and snap elections in some of the countries that resulted in government reshuffles, the MTR should be postponed to 2019. Subsequent PIRs have recorded no adjustments implemented. </w:t>
      </w:r>
    </w:p>
    <w:p w14:paraId="64E331C8"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In conclusion, the TE finds that this project implementation team used adaptive management extensively as a management approach to adapt to new situations, in particular to adapt to the changing situation caused by COVID-19. </w:t>
      </w:r>
    </w:p>
    <w:p w14:paraId="7AF9A7A9" w14:textId="77777777" w:rsidR="000F31AD" w:rsidRDefault="00A317E5">
      <w:pPr>
        <w:pStyle w:val="Heading3"/>
        <w:jc w:val="both"/>
      </w:pPr>
      <w:bookmarkStart w:id="34" w:name="_Toc81335857"/>
      <w:r>
        <w:t>3.2.2.</w:t>
      </w:r>
      <w:r>
        <w:tab/>
        <w:t>Actual stakeholder participation and partnership arrangement</w:t>
      </w:r>
      <w:bookmarkEnd w:id="34"/>
    </w:p>
    <w:p w14:paraId="56A1EEB6" w14:textId="77777777" w:rsidR="004A0ACB" w:rsidRDefault="004A0ACB">
      <w:pPr>
        <w:pBdr>
          <w:top w:val="nil"/>
          <w:left w:val="nil"/>
          <w:bottom w:val="nil"/>
          <w:right w:val="nil"/>
          <w:between w:val="nil"/>
        </w:pBdr>
        <w:jc w:val="both"/>
        <w:rPr>
          <w:rFonts w:ascii="Calibri" w:eastAsia="Calibri" w:hAnsi="Calibri" w:cs="Calibri"/>
          <w:color w:val="000000"/>
          <w:sz w:val="22"/>
          <w:szCs w:val="22"/>
        </w:rPr>
      </w:pPr>
    </w:p>
    <w:p w14:paraId="437541D3" w14:textId="4CD4291E" w:rsidR="007A0DBA" w:rsidRPr="00894841" w:rsidRDefault="00A317E5" w:rsidP="00894841">
      <w:pPr>
        <w:pStyle w:val="CommentText"/>
        <w:jc w:val="both"/>
        <w:rPr>
          <w:rFonts w:asciiTheme="minorHAnsi" w:hAnsiTheme="minorHAnsi" w:cstheme="minorHAnsi"/>
          <w:sz w:val="22"/>
          <w:szCs w:val="22"/>
          <w:lang w:val="en-US"/>
        </w:rPr>
      </w:pPr>
      <w:r>
        <w:rPr>
          <w:rFonts w:ascii="Calibri" w:eastAsia="Calibri" w:hAnsi="Calibri" w:cs="Calibri"/>
          <w:color w:val="000000"/>
          <w:sz w:val="22"/>
          <w:szCs w:val="22"/>
        </w:rPr>
        <w:t xml:space="preserve">The Drin Project’s Component 5 is entirely devoted to stakeholder involvement and gender mainstreaming, which shows a high level of significance that the project has assigned to these two issues. Strategically, the project’s aim </w:t>
      </w:r>
      <w:r w:rsidR="005D7A08">
        <w:rPr>
          <w:rFonts w:ascii="Calibri" w:eastAsia="Calibri" w:hAnsi="Calibri" w:cs="Calibri"/>
          <w:color w:val="000000"/>
          <w:sz w:val="22"/>
          <w:szCs w:val="22"/>
        </w:rPr>
        <w:t xml:space="preserve">was </w:t>
      </w:r>
      <w:r>
        <w:rPr>
          <w:rFonts w:ascii="Calibri" w:eastAsia="Calibri" w:hAnsi="Calibri" w:cs="Calibri"/>
          <w:color w:val="000000"/>
          <w:sz w:val="22"/>
          <w:szCs w:val="22"/>
        </w:rPr>
        <w:t xml:space="preserve">to “…act within the context described in the Strategy section; a context where the principles of stakeholder involvement, while fully recognized by the national laws, are not yet adequately translated into daily practice and at all levels…(and) will strive to set an example and raise the standard of stakeholder involvement practice in water and natural resources management, which is considered an essential element of the success of the project itself.“ (excerpt from the ProDoc). The Stakeholder Analysis and Stakeholder </w:t>
      </w:r>
      <w:r w:rsidR="007A0DBA">
        <w:rPr>
          <w:rFonts w:ascii="Calibri" w:eastAsia="Calibri" w:hAnsi="Calibri" w:cs="Calibri"/>
          <w:color w:val="000000"/>
          <w:sz w:val="22"/>
          <w:szCs w:val="22"/>
        </w:rPr>
        <w:t xml:space="preserve">Involvement </w:t>
      </w:r>
      <w:r>
        <w:rPr>
          <w:rFonts w:ascii="Calibri" w:eastAsia="Calibri" w:hAnsi="Calibri" w:cs="Calibri"/>
          <w:color w:val="000000"/>
          <w:sz w:val="22"/>
          <w:szCs w:val="22"/>
        </w:rPr>
        <w:t xml:space="preserve">Strategy, as requested in the ProDoc, were approved by the (DCG) PB in March 2017. </w:t>
      </w:r>
      <w:r w:rsidR="007A0DBA">
        <w:rPr>
          <w:rFonts w:asciiTheme="minorHAnsi" w:hAnsiTheme="minorHAnsi" w:cstheme="minorHAnsi"/>
          <w:sz w:val="22"/>
          <w:szCs w:val="22"/>
          <w:lang w:val="en-US"/>
        </w:rPr>
        <w:t>The</w:t>
      </w:r>
      <w:r w:rsidR="007A0DBA" w:rsidRPr="00894841">
        <w:rPr>
          <w:rFonts w:asciiTheme="minorHAnsi" w:hAnsiTheme="minorHAnsi" w:cstheme="minorHAnsi"/>
          <w:sz w:val="22"/>
          <w:szCs w:val="22"/>
          <w:lang w:val="en-US"/>
        </w:rPr>
        <w:t xml:space="preserve"> </w:t>
      </w:r>
      <w:r w:rsidR="007A0DBA">
        <w:rPr>
          <w:rFonts w:asciiTheme="minorHAnsi" w:hAnsiTheme="minorHAnsi" w:cstheme="minorHAnsi"/>
          <w:sz w:val="22"/>
          <w:szCs w:val="22"/>
          <w:lang w:val="en-US"/>
        </w:rPr>
        <w:t>S</w:t>
      </w:r>
      <w:r w:rsidR="007A0DBA" w:rsidRPr="00894841">
        <w:rPr>
          <w:rFonts w:asciiTheme="minorHAnsi" w:hAnsiTheme="minorHAnsi" w:cstheme="minorHAnsi"/>
          <w:sz w:val="22"/>
          <w:szCs w:val="22"/>
          <w:lang w:val="en-US"/>
        </w:rPr>
        <w:t xml:space="preserve">takeholders </w:t>
      </w:r>
      <w:r w:rsidR="007A0DBA">
        <w:rPr>
          <w:rFonts w:asciiTheme="minorHAnsi" w:hAnsiTheme="minorHAnsi" w:cstheme="minorHAnsi"/>
          <w:sz w:val="22"/>
          <w:szCs w:val="22"/>
          <w:lang w:val="en-US"/>
        </w:rPr>
        <w:t>A</w:t>
      </w:r>
      <w:r w:rsidR="007A0DBA" w:rsidRPr="00894841">
        <w:rPr>
          <w:rFonts w:asciiTheme="minorHAnsi" w:hAnsiTheme="minorHAnsi" w:cstheme="minorHAnsi"/>
          <w:sz w:val="22"/>
          <w:szCs w:val="22"/>
          <w:lang w:val="en-US"/>
        </w:rPr>
        <w:t xml:space="preserve">nalysis was the basis for the development of the </w:t>
      </w:r>
      <w:r w:rsidR="007A0DBA">
        <w:rPr>
          <w:rFonts w:asciiTheme="minorHAnsi" w:hAnsiTheme="minorHAnsi" w:cstheme="minorHAnsi"/>
          <w:sz w:val="22"/>
          <w:szCs w:val="22"/>
          <w:lang w:val="en-US"/>
        </w:rPr>
        <w:t>S</w:t>
      </w:r>
      <w:r w:rsidR="007A0DBA" w:rsidRPr="00894841">
        <w:rPr>
          <w:rFonts w:asciiTheme="minorHAnsi" w:hAnsiTheme="minorHAnsi" w:cstheme="minorHAnsi"/>
          <w:sz w:val="22"/>
          <w:szCs w:val="22"/>
          <w:lang w:val="en-US"/>
        </w:rPr>
        <w:t xml:space="preserve">takeholders </w:t>
      </w:r>
      <w:r w:rsidR="007A0DBA">
        <w:rPr>
          <w:rFonts w:asciiTheme="minorHAnsi" w:hAnsiTheme="minorHAnsi" w:cstheme="minorHAnsi"/>
          <w:sz w:val="22"/>
          <w:szCs w:val="22"/>
          <w:lang w:val="en-US"/>
        </w:rPr>
        <w:t>Involvement</w:t>
      </w:r>
      <w:r w:rsidR="007A0DBA" w:rsidRPr="00894841">
        <w:rPr>
          <w:rFonts w:asciiTheme="minorHAnsi" w:hAnsiTheme="minorHAnsi" w:cstheme="minorHAnsi"/>
          <w:sz w:val="22"/>
          <w:szCs w:val="22"/>
          <w:lang w:val="en-US"/>
        </w:rPr>
        <w:t xml:space="preserve"> </w:t>
      </w:r>
      <w:r w:rsidR="007A0DBA">
        <w:rPr>
          <w:rFonts w:asciiTheme="minorHAnsi" w:hAnsiTheme="minorHAnsi" w:cstheme="minorHAnsi"/>
          <w:sz w:val="22"/>
          <w:szCs w:val="22"/>
          <w:lang w:val="en-US"/>
        </w:rPr>
        <w:t>S</w:t>
      </w:r>
      <w:r w:rsidR="007A0DBA" w:rsidRPr="00894841">
        <w:rPr>
          <w:rFonts w:asciiTheme="minorHAnsi" w:hAnsiTheme="minorHAnsi" w:cstheme="minorHAnsi"/>
          <w:sz w:val="22"/>
          <w:szCs w:val="22"/>
          <w:lang w:val="en-US"/>
        </w:rPr>
        <w:t>trategy as well as the information and communication strategy</w:t>
      </w:r>
      <w:r w:rsidR="007A0DBA">
        <w:rPr>
          <w:rFonts w:asciiTheme="minorHAnsi" w:hAnsiTheme="minorHAnsi" w:cstheme="minorHAnsi"/>
          <w:sz w:val="22"/>
          <w:szCs w:val="22"/>
          <w:lang w:val="en-US"/>
        </w:rPr>
        <w:t>. I</w:t>
      </w:r>
      <w:r w:rsidR="007A0DBA" w:rsidRPr="00894841">
        <w:rPr>
          <w:rFonts w:asciiTheme="minorHAnsi" w:hAnsiTheme="minorHAnsi" w:cstheme="minorHAnsi"/>
          <w:sz w:val="22"/>
          <w:szCs w:val="22"/>
          <w:lang w:val="en-US"/>
        </w:rPr>
        <w:t xml:space="preserve">t also looked in depth into the perceptions of the stakeholders regarding the transboundary management issues. A Stakeholders Involvement Strategy </w:t>
      </w:r>
      <w:r w:rsidR="007A0DBA">
        <w:rPr>
          <w:rFonts w:asciiTheme="minorHAnsi" w:hAnsiTheme="minorHAnsi" w:cstheme="minorHAnsi"/>
          <w:sz w:val="22"/>
          <w:szCs w:val="22"/>
          <w:lang w:val="en-US"/>
        </w:rPr>
        <w:t>was</w:t>
      </w:r>
      <w:r w:rsidR="007A0DBA" w:rsidRPr="00894841">
        <w:rPr>
          <w:rFonts w:asciiTheme="minorHAnsi" w:hAnsiTheme="minorHAnsi" w:cstheme="minorHAnsi"/>
          <w:sz w:val="22"/>
          <w:szCs w:val="22"/>
          <w:lang w:val="en-US"/>
        </w:rPr>
        <w:t xml:space="preserve"> prepared as part of the</w:t>
      </w:r>
      <w:r w:rsidR="007A0DBA">
        <w:rPr>
          <w:rFonts w:asciiTheme="minorHAnsi" w:hAnsiTheme="minorHAnsi" w:cstheme="minorHAnsi"/>
          <w:sz w:val="22"/>
          <w:szCs w:val="22"/>
          <w:lang w:val="en-US"/>
        </w:rPr>
        <w:t xml:space="preserve"> </w:t>
      </w:r>
      <w:r w:rsidR="007A0DBA" w:rsidRPr="00894841">
        <w:rPr>
          <w:rFonts w:asciiTheme="minorHAnsi" w:hAnsiTheme="minorHAnsi" w:cstheme="minorHAnsi"/>
          <w:sz w:val="22"/>
          <w:szCs w:val="22"/>
          <w:lang w:val="en-US"/>
        </w:rPr>
        <w:t>Stakeholders Analysis</w:t>
      </w:r>
      <w:r w:rsidR="007A0DBA">
        <w:rPr>
          <w:rFonts w:asciiTheme="minorHAnsi" w:hAnsiTheme="minorHAnsi" w:cstheme="minorHAnsi"/>
          <w:sz w:val="22"/>
          <w:szCs w:val="22"/>
          <w:lang w:val="en-US"/>
        </w:rPr>
        <w:t>.</w:t>
      </w:r>
      <w:r w:rsidR="007A0DBA" w:rsidRPr="00894841">
        <w:rPr>
          <w:rFonts w:asciiTheme="minorHAnsi" w:hAnsiTheme="minorHAnsi" w:cstheme="minorHAnsi"/>
          <w:sz w:val="22"/>
          <w:szCs w:val="22"/>
          <w:lang w:val="en-US"/>
        </w:rPr>
        <w:t xml:space="preserve"> </w:t>
      </w:r>
      <w:r w:rsidR="007A0DBA">
        <w:rPr>
          <w:rFonts w:asciiTheme="minorHAnsi" w:hAnsiTheme="minorHAnsi" w:cstheme="minorHAnsi"/>
          <w:sz w:val="22"/>
          <w:szCs w:val="22"/>
          <w:lang w:val="en-US"/>
        </w:rPr>
        <w:t>I</w:t>
      </w:r>
      <w:r w:rsidR="007A0DBA" w:rsidRPr="00894841">
        <w:rPr>
          <w:rFonts w:asciiTheme="minorHAnsi" w:hAnsiTheme="minorHAnsi" w:cstheme="minorHAnsi"/>
          <w:sz w:val="22"/>
          <w:szCs w:val="22"/>
          <w:lang w:val="en-US"/>
        </w:rPr>
        <w:t xml:space="preserve">t </w:t>
      </w:r>
      <w:r w:rsidR="007A0DBA">
        <w:rPr>
          <w:rFonts w:asciiTheme="minorHAnsi" w:hAnsiTheme="minorHAnsi" w:cstheme="minorHAnsi"/>
          <w:sz w:val="22"/>
          <w:szCs w:val="22"/>
          <w:lang w:val="en-US"/>
        </w:rPr>
        <w:t>has been</w:t>
      </w:r>
      <w:r w:rsidR="007A0DBA" w:rsidRPr="00894841">
        <w:rPr>
          <w:rFonts w:asciiTheme="minorHAnsi" w:hAnsiTheme="minorHAnsi" w:cstheme="minorHAnsi"/>
          <w:sz w:val="22"/>
          <w:szCs w:val="22"/>
          <w:lang w:val="en-US"/>
        </w:rPr>
        <w:t xml:space="preserve"> implemented with </w:t>
      </w:r>
      <w:r w:rsidR="007A0DBA">
        <w:rPr>
          <w:rFonts w:asciiTheme="minorHAnsi" w:hAnsiTheme="minorHAnsi" w:cstheme="minorHAnsi"/>
          <w:sz w:val="22"/>
          <w:szCs w:val="22"/>
          <w:lang w:val="en-US"/>
        </w:rPr>
        <w:t xml:space="preserve">most of the </w:t>
      </w:r>
      <w:r w:rsidR="007A0DBA" w:rsidRPr="00894841">
        <w:rPr>
          <w:rFonts w:asciiTheme="minorHAnsi" w:hAnsiTheme="minorHAnsi" w:cstheme="minorHAnsi"/>
          <w:sz w:val="22"/>
          <w:szCs w:val="22"/>
          <w:lang w:val="en-US"/>
        </w:rPr>
        <w:t xml:space="preserve">actions </w:t>
      </w:r>
      <w:r w:rsidR="007A0DBA">
        <w:rPr>
          <w:rFonts w:asciiTheme="minorHAnsi" w:hAnsiTheme="minorHAnsi" w:cstheme="minorHAnsi"/>
          <w:sz w:val="22"/>
          <w:szCs w:val="22"/>
          <w:lang w:val="en-US"/>
        </w:rPr>
        <w:t xml:space="preserve">been </w:t>
      </w:r>
      <w:r w:rsidR="007A0DBA" w:rsidRPr="00894841">
        <w:rPr>
          <w:rFonts w:asciiTheme="minorHAnsi" w:hAnsiTheme="minorHAnsi" w:cstheme="minorHAnsi"/>
          <w:sz w:val="22"/>
          <w:szCs w:val="22"/>
          <w:lang w:val="en-US"/>
        </w:rPr>
        <w:t>run</w:t>
      </w:r>
      <w:r w:rsidR="007A0DBA">
        <w:rPr>
          <w:rFonts w:asciiTheme="minorHAnsi" w:hAnsiTheme="minorHAnsi" w:cstheme="minorHAnsi"/>
          <w:sz w:val="22"/>
          <w:szCs w:val="22"/>
          <w:lang w:val="en-US"/>
        </w:rPr>
        <w:t>ning</w:t>
      </w:r>
      <w:r w:rsidR="007A0DBA" w:rsidRPr="00894841">
        <w:rPr>
          <w:rFonts w:asciiTheme="minorHAnsi" w:hAnsiTheme="minorHAnsi" w:cstheme="minorHAnsi"/>
          <w:sz w:val="22"/>
          <w:szCs w:val="22"/>
          <w:lang w:val="en-US"/>
        </w:rPr>
        <w:t xml:space="preserve"> horizontally </w:t>
      </w:r>
      <w:r w:rsidR="007A0DBA">
        <w:rPr>
          <w:rFonts w:asciiTheme="minorHAnsi" w:hAnsiTheme="minorHAnsi" w:cstheme="minorHAnsi"/>
          <w:sz w:val="22"/>
          <w:szCs w:val="22"/>
          <w:lang w:val="en-US"/>
        </w:rPr>
        <w:t xml:space="preserve">through </w:t>
      </w:r>
      <w:r w:rsidR="007A0DBA" w:rsidRPr="00894841">
        <w:rPr>
          <w:rFonts w:asciiTheme="minorHAnsi" w:hAnsiTheme="minorHAnsi" w:cstheme="minorHAnsi"/>
          <w:sz w:val="22"/>
          <w:szCs w:val="22"/>
          <w:lang w:val="en-US"/>
        </w:rPr>
        <w:t xml:space="preserve">the project components.      </w:t>
      </w:r>
    </w:p>
    <w:p w14:paraId="1D4FA0C0" w14:textId="0E6258B7" w:rsidR="000F31AD" w:rsidRPr="00894841" w:rsidRDefault="000F31AD" w:rsidP="007A0DBA">
      <w:pPr>
        <w:pBdr>
          <w:top w:val="nil"/>
          <w:left w:val="nil"/>
          <w:bottom w:val="nil"/>
          <w:right w:val="nil"/>
          <w:between w:val="nil"/>
        </w:pBdr>
        <w:jc w:val="both"/>
        <w:rPr>
          <w:rFonts w:asciiTheme="minorHAnsi" w:eastAsia="Calibri" w:hAnsiTheme="minorHAnsi" w:cstheme="minorHAnsi"/>
          <w:color w:val="000000"/>
          <w:sz w:val="22"/>
          <w:szCs w:val="22"/>
        </w:rPr>
      </w:pPr>
    </w:p>
    <w:p w14:paraId="4D6DBB7E" w14:textId="77777777" w:rsidR="000F31AD" w:rsidRDefault="00A317E5">
      <w:pPr>
        <w:pBdr>
          <w:top w:val="nil"/>
          <w:left w:val="nil"/>
          <w:bottom w:val="nil"/>
          <w:right w:val="nil"/>
          <w:between w:val="nil"/>
        </w:pBdr>
        <w:shd w:val="clear" w:color="auto" w:fill="FFFFFF"/>
        <w:jc w:val="both"/>
        <w:rPr>
          <w:rFonts w:ascii="Calibri" w:eastAsia="Calibri" w:hAnsi="Calibri" w:cs="Calibri"/>
          <w:color w:val="000000"/>
          <w:sz w:val="22"/>
          <w:szCs w:val="22"/>
        </w:rPr>
      </w:pPr>
      <w:r>
        <w:rPr>
          <w:rFonts w:ascii="Calibri" w:eastAsia="Calibri" w:hAnsi="Calibri" w:cs="Calibri"/>
          <w:color w:val="000000"/>
          <w:sz w:val="22"/>
          <w:szCs w:val="22"/>
        </w:rPr>
        <w:t>It has to be mentioned here that the Drin Project is largely dependent on the active involvement of the national and international stakeholders. It started with the Shared Vision for the management of the Drin River Basin, as the objective of the Drin Memorandum of Understanding (MoU), was itself the outcome of the </w:t>
      </w:r>
      <w:hyperlink r:id="rId19">
        <w:r>
          <w:rPr>
            <w:rFonts w:ascii="Calibri" w:eastAsia="Calibri" w:hAnsi="Calibri" w:cs="Calibri"/>
            <w:color w:val="000000"/>
            <w:sz w:val="22"/>
            <w:szCs w:val="22"/>
          </w:rPr>
          <w:t>Drin Dialogue</w:t>
        </w:r>
      </w:hyperlink>
      <w:r>
        <w:rPr>
          <w:rFonts w:ascii="Calibri" w:eastAsia="Calibri" w:hAnsi="Calibri" w:cs="Calibri"/>
          <w:color w:val="000000"/>
          <w:sz w:val="22"/>
          <w:szCs w:val="22"/>
        </w:rPr>
        <w:t>, a multi-stakeholder process comprising a number of consultations. One of the main tasks of the </w:t>
      </w:r>
      <w:hyperlink r:id="rId20">
        <w:r>
          <w:rPr>
            <w:rFonts w:ascii="Calibri" w:eastAsia="Calibri" w:hAnsi="Calibri" w:cs="Calibri"/>
            <w:color w:val="000000"/>
            <w:sz w:val="22"/>
            <w:szCs w:val="22"/>
          </w:rPr>
          <w:t>Drin Core Group</w:t>
        </w:r>
      </w:hyperlink>
      <w:r>
        <w:rPr>
          <w:rFonts w:ascii="Calibri" w:eastAsia="Calibri" w:hAnsi="Calibri" w:cs="Calibri"/>
          <w:color w:val="000000"/>
          <w:sz w:val="22"/>
          <w:szCs w:val="22"/>
        </w:rPr>
        <w:t> was to ensure the active engagement of the stakeholders in the process for the management of the Drin Basin. </w:t>
      </w:r>
    </w:p>
    <w:p w14:paraId="05BEAE96" w14:textId="77777777" w:rsidR="000F31AD" w:rsidRDefault="000F31AD">
      <w:pPr>
        <w:pBdr>
          <w:top w:val="nil"/>
          <w:left w:val="nil"/>
          <w:bottom w:val="nil"/>
          <w:right w:val="nil"/>
          <w:between w:val="nil"/>
        </w:pBdr>
        <w:shd w:val="clear" w:color="auto" w:fill="FFFFFF"/>
        <w:jc w:val="both"/>
        <w:rPr>
          <w:rFonts w:ascii="Calibri" w:eastAsia="Calibri" w:hAnsi="Calibri" w:cs="Calibri"/>
          <w:color w:val="000000"/>
          <w:sz w:val="22"/>
          <w:szCs w:val="22"/>
        </w:rPr>
      </w:pPr>
    </w:p>
    <w:p w14:paraId="7F3C73D9" w14:textId="7E179D73" w:rsidR="000F31AD" w:rsidRDefault="00A317E5">
      <w:pPr>
        <w:pBdr>
          <w:top w:val="nil"/>
          <w:left w:val="nil"/>
          <w:bottom w:val="nil"/>
          <w:right w:val="nil"/>
          <w:between w:val="nil"/>
        </w:pBdr>
        <w:shd w:val="clear" w:color="auto" w:fill="FFFFFF"/>
        <w:jc w:val="both"/>
        <w:rPr>
          <w:rFonts w:ascii="Calibri" w:eastAsia="Calibri" w:hAnsi="Calibri" w:cs="Calibri"/>
          <w:color w:val="000000"/>
          <w:sz w:val="22"/>
          <w:szCs w:val="22"/>
        </w:rPr>
      </w:pPr>
      <w:r>
        <w:rPr>
          <w:rFonts w:ascii="Calibri" w:eastAsia="Calibri" w:hAnsi="Calibri" w:cs="Calibri"/>
          <w:color w:val="000000"/>
          <w:sz w:val="22"/>
          <w:szCs w:val="22"/>
        </w:rPr>
        <w:t>The project was quite successful in establishing an engaging stakeholder involvement process. Drin Multi-stakeholder Conferences were organized annually (</w:t>
      </w:r>
      <w:r w:rsidR="00C751C3">
        <w:rPr>
          <w:rFonts w:ascii="Calibri" w:eastAsia="Calibri" w:hAnsi="Calibri" w:cs="Calibri"/>
          <w:color w:val="000000"/>
          <w:sz w:val="22"/>
          <w:szCs w:val="22"/>
        </w:rPr>
        <w:t xml:space="preserve">six </w:t>
      </w:r>
      <w:r>
        <w:rPr>
          <w:rFonts w:ascii="Calibri" w:eastAsia="Calibri" w:hAnsi="Calibri" w:cs="Calibri"/>
          <w:color w:val="000000"/>
          <w:sz w:val="22"/>
          <w:szCs w:val="22"/>
        </w:rPr>
        <w:t xml:space="preserve">in total) and </w:t>
      </w:r>
      <w:r w:rsidR="007A0DBA">
        <w:rPr>
          <w:rFonts w:ascii="Calibri" w:eastAsia="Calibri" w:hAnsi="Calibri" w:cs="Calibri"/>
          <w:color w:val="000000"/>
          <w:sz w:val="22"/>
          <w:szCs w:val="22"/>
        </w:rPr>
        <w:t>each one was</w:t>
      </w:r>
      <w:r>
        <w:rPr>
          <w:rFonts w:ascii="Calibri" w:eastAsia="Calibri" w:hAnsi="Calibri" w:cs="Calibri"/>
          <w:color w:val="000000"/>
          <w:sz w:val="22"/>
          <w:szCs w:val="22"/>
        </w:rPr>
        <w:t xml:space="preserve"> attended by 100 plus stakeholder representatives from all participating countries of the region as well as international partners. The Drin Core Group itself, which was acting as the Project Steering Committee/Project Board, was meeting between 2 and 5 times a year (19 in total). Such frequency was way above the standard pace of GEF project’s steering committee meetings. In these meeting, major national stakeholders were actively participating.</w:t>
      </w:r>
    </w:p>
    <w:p w14:paraId="4D355759" w14:textId="77777777" w:rsidR="000F31AD" w:rsidRDefault="000F31AD">
      <w:pPr>
        <w:pBdr>
          <w:top w:val="nil"/>
          <w:left w:val="nil"/>
          <w:bottom w:val="nil"/>
          <w:right w:val="nil"/>
          <w:between w:val="nil"/>
        </w:pBdr>
        <w:shd w:val="clear" w:color="auto" w:fill="FFFFFF"/>
        <w:jc w:val="both"/>
        <w:rPr>
          <w:rFonts w:ascii="Calibri" w:eastAsia="Calibri" w:hAnsi="Calibri" w:cs="Calibri"/>
          <w:color w:val="000000"/>
          <w:sz w:val="22"/>
          <w:szCs w:val="22"/>
        </w:rPr>
      </w:pPr>
    </w:p>
    <w:p w14:paraId="1264D391" w14:textId="78890A31" w:rsidR="000F31AD" w:rsidRDefault="00A317E5">
      <w:pPr>
        <w:pBdr>
          <w:top w:val="nil"/>
          <w:left w:val="nil"/>
          <w:bottom w:val="nil"/>
          <w:right w:val="nil"/>
          <w:between w:val="nil"/>
        </w:pBdr>
        <w:shd w:val="clear" w:color="auto" w:fill="FFFFFF"/>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Partnership agreements were agreed with 2 international organisations (UNECE and IHP-UNESCO), </w:t>
      </w:r>
      <w:r w:rsidR="007A0DBA">
        <w:rPr>
          <w:rFonts w:ascii="Calibri" w:eastAsia="Calibri" w:hAnsi="Calibri" w:cs="Calibri"/>
          <w:color w:val="000000"/>
          <w:sz w:val="22"/>
          <w:szCs w:val="22"/>
        </w:rPr>
        <w:t xml:space="preserve">and extensive cooperation established with </w:t>
      </w:r>
      <w:r>
        <w:rPr>
          <w:rFonts w:ascii="Calibri" w:eastAsia="Calibri" w:hAnsi="Calibri" w:cs="Calibri"/>
          <w:color w:val="000000"/>
          <w:sz w:val="22"/>
          <w:szCs w:val="22"/>
        </w:rPr>
        <w:t>1 bilateral organisation (</w:t>
      </w:r>
      <w:r w:rsidR="00CD0148">
        <w:rPr>
          <w:rFonts w:ascii="Calibri" w:eastAsia="Calibri" w:hAnsi="Calibri" w:cs="Calibri"/>
          <w:color w:val="000000"/>
          <w:sz w:val="22"/>
          <w:szCs w:val="22"/>
        </w:rPr>
        <w:t xml:space="preserve"> The Drin Project also worked in synergy </w:t>
      </w:r>
      <w:r>
        <w:rPr>
          <w:rFonts w:ascii="Calibri" w:eastAsia="Calibri" w:hAnsi="Calibri" w:cs="Calibri"/>
          <w:color w:val="000000"/>
          <w:sz w:val="22"/>
          <w:szCs w:val="22"/>
        </w:rPr>
        <w:t>GIZ) and 2 major national establishments (K</w:t>
      </w:r>
      <w:r w:rsidR="007A0DBA">
        <w:rPr>
          <w:rFonts w:ascii="Calibri" w:eastAsia="Calibri" w:hAnsi="Calibri" w:cs="Calibri"/>
          <w:color w:val="000000"/>
          <w:sz w:val="22"/>
          <w:szCs w:val="22"/>
        </w:rPr>
        <w:t>ESH</w:t>
      </w:r>
      <w:r w:rsidR="00CD0148">
        <w:rPr>
          <w:rFonts w:ascii="Calibri" w:eastAsia="Calibri" w:hAnsi="Calibri" w:cs="Calibri"/>
          <w:color w:val="000000"/>
          <w:sz w:val="22"/>
          <w:szCs w:val="22"/>
        </w:rPr>
        <w:t xml:space="preserve"> </w:t>
      </w:r>
      <w:r>
        <w:rPr>
          <w:rFonts w:ascii="Calibri" w:eastAsia="Calibri" w:hAnsi="Calibri" w:cs="Calibri"/>
          <w:color w:val="000000"/>
          <w:sz w:val="22"/>
          <w:szCs w:val="22"/>
        </w:rPr>
        <w:t>-Albania and ELEM-North Macedonia).</w:t>
      </w:r>
      <w:r w:rsidR="00CD0148">
        <w:rPr>
          <w:rFonts w:ascii="Calibri" w:eastAsia="Calibri" w:hAnsi="Calibri" w:cs="Calibri"/>
          <w:color w:val="000000"/>
          <w:sz w:val="22"/>
          <w:szCs w:val="22"/>
        </w:rPr>
        <w:t xml:space="preserve"> The Drin Project also worked in synergy with SIDA and KfW.</w:t>
      </w:r>
    </w:p>
    <w:p w14:paraId="41151A2C"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Overall, the project team developed very good collaboration with a multitude of stakeholders at national level, which was confirmed in all interviews that TE Consultant had with national stakeholders. In addition, the project team very well managed the obstacles and challenges that emerged after the COVID-19 crisis started, and the transition to new, virtual, modes of interaction between stakeholders was carried out efficiently. Partnerships have been very valuable for implementing project activities and contributed to a good national ownership of these activities as well as achievements. It will certainly contribute to the long-term sustainability of project achievements. </w:t>
      </w:r>
    </w:p>
    <w:p w14:paraId="6199E22C" w14:textId="77777777" w:rsidR="000F31AD" w:rsidRDefault="00A317E5">
      <w:pPr>
        <w:pBdr>
          <w:top w:val="nil"/>
          <w:left w:val="nil"/>
          <w:bottom w:val="nil"/>
          <w:right w:val="nil"/>
          <w:between w:val="nil"/>
        </w:pBdr>
        <w:shd w:val="clear" w:color="auto" w:fill="FFFFFF"/>
        <w:jc w:val="both"/>
        <w:rPr>
          <w:rFonts w:ascii="Calibri" w:eastAsia="Calibri" w:hAnsi="Calibri" w:cs="Calibri"/>
          <w:color w:val="000000"/>
          <w:sz w:val="22"/>
          <w:szCs w:val="22"/>
        </w:rPr>
      </w:pPr>
      <w:r>
        <w:rPr>
          <w:rFonts w:ascii="Calibri" w:eastAsia="Calibri" w:hAnsi="Calibri" w:cs="Calibri"/>
          <w:color w:val="000000"/>
          <w:sz w:val="22"/>
          <w:szCs w:val="22"/>
        </w:rPr>
        <w:t xml:space="preserve">As discussed in section 3.1.6., gender equality aspects of the project were considered and discussed both at CEO Endorsement Request stage, and in the ProDoc. The MTR concluded that a Gender Mainstreaming Strategy was developed and implemented, and noted that at project consultation meetings held in each country more than 37% of participants were women. The above strategy contains Gender Results Framework and a Gender Action Plan, which list in considerable detail every output where the gender issues have to be mainstreamed.   </w:t>
      </w:r>
    </w:p>
    <w:p w14:paraId="6786AA2B" w14:textId="77777777" w:rsidR="000F31AD" w:rsidRDefault="000F31AD">
      <w:pPr>
        <w:rPr>
          <w:rFonts w:ascii="Calibri" w:eastAsia="Calibri" w:hAnsi="Calibri" w:cs="Calibri"/>
          <w:sz w:val="22"/>
          <w:szCs w:val="22"/>
        </w:rPr>
      </w:pPr>
    </w:p>
    <w:p w14:paraId="343B1AF3" w14:textId="3C58FFED" w:rsidR="000F31AD" w:rsidRDefault="00A317E5">
      <w:pPr>
        <w:jc w:val="both"/>
        <w:rPr>
          <w:rFonts w:ascii="Calibri" w:eastAsia="Calibri" w:hAnsi="Calibri" w:cs="Calibri"/>
          <w:sz w:val="22"/>
          <w:szCs w:val="22"/>
        </w:rPr>
      </w:pPr>
      <w:r>
        <w:rPr>
          <w:rFonts w:ascii="Calibri" w:eastAsia="Calibri" w:hAnsi="Calibri" w:cs="Calibri"/>
          <w:sz w:val="22"/>
          <w:szCs w:val="22"/>
        </w:rPr>
        <w:t>The Evaluator also noted that gender mainstreaming was reported in each PIR. The 2017 PIR reported on the development of the Gender Mainstreaming Strategy and the impact that the project can make, albeit indirectly, on the better representation of women in the implementation of the Drin Project</w:t>
      </w:r>
      <w:r w:rsidR="00A70D48">
        <w:rPr>
          <w:rFonts w:ascii="Calibri" w:eastAsia="Calibri" w:hAnsi="Calibri" w:cs="Calibri"/>
          <w:sz w:val="22"/>
          <w:szCs w:val="22"/>
        </w:rPr>
        <w:t>, and that a special session was dedicated to gender mainstreaming considerations during the stakeholders’ conference, held in Pristina on 14 December 2016</w:t>
      </w:r>
      <w:r>
        <w:rPr>
          <w:rFonts w:ascii="Calibri" w:eastAsia="Calibri" w:hAnsi="Calibri" w:cs="Calibri"/>
          <w:sz w:val="22"/>
          <w:szCs w:val="22"/>
        </w:rPr>
        <w:t xml:space="preserve">. The 2018 PIR reported, among other, that a training Course entitled “Empower the institutions and the stakeholders to mainstream Gender issues in the management of the Drin Basin” was organized in Skopje, on 13-14 June 2017.  The PIR 2021 reported that Drin Day and other activities in all riparian countries promoted participation of women NGOs in implementation of activities related to recycling, ecotourism, etc. </w:t>
      </w:r>
    </w:p>
    <w:p w14:paraId="5A85A242"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The TE review of how gender mainstreaming was integrated in the implementation of the project reveals that the implementation team skilfully managed a gender mainstreaming agenda through activities supported by the project but also ensuring that women were well represented in the project decision making process with 30% of women sitting on the PB. </w:t>
      </w:r>
    </w:p>
    <w:p w14:paraId="53AEB0D7" w14:textId="77777777" w:rsidR="000F31AD" w:rsidRDefault="00A317E5">
      <w:pPr>
        <w:pStyle w:val="Heading3"/>
      </w:pPr>
      <w:bookmarkStart w:id="35" w:name="_Toc81335858"/>
      <w:r>
        <w:t>3.2.3.</w:t>
      </w:r>
      <w:r>
        <w:tab/>
        <w:t>Project finance and co-finance</w:t>
      </w:r>
      <w:bookmarkEnd w:id="35"/>
    </w:p>
    <w:p w14:paraId="6FC31366" w14:textId="77777777" w:rsidR="000F31AD" w:rsidRDefault="000F31AD"/>
    <w:p w14:paraId="29CC3474" w14:textId="7D77EE1A" w:rsidR="000F31AD" w:rsidRDefault="00A317E5">
      <w:pPr>
        <w:jc w:val="both"/>
        <w:rPr>
          <w:rFonts w:ascii="Calibri" w:eastAsia="Calibri" w:hAnsi="Calibri" w:cs="Calibri"/>
          <w:sz w:val="22"/>
          <w:szCs w:val="22"/>
        </w:rPr>
      </w:pPr>
      <w:r>
        <w:rPr>
          <w:rFonts w:ascii="Calibri" w:eastAsia="Calibri" w:hAnsi="Calibri" w:cs="Calibri"/>
          <w:sz w:val="22"/>
          <w:szCs w:val="22"/>
        </w:rPr>
        <w:t xml:space="preserve">No financial audit has been conducted as part of this evaluation and the financial summaries reviewed were provided by the UNDP – Country Office in Albania. However, the MTR states that a full financial audit </w:t>
      </w:r>
      <w:r w:rsidR="00453C19">
        <w:rPr>
          <w:rFonts w:ascii="Calibri" w:eastAsia="Calibri" w:hAnsi="Calibri" w:cs="Calibri"/>
          <w:sz w:val="22"/>
          <w:szCs w:val="22"/>
        </w:rPr>
        <w:t xml:space="preserve">for FSP </w:t>
      </w:r>
      <w:r>
        <w:rPr>
          <w:rFonts w:ascii="Calibri" w:eastAsia="Calibri" w:hAnsi="Calibri" w:cs="Calibri"/>
          <w:sz w:val="22"/>
          <w:szCs w:val="22"/>
        </w:rPr>
        <w:t xml:space="preserve">was conducted by KPMG in March 2018. </w:t>
      </w:r>
      <w:r w:rsidR="00CD0148">
        <w:rPr>
          <w:rFonts w:ascii="Calibri" w:eastAsia="Calibri" w:hAnsi="Calibri" w:cs="Calibri"/>
          <w:sz w:val="22"/>
          <w:szCs w:val="22"/>
        </w:rPr>
        <w:t>Another f</w:t>
      </w:r>
      <w:r w:rsidR="00453C19">
        <w:rPr>
          <w:rFonts w:ascii="Calibri" w:eastAsia="Calibri" w:hAnsi="Calibri" w:cs="Calibri"/>
          <w:sz w:val="22"/>
          <w:szCs w:val="22"/>
        </w:rPr>
        <w:t xml:space="preserve">inancial </w:t>
      </w:r>
      <w:r w:rsidR="00CD0148">
        <w:rPr>
          <w:rFonts w:ascii="Calibri" w:eastAsia="Calibri" w:hAnsi="Calibri" w:cs="Calibri"/>
          <w:sz w:val="22"/>
          <w:szCs w:val="22"/>
        </w:rPr>
        <w:t>audit was carried out by BDP</w:t>
      </w:r>
      <w:r w:rsidR="00453C19">
        <w:rPr>
          <w:rFonts w:ascii="Calibri" w:eastAsia="Calibri" w:hAnsi="Calibri" w:cs="Calibri"/>
          <w:sz w:val="22"/>
          <w:szCs w:val="22"/>
        </w:rPr>
        <w:t xml:space="preserve"> in December 2019, and a GWP-UNDP Spot-Check carried out by BDO in December 2020. For MSP, the financial audit was carried out by BDO in December 2019. None of the above audits found major issues, and those that have been spotted were efficiently dealt with by the implementing agency and executing partner</w:t>
      </w:r>
    </w:p>
    <w:p w14:paraId="1A051E7C"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Financial records were consolidated into the UNDP-ATLAS system as the accounting and financial system for all UNDP projects. Then, based on the financial information input, the financial reports were produced on a quarterly basis, for FSP and MSP separately, showing financial information broken down by line items such as consultant fees, travel tickets, printing and publications, utilities, etc. and presented by project components and outputs. </w:t>
      </w:r>
    </w:p>
    <w:p w14:paraId="516F3471" w14:textId="77777777" w:rsidR="000F31AD" w:rsidRDefault="00A317E5">
      <w:pPr>
        <w:jc w:val="both"/>
      </w:pPr>
      <w:r>
        <w:rPr>
          <w:rFonts w:ascii="Calibri" w:eastAsia="Calibri" w:hAnsi="Calibri" w:cs="Calibri"/>
          <w:color w:val="000000"/>
          <w:sz w:val="22"/>
          <w:szCs w:val="22"/>
        </w:rPr>
        <w:lastRenderedPageBreak/>
        <w:t xml:space="preserve">The financial planning and management for both projects (FSP and MSP) has been carried out according to the UNDP rules. The total amount allocated for both projects (grant and co-financing) is US$235,179,092. The GEF grant amounts to US$5,500,000 (FSP – US$4,500,000; MSP – US$1,000,000), while US$229,679,092 of the co-financing were confirmed by the sources to have been provided at the TE stage. The co-financing sources included the following: the participating governments (US$1,260,000 in kind), UNDP (US$5,364,221 in cash and in kind), World Bank (US$42,000,000 in loans); SIDA – Albania office (US$6,800,000 in kind); SIDA - Kosovo office (US$7,211,027 in kind); EU IPA pre-accession funds (US$2,700,000 in kind); KfW (US$123,578,000 in loans and in kind); Swiss Cooperation (US$33,000,000 in kind); GIZ (US$6,790,000 in kind); JICA (US$332,344 in kind); UNECE (US$130,000 in kind); GWP (US$213,500 in kind); and ADA (US$300,000 in kind). The resulting ratio between grant and co-financing is roughly 1:42 (for one dollar of the grant 42 dollars of co-financing were provided), which is extremely high by GEF standards. </w:t>
      </w:r>
    </w:p>
    <w:p w14:paraId="323BB223" w14:textId="77777777" w:rsidR="000F31AD" w:rsidRDefault="00A317E5">
      <w:pPr>
        <w:spacing w:before="280" w:after="280"/>
        <w:jc w:val="both"/>
      </w:pPr>
      <w:r>
        <w:rPr>
          <w:rFonts w:ascii="Calibri" w:eastAsia="Calibri" w:hAnsi="Calibri" w:cs="Calibri"/>
          <w:sz w:val="22"/>
          <w:szCs w:val="22"/>
        </w:rPr>
        <w:t>The review of financial records, as recorded in the UNDP Atlas system, indicates that, by the end of July 2021, USD 4,369,192 have been expended by the FSP, which is 97.1% of the entire GEF grant (USD 4.5M). The 2021 PIR states that by 30 June 2021, the total of US$4,277,801 was spent making it around 95% of the total FSP GEF grant, which is very close to previous figure and the difference is probably due to the accounting process only.  As of 30 July, 2021, when the project is closing down, it is expected that 100% of the FSP GEF grant will be expended. Within the MSP project, US$979,242 (98.0%) has been spent until now. It is expected that 100% of the MSP GEF grant will be spent when the project will be closed. The breakdown of project expenditures per year is presented in the table 3 (FSP) and table 4 (MSP) below</w:t>
      </w:r>
      <w:r>
        <w:rPr>
          <w:sz w:val="20"/>
          <w:szCs w:val="20"/>
        </w:rPr>
        <w:t xml:space="preserve">. </w:t>
      </w:r>
    </w:p>
    <w:p w14:paraId="372DAF73" w14:textId="77777777" w:rsidR="000F31AD" w:rsidRDefault="000F31AD">
      <w:pPr>
        <w:jc w:val="center"/>
        <w:rPr>
          <w:rFonts w:ascii="Calibri" w:eastAsia="Calibri" w:hAnsi="Calibri" w:cs="Calibri"/>
          <w:b/>
          <w:sz w:val="22"/>
          <w:szCs w:val="22"/>
        </w:rPr>
      </w:pPr>
    </w:p>
    <w:p w14:paraId="6EB0943C" w14:textId="77777777" w:rsidR="000F31AD" w:rsidRDefault="00A317E5">
      <w:pPr>
        <w:jc w:val="center"/>
        <w:rPr>
          <w:rFonts w:ascii="Calibri" w:eastAsia="Calibri" w:hAnsi="Calibri" w:cs="Calibri"/>
          <w:b/>
          <w:sz w:val="22"/>
          <w:szCs w:val="22"/>
        </w:rPr>
      </w:pPr>
      <w:r>
        <w:rPr>
          <w:rFonts w:ascii="Calibri" w:eastAsia="Calibri" w:hAnsi="Calibri" w:cs="Calibri"/>
          <w:b/>
          <w:sz w:val="22"/>
          <w:szCs w:val="22"/>
        </w:rPr>
        <w:t>Table 3:  FSP PIMS 4482 - Planned and actual expenditure table in US$ (only GEF grant)</w:t>
      </w:r>
    </w:p>
    <w:p w14:paraId="0733AA40" w14:textId="77777777" w:rsidR="000F31AD" w:rsidRDefault="000F31AD">
      <w:pPr>
        <w:jc w:val="center"/>
        <w:rPr>
          <w:rFonts w:ascii="Calibri" w:eastAsia="Calibri" w:hAnsi="Calibri" w:cs="Calibri"/>
          <w:b/>
          <w:sz w:val="22"/>
          <w:szCs w:val="22"/>
        </w:rPr>
      </w:pPr>
    </w:p>
    <w:p w14:paraId="641714D1" w14:textId="77777777" w:rsidR="000F31AD" w:rsidRDefault="000F31AD">
      <w:pPr>
        <w:jc w:val="both"/>
        <w:rPr>
          <w:rFonts w:ascii="Calibri" w:eastAsia="Calibri" w:hAnsi="Calibri" w:cs="Calibri"/>
          <w:sz w:val="22"/>
          <w:szCs w:val="22"/>
        </w:rPr>
      </w:pPr>
    </w:p>
    <w:tbl>
      <w:tblPr>
        <w:tblStyle w:val="a3"/>
        <w:tblW w:w="7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1695"/>
        <w:gridCol w:w="990"/>
        <w:gridCol w:w="1140"/>
        <w:gridCol w:w="1695"/>
        <w:gridCol w:w="990"/>
      </w:tblGrid>
      <w:tr w:rsidR="000F31AD" w14:paraId="6611A121" w14:textId="77777777" w:rsidTr="004A0ACB">
        <w:trPr>
          <w:jc w:val="center"/>
        </w:trPr>
        <w:tc>
          <w:tcPr>
            <w:tcW w:w="3690" w:type="dxa"/>
            <w:gridSpan w:val="3"/>
            <w:shd w:val="clear" w:color="auto" w:fill="F4B083"/>
          </w:tcPr>
          <w:p w14:paraId="64867F46"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Planned in ProDoc</w:t>
            </w:r>
          </w:p>
        </w:tc>
        <w:tc>
          <w:tcPr>
            <w:tcW w:w="3825" w:type="dxa"/>
            <w:gridSpan w:val="3"/>
            <w:shd w:val="clear" w:color="auto" w:fill="F4B083"/>
          </w:tcPr>
          <w:p w14:paraId="16CD891B"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Actual expenditures</w:t>
            </w:r>
          </w:p>
        </w:tc>
      </w:tr>
      <w:tr w:rsidR="000F31AD" w14:paraId="59487DA9" w14:textId="77777777" w:rsidTr="004A0ACB">
        <w:trPr>
          <w:jc w:val="center"/>
        </w:trPr>
        <w:tc>
          <w:tcPr>
            <w:tcW w:w="1005" w:type="dxa"/>
            <w:shd w:val="clear" w:color="auto" w:fill="F4B083"/>
          </w:tcPr>
          <w:p w14:paraId="4D5F6467"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Year</w:t>
            </w:r>
          </w:p>
        </w:tc>
        <w:tc>
          <w:tcPr>
            <w:tcW w:w="1695" w:type="dxa"/>
            <w:shd w:val="clear" w:color="auto" w:fill="F4B083"/>
          </w:tcPr>
          <w:p w14:paraId="5F9B8F18"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Planned budget</w:t>
            </w:r>
          </w:p>
        </w:tc>
        <w:tc>
          <w:tcPr>
            <w:tcW w:w="990" w:type="dxa"/>
            <w:shd w:val="clear" w:color="auto" w:fill="F4B083"/>
          </w:tcPr>
          <w:p w14:paraId="6DCD7717"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 of the total</w:t>
            </w:r>
          </w:p>
        </w:tc>
        <w:tc>
          <w:tcPr>
            <w:tcW w:w="1140" w:type="dxa"/>
            <w:shd w:val="clear" w:color="auto" w:fill="F4B083"/>
          </w:tcPr>
          <w:p w14:paraId="7E5E925B"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Year</w:t>
            </w:r>
          </w:p>
        </w:tc>
        <w:tc>
          <w:tcPr>
            <w:tcW w:w="1695" w:type="dxa"/>
            <w:shd w:val="clear" w:color="auto" w:fill="F4B083"/>
          </w:tcPr>
          <w:p w14:paraId="0D21A792"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Amount spent</w:t>
            </w:r>
          </w:p>
        </w:tc>
        <w:tc>
          <w:tcPr>
            <w:tcW w:w="990" w:type="dxa"/>
            <w:shd w:val="clear" w:color="auto" w:fill="F4B083"/>
          </w:tcPr>
          <w:p w14:paraId="5F263EEA"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 of the total per ProDoc</w:t>
            </w:r>
          </w:p>
        </w:tc>
      </w:tr>
      <w:tr w:rsidR="000F31AD" w14:paraId="171DE47E" w14:textId="77777777" w:rsidTr="004A0ACB">
        <w:trPr>
          <w:jc w:val="center"/>
        </w:trPr>
        <w:tc>
          <w:tcPr>
            <w:tcW w:w="1005" w:type="dxa"/>
          </w:tcPr>
          <w:p w14:paraId="4D099064"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1</w:t>
            </w:r>
          </w:p>
        </w:tc>
        <w:tc>
          <w:tcPr>
            <w:tcW w:w="1695" w:type="dxa"/>
          </w:tcPr>
          <w:p w14:paraId="02F5178F"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1,192,200</w:t>
            </w:r>
          </w:p>
        </w:tc>
        <w:tc>
          <w:tcPr>
            <w:tcW w:w="990" w:type="dxa"/>
          </w:tcPr>
          <w:p w14:paraId="0F958A84"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26.5</w:t>
            </w:r>
          </w:p>
        </w:tc>
        <w:tc>
          <w:tcPr>
            <w:tcW w:w="1140" w:type="dxa"/>
          </w:tcPr>
          <w:p w14:paraId="76EF9AF5"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2016</w:t>
            </w:r>
          </w:p>
        </w:tc>
        <w:tc>
          <w:tcPr>
            <w:tcW w:w="1695" w:type="dxa"/>
          </w:tcPr>
          <w:p w14:paraId="611891E7"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549,256</w:t>
            </w:r>
          </w:p>
        </w:tc>
        <w:tc>
          <w:tcPr>
            <w:tcW w:w="990" w:type="dxa"/>
          </w:tcPr>
          <w:p w14:paraId="06A23026"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46.1</w:t>
            </w:r>
          </w:p>
        </w:tc>
      </w:tr>
      <w:tr w:rsidR="000F31AD" w14:paraId="28EE53E8" w14:textId="77777777" w:rsidTr="004A0ACB">
        <w:trPr>
          <w:jc w:val="center"/>
        </w:trPr>
        <w:tc>
          <w:tcPr>
            <w:tcW w:w="1005" w:type="dxa"/>
          </w:tcPr>
          <w:p w14:paraId="70D38293"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w:t>
            </w:r>
          </w:p>
        </w:tc>
        <w:tc>
          <w:tcPr>
            <w:tcW w:w="1695" w:type="dxa"/>
          </w:tcPr>
          <w:p w14:paraId="7D452235"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1.126,200</w:t>
            </w:r>
          </w:p>
        </w:tc>
        <w:tc>
          <w:tcPr>
            <w:tcW w:w="990" w:type="dxa"/>
          </w:tcPr>
          <w:p w14:paraId="603E3F2B"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25.0</w:t>
            </w:r>
          </w:p>
        </w:tc>
        <w:tc>
          <w:tcPr>
            <w:tcW w:w="1140" w:type="dxa"/>
          </w:tcPr>
          <w:p w14:paraId="4F0A2E76"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2017</w:t>
            </w:r>
          </w:p>
        </w:tc>
        <w:tc>
          <w:tcPr>
            <w:tcW w:w="1695" w:type="dxa"/>
          </w:tcPr>
          <w:p w14:paraId="54A5368A"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836,972</w:t>
            </w:r>
          </w:p>
        </w:tc>
        <w:tc>
          <w:tcPr>
            <w:tcW w:w="990" w:type="dxa"/>
          </w:tcPr>
          <w:p w14:paraId="612A2585"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74.3</w:t>
            </w:r>
          </w:p>
        </w:tc>
      </w:tr>
      <w:tr w:rsidR="000F31AD" w14:paraId="61FA5B3C" w14:textId="77777777" w:rsidTr="004A0ACB">
        <w:trPr>
          <w:jc w:val="center"/>
        </w:trPr>
        <w:tc>
          <w:tcPr>
            <w:tcW w:w="1005" w:type="dxa"/>
          </w:tcPr>
          <w:p w14:paraId="5A15B708"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3</w:t>
            </w:r>
          </w:p>
        </w:tc>
        <w:tc>
          <w:tcPr>
            <w:tcW w:w="1695" w:type="dxa"/>
          </w:tcPr>
          <w:p w14:paraId="0E1BA040"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1.112,210</w:t>
            </w:r>
          </w:p>
        </w:tc>
        <w:tc>
          <w:tcPr>
            <w:tcW w:w="990" w:type="dxa"/>
          </w:tcPr>
          <w:p w14:paraId="54DF71C5"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24.7</w:t>
            </w:r>
          </w:p>
        </w:tc>
        <w:tc>
          <w:tcPr>
            <w:tcW w:w="1140" w:type="dxa"/>
          </w:tcPr>
          <w:p w14:paraId="1B1C6717"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2018</w:t>
            </w:r>
          </w:p>
        </w:tc>
        <w:tc>
          <w:tcPr>
            <w:tcW w:w="1695" w:type="dxa"/>
          </w:tcPr>
          <w:p w14:paraId="2BAB8CA3"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841,188</w:t>
            </w:r>
          </w:p>
        </w:tc>
        <w:tc>
          <w:tcPr>
            <w:tcW w:w="990" w:type="dxa"/>
          </w:tcPr>
          <w:p w14:paraId="6F3F144A"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75.6</w:t>
            </w:r>
          </w:p>
        </w:tc>
      </w:tr>
      <w:tr w:rsidR="000F31AD" w14:paraId="47C98A36" w14:textId="77777777" w:rsidTr="004A0ACB">
        <w:trPr>
          <w:jc w:val="center"/>
        </w:trPr>
        <w:tc>
          <w:tcPr>
            <w:tcW w:w="1005" w:type="dxa"/>
          </w:tcPr>
          <w:p w14:paraId="5C8AEC7B"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4</w:t>
            </w:r>
          </w:p>
        </w:tc>
        <w:tc>
          <w:tcPr>
            <w:tcW w:w="1695" w:type="dxa"/>
          </w:tcPr>
          <w:p w14:paraId="589F02CC"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1,069,390</w:t>
            </w:r>
          </w:p>
        </w:tc>
        <w:tc>
          <w:tcPr>
            <w:tcW w:w="990" w:type="dxa"/>
          </w:tcPr>
          <w:p w14:paraId="673B3D53"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23.8</w:t>
            </w:r>
          </w:p>
        </w:tc>
        <w:tc>
          <w:tcPr>
            <w:tcW w:w="1140" w:type="dxa"/>
          </w:tcPr>
          <w:p w14:paraId="66AC8499"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2019</w:t>
            </w:r>
          </w:p>
        </w:tc>
        <w:tc>
          <w:tcPr>
            <w:tcW w:w="1695" w:type="dxa"/>
          </w:tcPr>
          <w:p w14:paraId="0367CD8F"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891,845</w:t>
            </w:r>
          </w:p>
        </w:tc>
        <w:tc>
          <w:tcPr>
            <w:tcW w:w="990" w:type="dxa"/>
          </w:tcPr>
          <w:p w14:paraId="4045909C"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83.4</w:t>
            </w:r>
          </w:p>
        </w:tc>
      </w:tr>
      <w:tr w:rsidR="000F31AD" w14:paraId="6DBEAD59" w14:textId="77777777" w:rsidTr="004A0ACB">
        <w:trPr>
          <w:jc w:val="center"/>
        </w:trPr>
        <w:tc>
          <w:tcPr>
            <w:tcW w:w="1005" w:type="dxa"/>
          </w:tcPr>
          <w:p w14:paraId="19C815C8"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5</w:t>
            </w:r>
          </w:p>
        </w:tc>
        <w:tc>
          <w:tcPr>
            <w:tcW w:w="1695" w:type="dxa"/>
          </w:tcPr>
          <w:p w14:paraId="2BF85D2B" w14:textId="77777777" w:rsidR="000F31AD" w:rsidRDefault="000F31AD">
            <w:pPr>
              <w:jc w:val="right"/>
              <w:rPr>
                <w:rFonts w:ascii="Calibri" w:eastAsia="Calibri" w:hAnsi="Calibri" w:cs="Calibri"/>
                <w:sz w:val="20"/>
                <w:szCs w:val="20"/>
              </w:rPr>
            </w:pPr>
          </w:p>
        </w:tc>
        <w:tc>
          <w:tcPr>
            <w:tcW w:w="990" w:type="dxa"/>
          </w:tcPr>
          <w:p w14:paraId="721B0758" w14:textId="77777777" w:rsidR="000F31AD" w:rsidRDefault="000F31AD">
            <w:pPr>
              <w:jc w:val="center"/>
              <w:rPr>
                <w:rFonts w:ascii="Calibri" w:eastAsia="Calibri" w:hAnsi="Calibri" w:cs="Calibri"/>
                <w:sz w:val="20"/>
                <w:szCs w:val="20"/>
              </w:rPr>
            </w:pPr>
          </w:p>
        </w:tc>
        <w:tc>
          <w:tcPr>
            <w:tcW w:w="1140" w:type="dxa"/>
          </w:tcPr>
          <w:p w14:paraId="11F5BB2D"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2020</w:t>
            </w:r>
          </w:p>
        </w:tc>
        <w:tc>
          <w:tcPr>
            <w:tcW w:w="1695" w:type="dxa"/>
          </w:tcPr>
          <w:p w14:paraId="1B1A58BC"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770,143</w:t>
            </w:r>
          </w:p>
        </w:tc>
        <w:tc>
          <w:tcPr>
            <w:tcW w:w="990" w:type="dxa"/>
          </w:tcPr>
          <w:p w14:paraId="5CCADE4A" w14:textId="77777777" w:rsidR="000F31AD" w:rsidRDefault="000F31AD">
            <w:pPr>
              <w:jc w:val="center"/>
              <w:rPr>
                <w:rFonts w:ascii="Calibri" w:eastAsia="Calibri" w:hAnsi="Calibri" w:cs="Calibri"/>
                <w:sz w:val="20"/>
                <w:szCs w:val="20"/>
              </w:rPr>
            </w:pPr>
          </w:p>
        </w:tc>
      </w:tr>
      <w:tr w:rsidR="000F31AD" w14:paraId="3513A05C" w14:textId="77777777" w:rsidTr="004A0ACB">
        <w:trPr>
          <w:jc w:val="center"/>
        </w:trPr>
        <w:tc>
          <w:tcPr>
            <w:tcW w:w="1005" w:type="dxa"/>
            <w:tcBorders>
              <w:bottom w:val="single" w:sz="4" w:space="0" w:color="000000"/>
            </w:tcBorders>
          </w:tcPr>
          <w:p w14:paraId="470D21D3"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6</w:t>
            </w:r>
          </w:p>
        </w:tc>
        <w:tc>
          <w:tcPr>
            <w:tcW w:w="1695" w:type="dxa"/>
            <w:tcBorders>
              <w:bottom w:val="single" w:sz="4" w:space="0" w:color="000000"/>
            </w:tcBorders>
          </w:tcPr>
          <w:p w14:paraId="5DD7641B" w14:textId="77777777" w:rsidR="000F31AD" w:rsidRDefault="000F31AD">
            <w:pPr>
              <w:jc w:val="right"/>
              <w:rPr>
                <w:rFonts w:ascii="Calibri" w:eastAsia="Calibri" w:hAnsi="Calibri" w:cs="Calibri"/>
                <w:sz w:val="20"/>
                <w:szCs w:val="20"/>
              </w:rPr>
            </w:pPr>
          </w:p>
        </w:tc>
        <w:tc>
          <w:tcPr>
            <w:tcW w:w="990" w:type="dxa"/>
            <w:tcBorders>
              <w:bottom w:val="single" w:sz="4" w:space="0" w:color="000000"/>
            </w:tcBorders>
          </w:tcPr>
          <w:p w14:paraId="2B285273" w14:textId="77777777" w:rsidR="000F31AD" w:rsidRDefault="000F31AD">
            <w:pPr>
              <w:jc w:val="center"/>
              <w:rPr>
                <w:rFonts w:ascii="Calibri" w:eastAsia="Calibri" w:hAnsi="Calibri" w:cs="Calibri"/>
                <w:sz w:val="20"/>
                <w:szCs w:val="20"/>
              </w:rPr>
            </w:pPr>
          </w:p>
        </w:tc>
        <w:tc>
          <w:tcPr>
            <w:tcW w:w="1140" w:type="dxa"/>
            <w:tcBorders>
              <w:bottom w:val="single" w:sz="4" w:space="0" w:color="000000"/>
            </w:tcBorders>
          </w:tcPr>
          <w:p w14:paraId="44EFDC2B"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2021</w:t>
            </w:r>
          </w:p>
        </w:tc>
        <w:tc>
          <w:tcPr>
            <w:tcW w:w="1695" w:type="dxa"/>
            <w:tcBorders>
              <w:bottom w:val="single" w:sz="4" w:space="0" w:color="000000"/>
            </w:tcBorders>
          </w:tcPr>
          <w:p w14:paraId="40DE4805"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479,788</w:t>
            </w:r>
          </w:p>
        </w:tc>
        <w:tc>
          <w:tcPr>
            <w:tcW w:w="990" w:type="dxa"/>
            <w:tcBorders>
              <w:bottom w:val="single" w:sz="4" w:space="0" w:color="000000"/>
            </w:tcBorders>
          </w:tcPr>
          <w:p w14:paraId="2A7DBEF6" w14:textId="77777777" w:rsidR="000F31AD" w:rsidRDefault="000F31AD">
            <w:pPr>
              <w:jc w:val="center"/>
              <w:rPr>
                <w:rFonts w:ascii="Calibri" w:eastAsia="Calibri" w:hAnsi="Calibri" w:cs="Calibri"/>
                <w:sz w:val="20"/>
                <w:szCs w:val="20"/>
              </w:rPr>
            </w:pPr>
          </w:p>
        </w:tc>
      </w:tr>
      <w:tr w:rsidR="000F31AD" w14:paraId="042B4E91" w14:textId="77777777" w:rsidTr="004A0ACB">
        <w:trPr>
          <w:jc w:val="center"/>
        </w:trPr>
        <w:tc>
          <w:tcPr>
            <w:tcW w:w="1005" w:type="dxa"/>
            <w:shd w:val="clear" w:color="auto" w:fill="FBE5D5"/>
          </w:tcPr>
          <w:p w14:paraId="4CFBBDB7"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Total</w:t>
            </w:r>
          </w:p>
        </w:tc>
        <w:tc>
          <w:tcPr>
            <w:tcW w:w="1695" w:type="dxa"/>
            <w:shd w:val="clear" w:color="auto" w:fill="FBE5D5"/>
          </w:tcPr>
          <w:p w14:paraId="70A9FC94"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4,500,000</w:t>
            </w:r>
          </w:p>
        </w:tc>
        <w:tc>
          <w:tcPr>
            <w:tcW w:w="990" w:type="dxa"/>
            <w:shd w:val="clear" w:color="auto" w:fill="FBE5D5"/>
          </w:tcPr>
          <w:p w14:paraId="444BB792"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100.00</w:t>
            </w:r>
          </w:p>
        </w:tc>
        <w:tc>
          <w:tcPr>
            <w:tcW w:w="1140" w:type="dxa"/>
            <w:shd w:val="clear" w:color="auto" w:fill="FBE5D5"/>
          </w:tcPr>
          <w:p w14:paraId="27CE34FB" w14:textId="77777777" w:rsidR="000F31AD" w:rsidRDefault="000F31AD">
            <w:pPr>
              <w:jc w:val="center"/>
              <w:rPr>
                <w:rFonts w:ascii="Calibri" w:eastAsia="Calibri" w:hAnsi="Calibri" w:cs="Calibri"/>
                <w:sz w:val="20"/>
                <w:szCs w:val="20"/>
              </w:rPr>
            </w:pPr>
          </w:p>
        </w:tc>
        <w:tc>
          <w:tcPr>
            <w:tcW w:w="1695" w:type="dxa"/>
            <w:shd w:val="clear" w:color="auto" w:fill="FBE5D5"/>
          </w:tcPr>
          <w:p w14:paraId="2CD34BF7"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4,369,192</w:t>
            </w:r>
          </w:p>
        </w:tc>
        <w:tc>
          <w:tcPr>
            <w:tcW w:w="990" w:type="dxa"/>
            <w:shd w:val="clear" w:color="auto" w:fill="FBE5D5"/>
          </w:tcPr>
          <w:p w14:paraId="411600D9"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97.1</w:t>
            </w:r>
          </w:p>
        </w:tc>
      </w:tr>
      <w:tr w:rsidR="000F31AD" w14:paraId="29FCC77C" w14:textId="77777777" w:rsidTr="004A0ACB">
        <w:trPr>
          <w:jc w:val="center"/>
        </w:trPr>
        <w:tc>
          <w:tcPr>
            <w:tcW w:w="1005" w:type="dxa"/>
            <w:shd w:val="clear" w:color="auto" w:fill="FBE5D5"/>
          </w:tcPr>
          <w:p w14:paraId="0C71B9F7"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Balance</w:t>
            </w:r>
          </w:p>
        </w:tc>
        <w:tc>
          <w:tcPr>
            <w:tcW w:w="1695" w:type="dxa"/>
            <w:shd w:val="clear" w:color="auto" w:fill="FBE5D5"/>
          </w:tcPr>
          <w:p w14:paraId="01F7EF6F" w14:textId="77777777" w:rsidR="000F31AD" w:rsidRDefault="000F31AD">
            <w:pPr>
              <w:jc w:val="right"/>
              <w:rPr>
                <w:rFonts w:ascii="Calibri" w:eastAsia="Calibri" w:hAnsi="Calibri" w:cs="Calibri"/>
                <w:sz w:val="20"/>
                <w:szCs w:val="20"/>
              </w:rPr>
            </w:pPr>
          </w:p>
        </w:tc>
        <w:tc>
          <w:tcPr>
            <w:tcW w:w="990" w:type="dxa"/>
            <w:shd w:val="clear" w:color="auto" w:fill="FBE5D5"/>
          </w:tcPr>
          <w:p w14:paraId="1FA9195E" w14:textId="77777777" w:rsidR="000F31AD" w:rsidRDefault="000F31AD">
            <w:pPr>
              <w:jc w:val="center"/>
              <w:rPr>
                <w:rFonts w:ascii="Calibri" w:eastAsia="Calibri" w:hAnsi="Calibri" w:cs="Calibri"/>
                <w:sz w:val="20"/>
                <w:szCs w:val="20"/>
              </w:rPr>
            </w:pPr>
          </w:p>
        </w:tc>
        <w:tc>
          <w:tcPr>
            <w:tcW w:w="1140" w:type="dxa"/>
            <w:shd w:val="clear" w:color="auto" w:fill="FBE5D5"/>
          </w:tcPr>
          <w:p w14:paraId="353EECCA" w14:textId="77777777" w:rsidR="000F31AD" w:rsidRDefault="000F31AD">
            <w:pPr>
              <w:jc w:val="center"/>
              <w:rPr>
                <w:rFonts w:ascii="Calibri" w:eastAsia="Calibri" w:hAnsi="Calibri" w:cs="Calibri"/>
                <w:sz w:val="20"/>
                <w:szCs w:val="20"/>
              </w:rPr>
            </w:pPr>
          </w:p>
        </w:tc>
        <w:tc>
          <w:tcPr>
            <w:tcW w:w="1695" w:type="dxa"/>
            <w:shd w:val="clear" w:color="auto" w:fill="FBE5D5"/>
          </w:tcPr>
          <w:p w14:paraId="4A0ED05B"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130,808</w:t>
            </w:r>
          </w:p>
        </w:tc>
        <w:tc>
          <w:tcPr>
            <w:tcW w:w="990" w:type="dxa"/>
            <w:shd w:val="clear" w:color="auto" w:fill="FBE5D5"/>
          </w:tcPr>
          <w:p w14:paraId="355C1E22"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2.9</w:t>
            </w:r>
          </w:p>
        </w:tc>
      </w:tr>
    </w:tbl>
    <w:p w14:paraId="617D9E50" w14:textId="77777777" w:rsidR="000F31AD" w:rsidRDefault="000F31AD">
      <w:pPr>
        <w:jc w:val="both"/>
        <w:rPr>
          <w:rFonts w:ascii="Calibri" w:eastAsia="Calibri" w:hAnsi="Calibri" w:cs="Calibri"/>
          <w:sz w:val="22"/>
          <w:szCs w:val="22"/>
        </w:rPr>
      </w:pPr>
    </w:p>
    <w:p w14:paraId="2B2F3ABB" w14:textId="77777777" w:rsidR="000F31AD" w:rsidRDefault="000F31AD">
      <w:pPr>
        <w:jc w:val="both"/>
        <w:rPr>
          <w:rFonts w:ascii="Calibri" w:eastAsia="Calibri" w:hAnsi="Calibri" w:cs="Calibri"/>
          <w:sz w:val="22"/>
          <w:szCs w:val="22"/>
        </w:rPr>
      </w:pPr>
    </w:p>
    <w:p w14:paraId="4DECDF57" w14:textId="77777777" w:rsidR="000F31AD" w:rsidRDefault="00A317E5">
      <w:pPr>
        <w:jc w:val="center"/>
        <w:rPr>
          <w:rFonts w:ascii="Calibri" w:eastAsia="Calibri" w:hAnsi="Calibri" w:cs="Calibri"/>
          <w:b/>
          <w:sz w:val="22"/>
          <w:szCs w:val="22"/>
        </w:rPr>
      </w:pPr>
      <w:r>
        <w:rPr>
          <w:rFonts w:ascii="Calibri" w:eastAsia="Calibri" w:hAnsi="Calibri" w:cs="Calibri"/>
          <w:b/>
          <w:sz w:val="22"/>
          <w:szCs w:val="22"/>
        </w:rPr>
        <w:t>Table 4: MSP GEF PIMS 5510 - Planned and actual expenditure table in US$ (only GEF grant)</w:t>
      </w:r>
    </w:p>
    <w:p w14:paraId="1340EA6B" w14:textId="77777777" w:rsidR="000F31AD" w:rsidRDefault="000F31AD">
      <w:pPr>
        <w:jc w:val="both"/>
        <w:rPr>
          <w:rFonts w:ascii="Calibri" w:eastAsia="Calibri" w:hAnsi="Calibri" w:cs="Calibri"/>
          <w:b/>
          <w:sz w:val="22"/>
          <w:szCs w:val="22"/>
        </w:rPr>
      </w:pPr>
    </w:p>
    <w:tbl>
      <w:tblPr>
        <w:tblStyle w:val="a4"/>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993"/>
        <w:gridCol w:w="1134"/>
        <w:gridCol w:w="1431"/>
        <w:gridCol w:w="1120"/>
      </w:tblGrid>
      <w:tr w:rsidR="000F31AD" w14:paraId="613D6692" w14:textId="77777777">
        <w:trPr>
          <w:jc w:val="center"/>
        </w:trPr>
        <w:tc>
          <w:tcPr>
            <w:tcW w:w="3823" w:type="dxa"/>
            <w:gridSpan w:val="3"/>
            <w:shd w:val="clear" w:color="auto" w:fill="F4B083"/>
          </w:tcPr>
          <w:p w14:paraId="3C6DCE3B" w14:textId="77777777" w:rsidR="000F31AD" w:rsidRDefault="00A317E5">
            <w:pPr>
              <w:jc w:val="center"/>
              <w:rPr>
                <w:rFonts w:ascii="Calibri" w:eastAsia="Calibri" w:hAnsi="Calibri" w:cs="Calibri"/>
                <w:b/>
              </w:rPr>
            </w:pPr>
            <w:r>
              <w:rPr>
                <w:rFonts w:ascii="Calibri" w:eastAsia="Calibri" w:hAnsi="Calibri" w:cs="Calibri"/>
                <w:b/>
                <w:sz w:val="20"/>
                <w:szCs w:val="20"/>
              </w:rPr>
              <w:t>Planned in ProDoc</w:t>
            </w:r>
          </w:p>
        </w:tc>
        <w:tc>
          <w:tcPr>
            <w:tcW w:w="3685" w:type="dxa"/>
            <w:gridSpan w:val="3"/>
            <w:shd w:val="clear" w:color="auto" w:fill="F4B083"/>
          </w:tcPr>
          <w:p w14:paraId="5B8D9296" w14:textId="77777777" w:rsidR="000F31AD" w:rsidRDefault="00A317E5">
            <w:pPr>
              <w:jc w:val="center"/>
              <w:rPr>
                <w:rFonts w:ascii="Calibri" w:eastAsia="Calibri" w:hAnsi="Calibri" w:cs="Calibri"/>
                <w:b/>
              </w:rPr>
            </w:pPr>
            <w:r>
              <w:rPr>
                <w:rFonts w:ascii="Calibri" w:eastAsia="Calibri" w:hAnsi="Calibri" w:cs="Calibri"/>
                <w:b/>
                <w:sz w:val="20"/>
                <w:szCs w:val="20"/>
              </w:rPr>
              <w:t>Actual expenditures</w:t>
            </w:r>
          </w:p>
        </w:tc>
      </w:tr>
      <w:tr w:rsidR="000F31AD" w14:paraId="4C5172EB" w14:textId="77777777">
        <w:trPr>
          <w:trHeight w:val="57"/>
          <w:jc w:val="center"/>
        </w:trPr>
        <w:tc>
          <w:tcPr>
            <w:tcW w:w="1129" w:type="dxa"/>
            <w:shd w:val="clear" w:color="auto" w:fill="F4B083"/>
          </w:tcPr>
          <w:p w14:paraId="0B94E654" w14:textId="77777777" w:rsidR="000F31AD" w:rsidRDefault="00A317E5">
            <w:pPr>
              <w:jc w:val="center"/>
              <w:rPr>
                <w:rFonts w:ascii="Calibri" w:eastAsia="Calibri" w:hAnsi="Calibri" w:cs="Calibri"/>
                <w:b/>
              </w:rPr>
            </w:pPr>
            <w:r>
              <w:rPr>
                <w:rFonts w:ascii="Calibri" w:eastAsia="Calibri" w:hAnsi="Calibri" w:cs="Calibri"/>
                <w:b/>
                <w:sz w:val="20"/>
                <w:szCs w:val="20"/>
              </w:rPr>
              <w:t>Year</w:t>
            </w:r>
          </w:p>
        </w:tc>
        <w:tc>
          <w:tcPr>
            <w:tcW w:w="1701" w:type="dxa"/>
            <w:shd w:val="clear" w:color="auto" w:fill="F4B083"/>
          </w:tcPr>
          <w:p w14:paraId="6A54DE95" w14:textId="77777777" w:rsidR="000F31AD" w:rsidRDefault="00A317E5">
            <w:pPr>
              <w:jc w:val="center"/>
              <w:rPr>
                <w:rFonts w:ascii="Calibri" w:eastAsia="Calibri" w:hAnsi="Calibri" w:cs="Calibri"/>
                <w:b/>
              </w:rPr>
            </w:pPr>
            <w:r>
              <w:rPr>
                <w:rFonts w:ascii="Calibri" w:eastAsia="Calibri" w:hAnsi="Calibri" w:cs="Calibri"/>
                <w:b/>
                <w:sz w:val="20"/>
                <w:szCs w:val="20"/>
              </w:rPr>
              <w:t>Planned budget</w:t>
            </w:r>
          </w:p>
        </w:tc>
        <w:tc>
          <w:tcPr>
            <w:tcW w:w="993" w:type="dxa"/>
            <w:shd w:val="clear" w:color="auto" w:fill="F4B083"/>
          </w:tcPr>
          <w:p w14:paraId="54EBF190" w14:textId="77777777" w:rsidR="000F31AD" w:rsidRDefault="00A317E5">
            <w:pPr>
              <w:jc w:val="center"/>
              <w:rPr>
                <w:rFonts w:ascii="Calibri" w:eastAsia="Calibri" w:hAnsi="Calibri" w:cs="Calibri"/>
                <w:b/>
              </w:rPr>
            </w:pPr>
            <w:r>
              <w:rPr>
                <w:rFonts w:ascii="Calibri" w:eastAsia="Calibri" w:hAnsi="Calibri" w:cs="Calibri"/>
                <w:b/>
                <w:sz w:val="20"/>
                <w:szCs w:val="20"/>
              </w:rPr>
              <w:t>% of the total</w:t>
            </w:r>
          </w:p>
        </w:tc>
        <w:tc>
          <w:tcPr>
            <w:tcW w:w="1134" w:type="dxa"/>
            <w:shd w:val="clear" w:color="auto" w:fill="F4B083"/>
          </w:tcPr>
          <w:p w14:paraId="7A9F0FAE" w14:textId="77777777" w:rsidR="000F31AD" w:rsidRDefault="00A317E5">
            <w:pPr>
              <w:jc w:val="center"/>
              <w:rPr>
                <w:rFonts w:ascii="Calibri" w:eastAsia="Calibri" w:hAnsi="Calibri" w:cs="Calibri"/>
                <w:b/>
              </w:rPr>
            </w:pPr>
            <w:r>
              <w:rPr>
                <w:rFonts w:ascii="Calibri" w:eastAsia="Calibri" w:hAnsi="Calibri" w:cs="Calibri"/>
                <w:b/>
                <w:sz w:val="20"/>
                <w:szCs w:val="20"/>
              </w:rPr>
              <w:t>Year</w:t>
            </w:r>
          </w:p>
        </w:tc>
        <w:tc>
          <w:tcPr>
            <w:tcW w:w="1431" w:type="dxa"/>
            <w:shd w:val="clear" w:color="auto" w:fill="F4B083"/>
          </w:tcPr>
          <w:p w14:paraId="43297568" w14:textId="77777777" w:rsidR="000F31AD" w:rsidRDefault="00A317E5">
            <w:pPr>
              <w:jc w:val="center"/>
              <w:rPr>
                <w:rFonts w:ascii="Calibri" w:eastAsia="Calibri" w:hAnsi="Calibri" w:cs="Calibri"/>
                <w:b/>
              </w:rPr>
            </w:pPr>
            <w:r>
              <w:rPr>
                <w:rFonts w:ascii="Calibri" w:eastAsia="Calibri" w:hAnsi="Calibri" w:cs="Calibri"/>
                <w:b/>
                <w:sz w:val="20"/>
                <w:szCs w:val="20"/>
              </w:rPr>
              <w:t>Amount spent</w:t>
            </w:r>
          </w:p>
        </w:tc>
        <w:tc>
          <w:tcPr>
            <w:tcW w:w="1120" w:type="dxa"/>
            <w:shd w:val="clear" w:color="auto" w:fill="F4B083"/>
          </w:tcPr>
          <w:p w14:paraId="2889DF8A" w14:textId="77777777" w:rsidR="000F31AD" w:rsidRDefault="00A317E5">
            <w:pPr>
              <w:jc w:val="center"/>
              <w:rPr>
                <w:rFonts w:ascii="Calibri" w:eastAsia="Calibri" w:hAnsi="Calibri" w:cs="Calibri"/>
                <w:b/>
              </w:rPr>
            </w:pPr>
            <w:r>
              <w:rPr>
                <w:rFonts w:ascii="Calibri" w:eastAsia="Calibri" w:hAnsi="Calibri" w:cs="Calibri"/>
                <w:b/>
                <w:sz w:val="20"/>
                <w:szCs w:val="20"/>
              </w:rPr>
              <w:t>% of the total per ProDoc</w:t>
            </w:r>
          </w:p>
        </w:tc>
      </w:tr>
      <w:tr w:rsidR="000F31AD" w14:paraId="055B9685" w14:textId="77777777">
        <w:trPr>
          <w:jc w:val="center"/>
        </w:trPr>
        <w:tc>
          <w:tcPr>
            <w:tcW w:w="1129" w:type="dxa"/>
          </w:tcPr>
          <w:p w14:paraId="6BB28DA4"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1</w:t>
            </w:r>
          </w:p>
        </w:tc>
        <w:tc>
          <w:tcPr>
            <w:tcW w:w="1701" w:type="dxa"/>
          </w:tcPr>
          <w:p w14:paraId="3BF0B87A"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261,817</w:t>
            </w:r>
          </w:p>
        </w:tc>
        <w:tc>
          <w:tcPr>
            <w:tcW w:w="993" w:type="dxa"/>
          </w:tcPr>
          <w:p w14:paraId="1CE1E961"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26.2</w:t>
            </w:r>
          </w:p>
        </w:tc>
        <w:tc>
          <w:tcPr>
            <w:tcW w:w="1134" w:type="dxa"/>
          </w:tcPr>
          <w:p w14:paraId="21C2E58A"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2016</w:t>
            </w:r>
          </w:p>
        </w:tc>
        <w:tc>
          <w:tcPr>
            <w:tcW w:w="1431" w:type="dxa"/>
          </w:tcPr>
          <w:p w14:paraId="4CEC948E"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95,242</w:t>
            </w:r>
          </w:p>
        </w:tc>
        <w:tc>
          <w:tcPr>
            <w:tcW w:w="1120" w:type="dxa"/>
          </w:tcPr>
          <w:p w14:paraId="2B0BF8FC"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36.4</w:t>
            </w:r>
          </w:p>
        </w:tc>
      </w:tr>
      <w:tr w:rsidR="000F31AD" w14:paraId="44FBB919" w14:textId="77777777">
        <w:trPr>
          <w:jc w:val="center"/>
        </w:trPr>
        <w:tc>
          <w:tcPr>
            <w:tcW w:w="1129" w:type="dxa"/>
          </w:tcPr>
          <w:p w14:paraId="25AA1DEC"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w:t>
            </w:r>
          </w:p>
        </w:tc>
        <w:tc>
          <w:tcPr>
            <w:tcW w:w="1701" w:type="dxa"/>
          </w:tcPr>
          <w:p w14:paraId="0A4AA3A8"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247,177</w:t>
            </w:r>
          </w:p>
        </w:tc>
        <w:tc>
          <w:tcPr>
            <w:tcW w:w="993" w:type="dxa"/>
          </w:tcPr>
          <w:p w14:paraId="6C750AFE"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24.7</w:t>
            </w:r>
          </w:p>
        </w:tc>
        <w:tc>
          <w:tcPr>
            <w:tcW w:w="1134" w:type="dxa"/>
          </w:tcPr>
          <w:p w14:paraId="61339D7E"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2017</w:t>
            </w:r>
          </w:p>
        </w:tc>
        <w:tc>
          <w:tcPr>
            <w:tcW w:w="1431" w:type="dxa"/>
          </w:tcPr>
          <w:p w14:paraId="142DE848"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202,112</w:t>
            </w:r>
          </w:p>
        </w:tc>
        <w:tc>
          <w:tcPr>
            <w:tcW w:w="1120" w:type="dxa"/>
          </w:tcPr>
          <w:p w14:paraId="4034CF26"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81.8</w:t>
            </w:r>
          </w:p>
        </w:tc>
      </w:tr>
      <w:tr w:rsidR="000F31AD" w14:paraId="46021FC7" w14:textId="77777777">
        <w:trPr>
          <w:jc w:val="center"/>
        </w:trPr>
        <w:tc>
          <w:tcPr>
            <w:tcW w:w="1129" w:type="dxa"/>
          </w:tcPr>
          <w:p w14:paraId="07F8DB30"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3</w:t>
            </w:r>
          </w:p>
        </w:tc>
        <w:tc>
          <w:tcPr>
            <w:tcW w:w="1701" w:type="dxa"/>
          </w:tcPr>
          <w:p w14:paraId="70FD7183"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251,118</w:t>
            </w:r>
          </w:p>
        </w:tc>
        <w:tc>
          <w:tcPr>
            <w:tcW w:w="993" w:type="dxa"/>
          </w:tcPr>
          <w:p w14:paraId="45F8ADD1"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25.1</w:t>
            </w:r>
          </w:p>
        </w:tc>
        <w:tc>
          <w:tcPr>
            <w:tcW w:w="1134" w:type="dxa"/>
          </w:tcPr>
          <w:p w14:paraId="7031153F"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2018</w:t>
            </w:r>
          </w:p>
        </w:tc>
        <w:tc>
          <w:tcPr>
            <w:tcW w:w="1431" w:type="dxa"/>
          </w:tcPr>
          <w:p w14:paraId="2609086D"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250,517</w:t>
            </w:r>
          </w:p>
        </w:tc>
        <w:tc>
          <w:tcPr>
            <w:tcW w:w="1120" w:type="dxa"/>
          </w:tcPr>
          <w:p w14:paraId="4394FEDC"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99.8</w:t>
            </w:r>
          </w:p>
        </w:tc>
      </w:tr>
      <w:tr w:rsidR="000F31AD" w14:paraId="2B114E45" w14:textId="77777777">
        <w:trPr>
          <w:jc w:val="center"/>
        </w:trPr>
        <w:tc>
          <w:tcPr>
            <w:tcW w:w="1129" w:type="dxa"/>
          </w:tcPr>
          <w:p w14:paraId="5A89F7AC"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4</w:t>
            </w:r>
          </w:p>
        </w:tc>
        <w:tc>
          <w:tcPr>
            <w:tcW w:w="1701" w:type="dxa"/>
          </w:tcPr>
          <w:p w14:paraId="79EF6E47"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239,888</w:t>
            </w:r>
          </w:p>
        </w:tc>
        <w:tc>
          <w:tcPr>
            <w:tcW w:w="993" w:type="dxa"/>
          </w:tcPr>
          <w:p w14:paraId="7166901A"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24.0</w:t>
            </w:r>
          </w:p>
        </w:tc>
        <w:tc>
          <w:tcPr>
            <w:tcW w:w="1134" w:type="dxa"/>
          </w:tcPr>
          <w:p w14:paraId="06B32E75"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2019</w:t>
            </w:r>
          </w:p>
        </w:tc>
        <w:tc>
          <w:tcPr>
            <w:tcW w:w="1431" w:type="dxa"/>
          </w:tcPr>
          <w:p w14:paraId="2309FF78"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144,722</w:t>
            </w:r>
          </w:p>
        </w:tc>
        <w:tc>
          <w:tcPr>
            <w:tcW w:w="1120" w:type="dxa"/>
          </w:tcPr>
          <w:p w14:paraId="519A6493"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60.3</w:t>
            </w:r>
          </w:p>
        </w:tc>
      </w:tr>
      <w:tr w:rsidR="000F31AD" w14:paraId="2D3B49CF" w14:textId="77777777">
        <w:trPr>
          <w:jc w:val="center"/>
        </w:trPr>
        <w:tc>
          <w:tcPr>
            <w:tcW w:w="1129" w:type="dxa"/>
          </w:tcPr>
          <w:p w14:paraId="51F47200"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5</w:t>
            </w:r>
          </w:p>
        </w:tc>
        <w:tc>
          <w:tcPr>
            <w:tcW w:w="1701" w:type="dxa"/>
          </w:tcPr>
          <w:p w14:paraId="29C64809" w14:textId="77777777" w:rsidR="000F31AD" w:rsidRDefault="000F31AD">
            <w:pPr>
              <w:jc w:val="right"/>
              <w:rPr>
                <w:rFonts w:ascii="Calibri" w:eastAsia="Calibri" w:hAnsi="Calibri" w:cs="Calibri"/>
                <w:sz w:val="20"/>
                <w:szCs w:val="20"/>
              </w:rPr>
            </w:pPr>
          </w:p>
        </w:tc>
        <w:tc>
          <w:tcPr>
            <w:tcW w:w="993" w:type="dxa"/>
          </w:tcPr>
          <w:p w14:paraId="36C65989" w14:textId="77777777" w:rsidR="000F31AD" w:rsidRDefault="000F31AD">
            <w:pPr>
              <w:jc w:val="center"/>
              <w:rPr>
                <w:rFonts w:ascii="Calibri" w:eastAsia="Calibri" w:hAnsi="Calibri" w:cs="Calibri"/>
                <w:sz w:val="20"/>
                <w:szCs w:val="20"/>
              </w:rPr>
            </w:pPr>
          </w:p>
        </w:tc>
        <w:tc>
          <w:tcPr>
            <w:tcW w:w="1134" w:type="dxa"/>
          </w:tcPr>
          <w:p w14:paraId="7265B58F"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2020</w:t>
            </w:r>
          </w:p>
        </w:tc>
        <w:tc>
          <w:tcPr>
            <w:tcW w:w="1431" w:type="dxa"/>
          </w:tcPr>
          <w:p w14:paraId="42F31228"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149,104</w:t>
            </w:r>
          </w:p>
        </w:tc>
        <w:tc>
          <w:tcPr>
            <w:tcW w:w="1120" w:type="dxa"/>
          </w:tcPr>
          <w:p w14:paraId="020C4EE5" w14:textId="77777777" w:rsidR="000F31AD" w:rsidRDefault="000F31AD">
            <w:pPr>
              <w:jc w:val="center"/>
              <w:rPr>
                <w:rFonts w:ascii="Calibri" w:eastAsia="Calibri" w:hAnsi="Calibri" w:cs="Calibri"/>
                <w:sz w:val="20"/>
                <w:szCs w:val="20"/>
              </w:rPr>
            </w:pPr>
          </w:p>
        </w:tc>
      </w:tr>
      <w:tr w:rsidR="000F31AD" w14:paraId="616B0CE7" w14:textId="77777777">
        <w:trPr>
          <w:jc w:val="center"/>
        </w:trPr>
        <w:tc>
          <w:tcPr>
            <w:tcW w:w="1129" w:type="dxa"/>
            <w:tcBorders>
              <w:bottom w:val="single" w:sz="4" w:space="0" w:color="000000"/>
            </w:tcBorders>
          </w:tcPr>
          <w:p w14:paraId="568B60E4"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6</w:t>
            </w:r>
          </w:p>
        </w:tc>
        <w:tc>
          <w:tcPr>
            <w:tcW w:w="1701" w:type="dxa"/>
            <w:tcBorders>
              <w:bottom w:val="single" w:sz="4" w:space="0" w:color="000000"/>
            </w:tcBorders>
          </w:tcPr>
          <w:p w14:paraId="3C1101BD" w14:textId="77777777" w:rsidR="000F31AD" w:rsidRDefault="000F31AD">
            <w:pPr>
              <w:jc w:val="right"/>
              <w:rPr>
                <w:rFonts w:ascii="Calibri" w:eastAsia="Calibri" w:hAnsi="Calibri" w:cs="Calibri"/>
                <w:sz w:val="20"/>
                <w:szCs w:val="20"/>
              </w:rPr>
            </w:pPr>
          </w:p>
        </w:tc>
        <w:tc>
          <w:tcPr>
            <w:tcW w:w="993" w:type="dxa"/>
            <w:tcBorders>
              <w:bottom w:val="single" w:sz="4" w:space="0" w:color="000000"/>
            </w:tcBorders>
          </w:tcPr>
          <w:p w14:paraId="737C939D" w14:textId="77777777" w:rsidR="000F31AD" w:rsidRDefault="000F31AD">
            <w:pPr>
              <w:jc w:val="center"/>
              <w:rPr>
                <w:rFonts w:ascii="Calibri" w:eastAsia="Calibri" w:hAnsi="Calibri" w:cs="Calibri"/>
                <w:sz w:val="20"/>
                <w:szCs w:val="20"/>
              </w:rPr>
            </w:pPr>
          </w:p>
        </w:tc>
        <w:tc>
          <w:tcPr>
            <w:tcW w:w="1134" w:type="dxa"/>
            <w:tcBorders>
              <w:bottom w:val="single" w:sz="4" w:space="0" w:color="000000"/>
            </w:tcBorders>
          </w:tcPr>
          <w:p w14:paraId="0D37D3B7"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2021</w:t>
            </w:r>
          </w:p>
        </w:tc>
        <w:tc>
          <w:tcPr>
            <w:tcW w:w="1431" w:type="dxa"/>
            <w:tcBorders>
              <w:bottom w:val="single" w:sz="4" w:space="0" w:color="000000"/>
            </w:tcBorders>
          </w:tcPr>
          <w:p w14:paraId="31C1D9B1"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138,245</w:t>
            </w:r>
          </w:p>
        </w:tc>
        <w:tc>
          <w:tcPr>
            <w:tcW w:w="1120" w:type="dxa"/>
            <w:tcBorders>
              <w:bottom w:val="single" w:sz="4" w:space="0" w:color="000000"/>
            </w:tcBorders>
          </w:tcPr>
          <w:p w14:paraId="74C91657" w14:textId="77777777" w:rsidR="000F31AD" w:rsidRDefault="000F31AD">
            <w:pPr>
              <w:jc w:val="center"/>
              <w:rPr>
                <w:rFonts w:ascii="Calibri" w:eastAsia="Calibri" w:hAnsi="Calibri" w:cs="Calibri"/>
                <w:sz w:val="20"/>
                <w:szCs w:val="20"/>
              </w:rPr>
            </w:pPr>
          </w:p>
        </w:tc>
      </w:tr>
      <w:tr w:rsidR="000F31AD" w14:paraId="40F4AA95" w14:textId="77777777">
        <w:trPr>
          <w:jc w:val="center"/>
        </w:trPr>
        <w:tc>
          <w:tcPr>
            <w:tcW w:w="1129" w:type="dxa"/>
            <w:shd w:val="clear" w:color="auto" w:fill="FBE5D5"/>
          </w:tcPr>
          <w:p w14:paraId="62DAD926"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lastRenderedPageBreak/>
              <w:t>Total</w:t>
            </w:r>
          </w:p>
        </w:tc>
        <w:tc>
          <w:tcPr>
            <w:tcW w:w="1701" w:type="dxa"/>
            <w:shd w:val="clear" w:color="auto" w:fill="FBE5D5"/>
          </w:tcPr>
          <w:p w14:paraId="00C981D7"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1,000,000</w:t>
            </w:r>
          </w:p>
        </w:tc>
        <w:tc>
          <w:tcPr>
            <w:tcW w:w="993" w:type="dxa"/>
            <w:shd w:val="clear" w:color="auto" w:fill="FBE5D5"/>
          </w:tcPr>
          <w:p w14:paraId="4D86D252"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100.0</w:t>
            </w:r>
          </w:p>
        </w:tc>
        <w:tc>
          <w:tcPr>
            <w:tcW w:w="1134" w:type="dxa"/>
            <w:shd w:val="clear" w:color="auto" w:fill="FBE5D5"/>
          </w:tcPr>
          <w:p w14:paraId="483F7CFD" w14:textId="77777777" w:rsidR="000F31AD" w:rsidRDefault="000F31AD">
            <w:pPr>
              <w:jc w:val="center"/>
              <w:rPr>
                <w:rFonts w:ascii="Calibri" w:eastAsia="Calibri" w:hAnsi="Calibri" w:cs="Calibri"/>
                <w:sz w:val="20"/>
                <w:szCs w:val="20"/>
              </w:rPr>
            </w:pPr>
          </w:p>
        </w:tc>
        <w:tc>
          <w:tcPr>
            <w:tcW w:w="1431" w:type="dxa"/>
            <w:shd w:val="clear" w:color="auto" w:fill="FBE5D5"/>
          </w:tcPr>
          <w:p w14:paraId="46AADC1D"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 xml:space="preserve">979,242 </w:t>
            </w:r>
          </w:p>
        </w:tc>
        <w:tc>
          <w:tcPr>
            <w:tcW w:w="1120" w:type="dxa"/>
            <w:shd w:val="clear" w:color="auto" w:fill="FBE5D5"/>
          </w:tcPr>
          <w:p w14:paraId="23CB1516"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98.0</w:t>
            </w:r>
          </w:p>
        </w:tc>
      </w:tr>
      <w:tr w:rsidR="000F31AD" w14:paraId="34CA8FDF" w14:textId="77777777">
        <w:trPr>
          <w:jc w:val="center"/>
        </w:trPr>
        <w:tc>
          <w:tcPr>
            <w:tcW w:w="1129" w:type="dxa"/>
            <w:shd w:val="clear" w:color="auto" w:fill="FBE5D5"/>
          </w:tcPr>
          <w:p w14:paraId="0540FBCF"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Balance</w:t>
            </w:r>
          </w:p>
        </w:tc>
        <w:tc>
          <w:tcPr>
            <w:tcW w:w="1701" w:type="dxa"/>
            <w:shd w:val="clear" w:color="auto" w:fill="FBE5D5"/>
          </w:tcPr>
          <w:p w14:paraId="2908FA55" w14:textId="77777777" w:rsidR="000F31AD" w:rsidRDefault="000F31AD">
            <w:pPr>
              <w:jc w:val="right"/>
              <w:rPr>
                <w:rFonts w:ascii="Calibri" w:eastAsia="Calibri" w:hAnsi="Calibri" w:cs="Calibri"/>
                <w:sz w:val="20"/>
                <w:szCs w:val="20"/>
              </w:rPr>
            </w:pPr>
          </w:p>
        </w:tc>
        <w:tc>
          <w:tcPr>
            <w:tcW w:w="993" w:type="dxa"/>
            <w:shd w:val="clear" w:color="auto" w:fill="FBE5D5"/>
          </w:tcPr>
          <w:p w14:paraId="58786951" w14:textId="77777777" w:rsidR="000F31AD" w:rsidRDefault="000F31AD">
            <w:pPr>
              <w:jc w:val="center"/>
              <w:rPr>
                <w:rFonts w:ascii="Calibri" w:eastAsia="Calibri" w:hAnsi="Calibri" w:cs="Calibri"/>
                <w:sz w:val="20"/>
                <w:szCs w:val="20"/>
              </w:rPr>
            </w:pPr>
          </w:p>
        </w:tc>
        <w:tc>
          <w:tcPr>
            <w:tcW w:w="1134" w:type="dxa"/>
            <w:shd w:val="clear" w:color="auto" w:fill="FBE5D5"/>
          </w:tcPr>
          <w:p w14:paraId="1E6D2B7C" w14:textId="77777777" w:rsidR="000F31AD" w:rsidRDefault="000F31AD">
            <w:pPr>
              <w:jc w:val="center"/>
              <w:rPr>
                <w:rFonts w:ascii="Calibri" w:eastAsia="Calibri" w:hAnsi="Calibri" w:cs="Calibri"/>
                <w:sz w:val="20"/>
                <w:szCs w:val="20"/>
              </w:rPr>
            </w:pPr>
          </w:p>
        </w:tc>
        <w:tc>
          <w:tcPr>
            <w:tcW w:w="1431" w:type="dxa"/>
            <w:shd w:val="clear" w:color="auto" w:fill="FBE5D5"/>
          </w:tcPr>
          <w:p w14:paraId="5D29EC77" w14:textId="77777777" w:rsidR="000F31AD" w:rsidRDefault="00A317E5">
            <w:pPr>
              <w:jc w:val="right"/>
              <w:rPr>
                <w:rFonts w:ascii="Calibri" w:eastAsia="Calibri" w:hAnsi="Calibri" w:cs="Calibri"/>
                <w:sz w:val="20"/>
                <w:szCs w:val="20"/>
              </w:rPr>
            </w:pPr>
            <w:r>
              <w:rPr>
                <w:rFonts w:ascii="Calibri" w:eastAsia="Calibri" w:hAnsi="Calibri" w:cs="Calibri"/>
                <w:sz w:val="20"/>
                <w:szCs w:val="20"/>
              </w:rPr>
              <w:t>20,058</w:t>
            </w:r>
          </w:p>
        </w:tc>
        <w:tc>
          <w:tcPr>
            <w:tcW w:w="1120" w:type="dxa"/>
            <w:shd w:val="clear" w:color="auto" w:fill="FBE5D5"/>
          </w:tcPr>
          <w:p w14:paraId="2C6188D1" w14:textId="77777777" w:rsidR="000F31AD" w:rsidRDefault="00A317E5">
            <w:pPr>
              <w:jc w:val="center"/>
              <w:rPr>
                <w:rFonts w:ascii="Calibri" w:eastAsia="Calibri" w:hAnsi="Calibri" w:cs="Calibri"/>
                <w:sz w:val="20"/>
                <w:szCs w:val="20"/>
              </w:rPr>
            </w:pPr>
            <w:r>
              <w:rPr>
                <w:rFonts w:ascii="Calibri" w:eastAsia="Calibri" w:hAnsi="Calibri" w:cs="Calibri"/>
                <w:sz w:val="20"/>
                <w:szCs w:val="20"/>
              </w:rPr>
              <w:t>2.0</w:t>
            </w:r>
          </w:p>
        </w:tc>
      </w:tr>
    </w:tbl>
    <w:p w14:paraId="59FE1E99" w14:textId="77777777" w:rsidR="000F31AD" w:rsidRDefault="000F31AD">
      <w:pPr>
        <w:jc w:val="both"/>
        <w:rPr>
          <w:rFonts w:ascii="Calibri" w:eastAsia="Calibri" w:hAnsi="Calibri" w:cs="Calibri"/>
          <w:sz w:val="22"/>
          <w:szCs w:val="22"/>
        </w:rPr>
      </w:pPr>
    </w:p>
    <w:p w14:paraId="04E8C374" w14:textId="7CF658CC" w:rsidR="000F31AD" w:rsidRDefault="00A317E5">
      <w:pPr>
        <w:jc w:val="both"/>
        <w:rPr>
          <w:rFonts w:ascii="Calibri" w:eastAsia="Calibri" w:hAnsi="Calibri" w:cs="Calibri"/>
          <w:sz w:val="22"/>
          <w:szCs w:val="22"/>
        </w:rPr>
      </w:pPr>
      <w:r>
        <w:rPr>
          <w:rFonts w:ascii="Calibri" w:eastAsia="Calibri" w:hAnsi="Calibri" w:cs="Calibri"/>
          <w:sz w:val="22"/>
          <w:szCs w:val="22"/>
        </w:rPr>
        <w:t xml:space="preserve">In the tables above, one should note that Year 1 of the project is 2016, even if some minor expenditures were made in 2015. However, for the sake of simplicity, those funds were added to 2016, because the effective start of the project is considered to be </w:t>
      </w:r>
      <w:r w:rsidR="00453C19">
        <w:rPr>
          <w:rFonts w:ascii="Calibri" w:eastAsia="Calibri" w:hAnsi="Calibri" w:cs="Calibri"/>
          <w:sz w:val="22"/>
          <w:szCs w:val="22"/>
        </w:rPr>
        <w:t xml:space="preserve">June </w:t>
      </w:r>
      <w:r>
        <w:rPr>
          <w:rFonts w:ascii="Calibri" w:eastAsia="Calibri" w:hAnsi="Calibri" w:cs="Calibri"/>
          <w:sz w:val="22"/>
          <w:szCs w:val="22"/>
        </w:rPr>
        <w:t>2016. Consequently, the tables show that the project has had a relatively slow start regarding the expenditures, in particular in 2016. This fact was also mentioned in the MTR. The rate of expenditure has been steadily rising since 2016. The effective implementation of the project was extended in 2020 and 2021 (years 5 and 6), first after the PB approved the extension of the project for one year, upon recommendation of the MTR, and then after the project was awarded additional 6-month extension due to the COVID-16. Both extensions were “no cost” ones, and the additional time was effectively used to complete all the planned project activities as well as fully spend practically both GEF grants.</w:t>
      </w:r>
    </w:p>
    <w:p w14:paraId="709EF3E2" w14:textId="77777777" w:rsidR="000F31AD" w:rsidRDefault="000F31AD">
      <w:pPr>
        <w:jc w:val="both"/>
        <w:rPr>
          <w:rFonts w:ascii="Calibri" w:eastAsia="Calibri" w:hAnsi="Calibri" w:cs="Calibri"/>
          <w:sz w:val="22"/>
          <w:szCs w:val="22"/>
        </w:rPr>
      </w:pPr>
    </w:p>
    <w:p w14:paraId="1CFF0E87" w14:textId="77777777" w:rsidR="000F31AD" w:rsidRDefault="00A317E5">
      <w:pPr>
        <w:jc w:val="both"/>
        <w:rPr>
          <w:rFonts w:ascii="Calibri" w:eastAsia="Calibri" w:hAnsi="Calibri" w:cs="Calibri"/>
          <w:sz w:val="22"/>
          <w:szCs w:val="22"/>
        </w:rPr>
      </w:pPr>
      <w:r>
        <w:rPr>
          <w:rFonts w:ascii="Calibri" w:eastAsia="Calibri" w:hAnsi="Calibri" w:cs="Calibri"/>
          <w:sz w:val="22"/>
          <w:szCs w:val="22"/>
        </w:rPr>
        <w:t>As mentioned above, the total level of co-financing for FSP and MSP, confirmed at the TE stage was US$229,679,092. The full list of confirmed co-financing sources and respective amounts is given in Annex 8. Out of the total co-financing, US$3,130,000 is recurrent expenditure (13.6%) and US$ 226,549,092 is in investment mobilised (86.4%), which is a very good ratio.</w:t>
      </w:r>
    </w:p>
    <w:p w14:paraId="7FDD1A65" w14:textId="77777777" w:rsidR="00AA14C5" w:rsidRDefault="00AA14C5">
      <w:pPr>
        <w:pBdr>
          <w:top w:val="nil"/>
          <w:left w:val="nil"/>
          <w:bottom w:val="nil"/>
          <w:right w:val="nil"/>
          <w:between w:val="nil"/>
        </w:pBdr>
        <w:jc w:val="both"/>
        <w:rPr>
          <w:rFonts w:ascii="Calibri" w:eastAsia="Calibri" w:hAnsi="Calibri" w:cs="Calibri"/>
          <w:color w:val="000000"/>
          <w:sz w:val="22"/>
          <w:szCs w:val="22"/>
        </w:rPr>
      </w:pPr>
    </w:p>
    <w:p w14:paraId="604A8E39" w14:textId="77777777" w:rsidR="000F31AD" w:rsidRDefault="00A317E5">
      <w:pPr>
        <w:pBdr>
          <w:top w:val="nil"/>
          <w:left w:val="nil"/>
          <w:bottom w:val="nil"/>
          <w:right w:val="nil"/>
          <w:between w:val="nil"/>
        </w:pBdr>
        <w:jc w:val="both"/>
        <w:rPr>
          <w:color w:val="000000"/>
        </w:rPr>
      </w:pPr>
      <w:r>
        <w:rPr>
          <w:rFonts w:ascii="Calibri" w:eastAsia="Calibri" w:hAnsi="Calibri" w:cs="Calibri"/>
          <w:color w:val="000000"/>
          <w:sz w:val="22"/>
          <w:szCs w:val="22"/>
        </w:rPr>
        <w:t>As mentioned in the MTR, accounting for co-financing has been difficult to obtain. The PIRs have not been reporting on the annual provision of co-financing by partners and donors. The respective financing section in all the PIRs reported only on the rate of disbursement of the GEF funds, mentioned the total amount of co-financing (for FSP only!), but no information was given on the current state of the co-financing provision. The importance of correct accounting for co-financing cannot be emphasised enough as it is one of the basic requirements for GEF to grant funding and this is certainly an area to be improved in the future projects.</w:t>
      </w:r>
    </w:p>
    <w:p w14:paraId="273F1286" w14:textId="77777777" w:rsidR="00AA14C5" w:rsidRDefault="00AA14C5">
      <w:pPr>
        <w:pStyle w:val="Heading3"/>
      </w:pPr>
    </w:p>
    <w:p w14:paraId="39B67526" w14:textId="77777777" w:rsidR="000F31AD" w:rsidRDefault="00A317E5">
      <w:pPr>
        <w:pStyle w:val="Heading3"/>
        <w:rPr>
          <w:rFonts w:ascii="MS Gothic" w:eastAsia="MS Gothic" w:hAnsi="MS Gothic" w:cs="MS Gothic"/>
        </w:rPr>
      </w:pPr>
      <w:bookmarkStart w:id="36" w:name="_Toc81335859"/>
      <w:r>
        <w:t>3.2.4.</w:t>
      </w:r>
      <w:r>
        <w:tab/>
        <w:t xml:space="preserve">Monitoring and evaluation </w:t>
      </w:r>
      <w:r>
        <w:rPr>
          <w:rFonts w:ascii="MS Gothic" w:eastAsia="MS Gothic" w:hAnsi="MS Gothic" w:cs="MS Gothic"/>
        </w:rPr>
        <w:t> </w:t>
      </w:r>
      <w:bookmarkEnd w:id="36"/>
    </w:p>
    <w:p w14:paraId="27B8FDCF" w14:textId="77777777" w:rsidR="00AA14C5" w:rsidRDefault="00AA14C5">
      <w:pPr>
        <w:pBdr>
          <w:top w:val="nil"/>
          <w:left w:val="nil"/>
          <w:bottom w:val="nil"/>
          <w:right w:val="nil"/>
          <w:between w:val="nil"/>
        </w:pBdr>
        <w:jc w:val="both"/>
        <w:rPr>
          <w:rFonts w:ascii="Calibri" w:eastAsia="Calibri" w:hAnsi="Calibri" w:cs="Calibri"/>
          <w:color w:val="000000"/>
          <w:sz w:val="22"/>
          <w:szCs w:val="22"/>
        </w:rPr>
      </w:pPr>
    </w:p>
    <w:p w14:paraId="7EEDC137" w14:textId="77777777" w:rsidR="000F31AD" w:rsidRDefault="00A317E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monitoring and evaluation (M&amp;E) framework in the ProDoc provide details of M&amp;E plans that include an Inception Workshop and report; quarterly and annual reporting; and mid-term and end of project evaluation requirements. The frameworks also provide for learning and knowledge sharing and requirements for communications and visibility. Tables of responsible parties, budget and timeframes for M&amp;E activities are provided in the ProDoc. The M&amp;E framework is consistent with GEF Monitoring and Evaluation policy and has formed the basis for tracking progress towards achieving objectives. The roles and responsibilities are well articulated and the budget allocated was sufficient to cover the requirements of the M&amp;E plans. </w:t>
      </w:r>
    </w:p>
    <w:p w14:paraId="021A6514" w14:textId="77777777" w:rsidR="00AA14C5" w:rsidRDefault="00AA14C5">
      <w:pPr>
        <w:pBdr>
          <w:top w:val="nil"/>
          <w:left w:val="nil"/>
          <w:bottom w:val="nil"/>
          <w:right w:val="nil"/>
          <w:between w:val="nil"/>
        </w:pBdr>
        <w:jc w:val="both"/>
        <w:rPr>
          <w:rFonts w:ascii="Calibri" w:eastAsia="Calibri" w:hAnsi="Calibri" w:cs="Calibri"/>
          <w:color w:val="000000"/>
          <w:sz w:val="22"/>
          <w:szCs w:val="22"/>
        </w:rPr>
      </w:pPr>
    </w:p>
    <w:p w14:paraId="49A45AC0" w14:textId="77777777" w:rsidR="000F31AD" w:rsidRDefault="00A317E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 summary of operating modalities of the M&amp;E plan is as follows:</w:t>
      </w:r>
    </w:p>
    <w:p w14:paraId="413A5138" w14:textId="77777777" w:rsidR="00AA14C5" w:rsidRDefault="00AA14C5">
      <w:pPr>
        <w:pBdr>
          <w:top w:val="nil"/>
          <w:left w:val="nil"/>
          <w:bottom w:val="nil"/>
          <w:right w:val="nil"/>
          <w:between w:val="nil"/>
        </w:pBdr>
        <w:jc w:val="both"/>
        <w:rPr>
          <w:rFonts w:ascii="Calibri" w:eastAsia="Calibri" w:hAnsi="Calibri" w:cs="Calibri"/>
          <w:color w:val="000000"/>
          <w:sz w:val="22"/>
          <w:szCs w:val="22"/>
        </w:rPr>
      </w:pPr>
    </w:p>
    <w:p w14:paraId="754A972D" w14:textId="77777777" w:rsidR="000F31AD" w:rsidRDefault="00A317E5" w:rsidP="0052081C">
      <w:pPr>
        <w:numPr>
          <w:ilvl w:val="0"/>
          <w:numId w:val="7"/>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A set of 12 </w:t>
      </w:r>
      <w:r>
        <w:rPr>
          <w:rFonts w:ascii="Calibri" w:eastAsia="Calibri" w:hAnsi="Calibri" w:cs="Calibri"/>
          <w:color w:val="000000"/>
          <w:sz w:val="22"/>
          <w:szCs w:val="22"/>
          <w:u w:val="single"/>
        </w:rPr>
        <w:t>performance indicators</w:t>
      </w:r>
      <w:r>
        <w:rPr>
          <w:rFonts w:ascii="Calibri" w:eastAsia="Calibri" w:hAnsi="Calibri" w:cs="Calibri"/>
          <w:color w:val="000000"/>
          <w:sz w:val="22"/>
          <w:szCs w:val="22"/>
        </w:rPr>
        <w:t xml:space="preserve"> with their respective baselines and targets by the end of the project were identified and documented in the SRF. They have been used to monitor the performance of the project at the objective and outcomes level and this information has been reported in PIRs. The number of indicators is considered as optimal with regards to the number of outcomes (7).</w:t>
      </w:r>
    </w:p>
    <w:p w14:paraId="49967E47" w14:textId="77777777" w:rsidR="000F31AD" w:rsidRDefault="00A317E5" w:rsidP="0052081C">
      <w:pPr>
        <w:numPr>
          <w:ilvl w:val="0"/>
          <w:numId w:val="7"/>
        </w:numPr>
        <w:ind w:left="426" w:hanging="426"/>
        <w:jc w:val="both"/>
        <w:rPr>
          <w:rFonts w:ascii="Calibri" w:eastAsia="Calibri" w:hAnsi="Calibri" w:cs="Calibri"/>
          <w:sz w:val="22"/>
          <w:szCs w:val="22"/>
        </w:rPr>
      </w:pPr>
      <w:r>
        <w:rPr>
          <w:rFonts w:ascii="Calibri" w:eastAsia="Calibri" w:hAnsi="Calibri" w:cs="Calibri"/>
          <w:sz w:val="22"/>
          <w:szCs w:val="22"/>
        </w:rPr>
        <w:t xml:space="preserve">An </w:t>
      </w:r>
      <w:r>
        <w:rPr>
          <w:rFonts w:ascii="Calibri" w:eastAsia="Calibri" w:hAnsi="Calibri" w:cs="Calibri"/>
          <w:sz w:val="22"/>
          <w:szCs w:val="22"/>
          <w:u w:val="single"/>
        </w:rPr>
        <w:t>Inception Workshop</w:t>
      </w:r>
      <w:r>
        <w:rPr>
          <w:rFonts w:ascii="Calibri" w:eastAsia="Calibri" w:hAnsi="Calibri" w:cs="Calibri"/>
          <w:i/>
          <w:sz w:val="22"/>
          <w:szCs w:val="22"/>
        </w:rPr>
        <w:t xml:space="preserve"> </w:t>
      </w:r>
      <w:r>
        <w:rPr>
          <w:rFonts w:ascii="Calibri" w:eastAsia="Calibri" w:hAnsi="Calibri" w:cs="Calibri"/>
          <w:sz w:val="22"/>
          <w:szCs w:val="22"/>
        </w:rPr>
        <w:t xml:space="preserve">was planned to assist all partners to fully understand and take ownership of the project and review the entire project strategy including its monitoring and evaluation. This workshop was held on 16 December 2015 in Tirana, Albania. No changes were made to the project implementation strategy at this workshop, including the SRF. It was announced that there are two GEF projects (FSP and MSP) and that from that point forward they would be referred to as the GEF Drin Project, as both are fully aligned in contents, aims and objectives. An inception </w:t>
      </w:r>
      <w:r>
        <w:rPr>
          <w:rFonts w:ascii="Calibri" w:eastAsia="Calibri" w:hAnsi="Calibri" w:cs="Calibri"/>
          <w:sz w:val="22"/>
          <w:szCs w:val="22"/>
        </w:rPr>
        <w:lastRenderedPageBreak/>
        <w:t>workshop report</w:t>
      </w:r>
      <w:r>
        <w:rPr>
          <w:rFonts w:ascii="Calibri" w:eastAsia="Calibri" w:hAnsi="Calibri" w:cs="Calibri"/>
          <w:i/>
          <w:sz w:val="22"/>
          <w:szCs w:val="22"/>
        </w:rPr>
        <w:t xml:space="preserve">, </w:t>
      </w:r>
      <w:r>
        <w:rPr>
          <w:rFonts w:ascii="Calibri" w:eastAsia="Calibri" w:hAnsi="Calibri" w:cs="Calibri"/>
          <w:sz w:val="22"/>
          <w:szCs w:val="22"/>
        </w:rPr>
        <w:t>referred to as the 1</w:t>
      </w:r>
      <w:r>
        <w:rPr>
          <w:rFonts w:ascii="Calibri" w:eastAsia="Calibri" w:hAnsi="Calibri" w:cs="Calibri"/>
          <w:sz w:val="22"/>
          <w:szCs w:val="22"/>
          <w:vertAlign w:val="superscript"/>
        </w:rPr>
        <w:t>st</w:t>
      </w:r>
      <w:r>
        <w:rPr>
          <w:rFonts w:ascii="Calibri" w:eastAsia="Calibri" w:hAnsi="Calibri" w:cs="Calibri"/>
          <w:sz w:val="22"/>
          <w:szCs w:val="22"/>
        </w:rPr>
        <w:t xml:space="preserve"> SC Meeting Report was prepared to summarize the inception phase of the project, including the discussions held at the workshop. </w:t>
      </w:r>
    </w:p>
    <w:p w14:paraId="2D77370C" w14:textId="7A059A04" w:rsidR="000F31AD" w:rsidRDefault="00A317E5" w:rsidP="0052081C">
      <w:pPr>
        <w:numPr>
          <w:ilvl w:val="0"/>
          <w:numId w:val="7"/>
        </w:numPr>
        <w:ind w:left="426" w:hanging="426"/>
        <w:jc w:val="both"/>
        <w:rPr>
          <w:rFonts w:ascii="Calibri" w:eastAsia="Calibri" w:hAnsi="Calibri" w:cs="Calibri"/>
          <w:sz w:val="22"/>
          <w:szCs w:val="22"/>
        </w:rPr>
      </w:pPr>
      <w:r>
        <w:rPr>
          <w:rFonts w:ascii="Calibri" w:eastAsia="Calibri" w:hAnsi="Calibri" w:cs="Calibri"/>
          <w:sz w:val="22"/>
          <w:szCs w:val="22"/>
          <w:u w:val="single"/>
        </w:rPr>
        <w:t>Annual Project Reviews / Project Implementation Reviews (APR/PIRs)</w:t>
      </w:r>
      <w:r>
        <w:rPr>
          <w:rFonts w:ascii="Calibri" w:eastAsia="Calibri" w:hAnsi="Calibri" w:cs="Calibri"/>
          <w:sz w:val="22"/>
          <w:szCs w:val="22"/>
        </w:rPr>
        <w:t xml:space="preserve"> have included a review of the development objective, measuring the </w:t>
      </w:r>
      <w:r w:rsidR="00453C19">
        <w:rPr>
          <w:rFonts w:ascii="Calibri" w:eastAsia="Calibri" w:hAnsi="Calibri" w:cs="Calibri"/>
          <w:sz w:val="22"/>
          <w:szCs w:val="22"/>
        </w:rPr>
        <w:t xml:space="preserve">cumulative </w:t>
      </w:r>
      <w:r>
        <w:rPr>
          <w:rFonts w:ascii="Calibri" w:eastAsia="Calibri" w:hAnsi="Calibri" w:cs="Calibri"/>
          <w:sz w:val="22"/>
          <w:szCs w:val="22"/>
        </w:rPr>
        <w:t>progress made - using the performance indicators - to achieve the overall expected objective and outcomes; and a review of the implementation measuring the progress made during the past year. PIRs follow the GEF annual cycle of July 1</w:t>
      </w:r>
      <w:r>
        <w:rPr>
          <w:rFonts w:ascii="Calibri" w:eastAsia="Calibri" w:hAnsi="Calibri" w:cs="Calibri"/>
          <w:sz w:val="22"/>
          <w:szCs w:val="22"/>
          <w:vertAlign w:val="superscript"/>
        </w:rPr>
        <w:t>st</w:t>
      </w:r>
      <w:r>
        <w:rPr>
          <w:rFonts w:ascii="Calibri" w:eastAsia="Calibri" w:hAnsi="Calibri" w:cs="Calibri"/>
          <w:sz w:val="22"/>
          <w:szCs w:val="22"/>
        </w:rPr>
        <w:t xml:space="preserve"> to June 30</w:t>
      </w:r>
      <w:r>
        <w:rPr>
          <w:rFonts w:ascii="Calibri" w:eastAsia="Calibri" w:hAnsi="Calibri" w:cs="Calibri"/>
          <w:sz w:val="22"/>
          <w:szCs w:val="22"/>
          <w:vertAlign w:val="superscript"/>
        </w:rPr>
        <w:t>th</w:t>
      </w:r>
      <w:r>
        <w:rPr>
          <w:rFonts w:ascii="Calibri" w:eastAsia="Calibri" w:hAnsi="Calibri" w:cs="Calibri"/>
          <w:sz w:val="22"/>
          <w:szCs w:val="22"/>
        </w:rPr>
        <w:t xml:space="preserve"> for each year. Five PIRs were produced by the project: 2017, 2018, 2019, 2020 and 2021. All PIRs have provided an integrated review of implementation performance for both projects.</w:t>
      </w:r>
    </w:p>
    <w:p w14:paraId="51878540" w14:textId="77777777" w:rsidR="000F31AD" w:rsidRDefault="00A317E5" w:rsidP="0052081C">
      <w:pPr>
        <w:numPr>
          <w:ilvl w:val="0"/>
          <w:numId w:val="7"/>
        </w:numPr>
        <w:ind w:left="426" w:hanging="426"/>
        <w:jc w:val="both"/>
        <w:rPr>
          <w:rFonts w:ascii="Calibri" w:eastAsia="Calibri" w:hAnsi="Calibri" w:cs="Calibri"/>
          <w:sz w:val="22"/>
          <w:szCs w:val="22"/>
        </w:rPr>
      </w:pPr>
      <w:r>
        <w:rPr>
          <w:rFonts w:ascii="Calibri" w:eastAsia="Calibri" w:hAnsi="Calibri" w:cs="Calibri"/>
          <w:sz w:val="22"/>
          <w:szCs w:val="22"/>
          <w:u w:val="single"/>
        </w:rPr>
        <w:t>Funding Authorization and Certificate of Expenditures (FACE)</w:t>
      </w:r>
      <w:r>
        <w:rPr>
          <w:rFonts w:ascii="Calibri" w:eastAsia="Calibri" w:hAnsi="Calibri" w:cs="Calibri"/>
          <w:sz w:val="22"/>
          <w:szCs w:val="22"/>
        </w:rPr>
        <w:t xml:space="preserve"> are </w:t>
      </w:r>
      <w:r>
        <w:rPr>
          <w:rFonts w:ascii="Calibri" w:eastAsia="Calibri" w:hAnsi="Calibri" w:cs="Calibri"/>
          <w:color w:val="000000"/>
          <w:sz w:val="22"/>
          <w:szCs w:val="22"/>
        </w:rPr>
        <w:t>simplified and harmonized</w:t>
      </w:r>
      <w:r>
        <w:rPr>
          <w:rFonts w:ascii="Roboto" w:eastAsia="Roboto" w:hAnsi="Roboto" w:cs="Roboto"/>
          <w:color w:val="000000"/>
          <w:sz w:val="27"/>
          <w:szCs w:val="27"/>
        </w:rPr>
        <w:t xml:space="preserve"> </w:t>
      </w:r>
      <w:r>
        <w:rPr>
          <w:rFonts w:ascii="Calibri" w:eastAsia="Calibri" w:hAnsi="Calibri" w:cs="Calibri"/>
          <w:sz w:val="22"/>
          <w:szCs w:val="22"/>
        </w:rPr>
        <w:t>quarterly financial reports, which were issued every quarter since 2</w:t>
      </w:r>
      <w:r>
        <w:rPr>
          <w:rFonts w:ascii="Calibri" w:eastAsia="Calibri" w:hAnsi="Calibri" w:cs="Calibri"/>
          <w:sz w:val="22"/>
          <w:szCs w:val="22"/>
          <w:vertAlign w:val="superscript"/>
        </w:rPr>
        <w:t>nd</w:t>
      </w:r>
      <w:r>
        <w:rPr>
          <w:rFonts w:ascii="Calibri" w:eastAsia="Calibri" w:hAnsi="Calibri" w:cs="Calibri"/>
          <w:sz w:val="22"/>
          <w:szCs w:val="22"/>
        </w:rPr>
        <w:t xml:space="preserve"> quarter of 2015. They allow for easy monitoring of planned and authorized as well as requested disbursement per project component and output.</w:t>
      </w:r>
    </w:p>
    <w:p w14:paraId="570FC370" w14:textId="77777777" w:rsidR="000F31AD" w:rsidRDefault="00A317E5" w:rsidP="0052081C">
      <w:pPr>
        <w:numPr>
          <w:ilvl w:val="0"/>
          <w:numId w:val="7"/>
        </w:numPr>
        <w:ind w:left="426" w:hanging="426"/>
        <w:jc w:val="both"/>
        <w:rPr>
          <w:rFonts w:ascii="Calibri" w:eastAsia="Calibri" w:hAnsi="Calibri" w:cs="Calibri"/>
          <w:sz w:val="22"/>
          <w:szCs w:val="22"/>
        </w:rPr>
      </w:pPr>
      <w:r>
        <w:rPr>
          <w:rFonts w:ascii="Calibri" w:eastAsia="Calibri" w:hAnsi="Calibri" w:cs="Calibri"/>
          <w:sz w:val="22"/>
          <w:szCs w:val="22"/>
          <w:u w:val="single"/>
        </w:rPr>
        <w:t>Mid-term Review</w:t>
      </w:r>
      <w:r>
        <w:rPr>
          <w:rFonts w:ascii="Calibri" w:eastAsia="Calibri" w:hAnsi="Calibri" w:cs="Calibri"/>
          <w:sz w:val="22"/>
          <w:szCs w:val="22"/>
        </w:rPr>
        <w:t xml:space="preserve"> was to review the progress made by the project against the expected results and identify recommendations for adaptive management as needed. The MTR was conducted in January-April 2019. </w:t>
      </w:r>
    </w:p>
    <w:p w14:paraId="12C97BB4" w14:textId="77777777" w:rsidR="000F31AD" w:rsidRDefault="00A317E5" w:rsidP="0052081C">
      <w:pPr>
        <w:numPr>
          <w:ilvl w:val="0"/>
          <w:numId w:val="7"/>
        </w:numPr>
        <w:spacing w:after="280"/>
        <w:ind w:left="426" w:hanging="426"/>
        <w:jc w:val="both"/>
        <w:rPr>
          <w:rFonts w:ascii="Calibri" w:eastAsia="Calibri" w:hAnsi="Calibri" w:cs="Calibri"/>
          <w:sz w:val="22"/>
          <w:szCs w:val="22"/>
        </w:rPr>
      </w:pPr>
      <w:r>
        <w:rPr>
          <w:rFonts w:ascii="Calibri" w:eastAsia="Calibri" w:hAnsi="Calibri" w:cs="Calibri"/>
          <w:sz w:val="22"/>
          <w:szCs w:val="22"/>
          <w:u w:val="single"/>
        </w:rPr>
        <w:t>Terminal Evaluation</w:t>
      </w:r>
      <w:r>
        <w:rPr>
          <w:rFonts w:ascii="Calibri" w:eastAsia="Calibri" w:hAnsi="Calibri" w:cs="Calibri"/>
          <w:sz w:val="22"/>
          <w:szCs w:val="22"/>
        </w:rPr>
        <w:t xml:space="preserve"> (this report) is focusing on the delivery of the project’s results as initially planned, on impact and sustainability of results, including the contribution to capacity development and the achievement of global environmental benefits/goals and provides recommendations for follow- up activities. </w:t>
      </w:r>
    </w:p>
    <w:p w14:paraId="569B5DF7" w14:textId="11B985F8"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The ratings given in five PIRs for both </w:t>
      </w:r>
      <w:r w:rsidR="00453C19">
        <w:rPr>
          <w:rFonts w:ascii="Calibri" w:eastAsia="Calibri" w:hAnsi="Calibri" w:cs="Calibri"/>
          <w:sz w:val="22"/>
          <w:szCs w:val="22"/>
        </w:rPr>
        <w:t xml:space="preserve">cumulative </w:t>
      </w:r>
      <w:r>
        <w:rPr>
          <w:rFonts w:ascii="Calibri" w:eastAsia="Calibri" w:hAnsi="Calibri" w:cs="Calibri"/>
          <w:sz w:val="22"/>
          <w:szCs w:val="22"/>
        </w:rPr>
        <w:t>progress in achieving the development objectives and the implementation progress have been Satisfactory during the most of the implementation period (2017-2020) and Highly Satisfactory in last PIR (2021).</w:t>
      </w:r>
      <w:r w:rsidR="00374704">
        <w:rPr>
          <w:rFonts w:ascii="Calibri" w:eastAsia="Calibri" w:hAnsi="Calibri" w:cs="Calibri"/>
          <w:sz w:val="22"/>
          <w:szCs w:val="22"/>
        </w:rPr>
        <w:t xml:space="preserve"> The project implementation prepared the GEF IW Tracking Tool prior to the start of the TE implementation. The data on indicators were gathered in a systematic manner.</w:t>
      </w:r>
    </w:p>
    <w:p w14:paraId="2170A1B4" w14:textId="15553850"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The TE finds that the M</w:t>
      </w:r>
      <w:r w:rsidR="008F21EA">
        <w:rPr>
          <w:rFonts w:ascii="Calibri" w:eastAsia="Calibri" w:hAnsi="Calibri" w:cs="Calibri"/>
          <w:sz w:val="22"/>
          <w:szCs w:val="22"/>
        </w:rPr>
        <w:t>&amp;</w:t>
      </w:r>
      <w:r>
        <w:rPr>
          <w:rFonts w:ascii="Calibri" w:eastAsia="Calibri" w:hAnsi="Calibri" w:cs="Calibri"/>
          <w:sz w:val="22"/>
          <w:szCs w:val="22"/>
        </w:rPr>
        <w:t xml:space="preserve">E design at entry, as presented in the ProDoc is rated as </w:t>
      </w:r>
      <w:r>
        <w:rPr>
          <w:rFonts w:ascii="Calibri" w:eastAsia="Calibri" w:hAnsi="Calibri" w:cs="Calibri"/>
          <w:b/>
          <w:sz w:val="22"/>
          <w:szCs w:val="22"/>
        </w:rPr>
        <w:t>Satisfactory (S)</w:t>
      </w:r>
      <w:r>
        <w:rPr>
          <w:rFonts w:ascii="Calibri" w:eastAsia="Calibri" w:hAnsi="Calibri" w:cs="Calibri"/>
          <w:sz w:val="22"/>
          <w:szCs w:val="22"/>
        </w:rPr>
        <w:t xml:space="preserve">. Monitoring and Evaluation implementation is rated as </w:t>
      </w:r>
      <w:r>
        <w:rPr>
          <w:rFonts w:ascii="Calibri" w:eastAsia="Calibri" w:hAnsi="Calibri" w:cs="Calibri"/>
          <w:b/>
          <w:sz w:val="22"/>
          <w:szCs w:val="22"/>
        </w:rPr>
        <w:t>Highly Satisfactory (HS).</w:t>
      </w:r>
      <w:r>
        <w:rPr>
          <w:rFonts w:ascii="Calibri" w:eastAsia="Calibri" w:hAnsi="Calibri" w:cs="Calibri"/>
          <w:sz w:val="22"/>
          <w:szCs w:val="22"/>
        </w:rPr>
        <w:t xml:space="preserve"> Progress in achieving targets for each indicator has been well elaborated in every PIR, and cumulative progress was very easy to follow. Overall, quality of M&amp;E is rated as </w:t>
      </w:r>
      <w:r>
        <w:rPr>
          <w:rFonts w:ascii="Calibri" w:eastAsia="Calibri" w:hAnsi="Calibri" w:cs="Calibri"/>
          <w:b/>
          <w:sz w:val="22"/>
          <w:szCs w:val="22"/>
        </w:rPr>
        <w:t>Highly Satisfactory (HS)</w:t>
      </w:r>
      <w:r>
        <w:rPr>
          <w:rFonts w:ascii="Calibri" w:eastAsia="Calibri" w:hAnsi="Calibri" w:cs="Calibri"/>
          <w:sz w:val="22"/>
          <w:szCs w:val="22"/>
        </w:rPr>
        <w:t>.</w:t>
      </w:r>
    </w:p>
    <w:p w14:paraId="78F8291D" w14:textId="77777777" w:rsidR="000F31AD" w:rsidRDefault="00A317E5">
      <w:pPr>
        <w:pStyle w:val="Heading3"/>
      </w:pPr>
      <w:bookmarkStart w:id="37" w:name="_Toc81335860"/>
      <w:r>
        <w:t>3.2.5.</w:t>
      </w:r>
      <w:r>
        <w:tab/>
        <w:t>UNDP implementation/oversight</w:t>
      </w:r>
      <w:bookmarkEnd w:id="37"/>
    </w:p>
    <w:p w14:paraId="634E3C9D" w14:textId="77777777" w:rsidR="00AA14C5" w:rsidRDefault="00AA14C5">
      <w:pPr>
        <w:pBdr>
          <w:top w:val="nil"/>
          <w:left w:val="nil"/>
          <w:bottom w:val="nil"/>
          <w:right w:val="nil"/>
          <w:between w:val="nil"/>
        </w:pBdr>
        <w:jc w:val="both"/>
        <w:rPr>
          <w:rFonts w:ascii="Calibri" w:eastAsia="Calibri" w:hAnsi="Calibri" w:cs="Calibri"/>
          <w:color w:val="000000"/>
          <w:sz w:val="22"/>
          <w:szCs w:val="22"/>
        </w:rPr>
      </w:pPr>
    </w:p>
    <w:p w14:paraId="4B782F46" w14:textId="77777777" w:rsidR="000F31AD" w:rsidRDefault="00A317E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contributions of UNDP as the GEF Implementing Agency in implementing the project was satisfactory; particularly when considering the critical changes and events that occurred during the implementation of this project (some political turmoil in the participating countries, and the crisis caused by COVID-19). It supported the implementation of the project in its respective area of responsibility and provided good support to the implementation team to ensure an efficient use of GEF resources and an effective implementation of the project. UNDP provided the required guidance to apply UNDP project management procedures such as procurement, hiring and contracting as well as financial management and guidance for reporting project progress. UNDP backstopped the project with its own resources and supported the project management team throughout the implementation, including the participation in the decision-making process for implementing the project during the PB meetings.  It was responsive to the implementation problems caused by COVID-19. The UNDP implementation/oversight is rated as </w:t>
      </w:r>
      <w:r>
        <w:rPr>
          <w:rFonts w:ascii="Calibri" w:eastAsia="Calibri" w:hAnsi="Calibri" w:cs="Calibri"/>
          <w:b/>
          <w:color w:val="000000"/>
          <w:sz w:val="22"/>
          <w:szCs w:val="22"/>
        </w:rPr>
        <w:t>Highly Satisfactory (HS)</w:t>
      </w:r>
      <w:r>
        <w:rPr>
          <w:rFonts w:ascii="Calibri" w:eastAsia="Calibri" w:hAnsi="Calibri" w:cs="Calibri"/>
          <w:color w:val="000000"/>
          <w:sz w:val="22"/>
          <w:szCs w:val="22"/>
        </w:rPr>
        <w:t>.</w:t>
      </w:r>
    </w:p>
    <w:p w14:paraId="5CBA5AE8" w14:textId="77777777" w:rsidR="00AA14C5" w:rsidRDefault="00AA14C5">
      <w:pPr>
        <w:pBdr>
          <w:top w:val="nil"/>
          <w:left w:val="nil"/>
          <w:bottom w:val="nil"/>
          <w:right w:val="nil"/>
          <w:between w:val="nil"/>
        </w:pBdr>
        <w:jc w:val="both"/>
        <w:rPr>
          <w:rFonts w:ascii="Calibri" w:eastAsia="Calibri" w:hAnsi="Calibri" w:cs="Calibri"/>
          <w:color w:val="000000"/>
          <w:sz w:val="22"/>
          <w:szCs w:val="22"/>
        </w:rPr>
      </w:pPr>
    </w:p>
    <w:p w14:paraId="743E653F" w14:textId="015E17E7" w:rsidR="000F31AD" w:rsidRDefault="00A317E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GWP Med, as Implementing Partner, managed the project effectively and administered day-to-day activities appropriately. As elaborated in PIRs, it was focused on timely implementation of project’s outputs. Its role was particularly pronounced during the COVID-19 crisis, when the communication with project partners was quickly established through online means. The GWP Med persisted in </w:t>
      </w:r>
      <w:r>
        <w:rPr>
          <w:rFonts w:ascii="Calibri" w:eastAsia="Calibri" w:hAnsi="Calibri" w:cs="Calibri"/>
          <w:color w:val="000000"/>
          <w:sz w:val="22"/>
          <w:szCs w:val="22"/>
        </w:rPr>
        <w:lastRenderedPageBreak/>
        <w:t xml:space="preserve">keeping the pace of PB meetings regular as well as organised successful stakeholders’ conference every year. These events kept the awareness of the project at a high level among national stakeholders.  The Implementing Partner Execution of the project is rated as </w:t>
      </w:r>
      <w:r>
        <w:rPr>
          <w:rFonts w:ascii="Calibri" w:eastAsia="Calibri" w:hAnsi="Calibri" w:cs="Calibri"/>
          <w:b/>
          <w:color w:val="000000"/>
          <w:sz w:val="22"/>
          <w:szCs w:val="22"/>
        </w:rPr>
        <w:t>Highly Satisfactory (</w:t>
      </w:r>
      <w:r w:rsidR="004B712B">
        <w:rPr>
          <w:rFonts w:ascii="Calibri" w:eastAsia="Calibri" w:hAnsi="Calibri" w:cs="Calibri"/>
          <w:b/>
          <w:color w:val="000000"/>
          <w:sz w:val="22"/>
          <w:szCs w:val="22"/>
        </w:rPr>
        <w:t>HS</w:t>
      </w:r>
      <w:r>
        <w:rPr>
          <w:rFonts w:ascii="Calibri" w:eastAsia="Calibri" w:hAnsi="Calibri" w:cs="Calibri"/>
          <w:b/>
          <w:color w:val="000000"/>
          <w:sz w:val="22"/>
          <w:szCs w:val="22"/>
        </w:rPr>
        <w:t>)</w:t>
      </w:r>
      <w:r>
        <w:rPr>
          <w:rFonts w:ascii="Calibri" w:eastAsia="Calibri" w:hAnsi="Calibri" w:cs="Calibri"/>
          <w:color w:val="000000"/>
          <w:sz w:val="22"/>
          <w:szCs w:val="22"/>
        </w:rPr>
        <w:t>.</w:t>
      </w:r>
    </w:p>
    <w:p w14:paraId="18BF2277" w14:textId="77777777" w:rsidR="00AA14C5" w:rsidRDefault="00AA14C5">
      <w:pPr>
        <w:pStyle w:val="Heading3"/>
      </w:pPr>
    </w:p>
    <w:p w14:paraId="7799FD61" w14:textId="77777777" w:rsidR="000F31AD" w:rsidRDefault="00A317E5">
      <w:pPr>
        <w:pStyle w:val="Heading3"/>
      </w:pPr>
      <w:bookmarkStart w:id="38" w:name="_Toc81335861"/>
      <w:r>
        <w:t>3.2.6.</w:t>
      </w:r>
      <w:r>
        <w:tab/>
        <w:t>Risk Management</w:t>
      </w:r>
      <w:bookmarkEnd w:id="38"/>
    </w:p>
    <w:p w14:paraId="699A5D62" w14:textId="77777777" w:rsidR="000F31AD" w:rsidRDefault="000F31AD">
      <w:pPr>
        <w:widowControl w:val="0"/>
        <w:tabs>
          <w:tab w:val="left" w:pos="220"/>
          <w:tab w:val="left" w:pos="720"/>
        </w:tabs>
        <w:rPr>
          <w:rFonts w:ascii="MS Gothic" w:eastAsia="MS Gothic" w:hAnsi="MS Gothic" w:cs="MS Gothic"/>
          <w:sz w:val="22"/>
          <w:szCs w:val="22"/>
        </w:rPr>
      </w:pPr>
    </w:p>
    <w:p w14:paraId="37D83647" w14:textId="79897B5C" w:rsidR="00EF4BC6" w:rsidRPr="00894841" w:rsidRDefault="00A317E5" w:rsidP="00894841">
      <w:pPr>
        <w:pStyle w:val="CommentText"/>
        <w:jc w:val="both"/>
        <w:rPr>
          <w:rFonts w:asciiTheme="minorHAnsi" w:hAnsiTheme="minorHAnsi" w:cstheme="minorHAnsi"/>
          <w:sz w:val="22"/>
          <w:szCs w:val="22"/>
        </w:rPr>
      </w:pPr>
      <w:r w:rsidRPr="00894841">
        <w:rPr>
          <w:rFonts w:asciiTheme="minorHAnsi" w:eastAsia="Calibri" w:hAnsiTheme="minorHAnsi" w:cstheme="minorHAnsi"/>
          <w:sz w:val="22"/>
          <w:szCs w:val="22"/>
        </w:rPr>
        <w:t>The ProDoc identified only two risk</w:t>
      </w:r>
      <w:r w:rsidR="00025D45" w:rsidRPr="00894841">
        <w:rPr>
          <w:rFonts w:asciiTheme="minorHAnsi" w:eastAsia="Calibri" w:hAnsiTheme="minorHAnsi" w:cstheme="minorHAnsi"/>
          <w:sz w:val="22"/>
          <w:szCs w:val="22"/>
        </w:rPr>
        <w:t>s</w:t>
      </w:r>
      <w:r w:rsidRPr="00894841">
        <w:rPr>
          <w:rFonts w:asciiTheme="minorHAnsi" w:eastAsia="Calibri" w:hAnsiTheme="minorHAnsi" w:cstheme="minorHAnsi"/>
          <w:sz w:val="22"/>
          <w:szCs w:val="22"/>
        </w:rPr>
        <w:t xml:space="preserve"> that might </w:t>
      </w:r>
      <w:r w:rsidR="00EF4BC6" w:rsidRPr="00894841">
        <w:rPr>
          <w:rFonts w:asciiTheme="minorHAnsi" w:eastAsia="Calibri" w:hAnsiTheme="minorHAnsi" w:cstheme="minorHAnsi"/>
          <w:sz w:val="22"/>
          <w:szCs w:val="22"/>
        </w:rPr>
        <w:t xml:space="preserve">have </w:t>
      </w:r>
      <w:r w:rsidRPr="00894841">
        <w:rPr>
          <w:rFonts w:asciiTheme="minorHAnsi" w:eastAsia="Calibri" w:hAnsiTheme="minorHAnsi" w:cstheme="minorHAnsi"/>
          <w:sz w:val="22"/>
          <w:szCs w:val="22"/>
        </w:rPr>
        <w:t>threate</w:t>
      </w:r>
      <w:r w:rsidR="00EF4BC6" w:rsidRPr="00894841">
        <w:rPr>
          <w:rFonts w:asciiTheme="minorHAnsi" w:eastAsia="Calibri" w:hAnsiTheme="minorHAnsi" w:cstheme="minorHAnsi"/>
          <w:sz w:val="22"/>
          <w:szCs w:val="22"/>
        </w:rPr>
        <w:t>ne</w:t>
      </w:r>
      <w:r w:rsidRPr="00894841">
        <w:rPr>
          <w:rFonts w:asciiTheme="minorHAnsi" w:eastAsia="Calibri" w:hAnsiTheme="minorHAnsi" w:cstheme="minorHAnsi"/>
          <w:sz w:val="22"/>
          <w:szCs w:val="22"/>
        </w:rPr>
        <w:t>d the implementation of the project: lack of sustained political support (impact high but probability very low) and climate change (medium probability but low impact). It also proposed a number of mitigation measures. None of the above risks has been materialised during the project’s implementation. However, COVID-19 was a new risk with no indication for it given in the ProDoc. Th</w:t>
      </w:r>
      <w:r w:rsidR="00EF4BC6" w:rsidRPr="00894841">
        <w:rPr>
          <w:rFonts w:asciiTheme="minorHAnsi" w:eastAsia="Calibri" w:hAnsiTheme="minorHAnsi" w:cstheme="minorHAnsi"/>
          <w:sz w:val="22"/>
          <w:szCs w:val="22"/>
        </w:rPr>
        <w:t>at</w:t>
      </w:r>
      <w:r w:rsidRPr="00894841">
        <w:rPr>
          <w:rFonts w:asciiTheme="minorHAnsi" w:eastAsia="Calibri" w:hAnsiTheme="minorHAnsi" w:cstheme="minorHAnsi"/>
          <w:sz w:val="22"/>
          <w:szCs w:val="22"/>
        </w:rPr>
        <w:t xml:space="preserve"> risk was identified early and adequately reported in 2020 and 2021 PIRs. For COVID-19, the Risk Register was updated and appropriate measures were taken to mitigate the risk. </w:t>
      </w:r>
      <w:r w:rsidR="00EF4BC6" w:rsidRPr="00894841">
        <w:rPr>
          <w:rFonts w:asciiTheme="minorHAnsi" w:eastAsia="Calibri" w:hAnsiTheme="minorHAnsi" w:cstheme="minorHAnsi"/>
          <w:sz w:val="22"/>
          <w:szCs w:val="22"/>
        </w:rPr>
        <w:t xml:space="preserve">In addition, three risks were identified during the project lifetime and included in the UNDP Atlas Risk Register. Post-earthquake situation in Albania followed by COVID -19 pandemic instilled an extension of the emergency situation up to 23 June 2020 in Albania. </w:t>
      </w:r>
      <w:r w:rsidR="00EF4BC6" w:rsidRPr="00894841">
        <w:rPr>
          <w:rFonts w:asciiTheme="minorHAnsi" w:hAnsiTheme="minorHAnsi" w:cstheme="minorHAnsi"/>
          <w:sz w:val="22"/>
          <w:szCs w:val="22"/>
          <w:lang w:val="en-US"/>
        </w:rPr>
        <w:t xml:space="preserve">That </w:t>
      </w:r>
      <w:r w:rsidR="00EF4BC6" w:rsidRPr="00EF4BC6">
        <w:rPr>
          <w:rFonts w:asciiTheme="minorHAnsi" w:hAnsiTheme="minorHAnsi" w:cstheme="minorHAnsi"/>
          <w:sz w:val="22"/>
          <w:szCs w:val="22"/>
          <w:lang w:val="en-US"/>
        </w:rPr>
        <w:t xml:space="preserve">risk </w:t>
      </w:r>
      <w:r w:rsidR="00EF4BC6" w:rsidRPr="00894841">
        <w:rPr>
          <w:rFonts w:asciiTheme="minorHAnsi" w:hAnsiTheme="minorHAnsi" w:cstheme="minorHAnsi"/>
          <w:sz w:val="22"/>
          <w:szCs w:val="22"/>
          <w:lang w:val="en-US"/>
        </w:rPr>
        <w:t>m</w:t>
      </w:r>
      <w:r w:rsidR="00EF4BC6" w:rsidRPr="00EF4BC6">
        <w:rPr>
          <w:rFonts w:asciiTheme="minorHAnsi" w:hAnsiTheme="minorHAnsi" w:cstheme="minorHAnsi"/>
          <w:sz w:val="22"/>
          <w:szCs w:val="22"/>
          <w:lang w:val="en-US"/>
        </w:rPr>
        <w:t>ight</w:t>
      </w:r>
      <w:r w:rsidR="00EF4BC6" w:rsidRPr="00894841">
        <w:rPr>
          <w:rFonts w:asciiTheme="minorHAnsi" w:hAnsiTheme="minorHAnsi" w:cstheme="minorHAnsi"/>
          <w:sz w:val="22"/>
          <w:szCs w:val="22"/>
          <w:lang w:val="en-US"/>
        </w:rPr>
        <w:t xml:space="preserve"> have </w:t>
      </w:r>
      <w:r w:rsidR="00EF4BC6" w:rsidRPr="00EF4BC6">
        <w:rPr>
          <w:rFonts w:asciiTheme="minorHAnsi" w:hAnsiTheme="minorHAnsi" w:cstheme="minorHAnsi"/>
          <w:sz w:val="22"/>
          <w:szCs w:val="22"/>
          <w:lang w:val="en-US"/>
        </w:rPr>
        <w:t xml:space="preserve">had </w:t>
      </w:r>
      <w:r w:rsidR="00EF4BC6" w:rsidRPr="00894841">
        <w:rPr>
          <w:rFonts w:asciiTheme="minorHAnsi" w:hAnsiTheme="minorHAnsi" w:cstheme="minorHAnsi"/>
          <w:sz w:val="22"/>
          <w:szCs w:val="22"/>
          <w:lang w:val="en-US"/>
        </w:rPr>
        <w:t>an impact on stakeholders</w:t>
      </w:r>
      <w:r w:rsidR="00EF4BC6">
        <w:rPr>
          <w:rFonts w:asciiTheme="minorHAnsi" w:hAnsiTheme="minorHAnsi" w:cstheme="minorHAnsi"/>
          <w:sz w:val="22"/>
          <w:szCs w:val="22"/>
          <w:lang w:val="en-US"/>
        </w:rPr>
        <w:t>’</w:t>
      </w:r>
      <w:r w:rsidR="00EF4BC6" w:rsidRPr="00894841">
        <w:rPr>
          <w:rFonts w:asciiTheme="minorHAnsi" w:hAnsiTheme="minorHAnsi" w:cstheme="minorHAnsi"/>
          <w:sz w:val="22"/>
          <w:szCs w:val="22"/>
          <w:lang w:val="en-US"/>
        </w:rPr>
        <w:t xml:space="preserve"> engagement, lower responsiveness and input and, result in delays and lower quality of deliverables</w:t>
      </w:r>
      <w:r w:rsidR="00EF4BC6" w:rsidRPr="00EF4BC6">
        <w:rPr>
          <w:rFonts w:asciiTheme="minorHAnsi" w:hAnsiTheme="minorHAnsi" w:cstheme="minorHAnsi"/>
          <w:sz w:val="22"/>
          <w:szCs w:val="22"/>
          <w:lang w:val="en-US"/>
        </w:rPr>
        <w:t>. It was</w:t>
      </w:r>
      <w:r w:rsidR="00EF4BC6" w:rsidRPr="00894841">
        <w:rPr>
          <w:rFonts w:asciiTheme="minorHAnsi" w:hAnsiTheme="minorHAnsi" w:cstheme="minorHAnsi"/>
          <w:sz w:val="22"/>
          <w:szCs w:val="22"/>
          <w:lang w:val="en-US"/>
        </w:rPr>
        <w:t xml:space="preserve"> rated as medium/moderate. </w:t>
      </w:r>
      <w:r w:rsidR="00EF4BC6">
        <w:rPr>
          <w:rFonts w:asciiTheme="minorHAnsi" w:hAnsiTheme="minorHAnsi" w:cstheme="minorHAnsi"/>
          <w:sz w:val="22"/>
          <w:szCs w:val="22"/>
          <w:lang w:val="en-US"/>
        </w:rPr>
        <w:t>Risk caused by c</w:t>
      </w:r>
      <w:r w:rsidR="00EF4BC6" w:rsidRPr="00894841">
        <w:rPr>
          <w:rFonts w:asciiTheme="minorHAnsi" w:hAnsiTheme="minorHAnsi" w:cstheme="minorHAnsi"/>
          <w:sz w:val="22"/>
          <w:szCs w:val="22"/>
          <w:lang w:val="en-US"/>
        </w:rPr>
        <w:t>hanges in the government</w:t>
      </w:r>
      <w:r w:rsidR="00EF4BC6" w:rsidRPr="00EF4BC6">
        <w:rPr>
          <w:rFonts w:asciiTheme="minorHAnsi" w:hAnsiTheme="minorHAnsi" w:cstheme="minorHAnsi"/>
          <w:sz w:val="22"/>
          <w:szCs w:val="22"/>
          <w:lang w:val="en-US"/>
        </w:rPr>
        <w:t xml:space="preserve"> </w:t>
      </w:r>
      <w:r w:rsidR="00EF4BC6" w:rsidRPr="00F011A2">
        <w:rPr>
          <w:rFonts w:asciiTheme="minorHAnsi" w:hAnsiTheme="minorHAnsi" w:cstheme="minorHAnsi"/>
          <w:sz w:val="22"/>
          <w:szCs w:val="22"/>
          <w:lang w:val="en-US"/>
        </w:rPr>
        <w:t>as a result of elections in the Drin Basin</w:t>
      </w:r>
      <w:r w:rsidR="00EF4BC6">
        <w:rPr>
          <w:rFonts w:asciiTheme="minorHAnsi" w:hAnsiTheme="minorHAnsi" w:cstheme="minorHAnsi"/>
          <w:sz w:val="22"/>
          <w:szCs w:val="22"/>
          <w:lang w:val="en-US"/>
        </w:rPr>
        <w:t xml:space="preserve"> countries</w:t>
      </w:r>
      <w:r w:rsidR="00EF4BC6" w:rsidRPr="00894841">
        <w:rPr>
          <w:rFonts w:asciiTheme="minorHAnsi" w:hAnsiTheme="minorHAnsi" w:cstheme="minorHAnsi"/>
          <w:sz w:val="22"/>
          <w:szCs w:val="22"/>
          <w:lang w:val="en-US"/>
        </w:rPr>
        <w:t xml:space="preserve">, </w:t>
      </w:r>
      <w:r w:rsidR="00EF4BC6">
        <w:rPr>
          <w:rFonts w:asciiTheme="minorHAnsi" w:hAnsiTheme="minorHAnsi" w:cstheme="minorHAnsi"/>
          <w:sz w:val="22"/>
          <w:szCs w:val="22"/>
          <w:lang w:val="en-US"/>
        </w:rPr>
        <w:t xml:space="preserve">which could </w:t>
      </w:r>
      <w:r w:rsidR="00EF4BC6" w:rsidRPr="00894841">
        <w:rPr>
          <w:rFonts w:asciiTheme="minorHAnsi" w:hAnsiTheme="minorHAnsi" w:cstheme="minorHAnsi"/>
          <w:sz w:val="22"/>
          <w:szCs w:val="22"/>
          <w:lang w:val="en-US"/>
        </w:rPr>
        <w:t xml:space="preserve">consequently </w:t>
      </w:r>
      <w:r w:rsidR="00EF4BC6">
        <w:rPr>
          <w:rFonts w:asciiTheme="minorHAnsi" w:hAnsiTheme="minorHAnsi" w:cstheme="minorHAnsi"/>
          <w:sz w:val="22"/>
          <w:szCs w:val="22"/>
          <w:lang w:val="en-US"/>
        </w:rPr>
        <w:t xml:space="preserve">affect the performance of the </w:t>
      </w:r>
      <w:r w:rsidR="00EF4BC6" w:rsidRPr="00894841">
        <w:rPr>
          <w:rFonts w:asciiTheme="minorHAnsi" w:hAnsiTheme="minorHAnsi" w:cstheme="minorHAnsi"/>
          <w:sz w:val="22"/>
          <w:szCs w:val="22"/>
          <w:lang w:val="en-US"/>
        </w:rPr>
        <w:t>DCG</w:t>
      </w:r>
      <w:r w:rsidR="00EF4BC6">
        <w:rPr>
          <w:rFonts w:asciiTheme="minorHAnsi" w:hAnsiTheme="minorHAnsi" w:cstheme="minorHAnsi"/>
          <w:sz w:val="22"/>
          <w:szCs w:val="22"/>
          <w:lang w:val="en-US"/>
        </w:rPr>
        <w:t>, was</w:t>
      </w:r>
      <w:r w:rsidR="00EF4BC6" w:rsidRPr="00894841">
        <w:rPr>
          <w:rFonts w:asciiTheme="minorHAnsi" w:hAnsiTheme="minorHAnsi" w:cstheme="minorHAnsi"/>
          <w:sz w:val="22"/>
          <w:szCs w:val="22"/>
          <w:lang w:val="en-US"/>
        </w:rPr>
        <w:t xml:space="preserve"> rated as low.</w:t>
      </w:r>
      <w:r w:rsidR="00EF4BC6">
        <w:rPr>
          <w:rFonts w:asciiTheme="minorHAnsi" w:hAnsiTheme="minorHAnsi" w:cstheme="minorHAnsi"/>
          <w:sz w:val="22"/>
          <w:szCs w:val="22"/>
          <w:lang w:val="en-US"/>
        </w:rPr>
        <w:t xml:space="preserve"> And finally, </w:t>
      </w:r>
      <w:r w:rsidR="000D36AC">
        <w:rPr>
          <w:rFonts w:asciiTheme="minorHAnsi" w:hAnsiTheme="minorHAnsi" w:cstheme="minorHAnsi"/>
          <w:sz w:val="22"/>
          <w:szCs w:val="22"/>
          <w:lang w:val="en-US"/>
        </w:rPr>
        <w:t>t</w:t>
      </w:r>
      <w:r w:rsidR="00EF4BC6" w:rsidRPr="00894841">
        <w:rPr>
          <w:rFonts w:asciiTheme="minorHAnsi" w:hAnsiTheme="minorHAnsi" w:cstheme="minorHAnsi"/>
          <w:sz w:val="22"/>
          <w:szCs w:val="22"/>
          <w:lang w:val="en-US"/>
        </w:rPr>
        <w:t xml:space="preserve">he representatives of the countries in the Drin Core Group and the Steering Committee </w:t>
      </w:r>
      <w:r w:rsidR="000D36AC">
        <w:rPr>
          <w:rFonts w:asciiTheme="minorHAnsi" w:hAnsiTheme="minorHAnsi" w:cstheme="minorHAnsi"/>
          <w:sz w:val="22"/>
          <w:szCs w:val="22"/>
          <w:lang w:val="en-US"/>
        </w:rPr>
        <w:t xml:space="preserve">being </w:t>
      </w:r>
      <w:r w:rsidR="00EF4BC6" w:rsidRPr="00894841">
        <w:rPr>
          <w:rFonts w:asciiTheme="minorHAnsi" w:hAnsiTheme="minorHAnsi" w:cstheme="minorHAnsi"/>
          <w:sz w:val="22"/>
          <w:szCs w:val="22"/>
          <w:lang w:val="en-US"/>
        </w:rPr>
        <w:t>a low</w:t>
      </w:r>
      <w:r w:rsidR="000D36AC">
        <w:rPr>
          <w:rFonts w:asciiTheme="minorHAnsi" w:hAnsiTheme="minorHAnsi" w:cstheme="minorHAnsi"/>
          <w:sz w:val="22"/>
          <w:szCs w:val="22"/>
          <w:lang w:val="en-US"/>
        </w:rPr>
        <w:t>er-</w:t>
      </w:r>
      <w:r w:rsidR="00EF4BC6" w:rsidRPr="00894841">
        <w:rPr>
          <w:rFonts w:asciiTheme="minorHAnsi" w:hAnsiTheme="minorHAnsi" w:cstheme="minorHAnsi"/>
          <w:sz w:val="22"/>
          <w:szCs w:val="22"/>
          <w:lang w:val="en-US"/>
        </w:rPr>
        <w:t>level staff of the Ministries</w:t>
      </w:r>
      <w:r w:rsidR="000D36AC">
        <w:rPr>
          <w:rFonts w:asciiTheme="minorHAnsi" w:hAnsiTheme="minorHAnsi" w:cstheme="minorHAnsi"/>
          <w:sz w:val="22"/>
          <w:szCs w:val="22"/>
          <w:lang w:val="en-US"/>
        </w:rPr>
        <w:t>, which might have brought inadequate performance of the DCH, was</w:t>
      </w:r>
      <w:r w:rsidR="00EF4BC6" w:rsidRPr="00894841">
        <w:rPr>
          <w:rFonts w:asciiTheme="minorHAnsi" w:hAnsiTheme="minorHAnsi" w:cstheme="minorHAnsi"/>
          <w:sz w:val="22"/>
          <w:szCs w:val="22"/>
          <w:lang w:val="en-US"/>
        </w:rPr>
        <w:t xml:space="preserve"> rated as low.</w:t>
      </w:r>
    </w:p>
    <w:p w14:paraId="40708DBB" w14:textId="77777777" w:rsidR="00EF4BC6" w:rsidRDefault="00EF4BC6">
      <w:pPr>
        <w:widowControl w:val="0"/>
        <w:tabs>
          <w:tab w:val="left" w:pos="220"/>
          <w:tab w:val="left" w:pos="720"/>
        </w:tabs>
        <w:jc w:val="both"/>
        <w:rPr>
          <w:rFonts w:ascii="Calibri" w:eastAsia="Calibri" w:hAnsi="Calibri" w:cs="Calibri"/>
          <w:sz w:val="22"/>
          <w:szCs w:val="22"/>
        </w:rPr>
      </w:pPr>
    </w:p>
    <w:p w14:paraId="61FD6F36" w14:textId="66856472" w:rsidR="000F31AD" w:rsidRDefault="00A317E5">
      <w:pPr>
        <w:widowControl w:val="0"/>
        <w:tabs>
          <w:tab w:val="left" w:pos="220"/>
          <w:tab w:val="left" w:pos="720"/>
        </w:tabs>
        <w:jc w:val="both"/>
        <w:rPr>
          <w:rFonts w:ascii="Calibri" w:eastAsia="Calibri" w:hAnsi="Calibri" w:cs="Calibri"/>
          <w:sz w:val="22"/>
          <w:szCs w:val="22"/>
        </w:rPr>
      </w:pPr>
      <w:r>
        <w:rPr>
          <w:rFonts w:ascii="Calibri" w:eastAsia="Calibri" w:hAnsi="Calibri" w:cs="Calibri"/>
          <w:sz w:val="22"/>
          <w:szCs w:val="22"/>
        </w:rPr>
        <w:t xml:space="preserve">All </w:t>
      </w:r>
      <w:r w:rsidR="000D36AC">
        <w:rPr>
          <w:rFonts w:ascii="Calibri" w:eastAsia="Calibri" w:hAnsi="Calibri" w:cs="Calibri"/>
          <w:sz w:val="22"/>
          <w:szCs w:val="22"/>
        </w:rPr>
        <w:t>mitigation measures for the above risks we</w:t>
      </w:r>
      <w:r>
        <w:rPr>
          <w:rFonts w:ascii="Calibri" w:eastAsia="Calibri" w:hAnsi="Calibri" w:cs="Calibri"/>
          <w:sz w:val="22"/>
          <w:szCs w:val="22"/>
        </w:rPr>
        <w:t xml:space="preserve">re elaborated in considerable detail in the 2020 and 2021 PIRs. </w:t>
      </w:r>
      <w:r w:rsidR="00EF4BC6">
        <w:rPr>
          <w:rFonts w:ascii="Calibri" w:eastAsia="Calibri" w:hAnsi="Calibri" w:cs="Calibri"/>
          <w:sz w:val="22"/>
          <w:szCs w:val="22"/>
        </w:rPr>
        <w:t>Due to COVID-19, t</w:t>
      </w:r>
      <w:r>
        <w:rPr>
          <w:rFonts w:ascii="Calibri" w:eastAsia="Calibri" w:hAnsi="Calibri" w:cs="Calibri"/>
          <w:sz w:val="22"/>
          <w:szCs w:val="22"/>
        </w:rPr>
        <w:t>he project was extended for six months (in addition to one-year extension, approved in May 2019). The PB had the first virtual meeting, following the COPVID-19 crisis, in May 2020, while at the meeting in July 2020, the PB extensively discussed the new situation as well as actions to be taken to mitigate the crisis and install new modalities of work and communication. Since then, the PB was regularly kept informed on the impacts on the project and mitigation of the COVID-19 crisis.</w:t>
      </w:r>
    </w:p>
    <w:p w14:paraId="52A05910" w14:textId="77777777" w:rsidR="000F31AD" w:rsidRDefault="000F31AD">
      <w:pPr>
        <w:widowControl w:val="0"/>
        <w:tabs>
          <w:tab w:val="left" w:pos="220"/>
          <w:tab w:val="left" w:pos="720"/>
        </w:tabs>
        <w:jc w:val="both"/>
        <w:rPr>
          <w:rFonts w:ascii="MS Gothic" w:eastAsia="MS Gothic" w:hAnsi="MS Gothic" w:cs="MS Gothic"/>
          <w:sz w:val="22"/>
          <w:szCs w:val="22"/>
        </w:rPr>
      </w:pPr>
    </w:p>
    <w:p w14:paraId="709E9FB0" w14:textId="76E9681F" w:rsidR="000F31AD" w:rsidRPr="000D36AC" w:rsidRDefault="00A317E5" w:rsidP="00894841">
      <w:pPr>
        <w:keepNext/>
        <w:pBdr>
          <w:top w:val="nil"/>
          <w:left w:val="nil"/>
          <w:bottom w:val="nil"/>
          <w:right w:val="nil"/>
          <w:between w:val="nil"/>
        </w:pBdr>
        <w:ind w:left="1"/>
        <w:jc w:val="both"/>
        <w:rPr>
          <w:rFonts w:ascii="Calibri" w:eastAsia="Calibri" w:hAnsi="Calibri" w:cs="Calibri"/>
          <w:color w:val="000000"/>
          <w:sz w:val="22"/>
          <w:szCs w:val="22"/>
        </w:rPr>
      </w:pPr>
      <w:r>
        <w:rPr>
          <w:rFonts w:ascii="Calibri" w:eastAsia="Calibri" w:hAnsi="Calibri" w:cs="Calibri"/>
          <w:sz w:val="22"/>
          <w:szCs w:val="22"/>
        </w:rPr>
        <w:t>The Environmental and Social Standards Screening (ESSP)</w:t>
      </w:r>
      <w:r w:rsidR="000D36AC">
        <w:rPr>
          <w:rFonts w:ascii="Calibri" w:eastAsia="Calibri" w:hAnsi="Calibri" w:cs="Calibri"/>
          <w:sz w:val="22"/>
          <w:szCs w:val="22"/>
          <w:vertAlign w:val="superscript"/>
        </w:rPr>
        <w:footnoteReference w:id="6"/>
      </w:r>
      <w:r>
        <w:rPr>
          <w:rFonts w:ascii="Calibri" w:eastAsia="Calibri" w:hAnsi="Calibri" w:cs="Calibri"/>
          <w:sz w:val="22"/>
          <w:szCs w:val="22"/>
        </w:rPr>
        <w:t xml:space="preserve"> template was filled and signed in December 2012. It identified that some of the proposed project activities that support upstream processes may potentially pose environmental and social impacts or are vulnerable to environmental and social change. The ESSP</w:t>
      </w:r>
      <w:r w:rsidR="000D36AC">
        <w:rPr>
          <w:rFonts w:ascii="Calibri" w:eastAsia="Calibri" w:hAnsi="Calibri" w:cs="Calibri"/>
          <w:sz w:val="22"/>
          <w:szCs w:val="22"/>
        </w:rPr>
        <w:t xml:space="preserve"> stated that the </w:t>
      </w:r>
      <w:r w:rsidRPr="000D36AC">
        <w:rPr>
          <w:rFonts w:ascii="Calibri" w:eastAsia="Calibri" w:hAnsi="Calibri" w:cs="Calibri"/>
          <w:color w:val="000000"/>
          <w:sz w:val="22"/>
          <w:szCs w:val="22"/>
        </w:rPr>
        <w:t>activities described in the Project Document aim to address downstream effects of upstream activities hence create downstream benefits</w:t>
      </w:r>
      <w:r w:rsidR="000D36AC" w:rsidRPr="000D36AC">
        <w:rPr>
          <w:rFonts w:ascii="Calibri" w:eastAsia="Calibri" w:hAnsi="Calibri" w:cs="Calibri"/>
          <w:color w:val="000000"/>
          <w:sz w:val="22"/>
          <w:szCs w:val="22"/>
        </w:rPr>
        <w:t xml:space="preserve"> and that t</w:t>
      </w:r>
      <w:r w:rsidRPr="000D36AC">
        <w:rPr>
          <w:rFonts w:ascii="Calibri" w:eastAsia="Calibri" w:hAnsi="Calibri" w:cs="Calibri"/>
          <w:color w:val="000000"/>
          <w:sz w:val="22"/>
          <w:szCs w:val="22"/>
        </w:rPr>
        <w:t xml:space="preserve">here </w:t>
      </w:r>
      <w:r w:rsidR="000D36AC" w:rsidRPr="000D36AC">
        <w:rPr>
          <w:rFonts w:ascii="Calibri" w:eastAsia="Calibri" w:hAnsi="Calibri" w:cs="Calibri"/>
          <w:color w:val="000000"/>
          <w:sz w:val="22"/>
          <w:szCs w:val="22"/>
        </w:rPr>
        <w:t xml:space="preserve">will be </w:t>
      </w:r>
      <w:r w:rsidRPr="000D36AC">
        <w:rPr>
          <w:rFonts w:ascii="Calibri" w:eastAsia="Calibri" w:hAnsi="Calibri" w:cs="Calibri"/>
          <w:color w:val="000000"/>
          <w:sz w:val="22"/>
          <w:szCs w:val="22"/>
        </w:rPr>
        <w:t>no negative downstream effects expected as a result of the Project activities. The preparation of the SAP will aim to address the issues that have downstream effects as described in the background analysis (Project Document, section 1 “The Issues of concern”). This is also the case with regard to the demonstration activities currently included in the Project Document.</w:t>
      </w:r>
      <w:r w:rsidR="000D36AC" w:rsidRPr="000D36AC">
        <w:rPr>
          <w:rFonts w:ascii="Calibri" w:eastAsia="Calibri" w:hAnsi="Calibri" w:cs="Calibri"/>
          <w:color w:val="000000"/>
          <w:sz w:val="22"/>
          <w:szCs w:val="22"/>
        </w:rPr>
        <w:t xml:space="preserve"> </w:t>
      </w:r>
      <w:r w:rsidRPr="000D36AC">
        <w:rPr>
          <w:rFonts w:ascii="Calibri" w:eastAsia="Calibri" w:hAnsi="Calibri" w:cs="Calibri"/>
          <w:color w:val="000000"/>
          <w:sz w:val="22"/>
          <w:szCs w:val="22"/>
        </w:rPr>
        <w:t xml:space="preserve">It </w:t>
      </w:r>
      <w:r w:rsidR="000D36AC">
        <w:rPr>
          <w:rFonts w:ascii="Calibri" w:eastAsia="Calibri" w:hAnsi="Calibri" w:cs="Calibri"/>
          <w:color w:val="000000"/>
          <w:sz w:val="22"/>
          <w:szCs w:val="22"/>
        </w:rPr>
        <w:t>also</w:t>
      </w:r>
      <w:r w:rsidR="000D36AC" w:rsidRPr="000D36AC">
        <w:rPr>
          <w:rFonts w:ascii="Calibri" w:eastAsia="Calibri" w:hAnsi="Calibri" w:cs="Calibri"/>
          <w:color w:val="000000"/>
          <w:sz w:val="22"/>
          <w:szCs w:val="22"/>
        </w:rPr>
        <w:t xml:space="preserve"> </w:t>
      </w:r>
      <w:r w:rsidRPr="000D36AC">
        <w:rPr>
          <w:rFonts w:ascii="Calibri" w:eastAsia="Calibri" w:hAnsi="Calibri" w:cs="Calibri"/>
          <w:color w:val="000000"/>
          <w:sz w:val="22"/>
          <w:szCs w:val="22"/>
        </w:rPr>
        <w:t xml:space="preserve">acknowledged though that the preparation of regional strategic documents (such as </w:t>
      </w:r>
      <w:proofErr w:type="gramStart"/>
      <w:r w:rsidRPr="000D36AC">
        <w:rPr>
          <w:rFonts w:ascii="Calibri" w:eastAsia="Calibri" w:hAnsi="Calibri" w:cs="Calibri"/>
          <w:color w:val="000000"/>
          <w:sz w:val="22"/>
          <w:szCs w:val="22"/>
        </w:rPr>
        <w:t>a</w:t>
      </w:r>
      <w:proofErr w:type="gramEnd"/>
      <w:r w:rsidRPr="000D36AC">
        <w:rPr>
          <w:rFonts w:ascii="Calibri" w:eastAsia="Calibri" w:hAnsi="Calibri" w:cs="Calibri"/>
          <w:color w:val="000000"/>
          <w:sz w:val="22"/>
          <w:szCs w:val="22"/>
        </w:rPr>
        <w:t xml:space="preserve"> SAP) and plans (such as the demonstration activity leading to the preparation of the Ohrid management plan) may involve minor unintended negative environmental and social effects that will be analysed and addressed as part of the SAP preparation process, and of the Ohrid management plan. In the aggregate however, the SAP, demonstrations and related activities will, by definition, seek to put in place a range of governance, management and other mechanisms that will improve the overall environmental management and sustainability of the extended Drin basin system.</w:t>
      </w:r>
    </w:p>
    <w:p w14:paraId="10612098" w14:textId="77777777" w:rsidR="000F31AD" w:rsidRDefault="00A317E5">
      <w:pPr>
        <w:widowControl w:val="0"/>
        <w:tabs>
          <w:tab w:val="left" w:pos="220"/>
          <w:tab w:val="left" w:pos="720"/>
        </w:tabs>
        <w:jc w:val="both"/>
        <w:rPr>
          <w:rFonts w:ascii="Calibri" w:eastAsia="Calibri" w:hAnsi="Calibri" w:cs="Calibri"/>
          <w:sz w:val="22"/>
          <w:szCs w:val="22"/>
        </w:rPr>
      </w:pPr>
      <w:r>
        <w:rPr>
          <w:rFonts w:ascii="MS Gothic" w:eastAsia="MS Gothic" w:hAnsi="MS Gothic" w:cs="MS Gothic"/>
          <w:sz w:val="22"/>
          <w:szCs w:val="22"/>
        </w:rPr>
        <w:t xml:space="preserve"> </w:t>
      </w:r>
    </w:p>
    <w:p w14:paraId="792C3238" w14:textId="77777777" w:rsidR="000F31AD" w:rsidRDefault="00A317E5">
      <w:pPr>
        <w:keepNext/>
        <w:jc w:val="both"/>
        <w:rPr>
          <w:rFonts w:ascii="Calibri" w:eastAsia="Calibri" w:hAnsi="Calibri" w:cs="Calibri"/>
          <w:color w:val="000000"/>
          <w:sz w:val="22"/>
          <w:szCs w:val="22"/>
        </w:rPr>
      </w:pPr>
      <w:r>
        <w:rPr>
          <w:rFonts w:ascii="Calibri" w:eastAsia="Calibri" w:hAnsi="Calibri" w:cs="Calibri"/>
          <w:color w:val="000000"/>
          <w:sz w:val="22"/>
          <w:szCs w:val="22"/>
        </w:rPr>
        <w:t xml:space="preserve">The ESSP proposed that “The involvement of the Drin Core Group and its Expert Working Groups in the implementation of the Project will function as a safeguards mechanism as all basin countries will </w:t>
      </w:r>
      <w:r>
        <w:rPr>
          <w:rFonts w:ascii="Calibri" w:eastAsia="Calibri" w:hAnsi="Calibri" w:cs="Calibri"/>
          <w:color w:val="000000"/>
          <w:sz w:val="22"/>
          <w:szCs w:val="22"/>
        </w:rPr>
        <w:lastRenderedPageBreak/>
        <w:t xml:space="preserve">be monitoring all activities and planning processes through their representatives and experts. Project staff and UNDP supervisors will facilitate this process.” </w:t>
      </w:r>
    </w:p>
    <w:p w14:paraId="2F8F87BB" w14:textId="77777777" w:rsidR="000F31AD" w:rsidRDefault="000F31AD">
      <w:pPr>
        <w:widowControl w:val="0"/>
        <w:tabs>
          <w:tab w:val="left" w:pos="220"/>
          <w:tab w:val="left" w:pos="720"/>
        </w:tabs>
        <w:jc w:val="both"/>
        <w:rPr>
          <w:rFonts w:ascii="Calibri" w:eastAsia="Calibri" w:hAnsi="Calibri" w:cs="Calibri"/>
          <w:sz w:val="22"/>
          <w:szCs w:val="22"/>
        </w:rPr>
      </w:pPr>
    </w:p>
    <w:p w14:paraId="3056CE4D" w14:textId="01BFEE2A" w:rsidR="000F31AD" w:rsidRDefault="00A317E5">
      <w:pPr>
        <w:widowControl w:val="0"/>
        <w:tabs>
          <w:tab w:val="left" w:pos="220"/>
          <w:tab w:val="left" w:pos="720"/>
        </w:tabs>
        <w:jc w:val="both"/>
        <w:rPr>
          <w:rFonts w:ascii="Calibri" w:eastAsia="Calibri" w:hAnsi="Calibri" w:cs="Calibri"/>
          <w:sz w:val="22"/>
          <w:szCs w:val="22"/>
        </w:rPr>
      </w:pPr>
      <w:r>
        <w:rPr>
          <w:rFonts w:ascii="Calibri" w:eastAsia="Calibri" w:hAnsi="Calibri" w:cs="Calibri"/>
          <w:sz w:val="22"/>
          <w:szCs w:val="22"/>
        </w:rPr>
        <w:t xml:space="preserve">The </w:t>
      </w:r>
      <w:r w:rsidR="000D36AC">
        <w:rPr>
          <w:rFonts w:ascii="Calibri" w:eastAsia="Calibri" w:hAnsi="Calibri" w:cs="Calibri"/>
          <w:sz w:val="22"/>
          <w:szCs w:val="22"/>
        </w:rPr>
        <w:t xml:space="preserve">ESSP </w:t>
      </w:r>
      <w:r>
        <w:rPr>
          <w:rFonts w:ascii="Calibri" w:eastAsia="Calibri" w:hAnsi="Calibri" w:cs="Calibri"/>
          <w:sz w:val="22"/>
          <w:szCs w:val="22"/>
        </w:rPr>
        <w:t>identified the following challenges to achieving the project results:</w:t>
      </w:r>
    </w:p>
    <w:p w14:paraId="0D3530C0" w14:textId="77777777" w:rsidR="000F31AD" w:rsidRDefault="000F31AD">
      <w:pPr>
        <w:widowControl w:val="0"/>
        <w:tabs>
          <w:tab w:val="left" w:pos="220"/>
          <w:tab w:val="left" w:pos="720"/>
        </w:tabs>
        <w:jc w:val="both"/>
        <w:rPr>
          <w:rFonts w:ascii="Calibri" w:eastAsia="Calibri" w:hAnsi="Calibri" w:cs="Calibri"/>
          <w:sz w:val="22"/>
          <w:szCs w:val="22"/>
        </w:rPr>
      </w:pPr>
    </w:p>
    <w:p w14:paraId="4C9BE1E2" w14:textId="77777777" w:rsidR="000F31AD" w:rsidRDefault="00A317E5" w:rsidP="0052081C">
      <w:pPr>
        <w:widowControl w:val="0"/>
        <w:numPr>
          <w:ilvl w:val="0"/>
          <w:numId w:val="1"/>
        </w:numPr>
        <w:pBdr>
          <w:top w:val="nil"/>
          <w:left w:val="nil"/>
          <w:bottom w:val="nil"/>
          <w:right w:val="nil"/>
          <w:between w:val="nil"/>
        </w:pBdr>
        <w:tabs>
          <w:tab w:val="left" w:pos="426"/>
          <w:tab w:val="left" w:pos="720"/>
        </w:tabs>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Development of functional Integrated Monitoring System (IMS)</w:t>
      </w:r>
    </w:p>
    <w:p w14:paraId="1335746B" w14:textId="77777777" w:rsidR="000F31AD" w:rsidRDefault="00A317E5" w:rsidP="0052081C">
      <w:pPr>
        <w:widowControl w:val="0"/>
        <w:numPr>
          <w:ilvl w:val="0"/>
          <w:numId w:val="1"/>
        </w:numPr>
        <w:pBdr>
          <w:top w:val="nil"/>
          <w:left w:val="nil"/>
          <w:bottom w:val="nil"/>
          <w:right w:val="nil"/>
          <w:between w:val="nil"/>
        </w:pBdr>
        <w:tabs>
          <w:tab w:val="left" w:pos="426"/>
          <w:tab w:val="left" w:pos="720"/>
        </w:tabs>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SAP development and implementation</w:t>
      </w:r>
    </w:p>
    <w:p w14:paraId="04BFF422" w14:textId="77777777" w:rsidR="000F31AD" w:rsidRDefault="00A317E5" w:rsidP="0052081C">
      <w:pPr>
        <w:widowControl w:val="0"/>
        <w:numPr>
          <w:ilvl w:val="0"/>
          <w:numId w:val="1"/>
        </w:numPr>
        <w:pBdr>
          <w:top w:val="nil"/>
          <w:left w:val="nil"/>
          <w:bottom w:val="nil"/>
          <w:right w:val="nil"/>
          <w:between w:val="nil"/>
        </w:pBdr>
        <w:tabs>
          <w:tab w:val="left" w:pos="426"/>
          <w:tab w:val="left" w:pos="720"/>
        </w:tabs>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Challenge of working in the region</w:t>
      </w:r>
    </w:p>
    <w:p w14:paraId="530565DC" w14:textId="77777777" w:rsidR="000F31AD" w:rsidRDefault="00A317E5" w:rsidP="0052081C">
      <w:pPr>
        <w:widowControl w:val="0"/>
        <w:numPr>
          <w:ilvl w:val="0"/>
          <w:numId w:val="1"/>
        </w:numPr>
        <w:pBdr>
          <w:top w:val="nil"/>
          <w:left w:val="nil"/>
          <w:bottom w:val="nil"/>
          <w:right w:val="nil"/>
          <w:between w:val="nil"/>
        </w:pBdr>
        <w:tabs>
          <w:tab w:val="left" w:pos="426"/>
          <w:tab w:val="left" w:pos="720"/>
        </w:tabs>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Establishing inter-ministerial committees</w:t>
      </w:r>
    </w:p>
    <w:p w14:paraId="11219AE4" w14:textId="77777777" w:rsidR="000F31AD" w:rsidRDefault="00A317E5" w:rsidP="0052081C">
      <w:pPr>
        <w:widowControl w:val="0"/>
        <w:numPr>
          <w:ilvl w:val="0"/>
          <w:numId w:val="1"/>
        </w:numPr>
        <w:pBdr>
          <w:top w:val="nil"/>
          <w:left w:val="nil"/>
          <w:bottom w:val="nil"/>
          <w:right w:val="nil"/>
          <w:between w:val="nil"/>
        </w:pBdr>
        <w:tabs>
          <w:tab w:val="left" w:pos="426"/>
          <w:tab w:val="left" w:pos="720"/>
        </w:tabs>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Funding for Kosovo to be able to be more parallel to its neighbours</w:t>
      </w:r>
    </w:p>
    <w:p w14:paraId="513FDADE" w14:textId="77777777" w:rsidR="000F31AD" w:rsidRDefault="00A317E5" w:rsidP="0052081C">
      <w:pPr>
        <w:widowControl w:val="0"/>
        <w:numPr>
          <w:ilvl w:val="0"/>
          <w:numId w:val="1"/>
        </w:numPr>
        <w:pBdr>
          <w:top w:val="nil"/>
          <w:left w:val="nil"/>
          <w:bottom w:val="nil"/>
          <w:right w:val="nil"/>
          <w:between w:val="nil"/>
        </w:pBdr>
        <w:tabs>
          <w:tab w:val="left" w:pos="426"/>
          <w:tab w:val="left" w:pos="720"/>
        </w:tabs>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Involving energy and power producers in the Drin process.</w:t>
      </w:r>
    </w:p>
    <w:p w14:paraId="19BC5FC7" w14:textId="77777777" w:rsidR="000F31AD" w:rsidRDefault="000F31AD">
      <w:pPr>
        <w:widowControl w:val="0"/>
        <w:tabs>
          <w:tab w:val="left" w:pos="220"/>
          <w:tab w:val="left" w:pos="720"/>
        </w:tabs>
        <w:rPr>
          <w:rFonts w:ascii="MS Gothic" w:eastAsia="MS Gothic" w:hAnsi="MS Gothic" w:cs="MS Gothic"/>
          <w:sz w:val="22"/>
          <w:szCs w:val="22"/>
        </w:rPr>
      </w:pPr>
    </w:p>
    <w:p w14:paraId="6AB302B2" w14:textId="77777777" w:rsidR="000F31AD" w:rsidRDefault="00A317E5">
      <w:pPr>
        <w:widowControl w:val="0"/>
        <w:tabs>
          <w:tab w:val="left" w:pos="220"/>
          <w:tab w:val="left" w:pos="720"/>
        </w:tabs>
        <w:jc w:val="both"/>
        <w:rPr>
          <w:rFonts w:ascii="MS Gothic" w:eastAsia="MS Gothic" w:hAnsi="MS Gothic" w:cs="MS Gothic"/>
          <w:sz w:val="22"/>
          <w:szCs w:val="22"/>
        </w:rPr>
      </w:pPr>
      <w:r>
        <w:rPr>
          <w:rFonts w:ascii="Calibri" w:eastAsia="Calibri" w:hAnsi="Calibri" w:cs="Calibri"/>
          <w:sz w:val="22"/>
          <w:szCs w:val="22"/>
        </w:rPr>
        <w:t>The TE finds that all of these challenges have been addressed and that project has proceeded towards the satisfactory completion of its tasks.</w:t>
      </w:r>
      <w:r>
        <w:rPr>
          <w:rFonts w:ascii="MS Gothic" w:eastAsia="MS Gothic" w:hAnsi="MS Gothic" w:cs="MS Gothic"/>
          <w:sz w:val="22"/>
          <w:szCs w:val="22"/>
        </w:rPr>
        <w:t> </w:t>
      </w:r>
    </w:p>
    <w:p w14:paraId="707B69B6" w14:textId="77777777" w:rsidR="000F31AD" w:rsidRDefault="000F31AD">
      <w:pPr>
        <w:pStyle w:val="Heading2"/>
      </w:pPr>
    </w:p>
    <w:p w14:paraId="1F4195A5" w14:textId="77777777" w:rsidR="000F31AD" w:rsidRDefault="00A317E5">
      <w:pPr>
        <w:pStyle w:val="Heading2"/>
      </w:pPr>
      <w:bookmarkStart w:id="39" w:name="_Toc81335862"/>
      <w:r>
        <w:t xml:space="preserve">3.3. </w:t>
      </w:r>
      <w:r>
        <w:tab/>
        <w:t xml:space="preserve">Project results and impacts </w:t>
      </w:r>
      <w:r>
        <w:rPr>
          <w:rFonts w:ascii="MS Gothic" w:eastAsia="MS Gothic" w:hAnsi="MS Gothic" w:cs="MS Gothic"/>
        </w:rPr>
        <w:t> </w:t>
      </w:r>
      <w:bookmarkEnd w:id="39"/>
    </w:p>
    <w:p w14:paraId="321693F7" w14:textId="77777777" w:rsidR="00AA14C5" w:rsidRDefault="00AA14C5">
      <w:pPr>
        <w:pBdr>
          <w:top w:val="nil"/>
          <w:left w:val="nil"/>
          <w:bottom w:val="nil"/>
          <w:right w:val="nil"/>
          <w:between w:val="nil"/>
        </w:pBdr>
        <w:jc w:val="both"/>
        <w:rPr>
          <w:rFonts w:ascii="Calibri" w:eastAsia="Calibri" w:hAnsi="Calibri" w:cs="Calibri"/>
          <w:color w:val="000000"/>
          <w:sz w:val="22"/>
          <w:szCs w:val="22"/>
        </w:rPr>
      </w:pPr>
    </w:p>
    <w:p w14:paraId="273726FA" w14:textId="77777777" w:rsidR="000F31AD" w:rsidRDefault="00A317E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This section discusses the assessment of project results, what are the remaining barriers limiting the effectiveness of the project, how efficient was the project to deliver its expected results, and how sustainable and replicable these achievements will be over the long-term. </w:t>
      </w:r>
    </w:p>
    <w:p w14:paraId="09DEF9CC" w14:textId="77777777" w:rsidR="00374704" w:rsidRDefault="00374704">
      <w:pPr>
        <w:pStyle w:val="Heading3"/>
        <w:rPr>
          <w:rFonts w:ascii="Calibri" w:eastAsia="Calibri" w:hAnsi="Calibri" w:cs="Calibri"/>
        </w:rPr>
      </w:pPr>
    </w:p>
    <w:p w14:paraId="4A21CAB2" w14:textId="77777777" w:rsidR="000F31AD" w:rsidRDefault="00A317E5">
      <w:pPr>
        <w:pStyle w:val="Heading3"/>
      </w:pPr>
      <w:bookmarkStart w:id="40" w:name="_Toc81335863"/>
      <w:r>
        <w:rPr>
          <w:rFonts w:ascii="Calibri" w:eastAsia="Calibri" w:hAnsi="Calibri" w:cs="Calibri"/>
        </w:rPr>
        <w:t>3.3.1.</w:t>
      </w:r>
      <w:r>
        <w:rPr>
          <w:rFonts w:ascii="Calibri" w:eastAsia="Calibri" w:hAnsi="Calibri" w:cs="Calibri"/>
        </w:rPr>
        <w:tab/>
      </w:r>
      <w:r>
        <w:t>Progress towards objective and expected outcomes</w:t>
      </w:r>
      <w:bookmarkEnd w:id="40"/>
    </w:p>
    <w:p w14:paraId="0D69E25D" w14:textId="77777777" w:rsidR="00AA14C5" w:rsidRDefault="00AA14C5">
      <w:pPr>
        <w:pBdr>
          <w:top w:val="nil"/>
          <w:left w:val="nil"/>
          <w:bottom w:val="nil"/>
          <w:right w:val="nil"/>
          <w:between w:val="nil"/>
        </w:pBdr>
        <w:jc w:val="both"/>
        <w:rPr>
          <w:rFonts w:ascii="Calibri" w:eastAsia="Calibri" w:hAnsi="Calibri" w:cs="Calibri"/>
          <w:color w:val="000000"/>
          <w:sz w:val="22"/>
          <w:szCs w:val="22"/>
        </w:rPr>
      </w:pPr>
    </w:p>
    <w:p w14:paraId="321DB924" w14:textId="77777777" w:rsidR="000F31AD" w:rsidRDefault="00A317E5">
      <w:pPr>
        <w:pBdr>
          <w:top w:val="nil"/>
          <w:left w:val="nil"/>
          <w:bottom w:val="nil"/>
          <w:right w:val="nil"/>
          <w:between w:val="nil"/>
        </w:pBdr>
        <w:jc w:val="both"/>
        <w:rPr>
          <w:rFonts w:ascii="Calibri" w:eastAsia="Calibri" w:hAnsi="Calibri" w:cs="Calibri"/>
          <w:color w:val="000000"/>
          <w:sz w:val="22"/>
          <w:szCs w:val="22"/>
        </w:rPr>
        <w:sectPr w:rsidR="000F31AD">
          <w:footerReference w:type="even" r:id="rId21"/>
          <w:footerReference w:type="default" r:id="rId22"/>
          <w:footerReference w:type="first" r:id="rId23"/>
          <w:pgSz w:w="11906" w:h="16838"/>
          <w:pgMar w:top="1440" w:right="1440" w:bottom="1440" w:left="1440" w:header="708" w:footer="708" w:gutter="0"/>
          <w:pgNumType w:start="1"/>
          <w:cols w:space="720"/>
          <w:titlePg/>
        </w:sectPr>
      </w:pPr>
      <w:r>
        <w:rPr>
          <w:rFonts w:ascii="Calibri" w:eastAsia="Calibri" w:hAnsi="Calibri" w:cs="Calibri"/>
          <w:color w:val="000000"/>
          <w:sz w:val="22"/>
          <w:szCs w:val="22"/>
        </w:rPr>
        <w:t xml:space="preserve">As presented in Sections 2.5, the project has been implemented through seven (7) outcomes. The implementation progress is measured though a set of 12 indicators, each one with its respective target to be achieved by the end of the project. Below is a table listing key results achieved by the project against each expected outcome, using the corresponding targets to measure the progress made. Additionally, a colour </w:t>
      </w:r>
      <w:r w:rsidRPr="00772184">
        <w:rPr>
          <w:rFonts w:ascii="Calibri" w:eastAsia="Calibri" w:hAnsi="Calibri" w:cs="Calibri"/>
          <w:color w:val="000000"/>
          <w:sz w:val="22"/>
          <w:szCs w:val="22"/>
        </w:rPr>
        <w:t>“</w:t>
      </w:r>
      <w:r w:rsidRPr="00894841">
        <w:rPr>
          <w:rFonts w:ascii="Calibri" w:eastAsia="Calibri" w:hAnsi="Calibri" w:cs="Calibri"/>
          <w:color w:val="000000"/>
          <w:sz w:val="22"/>
          <w:szCs w:val="22"/>
        </w:rPr>
        <w:t>traffic light system</w:t>
      </w:r>
      <w:r w:rsidRPr="00772184">
        <w:rPr>
          <w:rFonts w:ascii="Calibri" w:eastAsia="Calibri" w:hAnsi="Calibri" w:cs="Calibri"/>
          <w:color w:val="000000"/>
          <w:sz w:val="22"/>
          <w:szCs w:val="22"/>
        </w:rPr>
        <w:t>”</w:t>
      </w:r>
      <w:r>
        <w:rPr>
          <w:rFonts w:ascii="Calibri" w:eastAsia="Calibri" w:hAnsi="Calibri" w:cs="Calibri"/>
          <w:color w:val="000000"/>
          <w:sz w:val="22"/>
          <w:szCs w:val="22"/>
        </w:rPr>
        <w:t xml:space="preserve"> code was used to represent the level of progress achieved by the project. </w:t>
      </w:r>
    </w:p>
    <w:p w14:paraId="39546C20" w14:textId="77777777" w:rsidR="000F31AD" w:rsidRDefault="00A317E5">
      <w:pPr>
        <w:rPr>
          <w:rFonts w:ascii="Calibri" w:eastAsia="Calibri" w:hAnsi="Calibri" w:cs="Calibri"/>
          <w:b/>
          <w:sz w:val="22"/>
          <w:szCs w:val="22"/>
        </w:rPr>
      </w:pPr>
      <w:r>
        <w:rPr>
          <w:rFonts w:ascii="Calibri" w:eastAsia="Calibri" w:hAnsi="Calibri" w:cs="Calibri"/>
          <w:b/>
          <w:sz w:val="22"/>
          <w:szCs w:val="22"/>
        </w:rPr>
        <w:lastRenderedPageBreak/>
        <w:t xml:space="preserve">Table 5: Achievement of objectives and outcomes at Terminal Evaluation stage </w:t>
      </w:r>
    </w:p>
    <w:p w14:paraId="76C4DD7D" w14:textId="77777777" w:rsidR="000F31AD" w:rsidRDefault="000F31AD"/>
    <w:tbl>
      <w:tblPr>
        <w:tblStyle w:val="a5"/>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9"/>
        <w:gridCol w:w="4649"/>
        <w:gridCol w:w="4650"/>
      </w:tblGrid>
      <w:tr w:rsidR="000F31AD" w14:paraId="6F23F50D" w14:textId="77777777">
        <w:tc>
          <w:tcPr>
            <w:tcW w:w="4649" w:type="dxa"/>
            <w:shd w:val="clear" w:color="auto" w:fill="70AD47"/>
          </w:tcPr>
          <w:p w14:paraId="79720AC1"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Achieved at TE</w:t>
            </w:r>
          </w:p>
        </w:tc>
        <w:tc>
          <w:tcPr>
            <w:tcW w:w="4649" w:type="dxa"/>
            <w:shd w:val="clear" w:color="auto" w:fill="FFFF00"/>
          </w:tcPr>
          <w:p w14:paraId="2713822E"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On target to be achieved by end of project</w:t>
            </w:r>
          </w:p>
        </w:tc>
        <w:tc>
          <w:tcPr>
            <w:tcW w:w="4650" w:type="dxa"/>
            <w:shd w:val="clear" w:color="auto" w:fill="FF0000"/>
          </w:tcPr>
          <w:p w14:paraId="3275E020"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Not on target to be achieved by end of project</w:t>
            </w:r>
          </w:p>
        </w:tc>
      </w:tr>
    </w:tbl>
    <w:p w14:paraId="517CF439" w14:textId="77777777" w:rsidR="000F31AD" w:rsidRDefault="000F31AD">
      <w:pPr>
        <w:jc w:val="center"/>
        <w:rPr>
          <w:rFonts w:ascii="Calibri" w:eastAsia="Calibri" w:hAnsi="Calibri" w:cs="Calibri"/>
          <w:b/>
          <w:sz w:val="20"/>
          <w:szCs w:val="20"/>
        </w:rPr>
      </w:pPr>
    </w:p>
    <w:tbl>
      <w:tblPr>
        <w:tblStyle w:val="a6"/>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1"/>
        <w:gridCol w:w="2407"/>
        <w:gridCol w:w="2692"/>
        <w:gridCol w:w="1198"/>
        <w:gridCol w:w="3830"/>
      </w:tblGrid>
      <w:tr w:rsidR="000F31AD" w14:paraId="2B49C6B2" w14:textId="77777777" w:rsidTr="00894841">
        <w:trPr>
          <w:tblHeader/>
        </w:trPr>
        <w:tc>
          <w:tcPr>
            <w:tcW w:w="1980" w:type="dxa"/>
            <w:shd w:val="clear" w:color="auto" w:fill="F4B083"/>
          </w:tcPr>
          <w:p w14:paraId="41B21C54"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Objective/Outcome</w:t>
            </w:r>
          </w:p>
        </w:tc>
        <w:tc>
          <w:tcPr>
            <w:tcW w:w="1841" w:type="dxa"/>
            <w:shd w:val="clear" w:color="auto" w:fill="F4B083"/>
          </w:tcPr>
          <w:p w14:paraId="68F59263"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Indicator</w:t>
            </w:r>
          </w:p>
        </w:tc>
        <w:tc>
          <w:tcPr>
            <w:tcW w:w="2407" w:type="dxa"/>
            <w:shd w:val="clear" w:color="auto" w:fill="F4B083"/>
          </w:tcPr>
          <w:p w14:paraId="2FFDD1EF"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Baseline</w:t>
            </w:r>
          </w:p>
        </w:tc>
        <w:tc>
          <w:tcPr>
            <w:tcW w:w="2692" w:type="dxa"/>
            <w:shd w:val="clear" w:color="auto" w:fill="F4B083"/>
          </w:tcPr>
          <w:p w14:paraId="376B7BDE"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Targets End of Project</w:t>
            </w:r>
          </w:p>
        </w:tc>
        <w:tc>
          <w:tcPr>
            <w:tcW w:w="1198" w:type="dxa"/>
            <w:tcBorders>
              <w:bottom w:val="single" w:sz="4" w:space="0" w:color="000000"/>
            </w:tcBorders>
            <w:shd w:val="clear" w:color="auto" w:fill="F4B083"/>
          </w:tcPr>
          <w:p w14:paraId="317BB669"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TE Assessment</w:t>
            </w:r>
          </w:p>
        </w:tc>
        <w:tc>
          <w:tcPr>
            <w:tcW w:w="3830" w:type="dxa"/>
            <w:shd w:val="clear" w:color="auto" w:fill="F4B083"/>
          </w:tcPr>
          <w:p w14:paraId="7211ADE9" w14:textId="77777777" w:rsidR="000F31AD" w:rsidRDefault="00A317E5">
            <w:pPr>
              <w:jc w:val="center"/>
              <w:rPr>
                <w:rFonts w:ascii="Calibri" w:eastAsia="Calibri" w:hAnsi="Calibri" w:cs="Calibri"/>
                <w:b/>
                <w:sz w:val="20"/>
                <w:szCs w:val="20"/>
              </w:rPr>
            </w:pPr>
            <w:r>
              <w:rPr>
                <w:rFonts w:ascii="Calibri" w:eastAsia="Calibri" w:hAnsi="Calibri" w:cs="Calibri"/>
                <w:b/>
                <w:sz w:val="20"/>
                <w:szCs w:val="20"/>
              </w:rPr>
              <w:t>Justification</w:t>
            </w:r>
          </w:p>
        </w:tc>
      </w:tr>
      <w:tr w:rsidR="000F31AD" w14:paraId="52C0D8D3" w14:textId="77777777">
        <w:trPr>
          <w:trHeight w:val="3216"/>
        </w:trPr>
        <w:tc>
          <w:tcPr>
            <w:tcW w:w="1980" w:type="dxa"/>
            <w:tcBorders>
              <w:bottom w:val="single" w:sz="4" w:space="0" w:color="000000"/>
            </w:tcBorders>
          </w:tcPr>
          <w:p w14:paraId="485868AA" w14:textId="77777777" w:rsidR="000F31AD" w:rsidRDefault="00A317E5">
            <w:pPr>
              <w:rPr>
                <w:rFonts w:ascii="Calibri" w:eastAsia="Calibri" w:hAnsi="Calibri" w:cs="Calibri"/>
                <w:b/>
                <w:sz w:val="18"/>
                <w:szCs w:val="18"/>
              </w:rPr>
            </w:pPr>
            <w:r>
              <w:rPr>
                <w:rFonts w:ascii="Calibri" w:eastAsia="Calibri" w:hAnsi="Calibri" w:cs="Calibri"/>
                <w:b/>
                <w:sz w:val="18"/>
                <w:szCs w:val="18"/>
              </w:rPr>
              <w:t>Project Objective</w:t>
            </w:r>
          </w:p>
          <w:p w14:paraId="02B41EF9" w14:textId="77777777" w:rsidR="000F31AD" w:rsidRDefault="00A317E5">
            <w:pPr>
              <w:rPr>
                <w:rFonts w:ascii="Calibri" w:eastAsia="Calibri" w:hAnsi="Calibri" w:cs="Calibri"/>
                <w:sz w:val="18"/>
                <w:szCs w:val="18"/>
              </w:rPr>
            </w:pPr>
            <w:r>
              <w:rPr>
                <w:rFonts w:ascii="Calibri" w:eastAsia="Calibri" w:hAnsi="Calibri" w:cs="Calibri"/>
                <w:sz w:val="18"/>
                <w:szCs w:val="18"/>
              </w:rPr>
              <w:t>To foster the joint management of the shared water resources of the extended transboundary Drin River Basin, including coordination mechanisms among the various sub-basin commissions and committees (Lakes Prespa, Ohrid and Skadar)</w:t>
            </w:r>
          </w:p>
        </w:tc>
        <w:tc>
          <w:tcPr>
            <w:tcW w:w="1841" w:type="dxa"/>
            <w:tcBorders>
              <w:bottom w:val="single" w:sz="4" w:space="0" w:color="000000"/>
            </w:tcBorders>
          </w:tcPr>
          <w:p w14:paraId="5314E86F" w14:textId="77777777" w:rsidR="000F31AD" w:rsidRDefault="00A317E5">
            <w:pPr>
              <w:rPr>
                <w:rFonts w:ascii="Calibri" w:eastAsia="Calibri" w:hAnsi="Calibri" w:cs="Calibri"/>
                <w:sz w:val="18"/>
                <w:szCs w:val="18"/>
              </w:rPr>
            </w:pPr>
            <w:r>
              <w:rPr>
                <w:rFonts w:ascii="Calibri" w:eastAsia="Calibri" w:hAnsi="Calibri" w:cs="Calibri"/>
                <w:sz w:val="18"/>
                <w:szCs w:val="18"/>
              </w:rPr>
              <w:t>NA</w:t>
            </w:r>
          </w:p>
        </w:tc>
        <w:tc>
          <w:tcPr>
            <w:tcW w:w="2407" w:type="dxa"/>
            <w:tcBorders>
              <w:bottom w:val="single" w:sz="4" w:space="0" w:color="000000"/>
            </w:tcBorders>
          </w:tcPr>
          <w:p w14:paraId="6425CA15" w14:textId="1DA0FBC4"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There was agreement on a Shared Vision in 2011 M</w:t>
            </w:r>
            <w:r w:rsidR="00D906F6">
              <w:rPr>
                <w:rFonts w:ascii="Calibri" w:eastAsia="Calibri" w:hAnsi="Calibri" w:cs="Calibri"/>
                <w:color w:val="000000"/>
                <w:sz w:val="18"/>
                <w:szCs w:val="18"/>
              </w:rPr>
              <w:t>o</w:t>
            </w:r>
            <w:r>
              <w:rPr>
                <w:rFonts w:ascii="Calibri" w:eastAsia="Calibri" w:hAnsi="Calibri" w:cs="Calibri"/>
                <w:color w:val="000000"/>
                <w:sz w:val="18"/>
                <w:szCs w:val="18"/>
              </w:rPr>
              <w:t xml:space="preserve">U, however, there has been no concerted basin action to address numerous problems including flooding, nutrient loading, sedimentation, solid waste management, amongst others. </w:t>
            </w:r>
          </w:p>
        </w:tc>
        <w:tc>
          <w:tcPr>
            <w:tcW w:w="2692" w:type="dxa"/>
            <w:tcBorders>
              <w:bottom w:val="single" w:sz="4" w:space="0" w:color="000000"/>
            </w:tcBorders>
          </w:tcPr>
          <w:p w14:paraId="18C67DB8"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Described in outcome achievements</w:t>
            </w:r>
          </w:p>
        </w:tc>
        <w:tc>
          <w:tcPr>
            <w:tcW w:w="1198" w:type="dxa"/>
            <w:tcBorders>
              <w:bottom w:val="single" w:sz="4" w:space="0" w:color="000000"/>
            </w:tcBorders>
            <w:shd w:val="clear" w:color="auto" w:fill="00B050"/>
          </w:tcPr>
          <w:p w14:paraId="11D1B983" w14:textId="77777777" w:rsidR="000F31AD" w:rsidRDefault="000F31AD">
            <w:pPr>
              <w:rPr>
                <w:rFonts w:ascii="Calibri" w:eastAsia="Calibri" w:hAnsi="Calibri" w:cs="Calibri"/>
                <w:sz w:val="18"/>
                <w:szCs w:val="18"/>
              </w:rPr>
            </w:pPr>
          </w:p>
        </w:tc>
        <w:tc>
          <w:tcPr>
            <w:tcW w:w="3830" w:type="dxa"/>
            <w:tcBorders>
              <w:bottom w:val="single" w:sz="4" w:space="0" w:color="000000"/>
            </w:tcBorders>
          </w:tcPr>
          <w:p w14:paraId="35C69CE0" w14:textId="77777777" w:rsidR="000F31AD" w:rsidRDefault="00A317E5">
            <w:pPr>
              <w:rPr>
                <w:rFonts w:ascii="Calibri" w:eastAsia="Calibri" w:hAnsi="Calibri" w:cs="Calibri"/>
                <w:sz w:val="18"/>
                <w:szCs w:val="18"/>
              </w:rPr>
            </w:pPr>
            <w:r>
              <w:rPr>
                <w:rFonts w:ascii="Calibri" w:eastAsia="Calibri" w:hAnsi="Calibri" w:cs="Calibri"/>
                <w:sz w:val="18"/>
                <w:szCs w:val="18"/>
              </w:rPr>
              <w:t xml:space="preserve">The Objective of the project is achieved by advancing the joint management of the Drin Basin and greatly contributed to effective stakeholders’ engagement.   </w:t>
            </w:r>
          </w:p>
          <w:p w14:paraId="1F7CFF64" w14:textId="77777777" w:rsidR="000F31AD" w:rsidRDefault="00A317E5">
            <w:pPr>
              <w:rPr>
                <w:rFonts w:ascii="Calibri" w:eastAsia="Calibri" w:hAnsi="Calibri" w:cs="Calibri"/>
                <w:sz w:val="18"/>
                <w:szCs w:val="18"/>
              </w:rPr>
            </w:pPr>
            <w:r>
              <w:rPr>
                <w:rFonts w:ascii="Calibri" w:eastAsia="Calibri" w:hAnsi="Calibri" w:cs="Calibri"/>
                <w:sz w:val="18"/>
                <w:szCs w:val="18"/>
              </w:rPr>
              <w:t xml:space="preserve">   </w:t>
            </w:r>
          </w:p>
          <w:p w14:paraId="195E53C8" w14:textId="77777777" w:rsidR="000F31AD" w:rsidRDefault="00A317E5">
            <w:pPr>
              <w:rPr>
                <w:rFonts w:ascii="Calibri" w:eastAsia="Calibri" w:hAnsi="Calibri" w:cs="Calibri"/>
                <w:sz w:val="18"/>
                <w:szCs w:val="18"/>
              </w:rPr>
            </w:pPr>
            <w:r>
              <w:rPr>
                <w:rFonts w:ascii="Calibri" w:eastAsia="Calibri" w:hAnsi="Calibri" w:cs="Calibri"/>
                <w:sz w:val="18"/>
                <w:szCs w:val="18"/>
              </w:rPr>
              <w:t>A number of catalytic results provide additional evidence for the success of the project.</w:t>
            </w:r>
          </w:p>
        </w:tc>
      </w:tr>
      <w:tr w:rsidR="000F31AD" w14:paraId="185FDC43" w14:textId="77777777">
        <w:tc>
          <w:tcPr>
            <w:tcW w:w="13948" w:type="dxa"/>
            <w:gridSpan w:val="6"/>
            <w:shd w:val="clear" w:color="auto" w:fill="FBE5D5"/>
          </w:tcPr>
          <w:p w14:paraId="4B4B0732" w14:textId="77777777" w:rsidR="000F31AD" w:rsidRDefault="00A317E5">
            <w:pPr>
              <w:rPr>
                <w:rFonts w:ascii="Calibri" w:eastAsia="Calibri" w:hAnsi="Calibri" w:cs="Calibri"/>
                <w:b/>
                <w:sz w:val="20"/>
                <w:szCs w:val="20"/>
              </w:rPr>
            </w:pPr>
            <w:r>
              <w:rPr>
                <w:rFonts w:ascii="Calibri" w:eastAsia="Calibri" w:hAnsi="Calibri" w:cs="Calibri"/>
                <w:b/>
                <w:sz w:val="20"/>
                <w:szCs w:val="20"/>
              </w:rPr>
              <w:t>Component 1: Consensus among countries on key trans boundary concerns and drivers of change, including climate change and variability, reached through joint fact finding</w:t>
            </w:r>
          </w:p>
        </w:tc>
      </w:tr>
      <w:tr w:rsidR="000F31AD" w14:paraId="098EC8CB" w14:textId="77777777">
        <w:tc>
          <w:tcPr>
            <w:tcW w:w="1980" w:type="dxa"/>
            <w:vMerge w:val="restart"/>
          </w:tcPr>
          <w:p w14:paraId="3091BAAD" w14:textId="77777777" w:rsidR="000F31AD" w:rsidRDefault="00A317E5">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Outcome 1</w:t>
            </w:r>
          </w:p>
          <w:p w14:paraId="61B34B7F" w14:textId="77777777" w:rsidR="000F31AD" w:rsidRDefault="00A317E5">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Consensus among countries on key trans boundary concerns and drivers of change, including climate change and variability, reached through joint fact finding</w:t>
            </w:r>
          </w:p>
        </w:tc>
        <w:tc>
          <w:tcPr>
            <w:tcW w:w="1841" w:type="dxa"/>
            <w:tcBorders>
              <w:bottom w:val="single" w:sz="4" w:space="0" w:color="000000"/>
            </w:tcBorders>
          </w:tcPr>
          <w:p w14:paraId="3664405F"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 The Transboundary Diagnostic Analysis of the Extended Drin River Basin, consistent with the projects in accordance with the WFD in sub- basins, and identifying main issues of transboundary concern and drivers of change, is completed and approved by countries</w:t>
            </w:r>
          </w:p>
        </w:tc>
        <w:tc>
          <w:tcPr>
            <w:tcW w:w="2407" w:type="dxa"/>
            <w:tcBorders>
              <w:bottom w:val="single" w:sz="4" w:space="0" w:color="000000"/>
            </w:tcBorders>
          </w:tcPr>
          <w:p w14:paraId="3F06524E" w14:textId="77777777" w:rsidR="000F31AD" w:rsidRDefault="00A317E5">
            <w:pPr>
              <w:pBdr>
                <w:top w:val="nil"/>
                <w:left w:val="nil"/>
                <w:bottom w:val="nil"/>
                <w:right w:val="nil"/>
                <w:between w:val="nil"/>
              </w:pBdr>
              <w:shd w:val="clear" w:color="auto" w:fill="FFFFFF"/>
              <w:rPr>
                <w:rFonts w:ascii="Calibri" w:eastAsia="Calibri" w:hAnsi="Calibri" w:cs="Calibri"/>
                <w:color w:val="000000"/>
                <w:sz w:val="18"/>
                <w:szCs w:val="18"/>
              </w:rPr>
            </w:pPr>
            <w:r>
              <w:rPr>
                <w:rFonts w:ascii="Calibri" w:eastAsia="Calibri" w:hAnsi="Calibri" w:cs="Calibri"/>
                <w:color w:val="000000"/>
                <w:sz w:val="18"/>
                <w:szCs w:val="18"/>
              </w:rPr>
              <w:t xml:space="preserve">Project countries have pursued the management of the shared water resources of the Drin River Basin, both surface and groundwater, predominantly from a national perspective. Countries are at different levels with regard to the EU accession, and implementation of the WFD including the preparation of RBM plans; when RBM plans are being prepared, this is not done in coordination with neighbouring countries. </w:t>
            </w:r>
            <w:r>
              <w:rPr>
                <w:rFonts w:ascii="Calibri" w:eastAsia="Calibri" w:hAnsi="Calibri" w:cs="Calibri"/>
                <w:color w:val="000000"/>
                <w:sz w:val="18"/>
                <w:szCs w:val="18"/>
              </w:rPr>
              <w:lastRenderedPageBreak/>
              <w:t xml:space="preserve">Bilateral and multi-lateral agreements concerning lake sub- basins are in place (Ohrid, Prespa, Skadar), but coordination, recognition of transboundary issues at Drin basin level and overall IWRM approach are lacking. </w:t>
            </w:r>
          </w:p>
        </w:tc>
        <w:tc>
          <w:tcPr>
            <w:tcW w:w="2692" w:type="dxa"/>
            <w:tcBorders>
              <w:bottom w:val="single" w:sz="4" w:space="0" w:color="000000"/>
            </w:tcBorders>
          </w:tcPr>
          <w:p w14:paraId="70905359"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lastRenderedPageBreak/>
              <w:t xml:space="preserve">Approval of TDA by the Drin Core Group. </w:t>
            </w:r>
          </w:p>
          <w:p w14:paraId="6BDA7571" w14:textId="77777777" w:rsidR="000F31AD" w:rsidRDefault="000F31AD">
            <w:pPr>
              <w:pBdr>
                <w:top w:val="nil"/>
                <w:left w:val="nil"/>
                <w:bottom w:val="nil"/>
                <w:right w:val="nil"/>
                <w:between w:val="nil"/>
              </w:pBdr>
              <w:rPr>
                <w:rFonts w:ascii="Calibri" w:eastAsia="Calibri" w:hAnsi="Calibri" w:cs="Calibri"/>
                <w:color w:val="000000"/>
                <w:sz w:val="18"/>
                <w:szCs w:val="18"/>
              </w:rPr>
            </w:pPr>
          </w:p>
        </w:tc>
        <w:tc>
          <w:tcPr>
            <w:tcW w:w="1198" w:type="dxa"/>
            <w:tcBorders>
              <w:bottom w:val="single" w:sz="4" w:space="0" w:color="000000"/>
            </w:tcBorders>
            <w:shd w:val="clear" w:color="auto" w:fill="00B050"/>
          </w:tcPr>
          <w:p w14:paraId="36D8507C" w14:textId="77777777" w:rsidR="000F31AD" w:rsidRDefault="000F31AD">
            <w:pPr>
              <w:rPr>
                <w:rFonts w:ascii="Calibri" w:eastAsia="Calibri" w:hAnsi="Calibri" w:cs="Calibri"/>
                <w:sz w:val="18"/>
                <w:szCs w:val="18"/>
              </w:rPr>
            </w:pPr>
          </w:p>
        </w:tc>
        <w:tc>
          <w:tcPr>
            <w:tcW w:w="3830" w:type="dxa"/>
            <w:tcBorders>
              <w:bottom w:val="single" w:sz="4" w:space="0" w:color="000000"/>
            </w:tcBorders>
          </w:tcPr>
          <w:p w14:paraId="23947632" w14:textId="3144F46D" w:rsidR="000F31AD" w:rsidRDefault="00A317E5">
            <w:pPr>
              <w:rPr>
                <w:rFonts w:ascii="Calibri" w:eastAsia="Calibri" w:hAnsi="Calibri" w:cs="Calibri"/>
                <w:sz w:val="18"/>
                <w:szCs w:val="18"/>
              </w:rPr>
            </w:pPr>
            <w:r>
              <w:rPr>
                <w:rFonts w:ascii="Calibri" w:eastAsia="Calibri" w:hAnsi="Calibri" w:cs="Calibri"/>
                <w:sz w:val="18"/>
                <w:szCs w:val="18"/>
              </w:rPr>
              <w:t>The TDA is developed</w:t>
            </w:r>
            <w:r w:rsidR="00A722CA">
              <w:rPr>
                <w:rFonts w:ascii="Calibri" w:eastAsia="Calibri" w:hAnsi="Calibri" w:cs="Calibri"/>
                <w:sz w:val="18"/>
                <w:szCs w:val="18"/>
              </w:rPr>
              <w:t xml:space="preserve"> in accordance with the EU WFD</w:t>
            </w:r>
            <w:r w:rsidR="008C6AA2">
              <w:rPr>
                <w:rFonts w:ascii="Calibri" w:eastAsia="Calibri" w:hAnsi="Calibri" w:cs="Calibri"/>
                <w:sz w:val="18"/>
                <w:szCs w:val="18"/>
              </w:rPr>
              <w:t xml:space="preserve">, </w:t>
            </w:r>
            <w:r>
              <w:rPr>
                <w:rFonts w:ascii="Calibri" w:eastAsia="Calibri" w:hAnsi="Calibri" w:cs="Calibri"/>
                <w:sz w:val="18"/>
                <w:szCs w:val="18"/>
              </w:rPr>
              <w:t>approved by the DCG</w:t>
            </w:r>
            <w:r w:rsidR="008C6AA2">
              <w:rPr>
                <w:rFonts w:ascii="Calibri" w:eastAsia="Calibri" w:hAnsi="Calibri" w:cs="Calibri"/>
                <w:sz w:val="18"/>
                <w:szCs w:val="18"/>
              </w:rPr>
              <w:t>. A</w:t>
            </w:r>
            <w:r w:rsidR="005F72DC">
              <w:rPr>
                <w:rFonts w:ascii="Calibri" w:eastAsia="Calibri" w:hAnsi="Calibri" w:cs="Calibri"/>
                <w:sz w:val="18"/>
                <w:szCs w:val="18"/>
              </w:rPr>
              <w:t xml:space="preserve"> layout was prepared </w:t>
            </w:r>
            <w:r>
              <w:rPr>
                <w:rFonts w:ascii="Calibri" w:eastAsia="Calibri" w:hAnsi="Calibri" w:cs="Calibri"/>
                <w:sz w:val="18"/>
                <w:szCs w:val="18"/>
              </w:rPr>
              <w:t xml:space="preserve">and </w:t>
            </w:r>
            <w:r w:rsidR="005A5A79">
              <w:rPr>
                <w:rFonts w:ascii="Calibri" w:eastAsia="Calibri" w:hAnsi="Calibri" w:cs="Calibri"/>
                <w:sz w:val="18"/>
                <w:szCs w:val="18"/>
              </w:rPr>
              <w:t xml:space="preserve">the document </w:t>
            </w:r>
            <w:r w:rsidR="008C6AA2">
              <w:rPr>
                <w:rFonts w:ascii="Calibri" w:eastAsia="Calibri" w:hAnsi="Calibri" w:cs="Calibri"/>
                <w:sz w:val="18"/>
                <w:szCs w:val="18"/>
              </w:rPr>
              <w:t xml:space="preserve">was </w:t>
            </w:r>
            <w:r>
              <w:rPr>
                <w:rFonts w:ascii="Calibri" w:eastAsia="Calibri" w:hAnsi="Calibri" w:cs="Calibri"/>
                <w:sz w:val="18"/>
                <w:szCs w:val="18"/>
              </w:rPr>
              <w:t>printed. The summary TDA including the causal chain analysis is translated in the languages of the Drin riparian countries.  The analytical background is provided by six TDA Thematic Reports developed using extensive information and data-series, either collected by the national institutions or developed through the project</w:t>
            </w:r>
            <w:r w:rsidR="005A5A79">
              <w:rPr>
                <w:rFonts w:ascii="Calibri" w:eastAsia="Calibri" w:hAnsi="Calibri" w:cs="Calibri"/>
                <w:sz w:val="18"/>
                <w:szCs w:val="18"/>
              </w:rPr>
              <w:t xml:space="preserve"> via </w:t>
            </w:r>
            <w:r w:rsidR="00D32758">
              <w:rPr>
                <w:rFonts w:ascii="Calibri" w:eastAsia="Calibri" w:hAnsi="Calibri" w:cs="Calibri"/>
                <w:sz w:val="18"/>
                <w:szCs w:val="18"/>
              </w:rPr>
              <w:t>(</w:t>
            </w:r>
            <w:r w:rsidR="005A5A79">
              <w:rPr>
                <w:rFonts w:ascii="Calibri" w:eastAsia="Calibri" w:hAnsi="Calibri" w:cs="Calibri"/>
                <w:sz w:val="18"/>
                <w:szCs w:val="18"/>
              </w:rPr>
              <w:t>the first-ever</w:t>
            </w:r>
            <w:r w:rsidR="00D32758">
              <w:rPr>
                <w:rFonts w:ascii="Calibri" w:eastAsia="Calibri" w:hAnsi="Calibri" w:cs="Calibri"/>
                <w:sz w:val="18"/>
                <w:szCs w:val="18"/>
              </w:rPr>
              <w:t>)</w:t>
            </w:r>
            <w:r w:rsidR="005A5A79">
              <w:rPr>
                <w:rFonts w:ascii="Calibri" w:eastAsia="Calibri" w:hAnsi="Calibri" w:cs="Calibri"/>
                <w:sz w:val="18"/>
                <w:szCs w:val="18"/>
              </w:rPr>
              <w:t xml:space="preserve"> </w:t>
            </w:r>
            <w:r w:rsidR="00D32758">
              <w:rPr>
                <w:rFonts w:ascii="Calibri" w:eastAsia="Calibri" w:hAnsi="Calibri" w:cs="Calibri"/>
                <w:sz w:val="18"/>
                <w:szCs w:val="18"/>
              </w:rPr>
              <w:t xml:space="preserve">3 </w:t>
            </w:r>
            <w:r w:rsidR="005A5A79">
              <w:rPr>
                <w:rFonts w:ascii="Calibri" w:eastAsia="Calibri" w:hAnsi="Calibri" w:cs="Calibri"/>
                <w:sz w:val="18"/>
                <w:szCs w:val="18"/>
              </w:rPr>
              <w:t xml:space="preserve">monitoring </w:t>
            </w:r>
            <w:r w:rsidR="00D32758">
              <w:rPr>
                <w:rFonts w:ascii="Calibri" w:eastAsia="Calibri" w:hAnsi="Calibri" w:cs="Calibri"/>
                <w:sz w:val="18"/>
                <w:szCs w:val="18"/>
              </w:rPr>
              <w:t>expeditions</w:t>
            </w:r>
            <w:r w:rsidR="005A5A79">
              <w:rPr>
                <w:rFonts w:ascii="Calibri" w:eastAsia="Calibri" w:hAnsi="Calibri" w:cs="Calibri"/>
                <w:sz w:val="18"/>
                <w:szCs w:val="18"/>
              </w:rPr>
              <w:t xml:space="preserve"> at Drin Basin level </w:t>
            </w:r>
            <w:r w:rsidR="00D32758" w:rsidRPr="00D32758">
              <w:rPr>
                <w:rFonts w:ascii="Calibri" w:eastAsia="Calibri" w:hAnsi="Calibri" w:cs="Calibri"/>
                <w:sz w:val="18"/>
                <w:szCs w:val="18"/>
              </w:rPr>
              <w:t xml:space="preserve">and analysis of samples for the determination of the level of parameters listed in the WFD for the assessment of the environmental status of the </w:t>
            </w:r>
            <w:r w:rsidR="00D32758">
              <w:rPr>
                <w:rFonts w:ascii="Calibri" w:eastAsia="Calibri" w:hAnsi="Calibri" w:cs="Calibri"/>
                <w:sz w:val="18"/>
                <w:szCs w:val="18"/>
              </w:rPr>
              <w:t>basin</w:t>
            </w:r>
            <w:r>
              <w:rPr>
                <w:rFonts w:ascii="Calibri" w:eastAsia="Calibri" w:hAnsi="Calibri" w:cs="Calibri"/>
                <w:sz w:val="18"/>
                <w:szCs w:val="18"/>
              </w:rPr>
              <w:t xml:space="preserve">.  The TDA led to the identification of the transboundary issues and its causes and </w:t>
            </w:r>
            <w:r>
              <w:rPr>
                <w:rFonts w:ascii="Calibri" w:eastAsia="Calibri" w:hAnsi="Calibri" w:cs="Calibri"/>
                <w:sz w:val="18"/>
                <w:szCs w:val="18"/>
              </w:rPr>
              <w:lastRenderedPageBreak/>
              <w:t xml:space="preserve">provided the basis for the development of the Strategic Action Plan. Environmental Status Indicators and Stress Reduction Indicators were developed as part of the SAP implementation indicators (see Outcome 2). </w:t>
            </w:r>
          </w:p>
          <w:p w14:paraId="11872B24" w14:textId="77777777" w:rsidR="000F31AD" w:rsidRDefault="000F31AD">
            <w:pPr>
              <w:rPr>
                <w:rFonts w:ascii="Calibri" w:eastAsia="Calibri" w:hAnsi="Calibri" w:cs="Calibri"/>
                <w:sz w:val="18"/>
                <w:szCs w:val="18"/>
              </w:rPr>
            </w:pPr>
          </w:p>
        </w:tc>
      </w:tr>
      <w:tr w:rsidR="000F31AD" w14:paraId="40B509A9" w14:textId="77777777">
        <w:tc>
          <w:tcPr>
            <w:tcW w:w="1980" w:type="dxa"/>
            <w:vMerge/>
          </w:tcPr>
          <w:p w14:paraId="45B9B683" w14:textId="77777777" w:rsidR="000F31AD" w:rsidRDefault="000F31AD">
            <w:pPr>
              <w:widowControl w:val="0"/>
              <w:pBdr>
                <w:top w:val="nil"/>
                <w:left w:val="nil"/>
                <w:bottom w:val="nil"/>
                <w:right w:val="nil"/>
                <w:between w:val="nil"/>
              </w:pBdr>
              <w:spacing w:line="276" w:lineRule="auto"/>
              <w:rPr>
                <w:rFonts w:ascii="Calibri" w:eastAsia="Calibri" w:hAnsi="Calibri" w:cs="Calibri"/>
                <w:sz w:val="18"/>
                <w:szCs w:val="18"/>
              </w:rPr>
            </w:pPr>
          </w:p>
        </w:tc>
        <w:tc>
          <w:tcPr>
            <w:tcW w:w="1841" w:type="dxa"/>
            <w:tcBorders>
              <w:bottom w:val="single" w:sz="4" w:space="0" w:color="000000"/>
            </w:tcBorders>
          </w:tcPr>
          <w:p w14:paraId="009BA439"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2. Information management system containing data gathered through the TDA is established</w:t>
            </w:r>
          </w:p>
        </w:tc>
        <w:tc>
          <w:tcPr>
            <w:tcW w:w="2407" w:type="dxa"/>
            <w:tcBorders>
              <w:bottom w:val="single" w:sz="4" w:space="0" w:color="000000"/>
            </w:tcBorders>
          </w:tcPr>
          <w:p w14:paraId="6DF7D002" w14:textId="77777777" w:rsidR="000F31AD" w:rsidRDefault="00A317E5">
            <w:pPr>
              <w:pBdr>
                <w:top w:val="nil"/>
                <w:left w:val="nil"/>
                <w:bottom w:val="nil"/>
                <w:right w:val="nil"/>
                <w:between w:val="nil"/>
              </w:pBdr>
              <w:shd w:val="clear" w:color="auto" w:fill="FFFFFF"/>
              <w:rPr>
                <w:rFonts w:ascii="Calibri" w:eastAsia="Calibri" w:hAnsi="Calibri" w:cs="Calibri"/>
                <w:color w:val="000000"/>
                <w:sz w:val="18"/>
                <w:szCs w:val="18"/>
              </w:rPr>
            </w:pPr>
            <w:r>
              <w:rPr>
                <w:rFonts w:ascii="Calibri" w:eastAsia="Calibri" w:hAnsi="Calibri" w:cs="Calibri"/>
                <w:color w:val="000000"/>
                <w:sz w:val="18"/>
                <w:szCs w:val="18"/>
              </w:rPr>
              <w:t>Information and data related to the management of Drin Basin are dispersed among countries and institutions.</w:t>
            </w:r>
          </w:p>
          <w:p w14:paraId="56F3CA7F" w14:textId="77777777" w:rsidR="000F31AD" w:rsidRDefault="000F31AD">
            <w:pPr>
              <w:pBdr>
                <w:top w:val="nil"/>
                <w:left w:val="nil"/>
                <w:bottom w:val="nil"/>
                <w:right w:val="nil"/>
                <w:between w:val="nil"/>
              </w:pBdr>
              <w:shd w:val="clear" w:color="auto" w:fill="FFFFFF"/>
              <w:rPr>
                <w:rFonts w:ascii="Calibri" w:eastAsia="Calibri" w:hAnsi="Calibri" w:cs="Calibri"/>
                <w:color w:val="000000"/>
                <w:sz w:val="18"/>
                <w:szCs w:val="18"/>
              </w:rPr>
            </w:pPr>
          </w:p>
        </w:tc>
        <w:tc>
          <w:tcPr>
            <w:tcW w:w="2692" w:type="dxa"/>
            <w:tcBorders>
              <w:bottom w:val="single" w:sz="4" w:space="0" w:color="000000"/>
            </w:tcBorders>
          </w:tcPr>
          <w:p w14:paraId="61AC538F"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Establishment of an Information Management System (IMS) that will enable the DCG, and country users to collect, store, and share data and information in a consistent way </w:t>
            </w:r>
          </w:p>
        </w:tc>
        <w:tc>
          <w:tcPr>
            <w:tcW w:w="1198" w:type="dxa"/>
            <w:tcBorders>
              <w:bottom w:val="single" w:sz="4" w:space="0" w:color="000000"/>
            </w:tcBorders>
            <w:shd w:val="clear" w:color="auto" w:fill="00B050"/>
          </w:tcPr>
          <w:p w14:paraId="2B0E8498" w14:textId="77777777" w:rsidR="000F31AD" w:rsidRDefault="000F31AD">
            <w:pPr>
              <w:rPr>
                <w:rFonts w:ascii="Calibri" w:eastAsia="Calibri" w:hAnsi="Calibri" w:cs="Calibri"/>
                <w:sz w:val="18"/>
                <w:szCs w:val="18"/>
              </w:rPr>
            </w:pPr>
          </w:p>
        </w:tc>
        <w:tc>
          <w:tcPr>
            <w:tcW w:w="3830" w:type="dxa"/>
            <w:tcBorders>
              <w:bottom w:val="single" w:sz="4" w:space="0" w:color="000000"/>
            </w:tcBorders>
          </w:tcPr>
          <w:p w14:paraId="6701876B" w14:textId="77777777" w:rsidR="000F31AD" w:rsidRDefault="00A317E5">
            <w:pPr>
              <w:rPr>
                <w:rFonts w:ascii="Calibri" w:eastAsia="Calibri" w:hAnsi="Calibri" w:cs="Calibri"/>
                <w:sz w:val="18"/>
                <w:szCs w:val="18"/>
              </w:rPr>
            </w:pPr>
            <w:r>
              <w:rPr>
                <w:rFonts w:ascii="Calibri" w:eastAsia="Calibri" w:hAnsi="Calibri" w:cs="Calibri"/>
                <w:sz w:val="18"/>
                <w:szCs w:val="18"/>
              </w:rPr>
              <w:t>The IMS is developed and contains all information and data collected for the preparation of the TDA and its thematic reports. Its architecture and structure enable the DCG, and users from the institutions to collect, store, and share data and information in a consistent way.</w:t>
            </w:r>
          </w:p>
        </w:tc>
      </w:tr>
      <w:tr w:rsidR="000F31AD" w14:paraId="4CC4D7FD" w14:textId="77777777">
        <w:tc>
          <w:tcPr>
            <w:tcW w:w="13948" w:type="dxa"/>
            <w:gridSpan w:val="6"/>
            <w:shd w:val="clear" w:color="auto" w:fill="FBE5D5"/>
          </w:tcPr>
          <w:p w14:paraId="7C40608C" w14:textId="77777777" w:rsidR="000F31AD" w:rsidRDefault="00A317E5">
            <w:pPr>
              <w:rPr>
                <w:rFonts w:ascii="Calibri" w:eastAsia="Calibri" w:hAnsi="Calibri" w:cs="Calibri"/>
                <w:b/>
                <w:sz w:val="20"/>
                <w:szCs w:val="20"/>
              </w:rPr>
            </w:pPr>
            <w:r>
              <w:rPr>
                <w:rFonts w:ascii="Calibri" w:eastAsia="Calibri" w:hAnsi="Calibri" w:cs="Calibri"/>
                <w:b/>
                <w:sz w:val="20"/>
                <w:szCs w:val="20"/>
              </w:rPr>
              <w:t>Component 2: Building the foundation for multi-country cooperation</w:t>
            </w:r>
            <w:r>
              <w:rPr>
                <w:rFonts w:ascii="Calibri" w:eastAsia="Calibri" w:hAnsi="Calibri" w:cs="Calibri"/>
                <w:sz w:val="22"/>
                <w:szCs w:val="22"/>
              </w:rPr>
              <w:t xml:space="preserve"> </w:t>
            </w:r>
          </w:p>
        </w:tc>
      </w:tr>
      <w:tr w:rsidR="000F31AD" w14:paraId="2B85E4B5" w14:textId="77777777">
        <w:tc>
          <w:tcPr>
            <w:tcW w:w="1980" w:type="dxa"/>
            <w:vMerge w:val="restart"/>
          </w:tcPr>
          <w:p w14:paraId="369EEBF0" w14:textId="77777777" w:rsidR="000F31AD" w:rsidRDefault="00A317E5">
            <w:pPr>
              <w:rPr>
                <w:rFonts w:ascii="Calibri" w:eastAsia="Calibri" w:hAnsi="Calibri" w:cs="Calibri"/>
                <w:sz w:val="18"/>
                <w:szCs w:val="18"/>
              </w:rPr>
            </w:pPr>
            <w:r>
              <w:rPr>
                <w:rFonts w:ascii="Calibri" w:eastAsia="Calibri" w:hAnsi="Calibri" w:cs="Calibri"/>
                <w:b/>
                <w:sz w:val="18"/>
                <w:szCs w:val="18"/>
              </w:rPr>
              <w:t>Outcome 2</w:t>
            </w:r>
          </w:p>
          <w:p w14:paraId="09CE26AA" w14:textId="77777777" w:rsidR="000F31AD" w:rsidRDefault="00A317E5">
            <w:pPr>
              <w:rPr>
                <w:rFonts w:ascii="Calibri" w:eastAsia="Calibri" w:hAnsi="Calibri" w:cs="Calibri"/>
                <w:b/>
                <w:sz w:val="18"/>
                <w:szCs w:val="18"/>
              </w:rPr>
            </w:pPr>
            <w:r>
              <w:rPr>
                <w:rFonts w:ascii="Calibri" w:eastAsia="Calibri" w:hAnsi="Calibri" w:cs="Calibri"/>
                <w:sz w:val="18"/>
                <w:szCs w:val="18"/>
              </w:rPr>
              <w:t>Visioning process opens the way for systematic cooperation in the management of the transboundary Drin River Basin</w:t>
            </w:r>
          </w:p>
        </w:tc>
        <w:tc>
          <w:tcPr>
            <w:tcW w:w="1841" w:type="dxa"/>
          </w:tcPr>
          <w:p w14:paraId="44ADFE61"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 The Shared Vision contained in the 2011 Drin MoU is confirmed to be consistent with the findings of the TDA</w:t>
            </w:r>
            <w:r>
              <w:rPr>
                <w:rFonts w:ascii="BookAntiqua" w:eastAsia="BookAntiqua" w:hAnsi="BookAntiqua" w:cs="BookAntiqua"/>
                <w:i/>
                <w:color w:val="000000"/>
                <w:sz w:val="18"/>
                <w:szCs w:val="18"/>
              </w:rPr>
              <w:t xml:space="preserve"> </w:t>
            </w:r>
          </w:p>
          <w:p w14:paraId="6204B909" w14:textId="77777777" w:rsidR="000F31AD" w:rsidRDefault="000F31AD">
            <w:pPr>
              <w:pBdr>
                <w:top w:val="nil"/>
                <w:left w:val="nil"/>
                <w:bottom w:val="nil"/>
                <w:right w:val="nil"/>
                <w:between w:val="nil"/>
              </w:pBdr>
              <w:rPr>
                <w:rFonts w:ascii="Calibri" w:eastAsia="Calibri" w:hAnsi="Calibri" w:cs="Calibri"/>
                <w:color w:val="000000"/>
                <w:sz w:val="18"/>
                <w:szCs w:val="18"/>
              </w:rPr>
            </w:pPr>
          </w:p>
        </w:tc>
        <w:tc>
          <w:tcPr>
            <w:tcW w:w="2407" w:type="dxa"/>
          </w:tcPr>
          <w:p w14:paraId="6A3B7A64" w14:textId="77777777" w:rsidR="000F31AD" w:rsidRDefault="00A317E5">
            <w:pPr>
              <w:rPr>
                <w:rFonts w:ascii="Calibri" w:eastAsia="Calibri" w:hAnsi="Calibri" w:cs="Calibri"/>
                <w:sz w:val="18"/>
                <w:szCs w:val="18"/>
              </w:rPr>
            </w:pPr>
            <w:r>
              <w:rPr>
                <w:rFonts w:ascii="Calibri" w:eastAsia="Calibri" w:hAnsi="Calibri" w:cs="Calibri"/>
                <w:sz w:val="18"/>
                <w:szCs w:val="18"/>
              </w:rPr>
              <w:t>Countries adopting fragmented approach to water resources utilization and environmental protection with little consideration of transboundary implications and freshwater ecosystems sustainability.</w:t>
            </w:r>
          </w:p>
          <w:p w14:paraId="06D32C4B" w14:textId="3D61B877" w:rsidR="000F31AD" w:rsidRDefault="00A317E5">
            <w:pPr>
              <w:rPr>
                <w:rFonts w:ascii="Calibri" w:eastAsia="Calibri" w:hAnsi="Calibri" w:cs="Calibri"/>
                <w:sz w:val="18"/>
                <w:szCs w:val="18"/>
              </w:rPr>
            </w:pPr>
            <w:r>
              <w:rPr>
                <w:rFonts w:ascii="Calibri" w:eastAsia="Calibri" w:hAnsi="Calibri" w:cs="Calibri"/>
                <w:sz w:val="18"/>
                <w:szCs w:val="18"/>
              </w:rPr>
              <w:t>A Shared Vision for the management of the Drin Basin has been developed through a multi-stakeholder process and adopted by the Drin riparian countries as part of the Drin MoU.</w:t>
            </w:r>
          </w:p>
          <w:p w14:paraId="6E56E42D" w14:textId="77777777" w:rsidR="000F31AD" w:rsidRDefault="000F31AD">
            <w:pPr>
              <w:rPr>
                <w:rFonts w:ascii="Calibri" w:eastAsia="Calibri" w:hAnsi="Calibri" w:cs="Calibri"/>
                <w:sz w:val="18"/>
                <w:szCs w:val="18"/>
              </w:rPr>
            </w:pPr>
          </w:p>
        </w:tc>
        <w:tc>
          <w:tcPr>
            <w:tcW w:w="2692" w:type="dxa"/>
          </w:tcPr>
          <w:p w14:paraId="167C95A0" w14:textId="77777777" w:rsidR="000F31AD" w:rsidRDefault="00A317E5">
            <w:pPr>
              <w:rPr>
                <w:rFonts w:ascii="Calibri" w:eastAsia="Calibri" w:hAnsi="Calibri" w:cs="Calibri"/>
                <w:sz w:val="18"/>
                <w:szCs w:val="18"/>
              </w:rPr>
            </w:pPr>
            <w:r>
              <w:rPr>
                <w:rFonts w:ascii="Calibri" w:eastAsia="Calibri" w:hAnsi="Calibri" w:cs="Calibri"/>
                <w:sz w:val="18"/>
                <w:szCs w:val="18"/>
              </w:rPr>
              <w:t>Expert opinion that the Shared Vision is consistent with the findings of the TDA.</w:t>
            </w:r>
          </w:p>
          <w:p w14:paraId="4484D798" w14:textId="77777777" w:rsidR="000F31AD" w:rsidRDefault="000F31AD">
            <w:pPr>
              <w:rPr>
                <w:rFonts w:ascii="Calibri" w:eastAsia="Calibri" w:hAnsi="Calibri" w:cs="Calibri"/>
                <w:sz w:val="18"/>
                <w:szCs w:val="18"/>
              </w:rPr>
            </w:pPr>
          </w:p>
        </w:tc>
        <w:tc>
          <w:tcPr>
            <w:tcW w:w="1198" w:type="dxa"/>
            <w:tcBorders>
              <w:bottom w:val="single" w:sz="4" w:space="0" w:color="000000"/>
            </w:tcBorders>
            <w:shd w:val="clear" w:color="auto" w:fill="00B050"/>
          </w:tcPr>
          <w:p w14:paraId="374FAC19" w14:textId="77777777" w:rsidR="000F31AD" w:rsidRDefault="000F31AD">
            <w:pPr>
              <w:rPr>
                <w:rFonts w:ascii="Calibri" w:eastAsia="Calibri" w:hAnsi="Calibri" w:cs="Calibri"/>
                <w:sz w:val="18"/>
                <w:szCs w:val="18"/>
              </w:rPr>
            </w:pPr>
          </w:p>
        </w:tc>
        <w:tc>
          <w:tcPr>
            <w:tcW w:w="3830" w:type="dxa"/>
          </w:tcPr>
          <w:p w14:paraId="068A18AC" w14:textId="77777777" w:rsidR="000F31AD" w:rsidRDefault="00A317E5">
            <w:pPr>
              <w:rPr>
                <w:rFonts w:ascii="Calibri" w:eastAsia="Calibri" w:hAnsi="Calibri" w:cs="Calibri"/>
                <w:sz w:val="18"/>
                <w:szCs w:val="18"/>
              </w:rPr>
            </w:pPr>
            <w:r>
              <w:rPr>
                <w:rFonts w:ascii="Calibri" w:eastAsia="Calibri" w:hAnsi="Calibri" w:cs="Calibri"/>
                <w:sz w:val="18"/>
                <w:szCs w:val="18"/>
              </w:rPr>
              <w:t xml:space="preserve">There has been an expert opinion that the Shared Vision is consistent with the findings of the TDA. As a result, the Shared Vision contained in the 2011 Drin MoU became part of the Drin SAP endorsed by the DCG and the countries at Ministerial level. </w:t>
            </w:r>
          </w:p>
          <w:p w14:paraId="7AE12CF0" w14:textId="77777777" w:rsidR="000F31AD" w:rsidRDefault="00A317E5">
            <w:pPr>
              <w:rPr>
                <w:rFonts w:ascii="Calibri" w:eastAsia="Calibri" w:hAnsi="Calibri" w:cs="Calibri"/>
                <w:sz w:val="18"/>
                <w:szCs w:val="18"/>
              </w:rPr>
            </w:pPr>
            <w:r>
              <w:rPr>
                <w:rFonts w:ascii="Calibri" w:eastAsia="Calibri" w:hAnsi="Calibri" w:cs="Calibri"/>
                <w:sz w:val="18"/>
                <w:szCs w:val="18"/>
              </w:rPr>
              <w:t>Following a decision of the 17th DCG meeting (Pristina, 30-31 May 2019), after a recommendation made by the PCU, technical assistance is enabled for the development of the following: (i) study on options and a feasibility study for the enhancement of the legal and institutional arrangements for the management of the basin at a transboundary level; (ii) a legal text to be negotiated by the Riparians to form an international agreement for the management of the basin. Both outputs have been produced.</w:t>
            </w:r>
          </w:p>
        </w:tc>
      </w:tr>
      <w:tr w:rsidR="000F31AD" w14:paraId="1210D8CF" w14:textId="77777777">
        <w:tc>
          <w:tcPr>
            <w:tcW w:w="1980" w:type="dxa"/>
            <w:vMerge/>
          </w:tcPr>
          <w:p w14:paraId="4AA3AE6C" w14:textId="77777777" w:rsidR="000F31AD" w:rsidRDefault="000F31AD">
            <w:pPr>
              <w:widowControl w:val="0"/>
              <w:pBdr>
                <w:top w:val="nil"/>
                <w:left w:val="nil"/>
                <w:bottom w:val="nil"/>
                <w:right w:val="nil"/>
                <w:between w:val="nil"/>
              </w:pBdr>
              <w:spacing w:line="276" w:lineRule="auto"/>
              <w:rPr>
                <w:rFonts w:ascii="Calibri" w:eastAsia="Calibri" w:hAnsi="Calibri" w:cs="Calibri"/>
                <w:sz w:val="18"/>
                <w:szCs w:val="18"/>
              </w:rPr>
            </w:pPr>
          </w:p>
        </w:tc>
        <w:tc>
          <w:tcPr>
            <w:tcW w:w="1841" w:type="dxa"/>
          </w:tcPr>
          <w:p w14:paraId="046747B2" w14:textId="68EE6FEA"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2.</w:t>
            </w:r>
            <w:r>
              <w:rPr>
                <w:color w:val="000000"/>
                <w:sz w:val="18"/>
                <w:szCs w:val="18"/>
              </w:rPr>
              <w:t xml:space="preserve"> </w:t>
            </w:r>
            <w:r>
              <w:rPr>
                <w:rFonts w:ascii="Calibri" w:eastAsia="Calibri" w:hAnsi="Calibri" w:cs="Calibri"/>
                <w:color w:val="000000"/>
                <w:sz w:val="18"/>
                <w:szCs w:val="18"/>
              </w:rPr>
              <w:t>A Strategic Action Program (SAP with 5</w:t>
            </w:r>
            <w:r w:rsidR="00AD47F7">
              <w:rPr>
                <w:rFonts w:ascii="Calibri" w:eastAsia="Calibri" w:hAnsi="Calibri" w:cs="Calibri"/>
                <w:color w:val="000000"/>
                <w:sz w:val="18"/>
                <w:szCs w:val="18"/>
              </w:rPr>
              <w:t>-</w:t>
            </w:r>
            <w:r>
              <w:rPr>
                <w:rFonts w:ascii="Calibri" w:eastAsia="Calibri" w:hAnsi="Calibri" w:cs="Calibri"/>
                <w:color w:val="000000"/>
                <w:sz w:val="18"/>
                <w:szCs w:val="18"/>
              </w:rPr>
              <w:t xml:space="preserve">year time horizon) consistent with the 2011 Shared Vision </w:t>
            </w:r>
            <w:r>
              <w:rPr>
                <w:rFonts w:ascii="Calibri" w:eastAsia="Calibri" w:hAnsi="Calibri" w:cs="Calibri"/>
                <w:color w:val="000000"/>
                <w:sz w:val="18"/>
                <w:szCs w:val="18"/>
              </w:rPr>
              <w:lastRenderedPageBreak/>
              <w:t xml:space="preserve">and the Drin MoU, is approved by the DCG. It should address main issues of transboundary concern and contain concrete actions at the national and regional levels, as well as environmental quality objectives (horizon of 20 years), relevant indicators, and strategic development lines and priorities. </w:t>
            </w:r>
          </w:p>
        </w:tc>
        <w:tc>
          <w:tcPr>
            <w:tcW w:w="2407" w:type="dxa"/>
          </w:tcPr>
          <w:p w14:paraId="09361EB5" w14:textId="584513CA" w:rsidR="000F31AD" w:rsidRDefault="00A317E5">
            <w:pPr>
              <w:rPr>
                <w:rFonts w:ascii="Calibri" w:eastAsia="Calibri" w:hAnsi="Calibri" w:cs="Calibri"/>
                <w:sz w:val="18"/>
                <w:szCs w:val="18"/>
              </w:rPr>
            </w:pPr>
            <w:r>
              <w:rPr>
                <w:rFonts w:ascii="Calibri" w:eastAsia="Calibri" w:hAnsi="Calibri" w:cs="Calibri"/>
                <w:sz w:val="18"/>
                <w:szCs w:val="18"/>
              </w:rPr>
              <w:lastRenderedPageBreak/>
              <w:t>Lack of an overarching basin- wide scienc</w:t>
            </w:r>
            <w:r w:rsidR="008C6AA2">
              <w:rPr>
                <w:rFonts w:ascii="Calibri" w:eastAsia="Calibri" w:hAnsi="Calibri" w:cs="Calibri"/>
                <w:sz w:val="18"/>
                <w:szCs w:val="18"/>
              </w:rPr>
              <w:t>e</w:t>
            </w:r>
            <w:r w:rsidR="00AD47F7">
              <w:rPr>
                <w:rFonts w:ascii="Calibri" w:eastAsia="Calibri" w:hAnsi="Calibri" w:cs="Calibri"/>
                <w:sz w:val="18"/>
                <w:szCs w:val="18"/>
              </w:rPr>
              <w:t>-</w:t>
            </w:r>
            <w:r>
              <w:rPr>
                <w:rFonts w:ascii="Calibri" w:eastAsia="Calibri" w:hAnsi="Calibri" w:cs="Calibri"/>
                <w:sz w:val="18"/>
                <w:szCs w:val="18"/>
              </w:rPr>
              <w:t>based framework for the implementation of the medium</w:t>
            </w:r>
            <w:r w:rsidR="00AD47F7">
              <w:rPr>
                <w:rFonts w:ascii="Calibri" w:eastAsia="Calibri" w:hAnsi="Calibri" w:cs="Calibri"/>
                <w:sz w:val="18"/>
                <w:szCs w:val="18"/>
              </w:rPr>
              <w:t>-</w:t>
            </w:r>
            <w:r>
              <w:rPr>
                <w:rFonts w:ascii="Calibri" w:eastAsia="Calibri" w:hAnsi="Calibri" w:cs="Calibri"/>
                <w:sz w:val="18"/>
                <w:szCs w:val="18"/>
              </w:rPr>
              <w:t xml:space="preserve"> and long</w:t>
            </w:r>
            <w:r w:rsidR="00AD47F7">
              <w:rPr>
                <w:rFonts w:ascii="Calibri" w:eastAsia="Calibri" w:hAnsi="Calibri" w:cs="Calibri"/>
                <w:sz w:val="18"/>
                <w:szCs w:val="18"/>
              </w:rPr>
              <w:t>-</w:t>
            </w:r>
            <w:r>
              <w:rPr>
                <w:rFonts w:ascii="Calibri" w:eastAsia="Calibri" w:hAnsi="Calibri" w:cs="Calibri"/>
                <w:sz w:val="18"/>
                <w:szCs w:val="18"/>
              </w:rPr>
              <w:t xml:space="preserve">term </w:t>
            </w:r>
            <w:r>
              <w:rPr>
                <w:rFonts w:ascii="Calibri" w:eastAsia="Calibri" w:hAnsi="Calibri" w:cs="Calibri"/>
                <w:sz w:val="18"/>
                <w:szCs w:val="18"/>
              </w:rPr>
              <w:lastRenderedPageBreak/>
              <w:t xml:space="preserve">priority actions in view of achieving the overall aims and objectives of the Drin MoU, and of the updated Vision hinders the formulation of coherent policies, legislative reforms and identification of investments targeted to the sustainable utilization of the Basin’s water resources and dependent ecosystems, and their integrated management. </w:t>
            </w:r>
          </w:p>
          <w:p w14:paraId="7C44AB37" w14:textId="77777777" w:rsidR="000F31AD" w:rsidRDefault="000F31AD">
            <w:pPr>
              <w:rPr>
                <w:rFonts w:ascii="Calibri" w:eastAsia="Calibri" w:hAnsi="Calibri" w:cs="Calibri"/>
                <w:sz w:val="18"/>
                <w:szCs w:val="18"/>
              </w:rPr>
            </w:pPr>
          </w:p>
        </w:tc>
        <w:tc>
          <w:tcPr>
            <w:tcW w:w="2692" w:type="dxa"/>
          </w:tcPr>
          <w:p w14:paraId="71695649" w14:textId="77777777" w:rsidR="000F31AD" w:rsidRDefault="00A317E5">
            <w:pPr>
              <w:rPr>
                <w:rFonts w:ascii="Calibri" w:eastAsia="Calibri" w:hAnsi="Calibri" w:cs="Calibri"/>
                <w:sz w:val="18"/>
                <w:szCs w:val="18"/>
              </w:rPr>
            </w:pPr>
            <w:r>
              <w:rPr>
                <w:rFonts w:ascii="Calibri" w:eastAsia="Calibri" w:hAnsi="Calibri" w:cs="Calibri"/>
                <w:sz w:val="18"/>
                <w:szCs w:val="18"/>
              </w:rPr>
              <w:lastRenderedPageBreak/>
              <w:t>SAP formulated and endorsed by the Drin Core Group and adopted by the Meeting of the Parties to the Drin MoU (Ministerial Meeting – see Outcome 4.3).</w:t>
            </w:r>
          </w:p>
          <w:p w14:paraId="712031B7" w14:textId="77777777" w:rsidR="000F31AD" w:rsidRDefault="000F31AD">
            <w:pPr>
              <w:rPr>
                <w:rFonts w:ascii="Calibri" w:eastAsia="Calibri" w:hAnsi="Calibri" w:cs="Calibri"/>
                <w:sz w:val="18"/>
                <w:szCs w:val="18"/>
              </w:rPr>
            </w:pPr>
          </w:p>
        </w:tc>
        <w:tc>
          <w:tcPr>
            <w:tcW w:w="1198" w:type="dxa"/>
            <w:tcBorders>
              <w:bottom w:val="single" w:sz="4" w:space="0" w:color="000000"/>
            </w:tcBorders>
            <w:shd w:val="clear" w:color="auto" w:fill="00B050"/>
          </w:tcPr>
          <w:p w14:paraId="7B203BC7" w14:textId="77777777" w:rsidR="000F31AD" w:rsidRDefault="000F31AD">
            <w:pPr>
              <w:rPr>
                <w:rFonts w:ascii="Calibri" w:eastAsia="Calibri" w:hAnsi="Calibri" w:cs="Calibri"/>
                <w:sz w:val="18"/>
                <w:szCs w:val="18"/>
              </w:rPr>
            </w:pPr>
          </w:p>
        </w:tc>
        <w:tc>
          <w:tcPr>
            <w:tcW w:w="3830" w:type="dxa"/>
          </w:tcPr>
          <w:p w14:paraId="1EA23CB4" w14:textId="6D15204B" w:rsidR="000F31AD" w:rsidRDefault="00A317E5">
            <w:pPr>
              <w:rPr>
                <w:rFonts w:ascii="Calibri" w:eastAsia="Calibri" w:hAnsi="Calibri" w:cs="Calibri"/>
                <w:sz w:val="18"/>
                <w:szCs w:val="18"/>
              </w:rPr>
            </w:pPr>
            <w:r>
              <w:rPr>
                <w:rFonts w:ascii="Calibri" w:eastAsia="Calibri" w:hAnsi="Calibri" w:cs="Calibri"/>
                <w:sz w:val="18"/>
                <w:szCs w:val="18"/>
              </w:rPr>
              <w:t xml:space="preserve">The SAP was endorsed by the DCG on 18/11/2019 through its 4th and 5th ad-hoc web-based meetings.  </w:t>
            </w:r>
            <w:r w:rsidR="005F72DC">
              <w:rPr>
                <w:rFonts w:ascii="Calibri" w:eastAsia="Calibri" w:hAnsi="Calibri" w:cs="Calibri"/>
                <w:sz w:val="18"/>
                <w:szCs w:val="18"/>
              </w:rPr>
              <w:t xml:space="preserve">A layout was </w:t>
            </w:r>
            <w:r w:rsidR="00873411">
              <w:rPr>
                <w:rFonts w:ascii="Calibri" w:eastAsia="Calibri" w:hAnsi="Calibri" w:cs="Calibri"/>
                <w:sz w:val="18"/>
                <w:szCs w:val="18"/>
              </w:rPr>
              <w:t>prepared,</w:t>
            </w:r>
            <w:r w:rsidR="005F72DC">
              <w:rPr>
                <w:rFonts w:ascii="Calibri" w:eastAsia="Calibri" w:hAnsi="Calibri" w:cs="Calibri"/>
                <w:sz w:val="18"/>
                <w:szCs w:val="18"/>
              </w:rPr>
              <w:t xml:space="preserve"> and the document </w:t>
            </w:r>
            <w:r w:rsidR="008C6AA2">
              <w:rPr>
                <w:rFonts w:ascii="Calibri" w:eastAsia="Calibri" w:hAnsi="Calibri" w:cs="Calibri"/>
                <w:sz w:val="18"/>
                <w:szCs w:val="18"/>
              </w:rPr>
              <w:t>was</w:t>
            </w:r>
            <w:r w:rsidR="005F72DC">
              <w:rPr>
                <w:rFonts w:ascii="Calibri" w:eastAsia="Calibri" w:hAnsi="Calibri" w:cs="Calibri"/>
                <w:sz w:val="18"/>
                <w:szCs w:val="18"/>
              </w:rPr>
              <w:t xml:space="preserve"> printed.</w:t>
            </w:r>
          </w:p>
          <w:p w14:paraId="50FF7F29" w14:textId="77777777" w:rsidR="000F31AD" w:rsidRDefault="00A317E5">
            <w:pPr>
              <w:rPr>
                <w:rFonts w:ascii="Calibri" w:eastAsia="Calibri" w:hAnsi="Calibri" w:cs="Calibri"/>
                <w:sz w:val="18"/>
                <w:szCs w:val="18"/>
              </w:rPr>
            </w:pPr>
            <w:r>
              <w:rPr>
                <w:rFonts w:ascii="Calibri" w:eastAsia="Calibri" w:hAnsi="Calibri" w:cs="Calibri"/>
                <w:sz w:val="18"/>
                <w:szCs w:val="18"/>
              </w:rPr>
              <w:lastRenderedPageBreak/>
              <w:t xml:space="preserve">The SAP endorsement was signed by Ministers and High-level representatives during a web-based ceremony on 24/4/2020. The ceremony was addressed by UNDP CO RRs, the GEF IW focal area Coordinator and the UNECE Director of Environment division. </w:t>
            </w:r>
          </w:p>
          <w:p w14:paraId="74BE2374" w14:textId="5E84DD5F" w:rsidR="000F31AD" w:rsidRDefault="00A317E5">
            <w:pPr>
              <w:rPr>
                <w:rFonts w:ascii="Calibri" w:eastAsia="Calibri" w:hAnsi="Calibri" w:cs="Calibri"/>
                <w:sz w:val="18"/>
                <w:szCs w:val="18"/>
              </w:rPr>
            </w:pPr>
            <w:r>
              <w:rPr>
                <w:rFonts w:ascii="Calibri" w:eastAsia="Calibri" w:hAnsi="Calibri" w:cs="Calibri"/>
                <w:sz w:val="18"/>
                <w:szCs w:val="18"/>
              </w:rPr>
              <w:t>SAP implementation indicators</w:t>
            </w:r>
            <w:r w:rsidR="008C6AA2">
              <w:rPr>
                <w:rFonts w:ascii="Calibri" w:eastAsia="Calibri" w:hAnsi="Calibri" w:cs="Calibri"/>
                <w:sz w:val="18"/>
                <w:szCs w:val="18"/>
              </w:rPr>
              <w:t>,</w:t>
            </w:r>
            <w:r w:rsidR="00263D43">
              <w:rPr>
                <w:rFonts w:ascii="Calibri" w:eastAsia="Calibri" w:hAnsi="Calibri" w:cs="Calibri"/>
                <w:sz w:val="18"/>
                <w:szCs w:val="18"/>
              </w:rPr>
              <w:t xml:space="preserve"> including</w:t>
            </w:r>
            <w:r w:rsidR="00263D43" w:rsidRPr="00263D43">
              <w:rPr>
                <w:rFonts w:asciiTheme="majorHAnsi" w:eastAsia="MS Mincho" w:hAnsiTheme="majorHAnsi" w:cstheme="majorHAnsi"/>
                <w:sz w:val="20"/>
                <w:szCs w:val="20"/>
                <w:lang w:val="en-US" w:eastAsia="ja-JP"/>
              </w:rPr>
              <w:t xml:space="preserve"> </w:t>
            </w:r>
            <w:r w:rsidR="00263D43" w:rsidRPr="00263D43">
              <w:rPr>
                <w:rFonts w:ascii="Calibri" w:eastAsia="Calibri" w:hAnsi="Calibri" w:cs="Calibri"/>
                <w:sz w:val="18"/>
                <w:szCs w:val="18"/>
                <w:lang w:val="en-US"/>
              </w:rPr>
              <w:t>Environmental Status Indicators</w:t>
            </w:r>
            <w:r w:rsidR="00263D43">
              <w:rPr>
                <w:rFonts w:ascii="Calibri" w:eastAsia="Calibri" w:hAnsi="Calibri" w:cs="Calibri"/>
                <w:sz w:val="18"/>
                <w:szCs w:val="18"/>
                <w:lang w:val="en-US"/>
              </w:rPr>
              <w:t>,</w:t>
            </w:r>
            <w:r w:rsidR="00263D43" w:rsidRPr="00263D43">
              <w:rPr>
                <w:rFonts w:ascii="Calibri" w:eastAsia="Calibri" w:hAnsi="Calibri" w:cs="Calibri"/>
                <w:sz w:val="18"/>
                <w:szCs w:val="18"/>
                <w:lang w:val="en-US"/>
              </w:rPr>
              <w:t xml:space="preserve"> Stress Reduction Indicators </w:t>
            </w:r>
            <w:r w:rsidR="00263D43">
              <w:rPr>
                <w:rFonts w:ascii="Calibri" w:eastAsia="Calibri" w:hAnsi="Calibri" w:cs="Calibri"/>
                <w:sz w:val="18"/>
                <w:szCs w:val="18"/>
                <w:lang w:val="en-US"/>
              </w:rPr>
              <w:t xml:space="preserve">and Process Indicators </w:t>
            </w:r>
            <w:r>
              <w:rPr>
                <w:rFonts w:ascii="Calibri" w:eastAsia="Calibri" w:hAnsi="Calibri" w:cs="Calibri"/>
                <w:sz w:val="18"/>
                <w:szCs w:val="18"/>
              </w:rPr>
              <w:t xml:space="preserve">were developed through a separate study. </w:t>
            </w:r>
          </w:p>
          <w:p w14:paraId="3D6317FF" w14:textId="2D30A905" w:rsidR="000F31AD" w:rsidRDefault="00A317E5">
            <w:pPr>
              <w:rPr>
                <w:rFonts w:ascii="Calibri" w:eastAsia="Calibri" w:hAnsi="Calibri" w:cs="Calibri"/>
                <w:sz w:val="18"/>
                <w:szCs w:val="18"/>
              </w:rPr>
            </w:pPr>
            <w:r>
              <w:rPr>
                <w:rFonts w:ascii="Calibri" w:eastAsia="Calibri" w:hAnsi="Calibri" w:cs="Calibri"/>
                <w:sz w:val="18"/>
                <w:szCs w:val="18"/>
              </w:rPr>
              <w:t>A study to assess the cost of the SAP implementation was developed along with four project documents on issues of priority indicated by the Drin Riparians</w:t>
            </w:r>
            <w:r w:rsidR="005F72DC">
              <w:rPr>
                <w:rFonts w:ascii="Calibri" w:eastAsia="Calibri" w:hAnsi="Calibri" w:cs="Calibri"/>
                <w:sz w:val="18"/>
                <w:szCs w:val="18"/>
              </w:rPr>
              <w:t>.</w:t>
            </w:r>
            <w:r>
              <w:rPr>
                <w:rFonts w:ascii="Calibri" w:eastAsia="Calibri" w:hAnsi="Calibri" w:cs="Calibri"/>
                <w:sz w:val="18"/>
                <w:szCs w:val="18"/>
              </w:rPr>
              <w:t xml:space="preserve"> </w:t>
            </w:r>
          </w:p>
          <w:p w14:paraId="1D9C590C" w14:textId="77777777" w:rsidR="000F31AD" w:rsidRDefault="000F31AD">
            <w:pPr>
              <w:rPr>
                <w:rFonts w:ascii="Calibri" w:eastAsia="Calibri" w:hAnsi="Calibri" w:cs="Calibri"/>
                <w:sz w:val="18"/>
                <w:szCs w:val="18"/>
              </w:rPr>
            </w:pPr>
          </w:p>
        </w:tc>
      </w:tr>
      <w:tr w:rsidR="000F31AD" w14:paraId="33757A26" w14:textId="77777777">
        <w:tc>
          <w:tcPr>
            <w:tcW w:w="1980" w:type="dxa"/>
            <w:tcBorders>
              <w:bottom w:val="single" w:sz="4" w:space="0" w:color="000000"/>
            </w:tcBorders>
          </w:tcPr>
          <w:p w14:paraId="2B5A4090" w14:textId="77777777" w:rsidR="000F31AD" w:rsidRDefault="00A317E5">
            <w:pPr>
              <w:rPr>
                <w:rFonts w:ascii="Calibri" w:eastAsia="Calibri" w:hAnsi="Calibri" w:cs="Calibri"/>
                <w:b/>
                <w:sz w:val="18"/>
                <w:szCs w:val="18"/>
              </w:rPr>
            </w:pPr>
            <w:r>
              <w:rPr>
                <w:rFonts w:ascii="Calibri" w:eastAsia="Calibri" w:hAnsi="Calibri" w:cs="Calibri"/>
                <w:b/>
                <w:sz w:val="18"/>
                <w:szCs w:val="18"/>
              </w:rPr>
              <w:lastRenderedPageBreak/>
              <w:t>Outcome 3</w:t>
            </w:r>
          </w:p>
          <w:p w14:paraId="406B931A" w14:textId="77777777" w:rsidR="000F31AD" w:rsidRDefault="00A317E5">
            <w:pPr>
              <w:rPr>
                <w:rFonts w:ascii="Calibri" w:eastAsia="Calibri" w:hAnsi="Calibri" w:cs="Calibri"/>
                <w:sz w:val="18"/>
                <w:szCs w:val="18"/>
              </w:rPr>
            </w:pPr>
            <w:r>
              <w:rPr>
                <w:rFonts w:ascii="Calibri" w:eastAsia="Calibri" w:hAnsi="Calibri" w:cs="Calibri"/>
                <w:sz w:val="18"/>
                <w:szCs w:val="18"/>
              </w:rPr>
              <w:t>Countries and donors commit to sustain joint cooperation mechanisms and to undertake priority reforms and investments</w:t>
            </w:r>
          </w:p>
        </w:tc>
        <w:tc>
          <w:tcPr>
            <w:tcW w:w="1841" w:type="dxa"/>
            <w:tcBorders>
              <w:bottom w:val="single" w:sz="4" w:space="0" w:color="000000"/>
            </w:tcBorders>
          </w:tcPr>
          <w:p w14:paraId="79F72E86"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1. Partnership Conference, aimed at raising awareness and interest of the international community and ODA providers on sustaining countries commitment to SAP implementation </w:t>
            </w:r>
          </w:p>
        </w:tc>
        <w:tc>
          <w:tcPr>
            <w:tcW w:w="2407" w:type="dxa"/>
            <w:tcBorders>
              <w:bottom w:val="single" w:sz="4" w:space="0" w:color="000000"/>
            </w:tcBorders>
          </w:tcPr>
          <w:p w14:paraId="1AC0C1F8"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Donor interest in the region, technical assistance and investments do not respond to a strategic vision to address transboundary issues in the Drin Basin and sub-basins in an integrated manner </w:t>
            </w:r>
          </w:p>
          <w:p w14:paraId="6FDE0129" w14:textId="77777777" w:rsidR="000F31AD" w:rsidRDefault="000F31AD">
            <w:pPr>
              <w:rPr>
                <w:rFonts w:ascii="Calibri" w:eastAsia="Calibri" w:hAnsi="Calibri" w:cs="Calibri"/>
                <w:sz w:val="18"/>
                <w:szCs w:val="18"/>
              </w:rPr>
            </w:pPr>
          </w:p>
        </w:tc>
        <w:tc>
          <w:tcPr>
            <w:tcW w:w="2692" w:type="dxa"/>
            <w:tcBorders>
              <w:bottom w:val="single" w:sz="4" w:space="0" w:color="000000"/>
            </w:tcBorders>
          </w:tcPr>
          <w:p w14:paraId="32DF7955" w14:textId="77777777" w:rsidR="000F31AD" w:rsidRDefault="00A317E5">
            <w:pPr>
              <w:rPr>
                <w:rFonts w:ascii="Calibri" w:eastAsia="Calibri" w:hAnsi="Calibri" w:cs="Calibri"/>
                <w:sz w:val="18"/>
                <w:szCs w:val="18"/>
              </w:rPr>
            </w:pPr>
            <w:r>
              <w:rPr>
                <w:rFonts w:ascii="Calibri" w:eastAsia="Calibri" w:hAnsi="Calibri" w:cs="Calibri"/>
                <w:sz w:val="18"/>
                <w:szCs w:val="18"/>
              </w:rPr>
              <w:t>Partnership Conference held</w:t>
            </w:r>
          </w:p>
        </w:tc>
        <w:tc>
          <w:tcPr>
            <w:tcW w:w="1198" w:type="dxa"/>
            <w:tcBorders>
              <w:bottom w:val="single" w:sz="4" w:space="0" w:color="000000"/>
            </w:tcBorders>
            <w:shd w:val="clear" w:color="auto" w:fill="00B050"/>
          </w:tcPr>
          <w:p w14:paraId="423E7A09" w14:textId="77777777" w:rsidR="000F31AD" w:rsidRDefault="000F31AD">
            <w:pPr>
              <w:rPr>
                <w:rFonts w:ascii="Calibri" w:eastAsia="Calibri" w:hAnsi="Calibri" w:cs="Calibri"/>
                <w:sz w:val="18"/>
                <w:szCs w:val="18"/>
              </w:rPr>
            </w:pPr>
          </w:p>
        </w:tc>
        <w:tc>
          <w:tcPr>
            <w:tcW w:w="3830" w:type="dxa"/>
            <w:tcBorders>
              <w:bottom w:val="single" w:sz="4" w:space="0" w:color="000000"/>
            </w:tcBorders>
          </w:tcPr>
          <w:p w14:paraId="71DC8209" w14:textId="77777777" w:rsidR="000F31AD" w:rsidRDefault="00A317E5">
            <w:pPr>
              <w:rPr>
                <w:rFonts w:ascii="Calibri" w:eastAsia="Calibri" w:hAnsi="Calibri" w:cs="Calibri"/>
                <w:sz w:val="18"/>
                <w:szCs w:val="18"/>
              </w:rPr>
            </w:pPr>
            <w:r>
              <w:rPr>
                <w:rFonts w:ascii="Calibri" w:eastAsia="Calibri" w:hAnsi="Calibri" w:cs="Calibri"/>
                <w:sz w:val="18"/>
                <w:szCs w:val="18"/>
              </w:rPr>
              <w:t xml:space="preserve">The COVID-19 pandemic resulted in readjustments in the planning. It was held on-line on 9/7/2021. The representatives of the Drin Riparians committed to the continuation of joint action and to work to establish a Joint Commission for the management of the Basin. The Conference welcomed the idea of closer coordination among the Drin Riparians, the international community and the ODA providers on actions for the implementation of the SAP; to this end the representatives of the Drin Riparians declared their intention to organize an annual coordination meeting between the DCG and the ODA providers. </w:t>
            </w:r>
          </w:p>
        </w:tc>
      </w:tr>
      <w:tr w:rsidR="000F31AD" w14:paraId="5657BCB4" w14:textId="77777777">
        <w:tc>
          <w:tcPr>
            <w:tcW w:w="13948" w:type="dxa"/>
            <w:gridSpan w:val="6"/>
            <w:shd w:val="clear" w:color="auto" w:fill="FBE5D5"/>
          </w:tcPr>
          <w:p w14:paraId="3CDBC66B" w14:textId="77777777" w:rsidR="000F31AD" w:rsidRDefault="00A317E5">
            <w:pPr>
              <w:rPr>
                <w:rFonts w:ascii="Calibri" w:eastAsia="Calibri" w:hAnsi="Calibri" w:cs="Calibri"/>
                <w:b/>
                <w:sz w:val="20"/>
                <w:szCs w:val="20"/>
              </w:rPr>
            </w:pPr>
            <w:r>
              <w:rPr>
                <w:rFonts w:ascii="Calibri" w:eastAsia="Calibri" w:hAnsi="Calibri" w:cs="Calibri"/>
                <w:b/>
                <w:sz w:val="20"/>
                <w:szCs w:val="20"/>
              </w:rPr>
              <w:t>Component 3: Countries and donors commit to sustain joint cooperation mechanisms and to undertake priority reforms and investments</w:t>
            </w:r>
          </w:p>
        </w:tc>
      </w:tr>
      <w:tr w:rsidR="000F31AD" w14:paraId="15C12A2B" w14:textId="77777777">
        <w:tc>
          <w:tcPr>
            <w:tcW w:w="1980" w:type="dxa"/>
            <w:vMerge w:val="restart"/>
          </w:tcPr>
          <w:p w14:paraId="7EEF2A51" w14:textId="77777777" w:rsidR="000F31AD" w:rsidRDefault="00A317E5">
            <w:pPr>
              <w:rPr>
                <w:rFonts w:ascii="Calibri" w:eastAsia="Calibri" w:hAnsi="Calibri" w:cs="Calibri"/>
                <w:b/>
                <w:sz w:val="18"/>
                <w:szCs w:val="18"/>
              </w:rPr>
            </w:pPr>
            <w:r>
              <w:rPr>
                <w:rFonts w:ascii="Calibri" w:eastAsia="Calibri" w:hAnsi="Calibri" w:cs="Calibri"/>
                <w:b/>
                <w:sz w:val="18"/>
                <w:szCs w:val="18"/>
              </w:rPr>
              <w:t>Outcome 4</w:t>
            </w:r>
          </w:p>
          <w:p w14:paraId="383758F7" w14:textId="77777777" w:rsidR="000F31AD" w:rsidRDefault="00A317E5">
            <w:pPr>
              <w:rPr>
                <w:rFonts w:ascii="Calibri" w:eastAsia="Calibri" w:hAnsi="Calibri" w:cs="Calibri"/>
                <w:sz w:val="18"/>
                <w:szCs w:val="18"/>
              </w:rPr>
            </w:pPr>
            <w:r>
              <w:rPr>
                <w:rFonts w:ascii="Calibri" w:eastAsia="Calibri" w:hAnsi="Calibri" w:cs="Calibri"/>
                <w:sz w:val="18"/>
                <w:szCs w:val="18"/>
              </w:rPr>
              <w:t xml:space="preserve">The operationalization and strengthening of the institutional and legal frameworks for transboundary cooperation will </w:t>
            </w:r>
            <w:r>
              <w:rPr>
                <w:rFonts w:ascii="Calibri" w:eastAsia="Calibri" w:hAnsi="Calibri" w:cs="Calibri"/>
                <w:sz w:val="18"/>
                <w:szCs w:val="18"/>
              </w:rPr>
              <w:lastRenderedPageBreak/>
              <w:t>facilitate balancing of water uses and sustaining environmental quality throughout the extended Drin Basin</w:t>
            </w:r>
          </w:p>
        </w:tc>
        <w:tc>
          <w:tcPr>
            <w:tcW w:w="1841" w:type="dxa"/>
          </w:tcPr>
          <w:p w14:paraId="3E5CD92B"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lastRenderedPageBreak/>
              <w:t xml:space="preserve">1. The three Drin Core Group (DCG) Expert Working Groups (EWG) become fully operational making it possible for the DCG to assume the full </w:t>
            </w:r>
            <w:r>
              <w:rPr>
                <w:rFonts w:ascii="Calibri" w:eastAsia="Calibri" w:hAnsi="Calibri" w:cs="Calibri"/>
                <w:color w:val="000000"/>
                <w:sz w:val="18"/>
                <w:szCs w:val="18"/>
              </w:rPr>
              <w:lastRenderedPageBreak/>
              <w:t xml:space="preserve">range of responsibilities stemming from the Drin MoU and act as a Joint Commission </w:t>
            </w:r>
          </w:p>
        </w:tc>
        <w:tc>
          <w:tcPr>
            <w:tcW w:w="2407" w:type="dxa"/>
          </w:tcPr>
          <w:p w14:paraId="0B040D82" w14:textId="77777777" w:rsidR="000F31AD" w:rsidRDefault="00A317E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18"/>
                <w:szCs w:val="18"/>
              </w:rPr>
              <w:lastRenderedPageBreak/>
              <w:t xml:space="preserve">Institutional structure: Meeting of Parties exists, DCG exists with annual meetings, EWG are identified, but are not established. </w:t>
            </w:r>
          </w:p>
          <w:p w14:paraId="3586E142" w14:textId="77777777" w:rsidR="000F31AD" w:rsidRDefault="000F31AD">
            <w:pPr>
              <w:rPr>
                <w:rFonts w:ascii="Calibri" w:eastAsia="Calibri" w:hAnsi="Calibri" w:cs="Calibri"/>
                <w:sz w:val="18"/>
                <w:szCs w:val="18"/>
              </w:rPr>
            </w:pPr>
          </w:p>
        </w:tc>
        <w:tc>
          <w:tcPr>
            <w:tcW w:w="2692" w:type="dxa"/>
          </w:tcPr>
          <w:p w14:paraId="127C8130" w14:textId="77777777" w:rsidR="000F31AD" w:rsidRDefault="00A317E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18"/>
                <w:szCs w:val="18"/>
              </w:rPr>
              <w:t xml:space="preserve">The DCG Expert Working Groups become operational in assisting the DCG to assume the full range of responsibilities stemming from the Drin MoU </w:t>
            </w:r>
          </w:p>
          <w:p w14:paraId="4D74CA9B" w14:textId="77777777" w:rsidR="000F31AD" w:rsidRDefault="000F31AD">
            <w:pPr>
              <w:rPr>
                <w:rFonts w:ascii="Calibri" w:eastAsia="Calibri" w:hAnsi="Calibri" w:cs="Calibri"/>
                <w:sz w:val="18"/>
                <w:szCs w:val="18"/>
              </w:rPr>
            </w:pPr>
          </w:p>
        </w:tc>
        <w:tc>
          <w:tcPr>
            <w:tcW w:w="1198" w:type="dxa"/>
            <w:tcBorders>
              <w:bottom w:val="single" w:sz="4" w:space="0" w:color="000000"/>
            </w:tcBorders>
            <w:shd w:val="clear" w:color="auto" w:fill="00B050"/>
          </w:tcPr>
          <w:p w14:paraId="148D70AE" w14:textId="77777777" w:rsidR="000F31AD" w:rsidRDefault="000F31AD">
            <w:pPr>
              <w:rPr>
                <w:rFonts w:ascii="Calibri" w:eastAsia="Calibri" w:hAnsi="Calibri" w:cs="Calibri"/>
                <w:sz w:val="18"/>
                <w:szCs w:val="18"/>
              </w:rPr>
            </w:pPr>
          </w:p>
        </w:tc>
        <w:tc>
          <w:tcPr>
            <w:tcW w:w="3830" w:type="dxa"/>
          </w:tcPr>
          <w:p w14:paraId="11288AEC" w14:textId="77777777" w:rsidR="000F31AD" w:rsidRDefault="00A317E5">
            <w:pPr>
              <w:rPr>
                <w:rFonts w:ascii="Calibri" w:eastAsia="Calibri" w:hAnsi="Calibri" w:cs="Calibri"/>
                <w:sz w:val="18"/>
                <w:szCs w:val="18"/>
              </w:rPr>
            </w:pPr>
            <w:r>
              <w:rPr>
                <w:rFonts w:ascii="Calibri" w:eastAsia="Calibri" w:hAnsi="Calibri" w:cs="Calibri"/>
                <w:sz w:val="18"/>
                <w:szCs w:val="18"/>
              </w:rPr>
              <w:t xml:space="preserve">The Drin Core Group (DCG) and three Expert Working Groups (EWG) are fully operational making it possible for the DCG to assume the full range of responsibilities stemming from the Drin MoU and act as a (de facto) Joint Commission.  </w:t>
            </w:r>
          </w:p>
          <w:p w14:paraId="5B662CB1" w14:textId="3ED0EA6D" w:rsidR="000F31AD" w:rsidRDefault="00A317E5">
            <w:pPr>
              <w:rPr>
                <w:rFonts w:ascii="Calibri" w:eastAsia="Calibri" w:hAnsi="Calibri" w:cs="Calibri"/>
                <w:sz w:val="18"/>
                <w:szCs w:val="18"/>
              </w:rPr>
            </w:pPr>
            <w:r>
              <w:rPr>
                <w:rFonts w:ascii="Calibri" w:eastAsia="Calibri" w:hAnsi="Calibri" w:cs="Calibri"/>
                <w:sz w:val="18"/>
                <w:szCs w:val="18"/>
              </w:rPr>
              <w:t xml:space="preserve">The DCG had </w:t>
            </w:r>
            <w:r w:rsidR="00A06ACA">
              <w:rPr>
                <w:rFonts w:ascii="Calibri" w:eastAsia="Calibri" w:hAnsi="Calibri" w:cs="Calibri"/>
                <w:sz w:val="18"/>
                <w:szCs w:val="18"/>
              </w:rPr>
              <w:t xml:space="preserve">19 </w:t>
            </w:r>
            <w:r>
              <w:rPr>
                <w:rFonts w:ascii="Calibri" w:eastAsia="Calibri" w:hAnsi="Calibri" w:cs="Calibri"/>
                <w:sz w:val="18"/>
                <w:szCs w:val="18"/>
              </w:rPr>
              <w:t xml:space="preserve">meetings in the course of the Project, instead of the 5 meetings necessary (as </w:t>
            </w:r>
            <w:r>
              <w:rPr>
                <w:rFonts w:ascii="Calibri" w:eastAsia="Calibri" w:hAnsi="Calibri" w:cs="Calibri"/>
                <w:sz w:val="18"/>
                <w:szCs w:val="18"/>
              </w:rPr>
              <w:lastRenderedPageBreak/>
              <w:t xml:space="preserve">per project document) to supervise/steer the implementation of the Project. </w:t>
            </w:r>
          </w:p>
          <w:p w14:paraId="79CD5B8A" w14:textId="77777777" w:rsidR="000F31AD" w:rsidRDefault="00A317E5">
            <w:pPr>
              <w:rPr>
                <w:rFonts w:ascii="Calibri" w:eastAsia="Calibri" w:hAnsi="Calibri" w:cs="Calibri"/>
                <w:sz w:val="18"/>
                <w:szCs w:val="18"/>
              </w:rPr>
            </w:pPr>
            <w:r>
              <w:rPr>
                <w:rFonts w:ascii="Calibri" w:eastAsia="Calibri" w:hAnsi="Calibri" w:cs="Calibri"/>
                <w:sz w:val="18"/>
                <w:szCs w:val="18"/>
              </w:rPr>
              <w:t>The EWGs had 12 meetings in the course of the project.</w:t>
            </w:r>
          </w:p>
          <w:p w14:paraId="563DA3C9" w14:textId="77777777" w:rsidR="000F31AD" w:rsidRDefault="00A317E5">
            <w:pPr>
              <w:rPr>
                <w:rFonts w:ascii="Calibri" w:eastAsia="Calibri" w:hAnsi="Calibri" w:cs="Calibri"/>
                <w:sz w:val="18"/>
                <w:szCs w:val="18"/>
              </w:rPr>
            </w:pPr>
            <w:r>
              <w:rPr>
                <w:rFonts w:ascii="Calibri" w:eastAsia="Calibri" w:hAnsi="Calibri" w:cs="Calibri"/>
                <w:sz w:val="18"/>
                <w:szCs w:val="18"/>
              </w:rPr>
              <w:t xml:space="preserve">  </w:t>
            </w:r>
          </w:p>
        </w:tc>
      </w:tr>
      <w:tr w:rsidR="000F31AD" w14:paraId="0874525C" w14:textId="77777777">
        <w:tc>
          <w:tcPr>
            <w:tcW w:w="1980" w:type="dxa"/>
            <w:vMerge/>
          </w:tcPr>
          <w:p w14:paraId="2E7B666D" w14:textId="77777777" w:rsidR="000F31AD" w:rsidRDefault="000F31AD">
            <w:pPr>
              <w:widowControl w:val="0"/>
              <w:pBdr>
                <w:top w:val="nil"/>
                <w:left w:val="nil"/>
                <w:bottom w:val="nil"/>
                <w:right w:val="nil"/>
                <w:between w:val="nil"/>
              </w:pBdr>
              <w:spacing w:line="276" w:lineRule="auto"/>
              <w:rPr>
                <w:rFonts w:ascii="Calibri" w:eastAsia="Calibri" w:hAnsi="Calibri" w:cs="Calibri"/>
                <w:sz w:val="18"/>
                <w:szCs w:val="18"/>
              </w:rPr>
            </w:pPr>
          </w:p>
        </w:tc>
        <w:tc>
          <w:tcPr>
            <w:tcW w:w="1841" w:type="dxa"/>
          </w:tcPr>
          <w:p w14:paraId="4F151CEB" w14:textId="77777777" w:rsidR="000F31AD" w:rsidRDefault="00A317E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18"/>
                <w:szCs w:val="18"/>
              </w:rPr>
              <w:t xml:space="preserve">2. Inter-ministerial Committees are formed and/or there is multi-sectoral input and discussions at the national level with regard to SAP development and responding to guidance from the DCG </w:t>
            </w:r>
          </w:p>
          <w:p w14:paraId="78033B7C" w14:textId="77777777" w:rsidR="000F31AD" w:rsidRDefault="000F31AD">
            <w:pPr>
              <w:rPr>
                <w:rFonts w:ascii="Calibri" w:eastAsia="Calibri" w:hAnsi="Calibri" w:cs="Calibri"/>
                <w:sz w:val="18"/>
                <w:szCs w:val="18"/>
              </w:rPr>
            </w:pPr>
          </w:p>
        </w:tc>
        <w:tc>
          <w:tcPr>
            <w:tcW w:w="2407" w:type="dxa"/>
          </w:tcPr>
          <w:p w14:paraId="2F0DF544" w14:textId="77777777" w:rsidR="000F31AD" w:rsidRDefault="00A317E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18"/>
                <w:szCs w:val="18"/>
              </w:rPr>
              <w:t xml:space="preserve">No functioning inter- sectoral dialogue at the national level. </w:t>
            </w:r>
          </w:p>
          <w:p w14:paraId="4586F6DD" w14:textId="77777777" w:rsidR="000F31AD" w:rsidRDefault="000F31AD">
            <w:pPr>
              <w:rPr>
                <w:rFonts w:ascii="Calibri" w:eastAsia="Calibri" w:hAnsi="Calibri" w:cs="Calibri"/>
                <w:sz w:val="18"/>
                <w:szCs w:val="18"/>
              </w:rPr>
            </w:pPr>
          </w:p>
        </w:tc>
        <w:tc>
          <w:tcPr>
            <w:tcW w:w="2692" w:type="dxa"/>
          </w:tcPr>
          <w:p w14:paraId="65B948DC" w14:textId="77777777" w:rsidR="000F31AD" w:rsidRDefault="00A317E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18"/>
                <w:szCs w:val="18"/>
              </w:rPr>
              <w:t xml:space="preserve">The Inter- Ministerial Committees (IMC) are established and/or functional inter-sectoral dialogue at the national level is conducted </w:t>
            </w:r>
          </w:p>
          <w:p w14:paraId="102D1231" w14:textId="77777777" w:rsidR="000F31AD" w:rsidRDefault="000F31AD">
            <w:pPr>
              <w:rPr>
                <w:rFonts w:ascii="Calibri" w:eastAsia="Calibri" w:hAnsi="Calibri" w:cs="Calibri"/>
                <w:sz w:val="18"/>
                <w:szCs w:val="18"/>
              </w:rPr>
            </w:pPr>
          </w:p>
        </w:tc>
        <w:tc>
          <w:tcPr>
            <w:tcW w:w="1198" w:type="dxa"/>
            <w:tcBorders>
              <w:bottom w:val="single" w:sz="4" w:space="0" w:color="000000"/>
            </w:tcBorders>
            <w:shd w:val="clear" w:color="auto" w:fill="FFFF00"/>
          </w:tcPr>
          <w:p w14:paraId="2C1F955A" w14:textId="77777777" w:rsidR="000F31AD" w:rsidRDefault="000F31AD">
            <w:pPr>
              <w:rPr>
                <w:rFonts w:ascii="Calibri" w:eastAsia="Calibri" w:hAnsi="Calibri" w:cs="Calibri"/>
                <w:sz w:val="18"/>
                <w:szCs w:val="18"/>
              </w:rPr>
            </w:pPr>
          </w:p>
        </w:tc>
        <w:tc>
          <w:tcPr>
            <w:tcW w:w="3830" w:type="dxa"/>
          </w:tcPr>
          <w:p w14:paraId="52B17656" w14:textId="6093BFE3" w:rsidR="000F31AD" w:rsidRDefault="00A317E5" w:rsidP="0052081C">
            <w:pPr>
              <w:numPr>
                <w:ilvl w:val="0"/>
                <w:numId w:val="4"/>
              </w:numPr>
              <w:pBdr>
                <w:top w:val="nil"/>
                <w:left w:val="nil"/>
                <w:bottom w:val="nil"/>
                <w:right w:val="nil"/>
                <w:between w:val="nil"/>
              </w:pBdr>
              <w:ind w:left="260" w:hanging="260"/>
              <w:rPr>
                <w:rFonts w:ascii="Calibri" w:eastAsia="Calibri" w:hAnsi="Calibri" w:cs="Calibri"/>
                <w:color w:val="000000"/>
                <w:sz w:val="18"/>
                <w:szCs w:val="18"/>
              </w:rPr>
            </w:pPr>
            <w:r>
              <w:rPr>
                <w:rFonts w:ascii="Calibri" w:eastAsia="Calibri" w:hAnsi="Calibri" w:cs="Calibri"/>
                <w:color w:val="000000"/>
                <w:sz w:val="18"/>
                <w:szCs w:val="18"/>
              </w:rPr>
              <w:t>In Albania the</w:t>
            </w:r>
            <w:r w:rsidR="00A06ACA">
              <w:rPr>
                <w:rFonts w:ascii="Calibri" w:eastAsia="Calibri" w:hAnsi="Calibri" w:cs="Calibri"/>
                <w:color w:val="000000"/>
                <w:sz w:val="18"/>
                <w:szCs w:val="18"/>
              </w:rPr>
              <w:t xml:space="preserve"> inter</w:t>
            </w:r>
            <w:r w:rsidR="008C6AA2">
              <w:rPr>
                <w:rFonts w:ascii="Calibri" w:eastAsia="Calibri" w:hAnsi="Calibri" w:cs="Calibri"/>
                <w:color w:val="000000"/>
                <w:sz w:val="18"/>
                <w:szCs w:val="18"/>
              </w:rPr>
              <w:t>-</w:t>
            </w:r>
            <w:r w:rsidR="00A06ACA">
              <w:rPr>
                <w:rFonts w:ascii="Calibri" w:eastAsia="Calibri" w:hAnsi="Calibri" w:cs="Calibri"/>
                <w:color w:val="000000"/>
                <w:sz w:val="18"/>
                <w:szCs w:val="18"/>
              </w:rPr>
              <w:t>ministerial</w:t>
            </w:r>
            <w:r>
              <w:rPr>
                <w:rFonts w:ascii="Calibri" w:eastAsia="Calibri" w:hAnsi="Calibri" w:cs="Calibri"/>
                <w:color w:val="000000"/>
                <w:sz w:val="18"/>
                <w:szCs w:val="18"/>
              </w:rPr>
              <w:t xml:space="preserve"> Thematic Group for “Water Resources”, that has been established at national level to facilitate cooperation with development partners, served as the IMC for the Project.  </w:t>
            </w:r>
          </w:p>
          <w:p w14:paraId="7D159682" w14:textId="77777777" w:rsidR="000F31AD" w:rsidRDefault="00A317E5" w:rsidP="0052081C">
            <w:pPr>
              <w:numPr>
                <w:ilvl w:val="0"/>
                <w:numId w:val="4"/>
              </w:numPr>
              <w:pBdr>
                <w:top w:val="nil"/>
                <w:left w:val="nil"/>
                <w:bottom w:val="nil"/>
                <w:right w:val="nil"/>
                <w:between w:val="nil"/>
              </w:pBdr>
              <w:ind w:left="260" w:hanging="260"/>
              <w:rPr>
                <w:rFonts w:ascii="Calibri" w:eastAsia="Calibri" w:hAnsi="Calibri" w:cs="Calibri"/>
                <w:color w:val="000000"/>
                <w:sz w:val="18"/>
                <w:szCs w:val="18"/>
              </w:rPr>
            </w:pPr>
            <w:r>
              <w:rPr>
                <w:rFonts w:ascii="Calibri" w:eastAsia="Calibri" w:hAnsi="Calibri" w:cs="Calibri"/>
                <w:color w:val="000000"/>
                <w:sz w:val="18"/>
                <w:szCs w:val="18"/>
              </w:rPr>
              <w:t xml:space="preserve">In North Macedonia there has been a decision for the National Council for Sustainable Development that convenes at the level of ministers, to serve as an IMC for the country.     </w:t>
            </w:r>
          </w:p>
          <w:p w14:paraId="403BEE31" w14:textId="77777777" w:rsidR="000F31AD" w:rsidRDefault="00A317E5" w:rsidP="0052081C">
            <w:pPr>
              <w:numPr>
                <w:ilvl w:val="0"/>
                <w:numId w:val="4"/>
              </w:numPr>
              <w:pBdr>
                <w:top w:val="nil"/>
                <w:left w:val="nil"/>
                <w:bottom w:val="nil"/>
                <w:right w:val="nil"/>
                <w:between w:val="nil"/>
              </w:pBdr>
              <w:ind w:left="260" w:hanging="260"/>
              <w:rPr>
                <w:rFonts w:ascii="Calibri" w:eastAsia="Calibri" w:hAnsi="Calibri" w:cs="Calibri"/>
                <w:color w:val="000000"/>
                <w:sz w:val="18"/>
                <w:szCs w:val="18"/>
              </w:rPr>
            </w:pPr>
            <w:r>
              <w:rPr>
                <w:rFonts w:ascii="Calibri" w:eastAsia="Calibri" w:hAnsi="Calibri" w:cs="Calibri"/>
                <w:color w:val="000000"/>
                <w:sz w:val="18"/>
                <w:szCs w:val="18"/>
              </w:rPr>
              <w:t xml:space="preserve">In Montenegro the national Council for Sustainable Development acted as the IMC.   </w:t>
            </w:r>
          </w:p>
          <w:p w14:paraId="562D961B" w14:textId="6FBE279E" w:rsidR="000F31AD" w:rsidRDefault="00A317E5" w:rsidP="0052081C">
            <w:pPr>
              <w:numPr>
                <w:ilvl w:val="0"/>
                <w:numId w:val="3"/>
              </w:numPr>
              <w:pBdr>
                <w:top w:val="nil"/>
                <w:left w:val="nil"/>
                <w:bottom w:val="nil"/>
                <w:right w:val="nil"/>
                <w:between w:val="nil"/>
              </w:pBdr>
              <w:ind w:left="260" w:hanging="260"/>
              <w:rPr>
                <w:rFonts w:ascii="Calibri" w:eastAsia="Calibri" w:hAnsi="Calibri" w:cs="Calibri"/>
                <w:color w:val="000000"/>
                <w:sz w:val="18"/>
                <w:szCs w:val="18"/>
              </w:rPr>
            </w:pPr>
            <w:r>
              <w:rPr>
                <w:rFonts w:ascii="Calibri" w:eastAsia="Calibri" w:hAnsi="Calibri" w:cs="Calibri"/>
                <w:color w:val="000000"/>
                <w:sz w:val="18"/>
                <w:szCs w:val="18"/>
              </w:rPr>
              <w:t xml:space="preserve">In Kosovo the IMC established has the same </w:t>
            </w:r>
            <w:r w:rsidR="00764B51">
              <w:rPr>
                <w:rFonts w:ascii="Calibri" w:eastAsia="Calibri" w:hAnsi="Calibri" w:cs="Calibri"/>
                <w:color w:val="000000"/>
                <w:sz w:val="18"/>
                <w:szCs w:val="18"/>
              </w:rPr>
              <w:t xml:space="preserve">function </w:t>
            </w:r>
            <w:r>
              <w:rPr>
                <w:rFonts w:ascii="Calibri" w:eastAsia="Calibri" w:hAnsi="Calibri" w:cs="Calibri"/>
                <w:color w:val="000000"/>
                <w:sz w:val="18"/>
                <w:szCs w:val="18"/>
              </w:rPr>
              <w:t>as the National Water Council in terms of participating ministries.</w:t>
            </w:r>
          </w:p>
          <w:p w14:paraId="2DE46E83" w14:textId="77777777" w:rsidR="000F31AD" w:rsidRDefault="000F31AD">
            <w:pPr>
              <w:rPr>
                <w:rFonts w:ascii="Calibri" w:eastAsia="Calibri" w:hAnsi="Calibri" w:cs="Calibri"/>
                <w:sz w:val="18"/>
                <w:szCs w:val="18"/>
              </w:rPr>
            </w:pPr>
          </w:p>
          <w:p w14:paraId="2F70763A" w14:textId="205A3CE0" w:rsidR="000F31AD" w:rsidRDefault="00A317E5">
            <w:pPr>
              <w:rPr>
                <w:rFonts w:ascii="Calibri" w:eastAsia="Calibri" w:hAnsi="Calibri" w:cs="Calibri"/>
                <w:sz w:val="18"/>
                <w:szCs w:val="18"/>
              </w:rPr>
            </w:pPr>
            <w:r>
              <w:rPr>
                <w:rFonts w:ascii="Calibri" w:eastAsia="Calibri" w:hAnsi="Calibri" w:cs="Calibri"/>
                <w:sz w:val="18"/>
                <w:szCs w:val="18"/>
              </w:rPr>
              <w:t xml:space="preserve">While the above bodies are facilitating intersectoral dialogue, </w:t>
            </w:r>
            <w:r w:rsidR="00764B51">
              <w:rPr>
                <w:rFonts w:ascii="Calibri" w:eastAsia="Calibri" w:hAnsi="Calibri" w:cs="Calibri"/>
                <w:sz w:val="18"/>
                <w:szCs w:val="18"/>
              </w:rPr>
              <w:t>all of them may be considered as “proxies”, which</w:t>
            </w:r>
            <w:r>
              <w:rPr>
                <w:rFonts w:ascii="Calibri" w:eastAsia="Calibri" w:hAnsi="Calibri" w:cs="Calibri"/>
                <w:sz w:val="18"/>
                <w:szCs w:val="18"/>
              </w:rPr>
              <w:t xml:space="preserve"> may </w:t>
            </w:r>
            <w:r w:rsidR="00764B51">
              <w:rPr>
                <w:rFonts w:ascii="Calibri" w:eastAsia="Calibri" w:hAnsi="Calibri" w:cs="Calibri"/>
                <w:sz w:val="18"/>
                <w:szCs w:val="18"/>
              </w:rPr>
              <w:t>still l</w:t>
            </w:r>
            <w:r>
              <w:rPr>
                <w:rFonts w:ascii="Calibri" w:eastAsia="Calibri" w:hAnsi="Calibri" w:cs="Calibri"/>
                <w:sz w:val="18"/>
                <w:szCs w:val="18"/>
              </w:rPr>
              <w:t>ack some decision-making power.</w:t>
            </w:r>
          </w:p>
        </w:tc>
      </w:tr>
      <w:tr w:rsidR="000F31AD" w14:paraId="66217A49" w14:textId="77777777">
        <w:tc>
          <w:tcPr>
            <w:tcW w:w="1980" w:type="dxa"/>
            <w:vMerge/>
          </w:tcPr>
          <w:p w14:paraId="71884B3E" w14:textId="77777777" w:rsidR="000F31AD" w:rsidRDefault="000F31AD">
            <w:pPr>
              <w:widowControl w:val="0"/>
              <w:pBdr>
                <w:top w:val="nil"/>
                <w:left w:val="nil"/>
                <w:bottom w:val="nil"/>
                <w:right w:val="nil"/>
                <w:between w:val="nil"/>
              </w:pBdr>
              <w:spacing w:line="276" w:lineRule="auto"/>
              <w:rPr>
                <w:rFonts w:ascii="Calibri" w:eastAsia="Calibri" w:hAnsi="Calibri" w:cs="Calibri"/>
                <w:sz w:val="18"/>
                <w:szCs w:val="18"/>
              </w:rPr>
            </w:pPr>
          </w:p>
        </w:tc>
        <w:tc>
          <w:tcPr>
            <w:tcW w:w="1841" w:type="dxa"/>
          </w:tcPr>
          <w:p w14:paraId="14BB6FBB"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3. A Strategic Action Program (SAP with horizon 5 years) is adopted by the countries.</w:t>
            </w:r>
            <w:r>
              <w:rPr>
                <w:color w:val="000000"/>
                <w:sz w:val="18"/>
                <w:szCs w:val="18"/>
              </w:rPr>
              <w:t xml:space="preserve"> </w:t>
            </w:r>
          </w:p>
        </w:tc>
        <w:tc>
          <w:tcPr>
            <w:tcW w:w="2407" w:type="dxa"/>
            <w:vMerge w:val="restart"/>
          </w:tcPr>
          <w:p w14:paraId="75BA031E" w14:textId="77777777" w:rsidR="000F31AD" w:rsidRDefault="00A317E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18"/>
                <w:szCs w:val="18"/>
              </w:rPr>
              <w:t xml:space="preserve">Lack of an overarching basin- wide science-based framework for the implementation of the medium and long-term priority actions in view of achieving the overall aims and objectives of the Drin MoU </w:t>
            </w:r>
          </w:p>
          <w:p w14:paraId="7C1679D9" w14:textId="77777777" w:rsidR="000F31AD" w:rsidRDefault="000F31AD">
            <w:pPr>
              <w:rPr>
                <w:rFonts w:ascii="Calibri" w:eastAsia="Calibri" w:hAnsi="Calibri" w:cs="Calibri"/>
                <w:sz w:val="18"/>
                <w:szCs w:val="18"/>
              </w:rPr>
            </w:pPr>
          </w:p>
        </w:tc>
        <w:tc>
          <w:tcPr>
            <w:tcW w:w="2692" w:type="dxa"/>
          </w:tcPr>
          <w:p w14:paraId="054D8607"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SAP adopted by the Meeting of the Parties to the Drin MoU (Ministerial Meeting). </w:t>
            </w:r>
          </w:p>
          <w:p w14:paraId="0A1B6854" w14:textId="77777777" w:rsidR="000F31AD" w:rsidRDefault="000F31AD">
            <w:pPr>
              <w:rPr>
                <w:rFonts w:ascii="Calibri" w:eastAsia="Calibri" w:hAnsi="Calibri" w:cs="Calibri"/>
                <w:sz w:val="18"/>
                <w:szCs w:val="18"/>
              </w:rPr>
            </w:pPr>
          </w:p>
        </w:tc>
        <w:tc>
          <w:tcPr>
            <w:tcW w:w="1198" w:type="dxa"/>
            <w:tcBorders>
              <w:bottom w:val="single" w:sz="4" w:space="0" w:color="000000"/>
            </w:tcBorders>
            <w:shd w:val="clear" w:color="auto" w:fill="00B050"/>
          </w:tcPr>
          <w:p w14:paraId="587E1151" w14:textId="77777777" w:rsidR="000F31AD" w:rsidRDefault="000F31AD">
            <w:pPr>
              <w:rPr>
                <w:rFonts w:ascii="Calibri" w:eastAsia="Calibri" w:hAnsi="Calibri" w:cs="Calibri"/>
                <w:sz w:val="18"/>
                <w:szCs w:val="18"/>
              </w:rPr>
            </w:pPr>
          </w:p>
        </w:tc>
        <w:tc>
          <w:tcPr>
            <w:tcW w:w="3830" w:type="dxa"/>
          </w:tcPr>
          <w:p w14:paraId="776B301B" w14:textId="77777777" w:rsidR="000F31AD" w:rsidRDefault="00A317E5">
            <w:pPr>
              <w:rPr>
                <w:rFonts w:ascii="Calibri" w:eastAsia="Calibri" w:hAnsi="Calibri" w:cs="Calibri"/>
                <w:sz w:val="18"/>
                <w:szCs w:val="18"/>
              </w:rPr>
            </w:pPr>
            <w:r>
              <w:rPr>
                <w:rFonts w:ascii="Calibri" w:eastAsia="Calibri" w:hAnsi="Calibri" w:cs="Calibri"/>
                <w:sz w:val="18"/>
                <w:szCs w:val="18"/>
              </w:rPr>
              <w:t>The SAP endorsement was signed by Ministers and High-level representatives on 24 April 2020.</w:t>
            </w:r>
          </w:p>
        </w:tc>
      </w:tr>
      <w:tr w:rsidR="000F31AD" w14:paraId="0603677D" w14:textId="77777777">
        <w:tc>
          <w:tcPr>
            <w:tcW w:w="1980" w:type="dxa"/>
            <w:vMerge/>
          </w:tcPr>
          <w:p w14:paraId="2D5D33BD" w14:textId="77777777" w:rsidR="000F31AD" w:rsidRDefault="000F31AD">
            <w:pPr>
              <w:widowControl w:val="0"/>
              <w:pBdr>
                <w:top w:val="nil"/>
                <w:left w:val="nil"/>
                <w:bottom w:val="nil"/>
                <w:right w:val="nil"/>
                <w:between w:val="nil"/>
              </w:pBdr>
              <w:spacing w:line="276" w:lineRule="auto"/>
              <w:rPr>
                <w:rFonts w:ascii="Calibri" w:eastAsia="Calibri" w:hAnsi="Calibri" w:cs="Calibri"/>
                <w:sz w:val="18"/>
                <w:szCs w:val="18"/>
              </w:rPr>
            </w:pPr>
          </w:p>
        </w:tc>
        <w:tc>
          <w:tcPr>
            <w:tcW w:w="1841" w:type="dxa"/>
            <w:tcBorders>
              <w:bottom w:val="single" w:sz="4" w:space="0" w:color="000000"/>
            </w:tcBorders>
          </w:tcPr>
          <w:p w14:paraId="6B969EBE"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4. DCG members, DCG working group members, water and land managers, policy makers and other practitioners are trained in surface/ groundwater </w:t>
            </w:r>
            <w:r>
              <w:rPr>
                <w:rFonts w:ascii="Calibri" w:eastAsia="Calibri" w:hAnsi="Calibri" w:cs="Calibri"/>
                <w:color w:val="000000"/>
                <w:sz w:val="18"/>
                <w:szCs w:val="18"/>
              </w:rPr>
              <w:lastRenderedPageBreak/>
              <w:t xml:space="preserve">management, IWRM, implementation of international policy instruments (WFD, UNECE Water Convention), and other relevant disciplines and technologies </w:t>
            </w:r>
          </w:p>
        </w:tc>
        <w:tc>
          <w:tcPr>
            <w:tcW w:w="2407" w:type="dxa"/>
            <w:vMerge/>
          </w:tcPr>
          <w:p w14:paraId="0C54CB00" w14:textId="77777777" w:rsidR="000F31AD" w:rsidRDefault="000F31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92" w:type="dxa"/>
            <w:tcBorders>
              <w:bottom w:val="single" w:sz="4" w:space="0" w:color="000000"/>
            </w:tcBorders>
          </w:tcPr>
          <w:p w14:paraId="2BFC68BD"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Full and successful participation of all DCG members and expert groups, and of qualified representatives of land-water managers and practitioners in training activities. </w:t>
            </w:r>
          </w:p>
          <w:p w14:paraId="0D4AD4CF" w14:textId="77777777" w:rsidR="000F31AD" w:rsidRDefault="000F31AD">
            <w:pPr>
              <w:rPr>
                <w:rFonts w:ascii="Calibri" w:eastAsia="Calibri" w:hAnsi="Calibri" w:cs="Calibri"/>
                <w:sz w:val="18"/>
                <w:szCs w:val="18"/>
              </w:rPr>
            </w:pPr>
          </w:p>
        </w:tc>
        <w:tc>
          <w:tcPr>
            <w:tcW w:w="1198" w:type="dxa"/>
            <w:tcBorders>
              <w:bottom w:val="single" w:sz="4" w:space="0" w:color="000000"/>
            </w:tcBorders>
            <w:shd w:val="clear" w:color="auto" w:fill="00B050"/>
          </w:tcPr>
          <w:p w14:paraId="0AD2BAE1" w14:textId="77777777" w:rsidR="000F31AD" w:rsidRDefault="000F31AD">
            <w:pPr>
              <w:rPr>
                <w:rFonts w:ascii="Calibri" w:eastAsia="Calibri" w:hAnsi="Calibri" w:cs="Calibri"/>
                <w:sz w:val="18"/>
                <w:szCs w:val="18"/>
              </w:rPr>
            </w:pPr>
          </w:p>
        </w:tc>
        <w:tc>
          <w:tcPr>
            <w:tcW w:w="3830" w:type="dxa"/>
            <w:tcBorders>
              <w:bottom w:val="single" w:sz="4" w:space="0" w:color="000000"/>
            </w:tcBorders>
          </w:tcPr>
          <w:p w14:paraId="51580D9F" w14:textId="40DE278E" w:rsidR="000F31AD" w:rsidRDefault="00A317E5">
            <w:pPr>
              <w:rPr>
                <w:rFonts w:ascii="Calibri" w:eastAsia="Calibri" w:hAnsi="Calibri" w:cs="Calibri"/>
                <w:sz w:val="18"/>
                <w:szCs w:val="18"/>
              </w:rPr>
            </w:pPr>
            <w:r>
              <w:rPr>
                <w:rFonts w:ascii="Calibri" w:eastAsia="Calibri" w:hAnsi="Calibri" w:cs="Calibri"/>
                <w:sz w:val="18"/>
                <w:szCs w:val="18"/>
              </w:rPr>
              <w:t xml:space="preserve">During the course of the project, there were </w:t>
            </w:r>
            <w:r w:rsidR="009905DD">
              <w:rPr>
                <w:rFonts w:ascii="Calibri" w:eastAsia="Calibri" w:hAnsi="Calibri" w:cs="Calibri"/>
                <w:sz w:val="18"/>
                <w:szCs w:val="18"/>
              </w:rPr>
              <w:t xml:space="preserve">17 </w:t>
            </w:r>
            <w:r>
              <w:rPr>
                <w:rFonts w:ascii="Calibri" w:eastAsia="Calibri" w:hAnsi="Calibri" w:cs="Calibri"/>
                <w:sz w:val="18"/>
                <w:szCs w:val="18"/>
              </w:rPr>
              <w:t xml:space="preserve">Capacity Building events in which </w:t>
            </w:r>
          </w:p>
          <w:p w14:paraId="3A0F7C55" w14:textId="77777777" w:rsidR="000F31AD" w:rsidRDefault="00A317E5">
            <w:pPr>
              <w:rPr>
                <w:rFonts w:ascii="Calibri" w:eastAsia="Calibri" w:hAnsi="Calibri" w:cs="Calibri"/>
                <w:sz w:val="18"/>
                <w:szCs w:val="18"/>
              </w:rPr>
            </w:pPr>
            <w:r>
              <w:rPr>
                <w:rFonts w:ascii="Calibri" w:eastAsia="Calibri" w:hAnsi="Calibri" w:cs="Calibri"/>
                <w:sz w:val="18"/>
                <w:szCs w:val="18"/>
              </w:rPr>
              <w:t xml:space="preserve">DCG and EWG members, and qualified representatives of land-water managers and practitioners participated.  </w:t>
            </w:r>
          </w:p>
          <w:p w14:paraId="7F218E1C" w14:textId="25A045AF" w:rsidR="000F31AD" w:rsidRDefault="00A317E5">
            <w:pPr>
              <w:rPr>
                <w:rFonts w:ascii="Calibri" w:eastAsia="Calibri" w:hAnsi="Calibri" w:cs="Calibri"/>
                <w:sz w:val="18"/>
                <w:szCs w:val="18"/>
              </w:rPr>
            </w:pPr>
            <w:r>
              <w:rPr>
                <w:rFonts w:ascii="Calibri" w:eastAsia="Calibri" w:hAnsi="Calibri" w:cs="Calibri"/>
                <w:sz w:val="18"/>
                <w:szCs w:val="18"/>
              </w:rPr>
              <w:t xml:space="preserve">There were also 2 study visits organized; </w:t>
            </w:r>
            <w:r w:rsidR="00A06ACA">
              <w:rPr>
                <w:rFonts w:ascii="Calibri" w:eastAsia="Calibri" w:hAnsi="Calibri" w:cs="Calibri"/>
                <w:sz w:val="18"/>
                <w:szCs w:val="18"/>
              </w:rPr>
              <w:t xml:space="preserve">in the first, </w:t>
            </w:r>
            <w:r>
              <w:rPr>
                <w:rFonts w:ascii="Calibri" w:eastAsia="Calibri" w:hAnsi="Calibri" w:cs="Calibri"/>
                <w:sz w:val="18"/>
                <w:szCs w:val="18"/>
              </w:rPr>
              <w:t>the DCG members visited the International Sava River Basin Commission</w:t>
            </w:r>
            <w:r w:rsidR="00A06ACA">
              <w:rPr>
                <w:rFonts w:ascii="Calibri" w:eastAsia="Calibri" w:hAnsi="Calibri" w:cs="Calibri"/>
                <w:sz w:val="18"/>
                <w:szCs w:val="18"/>
              </w:rPr>
              <w:t xml:space="preserve"> and</w:t>
            </w:r>
            <w:r>
              <w:rPr>
                <w:rFonts w:ascii="Calibri" w:eastAsia="Calibri" w:hAnsi="Calibri" w:cs="Calibri"/>
                <w:sz w:val="18"/>
                <w:szCs w:val="18"/>
              </w:rPr>
              <w:t xml:space="preserve"> the </w:t>
            </w:r>
            <w:r>
              <w:rPr>
                <w:rFonts w:ascii="Calibri" w:eastAsia="Calibri" w:hAnsi="Calibri" w:cs="Calibri"/>
                <w:sz w:val="18"/>
                <w:szCs w:val="18"/>
              </w:rPr>
              <w:lastRenderedPageBreak/>
              <w:t xml:space="preserve">International Commission for the Protection of Danube River </w:t>
            </w:r>
            <w:r w:rsidR="00A06ACA">
              <w:rPr>
                <w:rFonts w:ascii="Calibri" w:eastAsia="Calibri" w:hAnsi="Calibri" w:cs="Calibri"/>
                <w:sz w:val="18"/>
                <w:szCs w:val="18"/>
              </w:rPr>
              <w:t>,</w:t>
            </w:r>
            <w:r>
              <w:rPr>
                <w:rFonts w:ascii="Calibri" w:eastAsia="Calibri" w:hAnsi="Calibri" w:cs="Calibri"/>
                <w:sz w:val="18"/>
                <w:szCs w:val="18"/>
              </w:rPr>
              <w:t xml:space="preserve">and </w:t>
            </w:r>
            <w:r w:rsidR="00A06ACA">
              <w:rPr>
                <w:rFonts w:ascii="Calibri" w:eastAsia="Calibri" w:hAnsi="Calibri" w:cs="Calibri"/>
                <w:sz w:val="18"/>
                <w:szCs w:val="18"/>
              </w:rPr>
              <w:t xml:space="preserve">in the second </w:t>
            </w:r>
            <w:r>
              <w:rPr>
                <w:rFonts w:ascii="Calibri" w:eastAsia="Calibri" w:hAnsi="Calibri" w:cs="Calibri"/>
                <w:sz w:val="18"/>
                <w:szCs w:val="18"/>
              </w:rPr>
              <w:t xml:space="preserve">the Mekong River Commission.  </w:t>
            </w:r>
          </w:p>
          <w:p w14:paraId="4555C215" w14:textId="3F06AF7B" w:rsidR="000F31AD" w:rsidRDefault="00A317E5">
            <w:pPr>
              <w:rPr>
                <w:rFonts w:ascii="Calibri" w:eastAsia="Calibri" w:hAnsi="Calibri" w:cs="Calibri"/>
                <w:sz w:val="18"/>
                <w:szCs w:val="18"/>
              </w:rPr>
            </w:pPr>
            <w:r>
              <w:rPr>
                <w:rFonts w:ascii="Calibri" w:eastAsia="Calibri" w:hAnsi="Calibri" w:cs="Calibri"/>
                <w:sz w:val="18"/>
                <w:szCs w:val="18"/>
              </w:rPr>
              <w:t>The recordings of the capacity building events that were held on-line are</w:t>
            </w:r>
            <w:r w:rsidR="00764B51">
              <w:rPr>
                <w:rFonts w:ascii="Calibri" w:eastAsia="Calibri" w:hAnsi="Calibri" w:cs="Calibri"/>
                <w:sz w:val="18"/>
                <w:szCs w:val="18"/>
              </w:rPr>
              <w:t xml:space="preserve">, </w:t>
            </w:r>
            <w:r>
              <w:rPr>
                <w:rFonts w:ascii="Calibri" w:eastAsia="Calibri" w:hAnsi="Calibri" w:cs="Calibri"/>
                <w:sz w:val="18"/>
                <w:szCs w:val="18"/>
              </w:rPr>
              <w:t>along with the corresponding material</w:t>
            </w:r>
            <w:r w:rsidR="00764B51">
              <w:rPr>
                <w:rFonts w:ascii="Calibri" w:eastAsia="Calibri" w:hAnsi="Calibri" w:cs="Calibri"/>
                <w:sz w:val="18"/>
                <w:szCs w:val="18"/>
              </w:rPr>
              <w:t>,</w:t>
            </w:r>
            <w:r>
              <w:rPr>
                <w:rFonts w:ascii="Calibri" w:eastAsia="Calibri" w:hAnsi="Calibri" w:cs="Calibri"/>
                <w:sz w:val="18"/>
                <w:szCs w:val="18"/>
              </w:rPr>
              <w:t xml:space="preserve"> in the project's website constituting asynchronous capacity building.  </w:t>
            </w:r>
          </w:p>
        </w:tc>
      </w:tr>
      <w:tr w:rsidR="000F31AD" w14:paraId="35C13E56" w14:textId="77777777">
        <w:tc>
          <w:tcPr>
            <w:tcW w:w="13948" w:type="dxa"/>
            <w:gridSpan w:val="6"/>
            <w:shd w:val="clear" w:color="auto" w:fill="FBE5D5"/>
          </w:tcPr>
          <w:p w14:paraId="4BA5E14E" w14:textId="77777777" w:rsidR="000F31AD" w:rsidRDefault="00A317E5">
            <w:pPr>
              <w:rPr>
                <w:rFonts w:ascii="Calibri" w:eastAsia="Calibri" w:hAnsi="Calibri" w:cs="Calibri"/>
                <w:b/>
                <w:sz w:val="20"/>
                <w:szCs w:val="20"/>
              </w:rPr>
            </w:pPr>
            <w:r>
              <w:rPr>
                <w:rFonts w:ascii="Calibri" w:eastAsia="Calibri" w:hAnsi="Calibri" w:cs="Calibri"/>
                <w:b/>
                <w:sz w:val="20"/>
                <w:szCs w:val="20"/>
              </w:rPr>
              <w:lastRenderedPageBreak/>
              <w:t>Component 4: Demonstration of technologies and practices for IWRM and ecosystem management</w:t>
            </w:r>
          </w:p>
        </w:tc>
      </w:tr>
      <w:tr w:rsidR="000F31AD" w14:paraId="51D89AC8" w14:textId="77777777">
        <w:trPr>
          <w:trHeight w:val="494"/>
        </w:trPr>
        <w:tc>
          <w:tcPr>
            <w:tcW w:w="1980" w:type="dxa"/>
            <w:tcBorders>
              <w:bottom w:val="single" w:sz="4" w:space="0" w:color="000000"/>
            </w:tcBorders>
          </w:tcPr>
          <w:p w14:paraId="51812A47" w14:textId="77777777" w:rsidR="000F31AD" w:rsidRDefault="00A317E5">
            <w:pPr>
              <w:rPr>
                <w:rFonts w:ascii="Calibri" w:eastAsia="Calibri" w:hAnsi="Calibri" w:cs="Calibri"/>
                <w:b/>
                <w:sz w:val="18"/>
                <w:szCs w:val="18"/>
              </w:rPr>
            </w:pPr>
            <w:r>
              <w:rPr>
                <w:rFonts w:ascii="Calibri" w:eastAsia="Calibri" w:hAnsi="Calibri" w:cs="Calibri"/>
                <w:b/>
                <w:sz w:val="18"/>
                <w:szCs w:val="18"/>
              </w:rPr>
              <w:t>Outcome 5</w:t>
            </w:r>
          </w:p>
          <w:p w14:paraId="633FD91B" w14:textId="77777777" w:rsidR="000F31AD" w:rsidRDefault="00A317E5">
            <w:pPr>
              <w:rPr>
                <w:rFonts w:ascii="Calibri" w:eastAsia="Calibri" w:hAnsi="Calibri" w:cs="Calibri"/>
                <w:sz w:val="18"/>
                <w:szCs w:val="18"/>
              </w:rPr>
            </w:pPr>
            <w:r>
              <w:rPr>
                <w:rFonts w:ascii="Calibri" w:eastAsia="Calibri" w:hAnsi="Calibri" w:cs="Calibri"/>
                <w:sz w:val="18"/>
                <w:szCs w:val="18"/>
              </w:rPr>
              <w:t>Benefits demonstrated on the ground  by environmentally sound approaches and technologies new to the region</w:t>
            </w:r>
          </w:p>
        </w:tc>
        <w:tc>
          <w:tcPr>
            <w:tcW w:w="1841" w:type="dxa"/>
            <w:tcBorders>
              <w:bottom w:val="single" w:sz="4" w:space="0" w:color="000000"/>
            </w:tcBorders>
          </w:tcPr>
          <w:p w14:paraId="2378CF8E" w14:textId="77777777" w:rsidR="000F31AD" w:rsidRDefault="00A317E5">
            <w:pPr>
              <w:rPr>
                <w:rFonts w:ascii="Calibri" w:eastAsia="Calibri" w:hAnsi="Calibri" w:cs="Calibri"/>
                <w:sz w:val="18"/>
                <w:szCs w:val="18"/>
              </w:rPr>
            </w:pPr>
            <w:r>
              <w:rPr>
                <w:rFonts w:ascii="Calibri" w:eastAsia="Calibri" w:hAnsi="Calibri" w:cs="Calibri"/>
                <w:sz w:val="18"/>
                <w:szCs w:val="18"/>
              </w:rPr>
              <w:t>1. Program of Pilot Demonstrations, responding to the Drin MoU approved by countries during inception period is implemented resulting in:</w:t>
            </w:r>
          </w:p>
          <w:p w14:paraId="6CBF3FE4" w14:textId="77777777" w:rsidR="000F31AD" w:rsidRDefault="000F31AD">
            <w:pPr>
              <w:rPr>
                <w:rFonts w:ascii="Calibri" w:eastAsia="Calibri" w:hAnsi="Calibri" w:cs="Calibri"/>
                <w:sz w:val="18"/>
                <w:szCs w:val="18"/>
              </w:rPr>
            </w:pPr>
          </w:p>
          <w:p w14:paraId="00030EB6" w14:textId="77777777" w:rsidR="000F31AD" w:rsidRDefault="00A317E5" w:rsidP="0052081C">
            <w:pPr>
              <w:numPr>
                <w:ilvl w:val="0"/>
                <w:numId w:val="14"/>
              </w:numPr>
              <w:pBdr>
                <w:top w:val="nil"/>
                <w:left w:val="nil"/>
                <w:bottom w:val="nil"/>
                <w:right w:val="nil"/>
                <w:between w:val="nil"/>
              </w:pBdr>
              <w:ind w:left="175" w:hanging="175"/>
              <w:rPr>
                <w:rFonts w:ascii="Calibri" w:eastAsia="Calibri" w:hAnsi="Calibri" w:cs="Calibri"/>
                <w:color w:val="000000"/>
                <w:sz w:val="18"/>
                <w:szCs w:val="18"/>
              </w:rPr>
            </w:pPr>
            <w:r>
              <w:rPr>
                <w:rFonts w:ascii="Calibri" w:eastAsia="Calibri" w:hAnsi="Calibri" w:cs="Calibri"/>
                <w:color w:val="000000"/>
                <w:sz w:val="18"/>
                <w:szCs w:val="18"/>
              </w:rPr>
              <w:t>Management Plan for Ohrid Lake is prepared;</w:t>
            </w:r>
          </w:p>
          <w:p w14:paraId="35457D6F" w14:textId="77777777" w:rsidR="000F31AD" w:rsidRDefault="00A317E5" w:rsidP="0052081C">
            <w:pPr>
              <w:numPr>
                <w:ilvl w:val="0"/>
                <w:numId w:val="14"/>
              </w:numPr>
              <w:pBdr>
                <w:top w:val="nil"/>
                <w:left w:val="nil"/>
                <w:bottom w:val="nil"/>
                <w:right w:val="nil"/>
                <w:between w:val="nil"/>
              </w:pBdr>
              <w:ind w:left="175" w:hanging="175"/>
              <w:rPr>
                <w:rFonts w:ascii="Calibri" w:eastAsia="Calibri" w:hAnsi="Calibri" w:cs="Calibri"/>
                <w:color w:val="000000"/>
                <w:sz w:val="18"/>
                <w:szCs w:val="18"/>
              </w:rPr>
            </w:pPr>
            <w:r>
              <w:rPr>
                <w:rFonts w:ascii="Calibri" w:eastAsia="Calibri" w:hAnsi="Calibri" w:cs="Calibri"/>
                <w:color w:val="000000"/>
                <w:sz w:val="18"/>
                <w:szCs w:val="18"/>
              </w:rPr>
              <w:t>Integrated modelling tool is developed assisting in: appropriate quality for treated effluents and appropriate wastewater management solution for Shkodra city in Albania to be determined.</w:t>
            </w:r>
          </w:p>
          <w:p w14:paraId="45E9E5C3" w14:textId="77777777" w:rsidR="000F31AD" w:rsidRDefault="00A317E5" w:rsidP="0052081C">
            <w:pPr>
              <w:numPr>
                <w:ilvl w:val="0"/>
                <w:numId w:val="14"/>
              </w:numPr>
              <w:pBdr>
                <w:top w:val="nil"/>
                <w:left w:val="nil"/>
                <w:bottom w:val="nil"/>
                <w:right w:val="nil"/>
                <w:between w:val="nil"/>
              </w:pBdr>
              <w:ind w:left="175" w:hanging="175"/>
              <w:rPr>
                <w:rFonts w:ascii="Calibri" w:eastAsia="Calibri" w:hAnsi="Calibri" w:cs="Calibri"/>
                <w:color w:val="000000"/>
                <w:sz w:val="18"/>
                <w:szCs w:val="18"/>
              </w:rPr>
            </w:pPr>
            <w:r>
              <w:rPr>
                <w:rFonts w:ascii="Calibri" w:eastAsia="Calibri" w:hAnsi="Calibri" w:cs="Calibri"/>
                <w:color w:val="000000"/>
                <w:sz w:val="18"/>
                <w:szCs w:val="18"/>
              </w:rPr>
              <w:t>Facility, equipment and scheme for production of fuel-</w:t>
            </w:r>
            <w:r>
              <w:rPr>
                <w:rFonts w:ascii="Calibri" w:eastAsia="Calibri" w:hAnsi="Calibri" w:cs="Calibri"/>
                <w:color w:val="000000"/>
                <w:sz w:val="18"/>
                <w:szCs w:val="18"/>
              </w:rPr>
              <w:lastRenderedPageBreak/>
              <w:t>briquettes from Skadar Lake macrophytes biomass are established as means for the reduction of nutrient load in Shkoder/Skadar lake.</w:t>
            </w:r>
          </w:p>
          <w:p w14:paraId="39204CE5" w14:textId="77777777" w:rsidR="000F31AD" w:rsidRDefault="00A317E5" w:rsidP="0052081C">
            <w:pPr>
              <w:numPr>
                <w:ilvl w:val="0"/>
                <w:numId w:val="14"/>
              </w:numPr>
              <w:pBdr>
                <w:top w:val="nil"/>
                <w:left w:val="nil"/>
                <w:bottom w:val="nil"/>
                <w:right w:val="nil"/>
                <w:between w:val="nil"/>
              </w:pBdr>
              <w:ind w:left="175" w:hanging="175"/>
              <w:rPr>
                <w:rFonts w:ascii="Calibri" w:eastAsia="Calibri" w:hAnsi="Calibri" w:cs="Calibri"/>
                <w:color w:val="000000"/>
                <w:sz w:val="18"/>
                <w:szCs w:val="18"/>
              </w:rPr>
            </w:pPr>
            <w:r>
              <w:rPr>
                <w:rFonts w:ascii="Calibri" w:eastAsia="Calibri" w:hAnsi="Calibri" w:cs="Calibri"/>
                <w:color w:val="000000"/>
                <w:sz w:val="18"/>
                <w:szCs w:val="18"/>
              </w:rPr>
              <w:t>Ad hoc Flood Expert Working Group is established and Catchment Flood Risk Management Plan is prepared including emergency operation rules for dams.</w:t>
            </w:r>
          </w:p>
          <w:p w14:paraId="1CD72CA2" w14:textId="77777777" w:rsidR="000F31AD" w:rsidRDefault="00A317E5" w:rsidP="0052081C">
            <w:pPr>
              <w:numPr>
                <w:ilvl w:val="0"/>
                <w:numId w:val="14"/>
              </w:numPr>
              <w:pBdr>
                <w:top w:val="nil"/>
                <w:left w:val="nil"/>
                <w:bottom w:val="nil"/>
                <w:right w:val="nil"/>
                <w:between w:val="nil"/>
              </w:pBdr>
              <w:ind w:left="175" w:hanging="175"/>
              <w:rPr>
                <w:rFonts w:ascii="Calibri" w:eastAsia="Calibri" w:hAnsi="Calibri" w:cs="Calibri"/>
                <w:color w:val="000000"/>
                <w:sz w:val="18"/>
                <w:szCs w:val="18"/>
              </w:rPr>
            </w:pPr>
            <w:r>
              <w:rPr>
                <w:rFonts w:ascii="Calibri" w:eastAsia="Calibri" w:hAnsi="Calibri" w:cs="Calibri"/>
                <w:color w:val="000000"/>
                <w:sz w:val="18"/>
                <w:szCs w:val="18"/>
              </w:rPr>
              <w:t>A joint monitoring network in Skadar/ Shkoder and Buna/Bojana sub- basins is developed and tested</w:t>
            </w:r>
          </w:p>
          <w:p w14:paraId="2732CBFA" w14:textId="7E86D779" w:rsidR="00D96368" w:rsidRDefault="00D96368" w:rsidP="0052081C">
            <w:pPr>
              <w:numPr>
                <w:ilvl w:val="0"/>
                <w:numId w:val="14"/>
              </w:numPr>
              <w:pBdr>
                <w:top w:val="nil"/>
                <w:left w:val="nil"/>
                <w:bottom w:val="nil"/>
                <w:right w:val="nil"/>
                <w:between w:val="nil"/>
              </w:pBdr>
              <w:ind w:left="175" w:hanging="175"/>
              <w:rPr>
                <w:rFonts w:ascii="Calibri" w:eastAsia="Calibri" w:hAnsi="Calibri" w:cs="Calibri"/>
                <w:color w:val="000000"/>
                <w:sz w:val="18"/>
                <w:szCs w:val="18"/>
              </w:rPr>
            </w:pPr>
            <w:r>
              <w:rPr>
                <w:rFonts w:ascii="Calibri" w:eastAsia="Calibri" w:hAnsi="Calibri" w:cs="Calibri"/>
                <w:sz w:val="18"/>
                <w:szCs w:val="18"/>
              </w:rPr>
              <w:t xml:space="preserve">A wastewater treatment plant is constructed in Kramovic, Kosovo, and </w:t>
            </w:r>
            <w:r w:rsidR="00764B51">
              <w:rPr>
                <w:rFonts w:ascii="Calibri" w:eastAsia="Calibri" w:hAnsi="Calibri" w:cs="Calibri"/>
                <w:sz w:val="18"/>
                <w:szCs w:val="18"/>
              </w:rPr>
              <w:t xml:space="preserve">in </w:t>
            </w:r>
            <w:r>
              <w:rPr>
                <w:rFonts w:ascii="Calibri" w:eastAsia="Calibri" w:hAnsi="Calibri" w:cs="Calibri"/>
                <w:sz w:val="18"/>
                <w:szCs w:val="18"/>
              </w:rPr>
              <w:t>operate</w:t>
            </w:r>
            <w:r w:rsidR="00764B51">
              <w:rPr>
                <w:rFonts w:ascii="Calibri" w:eastAsia="Calibri" w:hAnsi="Calibri" w:cs="Calibri"/>
                <w:sz w:val="18"/>
                <w:szCs w:val="18"/>
              </w:rPr>
              <w:t>ion</w:t>
            </w:r>
            <w:r>
              <w:rPr>
                <w:rFonts w:ascii="Calibri" w:eastAsia="Calibri" w:hAnsi="Calibri" w:cs="Calibri"/>
                <w:sz w:val="18"/>
                <w:szCs w:val="18"/>
              </w:rPr>
              <w:t>.</w:t>
            </w:r>
          </w:p>
        </w:tc>
        <w:tc>
          <w:tcPr>
            <w:tcW w:w="2407" w:type="dxa"/>
            <w:tcBorders>
              <w:bottom w:val="single" w:sz="4" w:space="0" w:color="000000"/>
            </w:tcBorders>
          </w:tcPr>
          <w:p w14:paraId="62C8070A" w14:textId="77777777" w:rsidR="000F31AD" w:rsidRDefault="00A317E5">
            <w:pPr>
              <w:rPr>
                <w:rFonts w:ascii="Calibri" w:eastAsia="Calibri" w:hAnsi="Calibri" w:cs="Calibri"/>
                <w:sz w:val="18"/>
                <w:szCs w:val="18"/>
              </w:rPr>
            </w:pPr>
            <w:r>
              <w:rPr>
                <w:rFonts w:ascii="Calibri" w:eastAsia="Calibri" w:hAnsi="Calibri" w:cs="Calibri"/>
                <w:sz w:val="18"/>
                <w:szCs w:val="18"/>
              </w:rPr>
              <w:lastRenderedPageBreak/>
              <w:t>Regional experience so far does not include testing of IWRM in a large basin, coping measures for climate variability and change, nutrient management, amongst others.</w:t>
            </w:r>
          </w:p>
          <w:p w14:paraId="2EC306F1"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0AEE0C24"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69548A95"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No Basin Management Plan; the preparation, in accordance to the WFD, of a basin management plan for a shared water body is not tested in the Drin Basin. </w:t>
            </w:r>
          </w:p>
          <w:p w14:paraId="6B55573C"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44008239"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Shkodra city is a pollution hotspot affecting areas of paramount ecological importance. </w:t>
            </w:r>
          </w:p>
          <w:p w14:paraId="62908E0F"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5EA6CEFB"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405F64DA"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26ACC7BA"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4D76FDD1"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68F40D32"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75AB21EF"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4141C7CF"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139B1EF4"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40FF2672"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1772B8E9"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Nutrients enter the Shkoder/Skadar lake through its tributary, Moraca. De-forestation takes places in the Montenegrin part and collected wood is used for heating purposes. </w:t>
            </w:r>
          </w:p>
          <w:p w14:paraId="272C7FCA"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712F243F"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388E8A1C"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4F552C83"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11997D5A"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486A9E6A"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3D4C359B"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Floods have been having detrimental effects across the Drin Basin. The issue can’t be dealt with effectively with unilateral action. Related instruments/approaches and cooperation among Drin Riparians is necessary but absent. </w:t>
            </w:r>
          </w:p>
          <w:p w14:paraId="2FB140C5"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3E0E87A7" w14:textId="77777777" w:rsidR="000F31AD" w:rsidRDefault="000F31AD">
            <w:pPr>
              <w:pBdr>
                <w:top w:val="nil"/>
                <w:left w:val="nil"/>
                <w:bottom w:val="nil"/>
                <w:right w:val="nil"/>
                <w:between w:val="nil"/>
              </w:pBdr>
              <w:rPr>
                <w:rFonts w:ascii="Calibri" w:eastAsia="Calibri" w:hAnsi="Calibri" w:cs="Calibri"/>
                <w:color w:val="000000"/>
                <w:sz w:val="18"/>
                <w:szCs w:val="18"/>
              </w:rPr>
            </w:pPr>
          </w:p>
          <w:p w14:paraId="4E76F373"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Monitoring systems in Drin riparian countries are not harmonized undermining cooperation for the management of the transboundary Drin’s sub-basins. </w:t>
            </w:r>
          </w:p>
        </w:tc>
        <w:tc>
          <w:tcPr>
            <w:tcW w:w="2692" w:type="dxa"/>
            <w:tcBorders>
              <w:bottom w:val="single" w:sz="4" w:space="0" w:color="000000"/>
            </w:tcBorders>
          </w:tcPr>
          <w:p w14:paraId="44665E31" w14:textId="77777777" w:rsidR="000F31AD" w:rsidRDefault="00A317E5">
            <w:pPr>
              <w:rPr>
                <w:rFonts w:ascii="Calibri" w:eastAsia="Calibri" w:hAnsi="Calibri" w:cs="Calibri"/>
                <w:sz w:val="18"/>
                <w:szCs w:val="18"/>
              </w:rPr>
            </w:pPr>
            <w:r>
              <w:rPr>
                <w:rFonts w:ascii="Calibri" w:eastAsia="Calibri" w:hAnsi="Calibri" w:cs="Calibri"/>
                <w:sz w:val="18"/>
                <w:szCs w:val="18"/>
              </w:rPr>
              <w:lastRenderedPageBreak/>
              <w:t>Program fully implemented by the end of the project.</w:t>
            </w:r>
          </w:p>
          <w:p w14:paraId="2638485B" w14:textId="77777777" w:rsidR="000F31AD" w:rsidRDefault="000F31AD">
            <w:pPr>
              <w:rPr>
                <w:rFonts w:ascii="Calibri" w:eastAsia="Calibri" w:hAnsi="Calibri" w:cs="Calibri"/>
                <w:sz w:val="18"/>
                <w:szCs w:val="18"/>
              </w:rPr>
            </w:pPr>
          </w:p>
          <w:p w14:paraId="583C9AA2" w14:textId="77777777" w:rsidR="000F31AD" w:rsidRDefault="000F31AD">
            <w:pPr>
              <w:rPr>
                <w:rFonts w:ascii="Calibri" w:eastAsia="Calibri" w:hAnsi="Calibri" w:cs="Calibri"/>
                <w:sz w:val="18"/>
                <w:szCs w:val="18"/>
              </w:rPr>
            </w:pPr>
          </w:p>
          <w:p w14:paraId="28050EF2" w14:textId="77777777" w:rsidR="000F31AD" w:rsidRDefault="000F31AD">
            <w:pPr>
              <w:rPr>
                <w:rFonts w:ascii="Calibri" w:eastAsia="Calibri" w:hAnsi="Calibri" w:cs="Calibri"/>
                <w:sz w:val="18"/>
                <w:szCs w:val="18"/>
              </w:rPr>
            </w:pPr>
          </w:p>
          <w:p w14:paraId="651B2870" w14:textId="77777777" w:rsidR="000F31AD" w:rsidRDefault="000F31AD">
            <w:pPr>
              <w:rPr>
                <w:rFonts w:ascii="Calibri" w:eastAsia="Calibri" w:hAnsi="Calibri" w:cs="Calibri"/>
                <w:sz w:val="18"/>
                <w:szCs w:val="18"/>
              </w:rPr>
            </w:pPr>
          </w:p>
          <w:p w14:paraId="5DEB3850" w14:textId="77777777" w:rsidR="000F31AD" w:rsidRDefault="000F31AD">
            <w:pPr>
              <w:rPr>
                <w:rFonts w:ascii="Calibri" w:eastAsia="Calibri" w:hAnsi="Calibri" w:cs="Calibri"/>
                <w:sz w:val="18"/>
                <w:szCs w:val="18"/>
              </w:rPr>
            </w:pPr>
          </w:p>
          <w:p w14:paraId="23DC36EC" w14:textId="77777777" w:rsidR="000F31AD" w:rsidRDefault="000F31AD">
            <w:pPr>
              <w:rPr>
                <w:rFonts w:ascii="Calibri" w:eastAsia="Calibri" w:hAnsi="Calibri" w:cs="Calibri"/>
                <w:sz w:val="18"/>
                <w:szCs w:val="18"/>
              </w:rPr>
            </w:pPr>
          </w:p>
          <w:p w14:paraId="5233B7C0" w14:textId="77777777" w:rsidR="000F31AD" w:rsidRDefault="000F31AD">
            <w:pPr>
              <w:rPr>
                <w:rFonts w:ascii="Calibri" w:eastAsia="Calibri" w:hAnsi="Calibri" w:cs="Calibri"/>
                <w:sz w:val="18"/>
                <w:szCs w:val="18"/>
              </w:rPr>
            </w:pPr>
          </w:p>
          <w:p w14:paraId="251D2D8C" w14:textId="77777777" w:rsidR="000F31AD" w:rsidRDefault="00A317E5">
            <w:pPr>
              <w:rPr>
                <w:rFonts w:ascii="Calibri" w:eastAsia="Calibri" w:hAnsi="Calibri" w:cs="Calibri"/>
                <w:sz w:val="18"/>
                <w:szCs w:val="18"/>
              </w:rPr>
            </w:pPr>
            <w:r>
              <w:rPr>
                <w:rFonts w:ascii="Calibri" w:eastAsia="Calibri" w:hAnsi="Calibri" w:cs="Calibri"/>
                <w:sz w:val="18"/>
                <w:szCs w:val="18"/>
              </w:rPr>
              <w:t xml:space="preserve">The Ohrid Basin Management Plan is prepared and the WFD approach for the preparation of a management plan in a Drin’s transboundary sub-basin is tested. </w:t>
            </w:r>
          </w:p>
          <w:p w14:paraId="6B6923CE" w14:textId="77777777" w:rsidR="000F31AD" w:rsidRDefault="000F31AD">
            <w:pPr>
              <w:rPr>
                <w:rFonts w:ascii="Calibri" w:eastAsia="Calibri" w:hAnsi="Calibri" w:cs="Calibri"/>
                <w:sz w:val="18"/>
                <w:szCs w:val="18"/>
              </w:rPr>
            </w:pPr>
          </w:p>
          <w:p w14:paraId="3B8F8EC5" w14:textId="77777777" w:rsidR="000F31AD" w:rsidRDefault="00A317E5">
            <w:pPr>
              <w:rPr>
                <w:rFonts w:ascii="Calibri" w:eastAsia="Calibri" w:hAnsi="Calibri" w:cs="Calibri"/>
                <w:sz w:val="18"/>
                <w:szCs w:val="18"/>
              </w:rPr>
            </w:pPr>
            <w:r>
              <w:rPr>
                <w:rFonts w:ascii="Calibri" w:eastAsia="Calibri" w:hAnsi="Calibri" w:cs="Calibri"/>
                <w:sz w:val="18"/>
                <w:szCs w:val="18"/>
              </w:rPr>
              <w:t>Scientific sound and cost-effective solutions to address unsustainable wastewater management are identified; the tool used in this regard can be used in other ecologically sensitive areas facing similar pollution issues.</w:t>
            </w:r>
          </w:p>
          <w:p w14:paraId="0D64FC01" w14:textId="77777777" w:rsidR="000F31AD" w:rsidRDefault="000F31AD">
            <w:pPr>
              <w:rPr>
                <w:rFonts w:ascii="Calibri" w:eastAsia="Calibri" w:hAnsi="Calibri" w:cs="Calibri"/>
                <w:sz w:val="18"/>
                <w:szCs w:val="18"/>
              </w:rPr>
            </w:pPr>
          </w:p>
          <w:p w14:paraId="76245D12" w14:textId="77777777" w:rsidR="000F31AD" w:rsidRDefault="000F31AD">
            <w:pPr>
              <w:rPr>
                <w:rFonts w:ascii="Calibri" w:eastAsia="Calibri" w:hAnsi="Calibri" w:cs="Calibri"/>
                <w:sz w:val="18"/>
                <w:szCs w:val="18"/>
              </w:rPr>
            </w:pPr>
          </w:p>
          <w:p w14:paraId="6C1369E8" w14:textId="77777777" w:rsidR="000F31AD" w:rsidRDefault="000F31AD">
            <w:pPr>
              <w:rPr>
                <w:rFonts w:ascii="Calibri" w:eastAsia="Calibri" w:hAnsi="Calibri" w:cs="Calibri"/>
                <w:sz w:val="18"/>
                <w:szCs w:val="18"/>
              </w:rPr>
            </w:pPr>
          </w:p>
          <w:p w14:paraId="3FD2D88D" w14:textId="77777777" w:rsidR="000F31AD" w:rsidRDefault="000F31AD">
            <w:pPr>
              <w:rPr>
                <w:rFonts w:ascii="Calibri" w:eastAsia="Calibri" w:hAnsi="Calibri" w:cs="Calibri"/>
                <w:sz w:val="18"/>
                <w:szCs w:val="18"/>
              </w:rPr>
            </w:pPr>
          </w:p>
          <w:p w14:paraId="16CA6906" w14:textId="77777777" w:rsidR="000F31AD" w:rsidRDefault="000F31AD">
            <w:pPr>
              <w:rPr>
                <w:rFonts w:ascii="Calibri" w:eastAsia="Calibri" w:hAnsi="Calibri" w:cs="Calibri"/>
                <w:sz w:val="18"/>
                <w:szCs w:val="18"/>
              </w:rPr>
            </w:pPr>
          </w:p>
          <w:p w14:paraId="6E2BCFD0" w14:textId="77777777" w:rsidR="000F31AD" w:rsidRDefault="000F31AD">
            <w:pPr>
              <w:rPr>
                <w:rFonts w:ascii="Calibri" w:eastAsia="Calibri" w:hAnsi="Calibri" w:cs="Calibri"/>
                <w:sz w:val="18"/>
                <w:szCs w:val="18"/>
              </w:rPr>
            </w:pPr>
          </w:p>
          <w:p w14:paraId="21D04717" w14:textId="77777777" w:rsidR="000F31AD" w:rsidRDefault="00A317E5">
            <w:pPr>
              <w:rPr>
                <w:rFonts w:ascii="Calibri" w:eastAsia="Calibri" w:hAnsi="Calibri" w:cs="Calibri"/>
                <w:sz w:val="18"/>
                <w:szCs w:val="18"/>
              </w:rPr>
            </w:pPr>
            <w:r>
              <w:rPr>
                <w:rFonts w:ascii="Calibri" w:eastAsia="Calibri" w:hAnsi="Calibri" w:cs="Calibri"/>
                <w:sz w:val="18"/>
                <w:szCs w:val="18"/>
              </w:rPr>
              <w:t>A solution for the removal of nutrients loads from the lake and the reduction of pressure on forests is tested.</w:t>
            </w:r>
          </w:p>
          <w:p w14:paraId="4E43FFD1" w14:textId="77777777" w:rsidR="000F31AD" w:rsidRDefault="000F31AD">
            <w:pPr>
              <w:rPr>
                <w:rFonts w:ascii="Calibri" w:eastAsia="Calibri" w:hAnsi="Calibri" w:cs="Calibri"/>
                <w:sz w:val="18"/>
                <w:szCs w:val="18"/>
              </w:rPr>
            </w:pPr>
          </w:p>
          <w:p w14:paraId="21B9D330" w14:textId="77777777" w:rsidR="000F31AD" w:rsidRDefault="000F31AD">
            <w:pPr>
              <w:rPr>
                <w:rFonts w:ascii="Calibri" w:eastAsia="Calibri" w:hAnsi="Calibri" w:cs="Calibri"/>
                <w:sz w:val="18"/>
                <w:szCs w:val="18"/>
              </w:rPr>
            </w:pPr>
          </w:p>
          <w:p w14:paraId="70E79F3E" w14:textId="77777777" w:rsidR="000F31AD" w:rsidRDefault="000F31AD">
            <w:pPr>
              <w:rPr>
                <w:rFonts w:ascii="Calibri" w:eastAsia="Calibri" w:hAnsi="Calibri" w:cs="Calibri"/>
                <w:sz w:val="18"/>
                <w:szCs w:val="18"/>
              </w:rPr>
            </w:pPr>
          </w:p>
          <w:p w14:paraId="00D50051" w14:textId="77777777" w:rsidR="000F31AD" w:rsidRDefault="000F31AD">
            <w:pPr>
              <w:rPr>
                <w:rFonts w:ascii="Calibri" w:eastAsia="Calibri" w:hAnsi="Calibri" w:cs="Calibri"/>
                <w:sz w:val="18"/>
                <w:szCs w:val="18"/>
              </w:rPr>
            </w:pPr>
          </w:p>
          <w:p w14:paraId="0679E165" w14:textId="77777777" w:rsidR="000F31AD" w:rsidRDefault="000F31AD">
            <w:pPr>
              <w:rPr>
                <w:rFonts w:ascii="Calibri" w:eastAsia="Calibri" w:hAnsi="Calibri" w:cs="Calibri"/>
                <w:sz w:val="18"/>
                <w:szCs w:val="18"/>
              </w:rPr>
            </w:pPr>
          </w:p>
          <w:p w14:paraId="0CC89B7D" w14:textId="77777777" w:rsidR="000F31AD" w:rsidRDefault="000F31AD">
            <w:pPr>
              <w:rPr>
                <w:rFonts w:ascii="Calibri" w:eastAsia="Calibri" w:hAnsi="Calibri" w:cs="Calibri"/>
                <w:sz w:val="18"/>
                <w:szCs w:val="18"/>
              </w:rPr>
            </w:pPr>
          </w:p>
          <w:p w14:paraId="0701C770" w14:textId="77777777" w:rsidR="000F31AD" w:rsidRDefault="000F31AD">
            <w:pPr>
              <w:rPr>
                <w:rFonts w:ascii="Calibri" w:eastAsia="Calibri" w:hAnsi="Calibri" w:cs="Calibri"/>
                <w:sz w:val="18"/>
                <w:szCs w:val="18"/>
              </w:rPr>
            </w:pPr>
          </w:p>
          <w:p w14:paraId="6A4CD0A8" w14:textId="77777777" w:rsidR="000F31AD" w:rsidRDefault="000F31AD">
            <w:pPr>
              <w:rPr>
                <w:rFonts w:ascii="Calibri" w:eastAsia="Calibri" w:hAnsi="Calibri" w:cs="Calibri"/>
                <w:sz w:val="18"/>
                <w:szCs w:val="18"/>
              </w:rPr>
            </w:pPr>
          </w:p>
          <w:p w14:paraId="1FEDBF8A" w14:textId="77777777" w:rsidR="000F31AD" w:rsidRDefault="000F31AD">
            <w:pPr>
              <w:rPr>
                <w:rFonts w:ascii="Calibri" w:eastAsia="Calibri" w:hAnsi="Calibri" w:cs="Calibri"/>
                <w:sz w:val="18"/>
                <w:szCs w:val="18"/>
              </w:rPr>
            </w:pPr>
          </w:p>
          <w:p w14:paraId="7ED9DC82" w14:textId="77777777" w:rsidR="000F31AD" w:rsidRDefault="00A317E5">
            <w:pPr>
              <w:rPr>
                <w:rFonts w:ascii="Calibri" w:eastAsia="Calibri" w:hAnsi="Calibri" w:cs="Calibri"/>
                <w:sz w:val="18"/>
                <w:szCs w:val="18"/>
              </w:rPr>
            </w:pPr>
            <w:r>
              <w:rPr>
                <w:rFonts w:ascii="Calibri" w:eastAsia="Calibri" w:hAnsi="Calibri" w:cs="Calibri"/>
                <w:sz w:val="18"/>
                <w:szCs w:val="18"/>
              </w:rPr>
              <w:t>Facilitated cooperation among Drin riparian countries for the management of flood risk implementing approaches new to the area.</w:t>
            </w:r>
          </w:p>
          <w:p w14:paraId="06ED5D18" w14:textId="77777777" w:rsidR="000F31AD" w:rsidRDefault="000F31AD">
            <w:pPr>
              <w:rPr>
                <w:rFonts w:ascii="Calibri" w:eastAsia="Calibri" w:hAnsi="Calibri" w:cs="Calibri"/>
                <w:sz w:val="18"/>
                <w:szCs w:val="18"/>
              </w:rPr>
            </w:pPr>
          </w:p>
          <w:p w14:paraId="5B190A8E" w14:textId="77777777" w:rsidR="000F31AD" w:rsidRDefault="000F31AD">
            <w:pPr>
              <w:rPr>
                <w:rFonts w:ascii="Calibri" w:eastAsia="Calibri" w:hAnsi="Calibri" w:cs="Calibri"/>
                <w:sz w:val="18"/>
                <w:szCs w:val="18"/>
              </w:rPr>
            </w:pPr>
          </w:p>
          <w:p w14:paraId="6AB6C333" w14:textId="77777777" w:rsidR="000F31AD" w:rsidRDefault="000F31AD">
            <w:pPr>
              <w:rPr>
                <w:rFonts w:ascii="Calibri" w:eastAsia="Calibri" w:hAnsi="Calibri" w:cs="Calibri"/>
                <w:sz w:val="18"/>
                <w:szCs w:val="18"/>
              </w:rPr>
            </w:pPr>
          </w:p>
          <w:p w14:paraId="006B5EA9" w14:textId="77777777" w:rsidR="000F31AD" w:rsidRDefault="000F31AD">
            <w:pPr>
              <w:rPr>
                <w:rFonts w:ascii="Calibri" w:eastAsia="Calibri" w:hAnsi="Calibri" w:cs="Calibri"/>
                <w:sz w:val="18"/>
                <w:szCs w:val="18"/>
              </w:rPr>
            </w:pPr>
          </w:p>
          <w:p w14:paraId="321B38C9" w14:textId="77777777" w:rsidR="000F31AD" w:rsidRDefault="000F31AD">
            <w:pPr>
              <w:rPr>
                <w:rFonts w:ascii="Calibri" w:eastAsia="Calibri" w:hAnsi="Calibri" w:cs="Calibri"/>
                <w:sz w:val="18"/>
                <w:szCs w:val="18"/>
              </w:rPr>
            </w:pPr>
          </w:p>
          <w:p w14:paraId="595E441F" w14:textId="77777777" w:rsidR="000F31AD" w:rsidRDefault="000F31AD">
            <w:pPr>
              <w:rPr>
                <w:rFonts w:ascii="Calibri" w:eastAsia="Calibri" w:hAnsi="Calibri" w:cs="Calibri"/>
                <w:sz w:val="18"/>
                <w:szCs w:val="18"/>
              </w:rPr>
            </w:pPr>
          </w:p>
          <w:p w14:paraId="5760BD2D" w14:textId="77777777" w:rsidR="000F31AD" w:rsidRDefault="00A317E5">
            <w:pPr>
              <w:rPr>
                <w:rFonts w:ascii="Calibri" w:eastAsia="Calibri" w:hAnsi="Calibri" w:cs="Calibri"/>
                <w:sz w:val="18"/>
                <w:szCs w:val="18"/>
              </w:rPr>
            </w:pPr>
            <w:r>
              <w:rPr>
                <w:rFonts w:ascii="Calibri" w:eastAsia="Calibri" w:hAnsi="Calibri" w:cs="Calibri"/>
                <w:sz w:val="18"/>
                <w:szCs w:val="18"/>
              </w:rPr>
              <w:t>Transboundary monitoring network is tested capacitating Drin riparian countries to replicate this to the rest of the Drin sub-basins</w:t>
            </w:r>
          </w:p>
          <w:p w14:paraId="630622B2" w14:textId="77777777" w:rsidR="00D96368" w:rsidRDefault="00D96368">
            <w:pPr>
              <w:rPr>
                <w:rFonts w:ascii="Calibri" w:eastAsia="Calibri" w:hAnsi="Calibri" w:cs="Calibri"/>
                <w:sz w:val="18"/>
                <w:szCs w:val="18"/>
              </w:rPr>
            </w:pPr>
          </w:p>
          <w:p w14:paraId="7C13BD7B" w14:textId="77777777" w:rsidR="00D96368" w:rsidRDefault="00D96368">
            <w:pPr>
              <w:rPr>
                <w:rFonts w:ascii="Calibri" w:eastAsia="Calibri" w:hAnsi="Calibri" w:cs="Calibri"/>
                <w:sz w:val="18"/>
                <w:szCs w:val="18"/>
              </w:rPr>
            </w:pPr>
          </w:p>
          <w:p w14:paraId="1DE85464" w14:textId="77777777" w:rsidR="00D96368" w:rsidRDefault="00D96368">
            <w:pPr>
              <w:rPr>
                <w:rFonts w:ascii="Calibri" w:eastAsia="Calibri" w:hAnsi="Calibri" w:cs="Calibri"/>
                <w:sz w:val="18"/>
                <w:szCs w:val="18"/>
              </w:rPr>
            </w:pPr>
          </w:p>
          <w:p w14:paraId="10683B15" w14:textId="1BEEABED" w:rsidR="00D96368" w:rsidRDefault="00D96368">
            <w:pPr>
              <w:rPr>
                <w:rFonts w:ascii="Calibri" w:eastAsia="Calibri" w:hAnsi="Calibri" w:cs="Calibri"/>
                <w:sz w:val="18"/>
                <w:szCs w:val="18"/>
              </w:rPr>
            </w:pPr>
            <w:r>
              <w:rPr>
                <w:rFonts w:ascii="Calibri" w:eastAsia="Calibri" w:hAnsi="Calibri" w:cs="Calibri"/>
                <w:sz w:val="18"/>
                <w:szCs w:val="18"/>
              </w:rPr>
              <w:t>The wastewater treatment plant is constructed and operates.</w:t>
            </w:r>
          </w:p>
        </w:tc>
        <w:tc>
          <w:tcPr>
            <w:tcW w:w="1198" w:type="dxa"/>
            <w:tcBorders>
              <w:bottom w:val="single" w:sz="4" w:space="0" w:color="000000"/>
            </w:tcBorders>
            <w:shd w:val="clear" w:color="auto" w:fill="00B050"/>
          </w:tcPr>
          <w:p w14:paraId="09AF604F" w14:textId="77777777" w:rsidR="000F31AD" w:rsidRDefault="000F31AD">
            <w:pPr>
              <w:rPr>
                <w:rFonts w:ascii="Calibri" w:eastAsia="Calibri" w:hAnsi="Calibri" w:cs="Calibri"/>
                <w:sz w:val="18"/>
                <w:szCs w:val="18"/>
              </w:rPr>
            </w:pPr>
          </w:p>
        </w:tc>
        <w:tc>
          <w:tcPr>
            <w:tcW w:w="3830" w:type="dxa"/>
            <w:tcBorders>
              <w:bottom w:val="single" w:sz="4" w:space="0" w:color="000000"/>
            </w:tcBorders>
          </w:tcPr>
          <w:p w14:paraId="280E7BB6" w14:textId="77777777" w:rsidR="000F31AD" w:rsidRPr="00894841" w:rsidRDefault="00A317E5" w:rsidP="0052081C">
            <w:pPr>
              <w:pStyle w:val="ListParagraph"/>
              <w:numPr>
                <w:ilvl w:val="0"/>
                <w:numId w:val="15"/>
              </w:numPr>
              <w:pBdr>
                <w:top w:val="nil"/>
                <w:left w:val="nil"/>
                <w:bottom w:val="nil"/>
                <w:right w:val="nil"/>
                <w:between w:val="nil"/>
              </w:pBdr>
              <w:ind w:left="114" w:hanging="142"/>
              <w:rPr>
                <w:rFonts w:ascii="Calibri" w:eastAsia="Calibri" w:hAnsi="Calibri" w:cs="Calibri"/>
                <w:color w:val="000000"/>
                <w:sz w:val="18"/>
                <w:szCs w:val="18"/>
              </w:rPr>
            </w:pPr>
            <w:r w:rsidRPr="00894841">
              <w:rPr>
                <w:rFonts w:ascii="Calibri" w:eastAsia="Calibri" w:hAnsi="Calibri" w:cs="Calibri"/>
                <w:color w:val="000000"/>
                <w:sz w:val="18"/>
                <w:szCs w:val="18"/>
              </w:rPr>
              <w:t>Lake Ohrid Management Plan is developed in full accordance with the EU WFD (2000/60/EC) and the pertinent national legislation of Albania and North Macedonia. Three -transboundary level- monitoring expeditions and analysis of samples for the determination of the level of parameters listed in the WFD for the assessment of the environmental status of the basin, were done for the first time ever and used for the development of the plan. The plan is approved by the DCG as well as by North Macedonia and Albania. The activity contributed to the re-establishment of the Lake Ohrid Watershed Management Committee.</w:t>
            </w:r>
          </w:p>
          <w:p w14:paraId="4EACB3C2" w14:textId="77777777" w:rsidR="000F31AD" w:rsidRPr="00894841" w:rsidRDefault="00A317E5" w:rsidP="0052081C">
            <w:pPr>
              <w:pStyle w:val="ListParagraph"/>
              <w:numPr>
                <w:ilvl w:val="0"/>
                <w:numId w:val="15"/>
              </w:numPr>
              <w:pBdr>
                <w:top w:val="nil"/>
                <w:left w:val="nil"/>
                <w:bottom w:val="nil"/>
                <w:right w:val="nil"/>
                <w:between w:val="nil"/>
              </w:pBdr>
              <w:ind w:left="114" w:hanging="142"/>
              <w:rPr>
                <w:rFonts w:ascii="Calibri" w:eastAsia="Calibri" w:hAnsi="Calibri" w:cs="Calibri"/>
                <w:color w:val="000000"/>
                <w:sz w:val="18"/>
                <w:szCs w:val="18"/>
              </w:rPr>
            </w:pPr>
            <w:r w:rsidRPr="00894841">
              <w:rPr>
                <w:rFonts w:ascii="Calibri" w:eastAsia="Calibri" w:hAnsi="Calibri" w:cs="Calibri"/>
                <w:color w:val="000000"/>
                <w:sz w:val="18"/>
                <w:szCs w:val="18"/>
              </w:rPr>
              <w:t xml:space="preserve">Wastewater integrated modelling tool is developed and was tested for the Shkodra city. The tool was used to assess the applicability of different technologies and develop related recommendations with regard to the management of wastewater for the Shkodra city. Related management options were presented to the Shkodra Municipality and stakeholders from the region during a web-based event organized on 1 July 2020. The modelling tool was finalized based on the remarks provided during the meeting. A training on the use of the tool was organized on 11-12 November 2020.  The tool is available </w:t>
            </w:r>
            <w:r w:rsidRPr="00894841">
              <w:rPr>
                <w:rFonts w:ascii="Calibri" w:eastAsia="Calibri" w:hAnsi="Calibri" w:cs="Calibri"/>
                <w:color w:val="000000"/>
                <w:sz w:val="18"/>
                <w:szCs w:val="18"/>
              </w:rPr>
              <w:lastRenderedPageBreak/>
              <w:t>for use by the institutions in the Drin riparian countries for determining the appropriate wastewater management solutions in other ecologically sensitive areas in the Drin Basin.</w:t>
            </w:r>
          </w:p>
          <w:p w14:paraId="0440C5EE" w14:textId="77777777" w:rsidR="000F31AD" w:rsidRPr="00894841" w:rsidRDefault="00A317E5" w:rsidP="0052081C">
            <w:pPr>
              <w:pStyle w:val="ListParagraph"/>
              <w:numPr>
                <w:ilvl w:val="0"/>
                <w:numId w:val="15"/>
              </w:numPr>
              <w:pBdr>
                <w:top w:val="nil"/>
                <w:left w:val="nil"/>
                <w:bottom w:val="nil"/>
                <w:right w:val="nil"/>
                <w:between w:val="nil"/>
              </w:pBdr>
              <w:ind w:left="114" w:hanging="142"/>
              <w:rPr>
                <w:rFonts w:ascii="Calibri" w:eastAsia="Calibri" w:hAnsi="Calibri" w:cs="Calibri"/>
                <w:color w:val="000000"/>
                <w:sz w:val="18"/>
                <w:szCs w:val="18"/>
              </w:rPr>
            </w:pPr>
            <w:r w:rsidRPr="00894841">
              <w:rPr>
                <w:rFonts w:ascii="Calibri" w:eastAsia="Calibri" w:hAnsi="Calibri" w:cs="Calibri"/>
                <w:color w:val="000000"/>
                <w:sz w:val="18"/>
                <w:szCs w:val="18"/>
              </w:rPr>
              <w:t xml:space="preserve">The pilot activity on reduction of nutrient load and forest preservation through biomass collection and production of fuel briquettes in the Montenegrin part of Skadar Lake is concluded. The equipment will be used by the National Park Skadar in Montenegro for the production of pellets by using/removing excessive -as a result of excessive nutrients input- biomass from the lake’s system as means for the reduction of nutrient load in Shkoder/Skadar lake. </w:t>
            </w:r>
          </w:p>
          <w:p w14:paraId="43F5F4C8" w14:textId="77777777" w:rsidR="000F31AD" w:rsidRPr="00894841" w:rsidRDefault="00A317E5" w:rsidP="0052081C">
            <w:pPr>
              <w:pStyle w:val="ListParagraph"/>
              <w:numPr>
                <w:ilvl w:val="0"/>
                <w:numId w:val="15"/>
              </w:numPr>
              <w:pBdr>
                <w:top w:val="nil"/>
                <w:left w:val="nil"/>
                <w:bottom w:val="nil"/>
                <w:right w:val="nil"/>
                <w:between w:val="nil"/>
              </w:pBdr>
              <w:ind w:left="114" w:hanging="142"/>
              <w:rPr>
                <w:rFonts w:ascii="Calibri" w:eastAsia="Calibri" w:hAnsi="Calibri" w:cs="Calibri"/>
                <w:color w:val="000000"/>
                <w:sz w:val="18"/>
                <w:szCs w:val="18"/>
              </w:rPr>
            </w:pPr>
            <w:r w:rsidRPr="00894841">
              <w:rPr>
                <w:rFonts w:ascii="Calibri" w:eastAsia="Calibri" w:hAnsi="Calibri" w:cs="Calibri"/>
                <w:color w:val="000000"/>
                <w:sz w:val="18"/>
                <w:szCs w:val="18"/>
              </w:rPr>
              <w:t xml:space="preserve">Cooperation on Flood Risk Management in the Drin Basin resulted in the establishment of EWG on Floods, and Testing feasibility of flood micro-insurance in the Shkoder/Skadar Lake area, and Struga areas in Drin Basin.      </w:t>
            </w:r>
          </w:p>
          <w:p w14:paraId="440BE34A" w14:textId="77777777" w:rsidR="000F31AD" w:rsidRPr="00894841" w:rsidRDefault="00A317E5" w:rsidP="0052081C">
            <w:pPr>
              <w:pStyle w:val="ListParagraph"/>
              <w:numPr>
                <w:ilvl w:val="0"/>
                <w:numId w:val="15"/>
              </w:numPr>
              <w:pBdr>
                <w:top w:val="nil"/>
                <w:left w:val="nil"/>
                <w:bottom w:val="nil"/>
                <w:right w:val="nil"/>
                <w:between w:val="nil"/>
              </w:pBdr>
              <w:ind w:left="114" w:hanging="142"/>
              <w:rPr>
                <w:rFonts w:ascii="Calibri" w:eastAsia="Calibri" w:hAnsi="Calibri" w:cs="Calibri"/>
                <w:color w:val="000000"/>
                <w:sz w:val="18"/>
                <w:szCs w:val="18"/>
              </w:rPr>
            </w:pPr>
            <w:r w:rsidRPr="00894841">
              <w:rPr>
                <w:rFonts w:ascii="Calibri" w:eastAsia="Calibri" w:hAnsi="Calibri" w:cs="Calibri"/>
                <w:color w:val="000000"/>
                <w:sz w:val="18"/>
                <w:szCs w:val="18"/>
              </w:rPr>
              <w:t>A transboundary monitoring network in Skadar/Shkoder and Buna/Bojana sub-basins in Albania and Montenegro is developed and tested, capacitating Drin Riparians to replicate this in the rest of the Drin’s sub-basins. Training modules for the experts of both countries were prepared and a training was organized.  UNESCO purchased -using own resources- equipped wells -one existing in Montenegro and one newly drilled in Albania- with newly acquired instrumentation and tested this in cooperation with the Geological Surveys of Albania and Montenegro.</w:t>
            </w:r>
          </w:p>
          <w:p w14:paraId="171B69BF" w14:textId="77777777" w:rsidR="00D96368" w:rsidRPr="00894841" w:rsidRDefault="00D96368" w:rsidP="0052081C">
            <w:pPr>
              <w:pStyle w:val="ListParagraph"/>
              <w:numPr>
                <w:ilvl w:val="0"/>
                <w:numId w:val="15"/>
              </w:numPr>
              <w:pBdr>
                <w:top w:val="nil"/>
                <w:left w:val="nil"/>
                <w:bottom w:val="nil"/>
                <w:right w:val="nil"/>
                <w:between w:val="nil"/>
              </w:pBdr>
              <w:ind w:left="114" w:hanging="142"/>
              <w:rPr>
                <w:rFonts w:ascii="Calibri" w:eastAsia="Calibri" w:hAnsi="Calibri" w:cs="Calibri"/>
                <w:color w:val="000000"/>
                <w:sz w:val="18"/>
                <w:szCs w:val="18"/>
              </w:rPr>
            </w:pPr>
            <w:r w:rsidRPr="00894841">
              <w:rPr>
                <w:rFonts w:ascii="Calibri" w:eastAsia="Calibri" w:hAnsi="Calibri" w:cs="Calibri"/>
                <w:color w:val="000000"/>
                <w:sz w:val="18"/>
                <w:szCs w:val="18"/>
              </w:rPr>
              <w:t>The wastewater treatment plant using the “constructed wetlands” technology is operating in the village of Kramovic in Kosovo.</w:t>
            </w:r>
          </w:p>
          <w:p w14:paraId="4DBC74C5" w14:textId="2C975104" w:rsidR="00D96368" w:rsidRDefault="00D96368" w:rsidP="00894841">
            <w:pPr>
              <w:pBdr>
                <w:top w:val="nil"/>
                <w:left w:val="nil"/>
                <w:bottom w:val="nil"/>
                <w:right w:val="nil"/>
                <w:between w:val="nil"/>
              </w:pBdr>
              <w:ind w:left="114" w:hanging="142"/>
              <w:rPr>
                <w:rFonts w:ascii="Calibri" w:eastAsia="Calibri" w:hAnsi="Calibri" w:cs="Calibri"/>
                <w:color w:val="000000"/>
                <w:sz w:val="18"/>
                <w:szCs w:val="18"/>
              </w:rPr>
            </w:pPr>
          </w:p>
        </w:tc>
      </w:tr>
      <w:tr w:rsidR="000F31AD" w14:paraId="49CACBF8" w14:textId="77777777">
        <w:trPr>
          <w:trHeight w:val="234"/>
        </w:trPr>
        <w:tc>
          <w:tcPr>
            <w:tcW w:w="13948" w:type="dxa"/>
            <w:gridSpan w:val="6"/>
            <w:shd w:val="clear" w:color="auto" w:fill="FBE5D5"/>
          </w:tcPr>
          <w:p w14:paraId="7DB6D61A" w14:textId="77777777" w:rsidR="000F31AD" w:rsidRDefault="00A317E5">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Component 5: Stakeholder involvement, gender mainstreaming and communication </w:t>
            </w:r>
          </w:p>
          <w:p w14:paraId="6A408F6A" w14:textId="77777777" w:rsidR="000F31AD" w:rsidRDefault="000F31AD">
            <w:pPr>
              <w:rPr>
                <w:rFonts w:ascii="Calibri" w:eastAsia="Calibri" w:hAnsi="Calibri" w:cs="Calibri"/>
                <w:sz w:val="18"/>
                <w:szCs w:val="18"/>
              </w:rPr>
            </w:pPr>
          </w:p>
        </w:tc>
      </w:tr>
      <w:tr w:rsidR="000F31AD" w14:paraId="48B60C16" w14:textId="77777777">
        <w:trPr>
          <w:trHeight w:val="494"/>
        </w:trPr>
        <w:tc>
          <w:tcPr>
            <w:tcW w:w="1980" w:type="dxa"/>
          </w:tcPr>
          <w:p w14:paraId="03FFC99B" w14:textId="77777777" w:rsidR="000F31AD" w:rsidRDefault="00A317E5">
            <w:pPr>
              <w:rPr>
                <w:rFonts w:ascii="Calibri" w:eastAsia="Calibri" w:hAnsi="Calibri" w:cs="Calibri"/>
                <w:b/>
                <w:sz w:val="18"/>
                <w:szCs w:val="18"/>
              </w:rPr>
            </w:pPr>
            <w:r>
              <w:rPr>
                <w:rFonts w:ascii="Calibri" w:eastAsia="Calibri" w:hAnsi="Calibri" w:cs="Calibri"/>
                <w:b/>
                <w:sz w:val="18"/>
                <w:szCs w:val="18"/>
              </w:rPr>
              <w:lastRenderedPageBreak/>
              <w:t>Outcome 6:</w:t>
            </w:r>
          </w:p>
          <w:p w14:paraId="06E5F0FD" w14:textId="77777777" w:rsidR="000F31AD" w:rsidRDefault="00A317E5">
            <w:pPr>
              <w:rPr>
                <w:rFonts w:ascii="Calibri" w:eastAsia="Calibri" w:hAnsi="Calibri" w:cs="Calibri"/>
                <w:sz w:val="18"/>
                <w:szCs w:val="18"/>
              </w:rPr>
            </w:pPr>
            <w:r>
              <w:rPr>
                <w:rFonts w:ascii="Calibri" w:eastAsia="Calibri" w:hAnsi="Calibri" w:cs="Calibri"/>
                <w:sz w:val="18"/>
                <w:szCs w:val="18"/>
              </w:rPr>
              <w:t xml:space="preserve">Public support and participation to IWRM and joint multi-country management enhanced through stakeholder involvement and gender mainstreaming </w:t>
            </w:r>
          </w:p>
        </w:tc>
        <w:tc>
          <w:tcPr>
            <w:tcW w:w="1841" w:type="dxa"/>
          </w:tcPr>
          <w:p w14:paraId="3E5ADDCC" w14:textId="77777777" w:rsidR="000F31AD" w:rsidRDefault="00A317E5">
            <w:pPr>
              <w:rPr>
                <w:rFonts w:ascii="Calibri" w:eastAsia="Calibri" w:hAnsi="Calibri" w:cs="Calibri"/>
                <w:sz w:val="18"/>
                <w:szCs w:val="18"/>
              </w:rPr>
            </w:pPr>
            <w:r>
              <w:rPr>
                <w:rFonts w:ascii="Calibri" w:eastAsia="Calibri" w:hAnsi="Calibri" w:cs="Calibri"/>
                <w:sz w:val="18"/>
                <w:szCs w:val="18"/>
              </w:rPr>
              <w:t>1. Stakeholder Involvement and Gender Mainstreaming Strategy is defined and adopted by Drin Core Group.</w:t>
            </w:r>
          </w:p>
        </w:tc>
        <w:tc>
          <w:tcPr>
            <w:tcW w:w="2407" w:type="dxa"/>
          </w:tcPr>
          <w:p w14:paraId="3EFBA451"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Level of public participation in decision-making is unclear in all countries, with efforts being made to introduce/implement legislation leading to increased stakeholder involvement and public participation. Gender issues not yet considered. </w:t>
            </w:r>
          </w:p>
          <w:p w14:paraId="56DB7CA9" w14:textId="77777777" w:rsidR="000F31AD" w:rsidRDefault="000F31AD">
            <w:pPr>
              <w:rPr>
                <w:rFonts w:ascii="Calibri" w:eastAsia="Calibri" w:hAnsi="Calibri" w:cs="Calibri"/>
                <w:sz w:val="18"/>
                <w:szCs w:val="18"/>
              </w:rPr>
            </w:pPr>
          </w:p>
        </w:tc>
        <w:tc>
          <w:tcPr>
            <w:tcW w:w="2692" w:type="dxa"/>
          </w:tcPr>
          <w:p w14:paraId="3D4A32F1" w14:textId="77777777" w:rsidR="000F31AD" w:rsidRDefault="00A317E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Drin Core Group approval of Stakeholder Involvement and Gender Mainstreaming Strategies </w:t>
            </w:r>
          </w:p>
          <w:p w14:paraId="62910F55" w14:textId="77777777" w:rsidR="000F31AD" w:rsidRDefault="000F31AD">
            <w:pPr>
              <w:rPr>
                <w:rFonts w:ascii="Calibri" w:eastAsia="Calibri" w:hAnsi="Calibri" w:cs="Calibri"/>
                <w:sz w:val="18"/>
                <w:szCs w:val="18"/>
              </w:rPr>
            </w:pPr>
          </w:p>
        </w:tc>
        <w:tc>
          <w:tcPr>
            <w:tcW w:w="1198" w:type="dxa"/>
            <w:tcBorders>
              <w:bottom w:val="single" w:sz="4" w:space="0" w:color="000000"/>
            </w:tcBorders>
            <w:shd w:val="clear" w:color="auto" w:fill="00B050"/>
          </w:tcPr>
          <w:p w14:paraId="72060A2A" w14:textId="77777777" w:rsidR="000F31AD" w:rsidRDefault="000F31AD">
            <w:pPr>
              <w:rPr>
                <w:rFonts w:ascii="Calibri" w:eastAsia="Calibri" w:hAnsi="Calibri" w:cs="Calibri"/>
                <w:sz w:val="18"/>
                <w:szCs w:val="18"/>
              </w:rPr>
            </w:pPr>
          </w:p>
        </w:tc>
        <w:tc>
          <w:tcPr>
            <w:tcW w:w="3830" w:type="dxa"/>
          </w:tcPr>
          <w:p w14:paraId="6CC0E8BD" w14:textId="77777777"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 xml:space="preserve">Drin Core Group approval of Stakeholder Involvement and Gender Mainstreaming Strategies. Stakeholders were extensively engaged for the needs of the development of the Stakeholders analysis and the Transboundary Diagnostic Analysis in the beginning of the project. </w:t>
            </w:r>
          </w:p>
          <w:p w14:paraId="3FAD81B0" w14:textId="773C18FB"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A full-fledged consultation process on the Causal Chain Analysis validation and the SAP development included six focus groups meeting</w:t>
            </w:r>
            <w:r w:rsidR="003A2B76">
              <w:rPr>
                <w:rFonts w:ascii="Calibri" w:eastAsia="Calibri" w:hAnsi="Calibri" w:cs="Calibri"/>
                <w:color w:val="000000"/>
                <w:sz w:val="18"/>
                <w:szCs w:val="18"/>
              </w:rPr>
              <w:t>s</w:t>
            </w:r>
            <w:r>
              <w:rPr>
                <w:rFonts w:ascii="Calibri" w:eastAsia="Calibri" w:hAnsi="Calibri" w:cs="Calibri"/>
                <w:color w:val="000000"/>
                <w:sz w:val="18"/>
                <w:szCs w:val="18"/>
              </w:rPr>
              <w:t>, in all Riparians that are beneficiary to the project, involving 173 representatives of stakeholders. Meetings with responsible institutions including municipalities and consultations with stakeholders were organized as part of the implementation of the demonstration activities.</w:t>
            </w:r>
          </w:p>
          <w:p w14:paraId="7E550D7B" w14:textId="0C93032D" w:rsidR="000F31AD" w:rsidRDefault="00496F3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 xml:space="preserve">Six </w:t>
            </w:r>
            <w:r w:rsidR="00A317E5">
              <w:rPr>
                <w:rFonts w:ascii="Calibri" w:eastAsia="Calibri" w:hAnsi="Calibri" w:cs="Calibri"/>
                <w:color w:val="000000"/>
                <w:sz w:val="18"/>
                <w:szCs w:val="18"/>
              </w:rPr>
              <w:t xml:space="preserve">Annual Stakeholders Conference at transboundary level were organized.   </w:t>
            </w:r>
          </w:p>
          <w:p w14:paraId="1FF33201" w14:textId="57975772"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The activities for the celebration of the Drin Day (5 May) were organized in the period 2016-2021 by NGOs (6-8 each year) that were given grants for this reason on the basis of a competitive process. Each year the celebrations focused on an issue of priority for the Basin (e.g. solid waste, floods, plastic, pollution etc.). The events enjoyed wide media coverage.  Each year, more than 500 people, in total, participate</w:t>
            </w:r>
            <w:r w:rsidR="003A2B76">
              <w:rPr>
                <w:rFonts w:ascii="Calibri" w:eastAsia="Calibri" w:hAnsi="Calibri" w:cs="Calibri"/>
                <w:color w:val="000000"/>
                <w:sz w:val="18"/>
                <w:szCs w:val="18"/>
              </w:rPr>
              <w:t>d</w:t>
            </w:r>
            <w:r>
              <w:rPr>
                <w:rFonts w:ascii="Calibri" w:eastAsia="Calibri" w:hAnsi="Calibri" w:cs="Calibri"/>
                <w:color w:val="000000"/>
                <w:sz w:val="18"/>
                <w:szCs w:val="18"/>
              </w:rPr>
              <w:t xml:space="preserve"> in areas spreading across the Drin sub-basins and Riparians from Lakes Prespa and Ohrid to the coast of the Adriatic. The number of persons that the information reached out to, is much higher reaching to tenths of thousands. </w:t>
            </w:r>
          </w:p>
          <w:p w14:paraId="4FD20FD4" w14:textId="3C0D030C"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 xml:space="preserve">A Gender Mainstreaming Strategy is prepared and implemented. The draft Strategy was presented in and approved by the 12th DCG/ </w:t>
            </w:r>
            <w:r>
              <w:rPr>
                <w:rFonts w:ascii="Calibri" w:eastAsia="Calibri" w:hAnsi="Calibri" w:cs="Calibri"/>
                <w:color w:val="000000"/>
                <w:sz w:val="18"/>
                <w:szCs w:val="18"/>
              </w:rPr>
              <w:lastRenderedPageBreak/>
              <w:t xml:space="preserve">3rd </w:t>
            </w:r>
            <w:r w:rsidR="00AD47F7">
              <w:rPr>
                <w:rFonts w:ascii="Calibri" w:eastAsia="Calibri" w:hAnsi="Calibri" w:cs="Calibri"/>
                <w:color w:val="000000"/>
                <w:sz w:val="18"/>
                <w:szCs w:val="18"/>
              </w:rPr>
              <w:t>P</w:t>
            </w:r>
            <w:r>
              <w:rPr>
                <w:rFonts w:ascii="Calibri" w:eastAsia="Calibri" w:hAnsi="Calibri" w:cs="Calibri"/>
                <w:color w:val="000000"/>
                <w:sz w:val="18"/>
                <w:szCs w:val="18"/>
              </w:rPr>
              <w:t xml:space="preserve">SC meeting (Pristina, 15 December 2016).   </w:t>
            </w:r>
          </w:p>
        </w:tc>
      </w:tr>
      <w:tr w:rsidR="000F31AD" w14:paraId="0069100E" w14:textId="77777777">
        <w:tc>
          <w:tcPr>
            <w:tcW w:w="1980" w:type="dxa"/>
          </w:tcPr>
          <w:p w14:paraId="0AFA7A31" w14:textId="77777777" w:rsidR="000F31AD" w:rsidRDefault="00A317E5">
            <w:pPr>
              <w:rPr>
                <w:rFonts w:ascii="Calibri" w:eastAsia="Calibri" w:hAnsi="Calibri" w:cs="Calibri"/>
                <w:b/>
                <w:sz w:val="18"/>
                <w:szCs w:val="18"/>
              </w:rPr>
            </w:pPr>
            <w:r>
              <w:rPr>
                <w:rFonts w:ascii="Calibri" w:eastAsia="Calibri" w:hAnsi="Calibri" w:cs="Calibri"/>
                <w:b/>
                <w:sz w:val="18"/>
                <w:szCs w:val="18"/>
              </w:rPr>
              <w:lastRenderedPageBreak/>
              <w:t>Outcome 7:</w:t>
            </w:r>
          </w:p>
          <w:p w14:paraId="462E673E" w14:textId="77777777" w:rsidR="000F31AD" w:rsidRPr="00894841" w:rsidRDefault="00A317E5">
            <w:pPr>
              <w:rPr>
                <w:rFonts w:ascii="Calibri" w:eastAsia="Calibri" w:hAnsi="Calibri" w:cs="Calibri"/>
                <w:sz w:val="18"/>
                <w:szCs w:val="18"/>
              </w:rPr>
            </w:pPr>
            <w:r w:rsidRPr="00894841">
              <w:rPr>
                <w:rFonts w:ascii="Calibri" w:eastAsia="Calibri" w:hAnsi="Calibri" w:cs="Calibri"/>
                <w:sz w:val="18"/>
                <w:szCs w:val="18"/>
              </w:rPr>
              <w:t>Political awareness at all levels and private sector participation strengthened through higher visibility of the project‘s developments and targeted outreach initiatives</w:t>
            </w:r>
          </w:p>
        </w:tc>
        <w:tc>
          <w:tcPr>
            <w:tcW w:w="1841" w:type="dxa"/>
          </w:tcPr>
          <w:p w14:paraId="7D3B8D43" w14:textId="77777777" w:rsidR="000F31AD" w:rsidRDefault="00A317E5">
            <w:pPr>
              <w:rPr>
                <w:rFonts w:ascii="Calibri" w:eastAsia="Calibri" w:hAnsi="Calibri" w:cs="Calibri"/>
                <w:sz w:val="18"/>
                <w:szCs w:val="18"/>
              </w:rPr>
            </w:pPr>
            <w:r>
              <w:rPr>
                <w:rFonts w:ascii="Calibri" w:eastAsia="Calibri" w:hAnsi="Calibri" w:cs="Calibri"/>
                <w:sz w:val="18"/>
                <w:szCs w:val="18"/>
              </w:rPr>
              <w:t>1. Information, Communication and Outreach Strategy is prepared and implemented.</w:t>
            </w:r>
          </w:p>
        </w:tc>
        <w:tc>
          <w:tcPr>
            <w:tcW w:w="2407" w:type="dxa"/>
          </w:tcPr>
          <w:p w14:paraId="70A73813" w14:textId="77777777" w:rsidR="000F31AD" w:rsidRDefault="00A317E5">
            <w:pPr>
              <w:rPr>
                <w:rFonts w:ascii="Calibri" w:eastAsia="Calibri" w:hAnsi="Calibri" w:cs="Calibri"/>
                <w:sz w:val="18"/>
                <w:szCs w:val="18"/>
              </w:rPr>
            </w:pPr>
            <w:r>
              <w:rPr>
                <w:rFonts w:ascii="Calibri" w:eastAsia="Calibri" w:hAnsi="Calibri" w:cs="Calibri"/>
                <w:sz w:val="18"/>
                <w:szCs w:val="18"/>
              </w:rPr>
              <w:t>Public awareness of natural resource sustainability issues and of water governance and management is generally scarce</w:t>
            </w:r>
          </w:p>
        </w:tc>
        <w:tc>
          <w:tcPr>
            <w:tcW w:w="2692" w:type="dxa"/>
          </w:tcPr>
          <w:p w14:paraId="5A1F311A" w14:textId="77777777" w:rsidR="000F31AD" w:rsidRDefault="00A317E5">
            <w:pPr>
              <w:rPr>
                <w:rFonts w:ascii="Calibri" w:eastAsia="Calibri" w:hAnsi="Calibri" w:cs="Calibri"/>
                <w:sz w:val="18"/>
                <w:szCs w:val="18"/>
              </w:rPr>
            </w:pPr>
            <w:r>
              <w:rPr>
                <w:rFonts w:ascii="Calibri" w:eastAsia="Calibri" w:hAnsi="Calibri" w:cs="Calibri"/>
                <w:sz w:val="18"/>
                <w:szCs w:val="18"/>
              </w:rPr>
              <w:t>Communication activities support the preparation and adoption of the TDA and the SAP.</w:t>
            </w:r>
          </w:p>
          <w:p w14:paraId="79ABAA8D" w14:textId="77777777" w:rsidR="000F31AD" w:rsidRDefault="00A317E5">
            <w:pPr>
              <w:rPr>
                <w:rFonts w:ascii="Calibri" w:eastAsia="Calibri" w:hAnsi="Calibri" w:cs="Calibri"/>
                <w:sz w:val="18"/>
                <w:szCs w:val="18"/>
              </w:rPr>
            </w:pPr>
            <w:r>
              <w:rPr>
                <w:rFonts w:ascii="Calibri" w:eastAsia="Calibri" w:hAnsi="Calibri" w:cs="Calibri"/>
                <w:sz w:val="18"/>
                <w:szCs w:val="18"/>
              </w:rPr>
              <w:t>All the project‘s main events, findings and achievements recorded and disseminated through media events and ICT.</w:t>
            </w:r>
          </w:p>
          <w:p w14:paraId="49BAE9F2" w14:textId="77777777" w:rsidR="000F31AD" w:rsidRDefault="00A317E5">
            <w:pPr>
              <w:rPr>
                <w:rFonts w:ascii="Calibri" w:eastAsia="Calibri" w:hAnsi="Calibri" w:cs="Calibri"/>
                <w:sz w:val="18"/>
                <w:szCs w:val="18"/>
              </w:rPr>
            </w:pPr>
            <w:r>
              <w:rPr>
                <w:rFonts w:ascii="Calibri" w:eastAsia="Calibri" w:hAnsi="Calibri" w:cs="Calibri"/>
                <w:sz w:val="18"/>
                <w:szCs w:val="18"/>
              </w:rPr>
              <w:t>Project’s active participation to IW LEARN activities and events using at least 1% of GEF grant.</w:t>
            </w:r>
          </w:p>
        </w:tc>
        <w:tc>
          <w:tcPr>
            <w:tcW w:w="1198" w:type="dxa"/>
            <w:shd w:val="clear" w:color="auto" w:fill="00B050"/>
          </w:tcPr>
          <w:p w14:paraId="22ADB32C" w14:textId="77777777" w:rsidR="000F31AD" w:rsidRDefault="000F31AD">
            <w:pPr>
              <w:rPr>
                <w:rFonts w:ascii="Calibri" w:eastAsia="Calibri" w:hAnsi="Calibri" w:cs="Calibri"/>
                <w:sz w:val="18"/>
                <w:szCs w:val="18"/>
              </w:rPr>
            </w:pPr>
          </w:p>
        </w:tc>
        <w:tc>
          <w:tcPr>
            <w:tcW w:w="3830" w:type="dxa"/>
          </w:tcPr>
          <w:p w14:paraId="7CBF52AE" w14:textId="77777777"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 xml:space="preserve">The Information, Communication and Outreach Strategy was prepared in June 2016 to guide related activities.   </w:t>
            </w:r>
          </w:p>
          <w:p w14:paraId="52D3EA26" w14:textId="77777777"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 xml:space="preserve">Communication activities were implemented throughout the duration of the project allowing awareness raising among stakeholders, as well as the strategic communication of information to key stakeholders. The PCU members used all possible opportunities to raise awareness and communicate about the Drin CORDA and the Project. The bilateral meetings with national and international institutions and stakeholders were used in this regard. The Project brochure, Information Note (electronic form and hard copies) were the key basic materials used.    </w:t>
            </w:r>
          </w:p>
          <w:p w14:paraId="26CAA745" w14:textId="77777777"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 xml:space="preserve">Face to face meetings of the Secretariat/PCU with the political leadership of the Ministries of the Drin Riparians, the Prime Minister’s Cabinets, academia, research institutes, electricity companies offered the opportunity for first-hand provision of information that was tailored to each of these stakeholders; this was key for both succeeding the goals of the Drin MoU and the project, and most importantly, create the conditions for sustaining these.  </w:t>
            </w:r>
          </w:p>
          <w:p w14:paraId="477FD862" w14:textId="77777777"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During the COVID-19 pandemic, almost all communication activities have been implemented online.</w:t>
            </w:r>
          </w:p>
          <w:p w14:paraId="0E9D0B09" w14:textId="77777777"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 xml:space="preserve">Online events and their communication have been designed meticulously, to accommodate the needs of the Project. The most successful event of the project and its biggest communication success was the </w:t>
            </w:r>
            <w:r>
              <w:rPr>
                <w:rFonts w:ascii="Calibri" w:eastAsia="Calibri" w:hAnsi="Calibri" w:cs="Calibri"/>
                <w:color w:val="000000"/>
                <w:sz w:val="18"/>
                <w:szCs w:val="18"/>
              </w:rPr>
              <w:lastRenderedPageBreak/>
              <w:t xml:space="preserve">ceremony of the SAP signing on 24 April 2020. Characteristically, both in 2020 and in 2021 at the one-year celebration from the SAP signing, the tweets on GWP-Med Twitter account reached nearly 30,000 impressions.   </w:t>
            </w:r>
          </w:p>
          <w:p w14:paraId="39BD0D2B" w14:textId="77777777"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Throughout the implementation of the project, the Drin CORDA’s website and Facebook page as well as the GWP-Med webpage, Twitter, Facebook and LinkedIn have been regularly updated with news items, photos, videos and visuals related to the project.</w:t>
            </w:r>
          </w:p>
          <w:p w14:paraId="24AF0D9A" w14:textId="77777777"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Press releases were written, news items distributed and journalists briefed.</w:t>
            </w:r>
          </w:p>
          <w:p w14:paraId="6AA9A4C2" w14:textId="7EED7B1C"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Published materials were produced and distributed.</w:t>
            </w:r>
          </w:p>
          <w:p w14:paraId="0922A230" w14:textId="77777777"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 xml:space="preserve">Four films were created. Scripts have been translated into Albanian, Macedonian and Montenegrin.   </w:t>
            </w:r>
          </w:p>
          <w:p w14:paraId="10B4BAA5" w14:textId="77777777" w:rsidR="000F31AD" w:rsidRDefault="00A317E5" w:rsidP="0052081C">
            <w:pPr>
              <w:numPr>
                <w:ilvl w:val="0"/>
                <w:numId w:val="3"/>
              </w:numPr>
              <w:pBdr>
                <w:top w:val="nil"/>
                <w:left w:val="nil"/>
                <w:bottom w:val="nil"/>
                <w:right w:val="nil"/>
                <w:between w:val="nil"/>
              </w:pBdr>
              <w:ind w:left="257" w:hanging="257"/>
              <w:rPr>
                <w:rFonts w:ascii="Calibri" w:eastAsia="Calibri" w:hAnsi="Calibri" w:cs="Calibri"/>
                <w:color w:val="000000"/>
                <w:sz w:val="18"/>
                <w:szCs w:val="18"/>
              </w:rPr>
            </w:pPr>
            <w:r>
              <w:rPr>
                <w:rFonts w:ascii="Calibri" w:eastAsia="Calibri" w:hAnsi="Calibri" w:cs="Calibri"/>
                <w:color w:val="000000"/>
                <w:sz w:val="18"/>
                <w:szCs w:val="18"/>
              </w:rPr>
              <w:t>Four animated videos, featuring the “Drin Animated Story” have been produced explaining the four key transboundary issues identified by the TDA. All videos were translated in Albanian, Macedonian and Montenegrin.</w:t>
            </w:r>
          </w:p>
        </w:tc>
      </w:tr>
    </w:tbl>
    <w:p w14:paraId="5999A0D5" w14:textId="77777777" w:rsidR="000F31AD" w:rsidRDefault="000F31AD">
      <w:pPr>
        <w:sectPr w:rsidR="000F31AD">
          <w:pgSz w:w="16838" w:h="11906" w:orient="landscape"/>
          <w:pgMar w:top="1440" w:right="1440" w:bottom="1440" w:left="1440" w:header="708" w:footer="708" w:gutter="0"/>
          <w:cols w:space="720"/>
          <w:titlePg/>
        </w:sectPr>
      </w:pPr>
    </w:p>
    <w:p w14:paraId="75BBEA9C"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lastRenderedPageBreak/>
        <w:t xml:space="preserve">The review of Drin Project's (both FSP and MSP) achievements indicates that the project has delivered practically all of its outputs and achieved all of its end-of-project targets. As discussed in Section 3.2.1 the project used adaptive management extensively to provide flexibility in the project’s approach working with partners and related government institutions and adapting to changing conditions, and in particular in adapting to impacts of COVID-19. In addition, the project had to adapt to several political disturbances caused by snap elections in some countries, as well as the impacts caused by the Albania earthquake in November 2019. The project is a clear response to national needs experiencing very good engagement and participation of stakeholders in project activities; hence the project created a good national ownership. </w:t>
      </w:r>
    </w:p>
    <w:p w14:paraId="45246C17" w14:textId="3BA21C2E" w:rsidR="000F31AD" w:rsidRDefault="00A317E5" w:rsidP="00894841">
      <w:pPr>
        <w:pStyle w:val="CommentText"/>
        <w:jc w:val="both"/>
        <w:rPr>
          <w:rFonts w:ascii="Calibri" w:eastAsia="Calibri" w:hAnsi="Calibri" w:cs="Calibri"/>
          <w:sz w:val="22"/>
          <w:szCs w:val="22"/>
        </w:rPr>
      </w:pPr>
      <w:r>
        <w:rPr>
          <w:rFonts w:ascii="Calibri" w:eastAsia="Calibri" w:hAnsi="Calibri" w:cs="Calibri"/>
          <w:sz w:val="22"/>
          <w:szCs w:val="22"/>
        </w:rPr>
        <w:t xml:space="preserve">The project delivered three sets of results. Under Outcomes 1, 2, 3 and 4 the project created a </w:t>
      </w:r>
      <w:r>
        <w:rPr>
          <w:rFonts w:ascii="Calibri" w:eastAsia="Calibri" w:hAnsi="Calibri" w:cs="Calibri"/>
          <w:b/>
          <w:sz w:val="22"/>
          <w:szCs w:val="22"/>
        </w:rPr>
        <w:t>strategic framework</w:t>
      </w:r>
      <w:r>
        <w:rPr>
          <w:rFonts w:ascii="Calibri" w:eastAsia="Calibri" w:hAnsi="Calibri" w:cs="Calibri"/>
          <w:sz w:val="22"/>
          <w:szCs w:val="22"/>
        </w:rPr>
        <w:t xml:space="preserve"> with countries agreeing on a long-term vision of the Drin River Basin, and with approved TDA and SAP delivering instruments for a long-term transboundary management based on consensual management. </w:t>
      </w:r>
      <w:r w:rsidR="006D1A7F" w:rsidRPr="00894841">
        <w:rPr>
          <w:rFonts w:asciiTheme="minorHAnsi" w:hAnsiTheme="minorHAnsi" w:cstheme="minorHAnsi"/>
          <w:sz w:val="22"/>
          <w:szCs w:val="22"/>
        </w:rPr>
        <w:t>Also</w:t>
      </w:r>
      <w:r w:rsidR="006D1A7F">
        <w:rPr>
          <w:rFonts w:asciiTheme="minorHAnsi" w:hAnsiTheme="minorHAnsi" w:cstheme="minorHAnsi"/>
          <w:sz w:val="22"/>
          <w:szCs w:val="22"/>
        </w:rPr>
        <w:t>,</w:t>
      </w:r>
      <w:r w:rsidR="006D1A7F" w:rsidRPr="00894841">
        <w:rPr>
          <w:rFonts w:asciiTheme="minorHAnsi" w:hAnsiTheme="minorHAnsi" w:cstheme="minorHAnsi"/>
          <w:sz w:val="22"/>
          <w:szCs w:val="22"/>
        </w:rPr>
        <w:t xml:space="preserve"> it contributed to transboundary institutional strengthening by empowering the DCG and its EWGs</w:t>
      </w:r>
      <w:r w:rsidR="006D1A7F">
        <w:rPr>
          <w:rFonts w:asciiTheme="minorHAnsi" w:hAnsiTheme="minorHAnsi" w:cstheme="minorHAnsi"/>
          <w:sz w:val="22"/>
          <w:szCs w:val="22"/>
        </w:rPr>
        <w:t xml:space="preserve">. </w:t>
      </w:r>
      <w:r>
        <w:rPr>
          <w:rFonts w:ascii="Calibri" w:eastAsia="Calibri" w:hAnsi="Calibri" w:cs="Calibri"/>
          <w:sz w:val="22"/>
          <w:szCs w:val="22"/>
        </w:rPr>
        <w:t>Project significantly contributed to institutional strengthening for IWRM in the Drin riparian countries, an indispensable prerequisite for sustainable implementation of the Shared Vision and the associated strategy.</w:t>
      </w:r>
    </w:p>
    <w:p w14:paraId="21538D4B"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Under Outcome 5, the project delivered </w:t>
      </w:r>
      <w:r>
        <w:rPr>
          <w:rFonts w:ascii="Calibri" w:eastAsia="Calibri" w:hAnsi="Calibri" w:cs="Calibri"/>
          <w:b/>
          <w:sz w:val="22"/>
          <w:szCs w:val="22"/>
        </w:rPr>
        <w:t>tangible results</w:t>
      </w:r>
      <w:r>
        <w:rPr>
          <w:rFonts w:ascii="Calibri" w:eastAsia="Calibri" w:hAnsi="Calibri" w:cs="Calibri"/>
          <w:sz w:val="22"/>
          <w:szCs w:val="22"/>
        </w:rPr>
        <w:t xml:space="preserve"> aimed at demonstrating how the strategic vision could be implemented “on-the-ground”. A series of pilot projects in all participating countries has shown how critical issues could be dealt with, and indicated a strong replicating potential of the Drin Project.</w:t>
      </w:r>
    </w:p>
    <w:p w14:paraId="1D602F0B" w14:textId="77777777" w:rsidR="000F31AD" w:rsidRDefault="00A317E5">
      <w:pPr>
        <w:spacing w:before="280" w:after="280"/>
        <w:jc w:val="both"/>
        <w:rPr>
          <w:rFonts w:ascii="Calibri" w:eastAsia="Calibri" w:hAnsi="Calibri" w:cs="Calibri"/>
          <w:sz w:val="22"/>
          <w:szCs w:val="22"/>
        </w:rPr>
      </w:pPr>
      <w:r>
        <w:rPr>
          <w:rFonts w:ascii="Calibri" w:eastAsia="Calibri" w:hAnsi="Calibri" w:cs="Calibri"/>
          <w:sz w:val="22"/>
          <w:szCs w:val="22"/>
        </w:rPr>
        <w:t xml:space="preserve">Outcomes 6 and 7 helped its stakeholders to build the </w:t>
      </w:r>
      <w:r>
        <w:rPr>
          <w:rFonts w:ascii="Calibri" w:eastAsia="Calibri" w:hAnsi="Calibri" w:cs="Calibri"/>
          <w:b/>
          <w:sz w:val="22"/>
          <w:szCs w:val="22"/>
        </w:rPr>
        <w:t>ownership of the project</w:t>
      </w:r>
      <w:r>
        <w:rPr>
          <w:rFonts w:ascii="Calibri" w:eastAsia="Calibri" w:hAnsi="Calibri" w:cs="Calibri"/>
          <w:sz w:val="22"/>
          <w:szCs w:val="22"/>
        </w:rPr>
        <w:t>, without which the long-term transboundary management of the Drin River Basin would not be sustainable. All evidence shows that the project’s increased visibility achieved through numerous outreach activities has created solid awareness of and support from all government levels and the civil society as well as the private sector.</w:t>
      </w:r>
    </w:p>
    <w:p w14:paraId="2C7700FB" w14:textId="0F316959" w:rsidR="006D1A7F" w:rsidRPr="00894841" w:rsidRDefault="006D1A7F" w:rsidP="00894841">
      <w:pPr>
        <w:pStyle w:val="CommentText"/>
        <w:jc w:val="both"/>
        <w:rPr>
          <w:rStyle w:val="cf01"/>
          <w:rFonts w:asciiTheme="minorHAnsi" w:eastAsiaTheme="majorEastAsia" w:hAnsiTheme="minorHAnsi" w:cstheme="minorHAnsi"/>
          <w:sz w:val="22"/>
          <w:szCs w:val="22"/>
        </w:rPr>
      </w:pPr>
      <w:r>
        <w:rPr>
          <w:rFonts w:asciiTheme="minorHAnsi" w:hAnsiTheme="minorHAnsi" w:cstheme="minorHAnsi"/>
          <w:sz w:val="22"/>
          <w:szCs w:val="22"/>
        </w:rPr>
        <w:t xml:space="preserve">In addition to the above, the Drin Project delivered </w:t>
      </w:r>
      <w:r w:rsidR="00823714">
        <w:rPr>
          <w:rFonts w:asciiTheme="minorHAnsi" w:hAnsiTheme="minorHAnsi" w:cstheme="minorHAnsi"/>
          <w:sz w:val="22"/>
          <w:szCs w:val="22"/>
        </w:rPr>
        <w:t>a number of additional</w:t>
      </w:r>
      <w:r w:rsidRPr="00894841">
        <w:rPr>
          <w:rStyle w:val="cf01"/>
          <w:rFonts w:asciiTheme="minorHAnsi" w:eastAsiaTheme="majorEastAsia" w:hAnsiTheme="minorHAnsi" w:cstheme="minorHAnsi"/>
          <w:sz w:val="22"/>
          <w:szCs w:val="22"/>
        </w:rPr>
        <w:t xml:space="preserve"> results</w:t>
      </w:r>
      <w:r w:rsidR="00823714">
        <w:rPr>
          <w:rStyle w:val="cf01"/>
          <w:rFonts w:asciiTheme="minorHAnsi" w:eastAsiaTheme="majorEastAsia" w:hAnsiTheme="minorHAnsi" w:cstheme="minorHAnsi"/>
          <w:sz w:val="22"/>
          <w:szCs w:val="22"/>
        </w:rPr>
        <w:t xml:space="preserve"> that have not been originally envisaged in the ProDoc</w:t>
      </w:r>
      <w:r>
        <w:rPr>
          <w:rStyle w:val="cf01"/>
          <w:rFonts w:asciiTheme="minorHAnsi" w:eastAsiaTheme="majorEastAsia" w:hAnsiTheme="minorHAnsi" w:cstheme="minorHAnsi"/>
          <w:sz w:val="22"/>
          <w:szCs w:val="22"/>
        </w:rPr>
        <w:t>. T</w:t>
      </w:r>
      <w:r w:rsidRPr="00894841">
        <w:rPr>
          <w:rStyle w:val="cf01"/>
          <w:rFonts w:asciiTheme="minorHAnsi" w:eastAsiaTheme="majorEastAsia" w:hAnsiTheme="minorHAnsi" w:cstheme="minorHAnsi"/>
          <w:sz w:val="22"/>
          <w:szCs w:val="22"/>
        </w:rPr>
        <w:t xml:space="preserve">hey could be used as overarching indicators for the </w:t>
      </w:r>
      <w:r w:rsidR="00823714" w:rsidRPr="00894841">
        <w:rPr>
          <w:rStyle w:val="cf01"/>
          <w:rFonts w:asciiTheme="minorHAnsi" w:eastAsiaTheme="majorEastAsia" w:hAnsiTheme="minorHAnsi" w:cstheme="minorHAnsi"/>
          <w:sz w:val="22"/>
          <w:szCs w:val="22"/>
        </w:rPr>
        <w:t xml:space="preserve">achievement of the </w:t>
      </w:r>
      <w:r w:rsidRPr="00894841">
        <w:rPr>
          <w:rStyle w:val="cf01"/>
          <w:rFonts w:asciiTheme="minorHAnsi" w:eastAsiaTheme="majorEastAsia" w:hAnsiTheme="minorHAnsi" w:cstheme="minorHAnsi"/>
          <w:sz w:val="22"/>
          <w:szCs w:val="22"/>
        </w:rPr>
        <w:t>overall project objective</w:t>
      </w:r>
      <w:r w:rsidR="00823714" w:rsidRPr="00894841">
        <w:rPr>
          <w:rStyle w:val="cf01"/>
          <w:rFonts w:asciiTheme="minorHAnsi" w:eastAsiaTheme="majorEastAsia" w:hAnsiTheme="minorHAnsi" w:cstheme="minorHAnsi"/>
          <w:sz w:val="22"/>
          <w:szCs w:val="22"/>
        </w:rPr>
        <w:t>, but also enhancing the overall results associated with the Outcomes 1, 2, 3, 4, 6 and 7. The following additional results are the most important</w:t>
      </w:r>
      <w:r w:rsidR="00823714">
        <w:rPr>
          <w:rStyle w:val="cf01"/>
          <w:rFonts w:asciiTheme="minorHAnsi" w:eastAsiaTheme="majorEastAsia" w:hAnsiTheme="minorHAnsi" w:cstheme="minorHAnsi"/>
          <w:sz w:val="22"/>
          <w:szCs w:val="22"/>
          <w:u w:val="single"/>
        </w:rPr>
        <w:t>:</w:t>
      </w:r>
    </w:p>
    <w:p w14:paraId="6C6D6D81" w14:textId="77777777" w:rsidR="006D1A7F" w:rsidRPr="00894841" w:rsidRDefault="006D1A7F" w:rsidP="00894841">
      <w:pPr>
        <w:pStyle w:val="CommentText"/>
        <w:jc w:val="both"/>
        <w:rPr>
          <w:rFonts w:asciiTheme="minorHAnsi" w:hAnsiTheme="minorHAnsi" w:cstheme="minorHAnsi"/>
          <w:sz w:val="22"/>
          <w:szCs w:val="22"/>
        </w:rPr>
      </w:pPr>
    </w:p>
    <w:p w14:paraId="7F31E68B" w14:textId="3F96CDE9" w:rsidR="006D1A7F" w:rsidRPr="00894841" w:rsidRDefault="006D1A7F" w:rsidP="0052081C">
      <w:pPr>
        <w:pStyle w:val="pf0"/>
        <w:numPr>
          <w:ilvl w:val="0"/>
          <w:numId w:val="16"/>
        </w:numPr>
        <w:spacing w:before="0" w:beforeAutospacing="0" w:after="1680" w:afterAutospacing="0"/>
        <w:ind w:left="426" w:hanging="426"/>
        <w:contextualSpacing/>
        <w:jc w:val="both"/>
        <w:rPr>
          <w:rStyle w:val="cf01"/>
          <w:rFonts w:asciiTheme="minorHAnsi" w:eastAsiaTheme="majorEastAsia" w:hAnsiTheme="minorHAnsi" w:cstheme="minorHAnsi"/>
          <w:iCs/>
          <w:sz w:val="22"/>
          <w:szCs w:val="22"/>
          <w:lang w:val="en-GB"/>
        </w:rPr>
      </w:pPr>
      <w:r w:rsidRPr="00894841">
        <w:rPr>
          <w:rStyle w:val="cf01"/>
          <w:rFonts w:asciiTheme="minorHAnsi" w:eastAsiaTheme="majorEastAsia" w:hAnsiTheme="minorHAnsi" w:cstheme="minorHAnsi"/>
          <w:iCs/>
          <w:sz w:val="22"/>
          <w:szCs w:val="22"/>
          <w:lang w:val="en-GB"/>
        </w:rPr>
        <w:t>The Drin Riparians requested during the 17th DCG meeting (Pristina 30-31 May 2019), the upscaling of transboundary cooperation with the establishment of a Drin Commission through an International Agreement</w:t>
      </w:r>
      <w:r w:rsidR="00823714">
        <w:rPr>
          <w:rStyle w:val="cf01"/>
          <w:rFonts w:asciiTheme="minorHAnsi" w:eastAsiaTheme="majorEastAsia" w:hAnsiTheme="minorHAnsi" w:cstheme="minorHAnsi"/>
          <w:iCs/>
          <w:sz w:val="22"/>
          <w:szCs w:val="22"/>
          <w:lang w:val="en-GB"/>
        </w:rPr>
        <w:t>;</w:t>
      </w:r>
      <w:r w:rsidRPr="00894841">
        <w:rPr>
          <w:rStyle w:val="cf01"/>
          <w:rFonts w:asciiTheme="minorHAnsi" w:eastAsiaTheme="majorEastAsia" w:hAnsiTheme="minorHAnsi" w:cstheme="minorHAnsi"/>
          <w:iCs/>
          <w:sz w:val="22"/>
          <w:szCs w:val="22"/>
          <w:lang w:val="en-GB"/>
        </w:rPr>
        <w:t xml:space="preserve"> </w:t>
      </w:r>
    </w:p>
    <w:p w14:paraId="2538DF5E" w14:textId="42F3340B" w:rsidR="006D1A7F" w:rsidRPr="00894841" w:rsidRDefault="006D1A7F" w:rsidP="0052081C">
      <w:pPr>
        <w:pStyle w:val="pf0"/>
        <w:numPr>
          <w:ilvl w:val="0"/>
          <w:numId w:val="16"/>
        </w:numPr>
        <w:spacing w:before="0" w:beforeAutospacing="0" w:after="1680" w:afterAutospacing="0"/>
        <w:ind w:left="426" w:hanging="426"/>
        <w:contextualSpacing/>
        <w:jc w:val="both"/>
        <w:rPr>
          <w:rStyle w:val="cf01"/>
          <w:rFonts w:asciiTheme="minorHAnsi" w:eastAsiaTheme="majorEastAsia" w:hAnsiTheme="minorHAnsi" w:cstheme="minorHAnsi"/>
          <w:iCs/>
          <w:sz w:val="22"/>
          <w:szCs w:val="22"/>
          <w:lang w:val="en-GB"/>
        </w:rPr>
      </w:pPr>
      <w:r w:rsidRPr="00894841">
        <w:rPr>
          <w:rStyle w:val="cf01"/>
          <w:rFonts w:asciiTheme="minorHAnsi" w:eastAsiaTheme="majorEastAsia" w:hAnsiTheme="minorHAnsi" w:cstheme="minorHAnsi"/>
          <w:iCs/>
          <w:sz w:val="22"/>
          <w:szCs w:val="22"/>
          <w:lang w:val="en-GB"/>
        </w:rPr>
        <w:t>The feasibility study on options for a legal and institutional arrangement for the management of the Drin Basin was developed including a draft international agreement text and adopted by the DCG. The countries have already commented the draft text</w:t>
      </w:r>
      <w:r w:rsidR="00823714" w:rsidRPr="00823714">
        <w:rPr>
          <w:rStyle w:val="cf01"/>
          <w:rFonts w:asciiTheme="minorHAnsi" w:eastAsiaTheme="majorEastAsia" w:hAnsiTheme="minorHAnsi" w:cstheme="minorHAnsi"/>
          <w:iCs/>
          <w:sz w:val="22"/>
          <w:szCs w:val="22"/>
          <w:lang w:val="en-GB"/>
        </w:rPr>
        <w:t xml:space="preserve">. </w:t>
      </w:r>
      <w:r w:rsidRPr="00894841">
        <w:rPr>
          <w:rStyle w:val="cf01"/>
          <w:rFonts w:asciiTheme="minorHAnsi" w:eastAsiaTheme="majorEastAsia" w:hAnsiTheme="minorHAnsi" w:cstheme="minorHAnsi"/>
          <w:iCs/>
          <w:sz w:val="22"/>
          <w:szCs w:val="22"/>
          <w:lang w:val="en-GB"/>
        </w:rPr>
        <w:t>The Drin Riparians have committed to negotiate the draft text within 2021 after the termination of the Project. The Drin Riparians reaffirmed their intention in this regard during the Partnership Conference (9 July 2021). Further to this, the Drin Riparians requested an annual meeting between the DCG and the Developmental Partners with the aim to coordinate on actions supported by the latter towards the implementation of the Drin SAP</w:t>
      </w:r>
      <w:r w:rsidR="00823714">
        <w:rPr>
          <w:rStyle w:val="cf01"/>
          <w:rFonts w:asciiTheme="minorHAnsi" w:eastAsiaTheme="majorEastAsia" w:hAnsiTheme="minorHAnsi" w:cstheme="minorHAnsi"/>
          <w:iCs/>
          <w:sz w:val="22"/>
          <w:szCs w:val="22"/>
          <w:lang w:val="en-GB"/>
        </w:rPr>
        <w:t>; and</w:t>
      </w:r>
      <w:r w:rsidRPr="00894841">
        <w:rPr>
          <w:rStyle w:val="cf01"/>
          <w:rFonts w:asciiTheme="minorHAnsi" w:eastAsiaTheme="majorEastAsia" w:hAnsiTheme="minorHAnsi" w:cstheme="minorHAnsi"/>
          <w:iCs/>
          <w:sz w:val="22"/>
          <w:szCs w:val="22"/>
          <w:lang w:val="en-GB"/>
        </w:rPr>
        <w:t xml:space="preserve"> </w:t>
      </w:r>
    </w:p>
    <w:p w14:paraId="4EE3CF06" w14:textId="24976750" w:rsidR="006D1A7F" w:rsidRPr="00894841" w:rsidRDefault="00823714" w:rsidP="0052081C">
      <w:pPr>
        <w:pStyle w:val="pf0"/>
        <w:numPr>
          <w:ilvl w:val="0"/>
          <w:numId w:val="16"/>
        </w:numPr>
        <w:spacing w:before="0" w:beforeAutospacing="0" w:after="1680" w:afterAutospacing="0"/>
        <w:ind w:left="426" w:hanging="426"/>
        <w:contextualSpacing/>
        <w:jc w:val="both"/>
        <w:rPr>
          <w:rStyle w:val="cf01"/>
          <w:rFonts w:asciiTheme="minorHAnsi" w:eastAsiaTheme="majorEastAsia" w:hAnsiTheme="minorHAnsi" w:cstheme="minorHAnsi"/>
          <w:iCs/>
          <w:sz w:val="22"/>
          <w:szCs w:val="22"/>
          <w:lang w:val="en-GB"/>
        </w:rPr>
      </w:pPr>
      <w:r>
        <w:rPr>
          <w:rStyle w:val="cf01"/>
          <w:rFonts w:asciiTheme="minorHAnsi" w:eastAsiaTheme="majorEastAsia" w:hAnsiTheme="minorHAnsi" w:cstheme="minorHAnsi"/>
          <w:iCs/>
          <w:sz w:val="22"/>
          <w:szCs w:val="22"/>
          <w:lang w:val="en-GB"/>
        </w:rPr>
        <w:t>T</w:t>
      </w:r>
      <w:r w:rsidR="006D1A7F" w:rsidRPr="00894841">
        <w:rPr>
          <w:rStyle w:val="cf01"/>
          <w:rFonts w:asciiTheme="minorHAnsi" w:eastAsiaTheme="majorEastAsia" w:hAnsiTheme="minorHAnsi" w:cstheme="minorHAnsi"/>
          <w:iCs/>
          <w:sz w:val="22"/>
          <w:szCs w:val="22"/>
          <w:lang w:val="en-GB"/>
        </w:rPr>
        <w:t xml:space="preserve">he DCG requested the PCU during its 17th meeting to initiate actions for the preparation of a Drin River Basin Management Plan (RBMP). The ToR for the development of a RBMP were developed and approved by the DCG. </w:t>
      </w:r>
    </w:p>
    <w:p w14:paraId="55C9DCCF" w14:textId="77777777" w:rsidR="006D1A7F" w:rsidRPr="00894841" w:rsidRDefault="006D1A7F" w:rsidP="006D1A7F">
      <w:pPr>
        <w:pStyle w:val="pf0"/>
        <w:spacing w:before="0" w:beforeAutospacing="0" w:after="1680" w:afterAutospacing="0"/>
        <w:contextualSpacing/>
        <w:jc w:val="both"/>
        <w:rPr>
          <w:rFonts w:ascii="Calibri" w:eastAsia="Calibri" w:hAnsi="Calibri" w:cs="Calibri"/>
          <w:sz w:val="22"/>
          <w:szCs w:val="22"/>
          <w:lang w:val="en-GB"/>
        </w:rPr>
      </w:pPr>
    </w:p>
    <w:p w14:paraId="7409BE0C" w14:textId="3C700FA0" w:rsidR="006D1A7F" w:rsidRPr="00894841" w:rsidRDefault="006D1A7F" w:rsidP="006D1A7F">
      <w:pPr>
        <w:pStyle w:val="pf0"/>
        <w:spacing w:before="0" w:beforeAutospacing="0" w:after="1680" w:afterAutospacing="0"/>
        <w:contextualSpacing/>
        <w:jc w:val="both"/>
        <w:rPr>
          <w:rFonts w:ascii="Calibri" w:eastAsia="Calibri" w:hAnsi="Calibri" w:cs="Calibri"/>
          <w:sz w:val="22"/>
          <w:szCs w:val="22"/>
          <w:lang w:val="en-GB"/>
        </w:rPr>
      </w:pPr>
      <w:r w:rsidRPr="00894841">
        <w:rPr>
          <w:rFonts w:ascii="Calibri" w:eastAsia="Calibri" w:hAnsi="Calibri" w:cs="Calibri"/>
          <w:sz w:val="22"/>
          <w:szCs w:val="22"/>
          <w:lang w:val="en-GB"/>
        </w:rPr>
        <w:lastRenderedPageBreak/>
        <w:t>A</w:t>
      </w:r>
      <w:r w:rsidR="00A317E5" w:rsidRPr="00894841">
        <w:rPr>
          <w:rFonts w:ascii="Calibri" w:eastAsia="Calibri" w:hAnsi="Calibri" w:cs="Calibri"/>
          <w:sz w:val="22"/>
          <w:szCs w:val="22"/>
          <w:lang w:val="en-GB"/>
        </w:rPr>
        <w:t xml:space="preserve">s a result of the activities implemented with the support of the project, the Drin riparian countries are now better equipped to sustainably manage this valuable resource. Demonstration projects were a chance to test different practices and approaches for IWRM but also show how a small-scale intervention can produce results much bigger in scope that they may actually seem to be. </w:t>
      </w:r>
    </w:p>
    <w:p w14:paraId="24C40BA9" w14:textId="77777777" w:rsidR="006D1A7F" w:rsidRPr="00894841" w:rsidRDefault="006D1A7F" w:rsidP="00894841">
      <w:pPr>
        <w:pStyle w:val="pf0"/>
        <w:spacing w:before="0" w:beforeAutospacing="0" w:after="1680" w:afterAutospacing="0"/>
        <w:contextualSpacing/>
        <w:jc w:val="both"/>
        <w:rPr>
          <w:rFonts w:ascii="Calibri" w:eastAsia="Calibri" w:hAnsi="Calibri" w:cs="Calibri"/>
          <w:sz w:val="22"/>
          <w:szCs w:val="22"/>
          <w:lang w:val="en-GB"/>
        </w:rPr>
      </w:pPr>
    </w:p>
    <w:p w14:paraId="38B1425E" w14:textId="32144A90" w:rsidR="000F31AD" w:rsidRDefault="00A317E5" w:rsidP="00894841">
      <w:pPr>
        <w:pStyle w:val="pf0"/>
        <w:jc w:val="both"/>
      </w:pPr>
      <w:bookmarkStart w:id="41" w:name="_heading=h.2grqrue" w:colFirst="0" w:colLast="0"/>
      <w:bookmarkEnd w:id="41"/>
      <w:r w:rsidRPr="00894841">
        <w:rPr>
          <w:rFonts w:ascii="Calibri" w:eastAsia="Calibri" w:hAnsi="Calibri" w:cs="Calibri"/>
          <w:sz w:val="22"/>
          <w:szCs w:val="22"/>
          <w:lang w:val="en-GB"/>
        </w:rPr>
        <w:t xml:space="preserve">Regarding the TE assessment of the “yet to be achieved” indicator in Table 5 above, the rating is mostly due to the fact that the establishment of the Inter-Ministerial Committees (IMC) in many countries is a target that cannot be easily achieved by one project cycle because it involves a lengthy process of convincing decision-makers to leave their “silo” and become more open to inter-sectoral collaboration. The “proxy” bodies indicated in the results column of the table are only </w:t>
      </w:r>
      <w:r w:rsidR="00823714">
        <w:rPr>
          <w:rFonts w:ascii="Calibri" w:eastAsia="Calibri" w:hAnsi="Calibri" w:cs="Calibri"/>
          <w:sz w:val="22"/>
          <w:szCs w:val="22"/>
          <w:lang w:val="en-GB"/>
        </w:rPr>
        <w:t>the</w:t>
      </w:r>
      <w:r w:rsidR="00823714" w:rsidRPr="00894841">
        <w:rPr>
          <w:rFonts w:ascii="Calibri" w:eastAsia="Calibri" w:hAnsi="Calibri" w:cs="Calibri"/>
          <w:sz w:val="22"/>
          <w:szCs w:val="22"/>
          <w:lang w:val="en-GB"/>
        </w:rPr>
        <w:t xml:space="preserve"> </w:t>
      </w:r>
      <w:r w:rsidRPr="00894841">
        <w:rPr>
          <w:rFonts w:ascii="Calibri" w:eastAsia="Calibri" w:hAnsi="Calibri" w:cs="Calibri"/>
          <w:sz w:val="22"/>
          <w:szCs w:val="22"/>
          <w:lang w:val="en-GB"/>
        </w:rPr>
        <w:t>first step towards establishing IMCs with solid and legally supported mandates to make integrated decisions</w:t>
      </w:r>
      <w:r>
        <w:rPr>
          <w:rFonts w:ascii="Calibri" w:eastAsia="Calibri" w:hAnsi="Calibri" w:cs="Calibri"/>
          <w:sz w:val="22"/>
          <w:szCs w:val="22"/>
        </w:rPr>
        <w:t>.</w:t>
      </w:r>
    </w:p>
    <w:p w14:paraId="034BD29D" w14:textId="77777777" w:rsidR="000F31AD" w:rsidRDefault="00A317E5">
      <w:pPr>
        <w:pStyle w:val="Heading3"/>
      </w:pPr>
      <w:bookmarkStart w:id="42" w:name="_Toc81335864"/>
      <w:r>
        <w:t>3.3.2.</w:t>
      </w:r>
      <w:r>
        <w:tab/>
        <w:t>Relevance</w:t>
      </w:r>
      <w:bookmarkEnd w:id="42"/>
    </w:p>
    <w:p w14:paraId="0EDB88EF" w14:textId="77777777" w:rsidR="00AA14C5" w:rsidRDefault="00AA14C5" w:rsidP="00AA14C5">
      <w:pPr>
        <w:pStyle w:val="NormalWeb"/>
        <w:jc w:val="both"/>
        <w:rPr>
          <w:rFonts w:asciiTheme="minorHAnsi" w:hAnsiTheme="minorHAnsi"/>
          <w:sz w:val="22"/>
          <w:szCs w:val="22"/>
        </w:rPr>
      </w:pPr>
      <w:r>
        <w:rPr>
          <w:rFonts w:asciiTheme="minorHAnsi" w:hAnsiTheme="minorHAnsi"/>
          <w:sz w:val="22"/>
          <w:szCs w:val="22"/>
        </w:rPr>
        <w:t>T</w:t>
      </w:r>
      <w:r w:rsidRPr="00AB4FEB">
        <w:rPr>
          <w:rFonts w:asciiTheme="minorHAnsi" w:hAnsiTheme="minorHAnsi"/>
          <w:sz w:val="22"/>
          <w:szCs w:val="22"/>
        </w:rPr>
        <w:t>he ProDoc states</w:t>
      </w:r>
      <w:r>
        <w:rPr>
          <w:rFonts w:asciiTheme="minorHAnsi" w:hAnsiTheme="minorHAnsi"/>
          <w:sz w:val="22"/>
          <w:szCs w:val="22"/>
        </w:rPr>
        <w:t xml:space="preserve"> that</w:t>
      </w:r>
      <w:r w:rsidRPr="00AB4FEB">
        <w:rPr>
          <w:rFonts w:asciiTheme="minorHAnsi" w:hAnsiTheme="minorHAnsi"/>
          <w:sz w:val="22"/>
          <w:szCs w:val="22"/>
        </w:rPr>
        <w:t xml:space="preserve"> in all project countries</w:t>
      </w:r>
      <w:r>
        <w:rPr>
          <w:rFonts w:asciiTheme="minorHAnsi" w:hAnsiTheme="minorHAnsi"/>
          <w:sz w:val="22"/>
          <w:szCs w:val="22"/>
        </w:rPr>
        <w:t xml:space="preserve"> </w:t>
      </w:r>
      <w:r w:rsidRPr="00AB4FEB">
        <w:rPr>
          <w:rFonts w:asciiTheme="minorHAnsi" w:hAnsiTheme="minorHAnsi"/>
          <w:sz w:val="22"/>
          <w:szCs w:val="22"/>
        </w:rPr>
        <w:t xml:space="preserve">”… principles of sustainability and environmental concerns…(are)…to be integrated in the overall development policies. Such principles are increasingly included in legislative and planning documents and some mechanisms for integrating the environment into other policies are set, mainly at strategic document level. Importantly, steps have been made over recent years towards the alignment with the EU environmental legislation.” </w:t>
      </w:r>
      <w:r>
        <w:rPr>
          <w:rFonts w:asciiTheme="minorHAnsi" w:hAnsiTheme="minorHAnsi"/>
          <w:sz w:val="22"/>
          <w:szCs w:val="22"/>
        </w:rPr>
        <w:t xml:space="preserve">The PIF and the ProDoc respond to these requirements, making the project highly relevant, in particular with regards to their efforts to adopt/approximate to the EU acquis, including its provisions on shared water resources management. Countries’ desire to strengthen transboundary cooperation in IWRM was explicitly expressed when they entered into the respective agreement, the 2011 Drin Basin MoU. The Drin Project directly responds to the stated priorities in the Drin MoU, which makes it </w:t>
      </w:r>
      <w:r w:rsidRPr="00AB4FEB">
        <w:rPr>
          <w:rFonts w:asciiTheme="minorHAnsi" w:hAnsiTheme="minorHAnsi"/>
          <w:sz w:val="22"/>
          <w:szCs w:val="22"/>
        </w:rPr>
        <w:t xml:space="preserve">highly relevant for all countries participating in it. </w:t>
      </w:r>
    </w:p>
    <w:p w14:paraId="1720FFA3" w14:textId="77777777" w:rsidR="00AA14C5" w:rsidRDefault="00AA14C5" w:rsidP="00AA14C5">
      <w:pPr>
        <w:pStyle w:val="NormalWeb"/>
        <w:jc w:val="both"/>
        <w:rPr>
          <w:rFonts w:asciiTheme="minorHAnsi" w:hAnsiTheme="minorHAnsi"/>
          <w:sz w:val="22"/>
          <w:szCs w:val="22"/>
        </w:rPr>
      </w:pPr>
      <w:r>
        <w:rPr>
          <w:rFonts w:asciiTheme="minorHAnsi" w:hAnsiTheme="minorHAnsi"/>
          <w:sz w:val="22"/>
          <w:szCs w:val="22"/>
        </w:rPr>
        <w:t>One of the stated priorities of the project is to mainstream the gender into the IWRM. This priority is transposed into a specific project’s component, the Component 4. The ProDoc elaborates in detail the methodology for gender mainstreaming, which is considered as one of the pillars</w:t>
      </w:r>
      <w:r w:rsidRPr="00AB4FEB">
        <w:rPr>
          <w:rFonts w:asciiTheme="minorHAnsi" w:hAnsiTheme="minorHAnsi"/>
          <w:sz w:val="22"/>
          <w:szCs w:val="22"/>
        </w:rPr>
        <w:t xml:space="preserve"> </w:t>
      </w:r>
      <w:r>
        <w:rPr>
          <w:rFonts w:asciiTheme="minorHAnsi" w:hAnsiTheme="minorHAnsi"/>
          <w:sz w:val="22"/>
          <w:szCs w:val="22"/>
        </w:rPr>
        <w:t xml:space="preserve">of the entire project. During the project’s implementation, women have taken an increasingly important role, not only as stakeholders’ representatives at numerous meetings but also in the role of experts. Equally so, stakeholders’ engagement has been one of the priorities of the project, with the special component (4) dealing with the issue. The project implementation team has developed very well-designed stakeholders’ engagement strategy, and subsequently fully executed it. The end result is active engagement of stakeholders in the project, which culminated every year with a successful and very well attended Stakeholders’ Conference. </w:t>
      </w:r>
    </w:p>
    <w:p w14:paraId="67FBCD47" w14:textId="735673C9" w:rsidR="00AA14C5" w:rsidRDefault="00AA14C5" w:rsidP="00AA14C5">
      <w:pPr>
        <w:pStyle w:val="NormalWeb"/>
        <w:jc w:val="both"/>
        <w:rPr>
          <w:rFonts w:asciiTheme="minorHAnsi" w:hAnsiTheme="minorHAnsi"/>
          <w:sz w:val="22"/>
          <w:szCs w:val="22"/>
        </w:rPr>
      </w:pPr>
      <w:r w:rsidRPr="005B751C">
        <w:rPr>
          <w:rFonts w:asciiTheme="minorHAnsi" w:hAnsiTheme="minorHAnsi"/>
          <w:sz w:val="22"/>
          <w:szCs w:val="22"/>
        </w:rPr>
        <w:t xml:space="preserve">The project is very well aligned with the UNDP and GEF strategic priorities. It is linked with the UNDP’s Strategic Plan “Changing </w:t>
      </w:r>
      <w:r w:rsidR="00823714">
        <w:rPr>
          <w:rFonts w:asciiTheme="minorHAnsi" w:hAnsiTheme="minorHAnsi"/>
          <w:sz w:val="22"/>
          <w:szCs w:val="22"/>
        </w:rPr>
        <w:t>w</w:t>
      </w:r>
      <w:r w:rsidRPr="005B751C">
        <w:rPr>
          <w:rFonts w:asciiTheme="minorHAnsi" w:hAnsiTheme="minorHAnsi"/>
          <w:sz w:val="22"/>
          <w:szCs w:val="22"/>
        </w:rPr>
        <w:t>ith the World (2014-2017)” and fits into UNDP‘s core Water Governance Programme, and adheres to the UNDP role as identified in the UNDAF Country Programme and Countries Programme Action Plans (CPAP).  It also aims at implementing the GEF International Waters Focal Area Objective IW-3, Outcome 3.1: Political commitment, shared vision, and institutional capacity demonstrated for joint, ecosystem-based management of water bodies and Output 3.1: National inter- ministry committees established; Transboundary Diagnostic Analyses &amp; Strategic Action Programmes; Output 3.2: Demo-scale local action implemented</w:t>
      </w:r>
      <w:r>
        <w:rPr>
          <w:rFonts w:asciiTheme="minorHAnsi" w:hAnsiTheme="minorHAnsi"/>
          <w:sz w:val="22"/>
          <w:szCs w:val="22"/>
        </w:rPr>
        <w:t xml:space="preserve">. The respective outputs have been produced and adopted by the Drin riparian countries. </w:t>
      </w:r>
    </w:p>
    <w:p w14:paraId="41FF1E6B" w14:textId="77777777" w:rsidR="00AA14C5" w:rsidRDefault="00AA14C5" w:rsidP="00AA14C5">
      <w:pPr>
        <w:pStyle w:val="NormalWeb"/>
        <w:jc w:val="both"/>
        <w:rPr>
          <w:rFonts w:asciiTheme="minorHAnsi" w:hAnsiTheme="minorHAnsi"/>
          <w:b/>
          <w:bCs/>
          <w:sz w:val="22"/>
          <w:szCs w:val="22"/>
        </w:rPr>
      </w:pPr>
      <w:r>
        <w:rPr>
          <w:rFonts w:asciiTheme="minorHAnsi" w:hAnsiTheme="minorHAnsi"/>
          <w:sz w:val="22"/>
          <w:szCs w:val="22"/>
        </w:rPr>
        <w:t xml:space="preserve">In conclusions, the TE finds the project highly relevant to the identified needs of the Drin riparian countries for transboundary water management and is therefore rated as </w:t>
      </w:r>
      <w:r>
        <w:rPr>
          <w:rFonts w:asciiTheme="minorHAnsi" w:hAnsiTheme="minorHAnsi"/>
          <w:b/>
          <w:bCs/>
          <w:sz w:val="22"/>
          <w:szCs w:val="22"/>
        </w:rPr>
        <w:t>Highly Satisfactory (HS).</w:t>
      </w:r>
    </w:p>
    <w:p w14:paraId="733ED1D9" w14:textId="77777777" w:rsidR="000F31AD" w:rsidRDefault="00A317E5">
      <w:pPr>
        <w:pStyle w:val="Heading3"/>
      </w:pPr>
      <w:bookmarkStart w:id="43" w:name="_Toc81335865"/>
      <w:r>
        <w:lastRenderedPageBreak/>
        <w:t>3.3.3.</w:t>
      </w:r>
      <w:r>
        <w:tab/>
        <w:t>Effectiveness</w:t>
      </w:r>
      <w:bookmarkEnd w:id="43"/>
    </w:p>
    <w:p w14:paraId="4C057003" w14:textId="75CB46EA" w:rsidR="00AA14C5" w:rsidRDefault="00AA14C5" w:rsidP="00AA14C5">
      <w:pPr>
        <w:pStyle w:val="NormalWeb"/>
        <w:jc w:val="both"/>
        <w:rPr>
          <w:rFonts w:asciiTheme="minorHAnsi" w:hAnsiTheme="minorHAnsi"/>
          <w:sz w:val="22"/>
          <w:szCs w:val="22"/>
        </w:rPr>
      </w:pPr>
      <w:r>
        <w:rPr>
          <w:rFonts w:asciiTheme="minorHAnsi" w:hAnsiTheme="minorHAnsi"/>
          <w:sz w:val="22"/>
          <w:szCs w:val="22"/>
        </w:rPr>
        <w:t>The Drin Project has achieved its overall objective to promote and to advance joint management of the shared water resources of the extended transboundary Drin River Basin. As noted in Section 3.3.1. above, all of the outcomes of have been achieved within the budget initially allocated, albeit with a somewhat prolonged period characterised by two extensions. The TE finds that these outcomes have been commensurate with the participating countries’ priorities. In a wider context, the project has contributed to the implementation of the UNDP Strategic Plan and GEF strategic priorities. Finally, even if they have not been specifically mentioned in the PIF and ProDoc, the project has contributed to the implementation of the UN 2030 Agenda’s Sustainable Development Goals (SDG), which have been adopted after the PIF and ProDoc were approved. Specific contribution was made to SDG 6, as well to SDGs 13, 15, 16 and 17.</w:t>
      </w:r>
      <w:r w:rsidR="00823714">
        <w:rPr>
          <w:rFonts w:asciiTheme="minorHAnsi" w:hAnsiTheme="minorHAnsi"/>
          <w:sz w:val="22"/>
          <w:szCs w:val="22"/>
        </w:rPr>
        <w:t xml:space="preserve"> </w:t>
      </w:r>
      <w:r w:rsidR="00E13732">
        <w:rPr>
          <w:rFonts w:asciiTheme="minorHAnsi" w:hAnsiTheme="minorHAnsi"/>
          <w:sz w:val="22"/>
          <w:szCs w:val="22"/>
        </w:rPr>
        <w:t>It has to be reiterated that the project has delivered a number of additional results that have not been originally envisaged by the ProDoc. These outputs were requested by the countries participating in the project and have contributed to strengthening the strategic component of the project.</w:t>
      </w:r>
    </w:p>
    <w:p w14:paraId="07A6F870" w14:textId="77777777" w:rsidR="00AA14C5" w:rsidRDefault="00AA14C5" w:rsidP="00AA14C5">
      <w:pPr>
        <w:jc w:val="both"/>
        <w:rPr>
          <w:rFonts w:ascii="Calibri" w:hAnsi="Calibri"/>
          <w:color w:val="000000"/>
          <w:sz w:val="22"/>
          <w:szCs w:val="22"/>
        </w:rPr>
      </w:pPr>
      <w:r w:rsidRPr="000D0C32">
        <w:rPr>
          <w:rFonts w:ascii="Calibri" w:hAnsi="Calibri"/>
          <w:color w:val="000000"/>
          <w:sz w:val="22"/>
          <w:szCs w:val="22"/>
        </w:rPr>
        <w:t xml:space="preserve">Overall effectiveness of the project is shown in Table </w:t>
      </w:r>
      <w:r>
        <w:rPr>
          <w:rFonts w:ascii="Calibri" w:hAnsi="Calibri"/>
          <w:color w:val="000000"/>
          <w:sz w:val="22"/>
          <w:szCs w:val="22"/>
          <w:lang w:val="hr-HR"/>
        </w:rPr>
        <w:t xml:space="preserve">6 </w:t>
      </w:r>
      <w:r w:rsidRPr="000D0C32">
        <w:rPr>
          <w:rFonts w:ascii="Calibri" w:hAnsi="Calibri"/>
          <w:color w:val="000000"/>
          <w:sz w:val="22"/>
          <w:szCs w:val="22"/>
        </w:rPr>
        <w:t>below. The "End of Project Situation" column is a synthesis of the project's aims and targets as stipulated by the</w:t>
      </w:r>
      <w:r>
        <w:rPr>
          <w:rFonts w:ascii="Calibri" w:hAnsi="Calibri"/>
          <w:color w:val="000000"/>
          <w:sz w:val="22"/>
          <w:szCs w:val="22"/>
          <w:lang w:val="hr-HR"/>
        </w:rPr>
        <w:t xml:space="preserve"> </w:t>
      </w:r>
      <w:r w:rsidRPr="009E5425">
        <w:rPr>
          <w:rFonts w:ascii="Calibri" w:hAnsi="Calibri"/>
          <w:color w:val="000000"/>
          <w:sz w:val="22"/>
          <w:szCs w:val="22"/>
        </w:rPr>
        <w:t>project's</w:t>
      </w:r>
      <w:r>
        <w:rPr>
          <w:rFonts w:ascii="Calibri" w:hAnsi="Calibri"/>
          <w:color w:val="000000"/>
          <w:sz w:val="22"/>
          <w:szCs w:val="22"/>
          <w:lang w:val="hr-HR"/>
        </w:rPr>
        <w:t xml:space="preserve"> </w:t>
      </w:r>
      <w:r w:rsidRPr="009E5425">
        <w:rPr>
          <w:rFonts w:ascii="Calibri" w:hAnsi="Calibri"/>
          <w:color w:val="000000"/>
          <w:sz w:val="22"/>
          <w:szCs w:val="22"/>
        </w:rPr>
        <w:t>outcomes</w:t>
      </w:r>
      <w:r w:rsidRPr="000D0C32">
        <w:rPr>
          <w:rFonts w:ascii="Calibri" w:hAnsi="Calibri"/>
          <w:color w:val="000000"/>
          <w:sz w:val="22"/>
          <w:szCs w:val="22"/>
        </w:rPr>
        <w:t>, while "Terminal Evaluator's Comments" column presents his conclusions on the extent to which these targets have been met.</w:t>
      </w:r>
    </w:p>
    <w:p w14:paraId="2B958FE5" w14:textId="77777777" w:rsidR="00AA14C5" w:rsidRDefault="00AA14C5" w:rsidP="00AA14C5">
      <w:pPr>
        <w:jc w:val="both"/>
      </w:pPr>
    </w:p>
    <w:p w14:paraId="23BE084E" w14:textId="77777777" w:rsidR="00AA14C5" w:rsidRPr="00894841" w:rsidRDefault="00AA14C5" w:rsidP="00AA14C5">
      <w:pPr>
        <w:jc w:val="both"/>
        <w:rPr>
          <w:rFonts w:asciiTheme="minorHAnsi" w:hAnsiTheme="minorHAnsi"/>
          <w:b/>
          <w:bCs/>
          <w:sz w:val="22"/>
          <w:szCs w:val="22"/>
        </w:rPr>
      </w:pPr>
      <w:r w:rsidRPr="00AA14C5">
        <w:rPr>
          <w:rFonts w:asciiTheme="minorHAnsi" w:hAnsiTheme="minorHAnsi"/>
          <w:b/>
          <w:bCs/>
          <w:sz w:val="22"/>
          <w:szCs w:val="22"/>
          <w:lang w:val="hr-HR"/>
        </w:rPr>
        <w:t>Table</w:t>
      </w:r>
      <w:r>
        <w:rPr>
          <w:rFonts w:asciiTheme="minorHAnsi" w:hAnsiTheme="minorHAnsi"/>
          <w:b/>
          <w:bCs/>
          <w:sz w:val="22"/>
          <w:szCs w:val="22"/>
          <w:lang w:val="hr-HR"/>
        </w:rPr>
        <w:t xml:space="preserve"> 6: </w:t>
      </w:r>
      <w:r w:rsidRPr="00894841">
        <w:rPr>
          <w:rFonts w:asciiTheme="minorHAnsi" w:hAnsiTheme="minorHAnsi"/>
          <w:b/>
          <w:bCs/>
          <w:sz w:val="22"/>
          <w:szCs w:val="22"/>
        </w:rPr>
        <w:t>Achievement of project's objectives</w:t>
      </w:r>
    </w:p>
    <w:p w14:paraId="4C515015" w14:textId="77777777" w:rsidR="00AA14C5" w:rsidRPr="006D1A7F" w:rsidRDefault="00AA14C5" w:rsidP="00AA14C5">
      <w:pPr>
        <w:jc w:val="both"/>
      </w:pPr>
    </w:p>
    <w:tbl>
      <w:tblPr>
        <w:tblStyle w:val="TableGrid"/>
        <w:tblW w:w="0" w:type="auto"/>
        <w:tblLook w:val="04A0" w:firstRow="1" w:lastRow="0" w:firstColumn="1" w:lastColumn="0" w:noHBand="0" w:noVBand="1"/>
      </w:tblPr>
      <w:tblGrid>
        <w:gridCol w:w="4508"/>
        <w:gridCol w:w="4508"/>
      </w:tblGrid>
      <w:tr w:rsidR="00AA14C5" w:rsidRPr="00AA14C5" w14:paraId="4F6C1238" w14:textId="77777777" w:rsidTr="005662AE">
        <w:tc>
          <w:tcPr>
            <w:tcW w:w="4508" w:type="dxa"/>
            <w:shd w:val="clear" w:color="auto" w:fill="F4B083" w:themeFill="accent2" w:themeFillTint="99"/>
          </w:tcPr>
          <w:p w14:paraId="667A14DC" w14:textId="77777777" w:rsidR="00AA14C5" w:rsidRPr="00AA14C5" w:rsidRDefault="00AA14C5" w:rsidP="005662AE">
            <w:pPr>
              <w:pStyle w:val="NormalWeb"/>
              <w:jc w:val="center"/>
              <w:rPr>
                <w:rFonts w:asciiTheme="minorHAnsi" w:hAnsiTheme="minorHAnsi"/>
                <w:b/>
                <w:bCs/>
                <w:sz w:val="22"/>
                <w:szCs w:val="22"/>
              </w:rPr>
            </w:pPr>
            <w:r w:rsidRPr="00AA14C5">
              <w:rPr>
                <w:rFonts w:asciiTheme="minorHAnsi" w:hAnsiTheme="minorHAnsi"/>
                <w:b/>
                <w:bCs/>
                <w:sz w:val="22"/>
                <w:szCs w:val="22"/>
              </w:rPr>
              <w:t>End-of-project situation</w:t>
            </w:r>
          </w:p>
        </w:tc>
        <w:tc>
          <w:tcPr>
            <w:tcW w:w="4508" w:type="dxa"/>
            <w:shd w:val="clear" w:color="auto" w:fill="F4B083" w:themeFill="accent2" w:themeFillTint="99"/>
          </w:tcPr>
          <w:p w14:paraId="747F36F4" w14:textId="77777777" w:rsidR="00AA14C5" w:rsidRPr="00AA14C5" w:rsidRDefault="00AA14C5" w:rsidP="005662AE">
            <w:pPr>
              <w:pStyle w:val="NormalWeb"/>
              <w:jc w:val="center"/>
              <w:rPr>
                <w:rFonts w:asciiTheme="minorHAnsi" w:hAnsiTheme="minorHAnsi"/>
                <w:b/>
                <w:bCs/>
                <w:sz w:val="22"/>
                <w:szCs w:val="22"/>
              </w:rPr>
            </w:pPr>
            <w:r w:rsidRPr="00AA14C5">
              <w:rPr>
                <w:rFonts w:asciiTheme="minorHAnsi" w:hAnsiTheme="minorHAnsi"/>
                <w:b/>
                <w:bCs/>
                <w:sz w:val="22"/>
                <w:szCs w:val="22"/>
              </w:rPr>
              <w:t>Terminal Evaluation comments</w:t>
            </w:r>
          </w:p>
        </w:tc>
      </w:tr>
      <w:tr w:rsidR="00AA14C5" w:rsidRPr="00AA14C5" w14:paraId="2651A242" w14:textId="77777777" w:rsidTr="005662AE">
        <w:tc>
          <w:tcPr>
            <w:tcW w:w="4508" w:type="dxa"/>
          </w:tcPr>
          <w:p w14:paraId="0003D79F" w14:textId="77777777" w:rsidR="00AA14C5" w:rsidRPr="00AA14C5" w:rsidRDefault="00AA14C5" w:rsidP="005662AE">
            <w:pPr>
              <w:pStyle w:val="NormalWeb"/>
              <w:spacing w:before="0" w:beforeAutospacing="0" w:after="0" w:afterAutospacing="0"/>
              <w:contextualSpacing/>
              <w:rPr>
                <w:rFonts w:asciiTheme="minorHAnsi" w:hAnsiTheme="minorHAnsi"/>
                <w:sz w:val="20"/>
                <w:szCs w:val="20"/>
              </w:rPr>
            </w:pPr>
            <w:r w:rsidRPr="00AA14C5">
              <w:rPr>
                <w:rFonts w:asciiTheme="minorHAnsi" w:hAnsiTheme="minorHAnsi" w:cstheme="minorHAnsi"/>
                <w:b/>
                <w:sz w:val="20"/>
                <w:szCs w:val="20"/>
              </w:rPr>
              <w:t>Outcome 1</w:t>
            </w:r>
            <w:r w:rsidRPr="00AA14C5">
              <w:rPr>
                <w:rFonts w:asciiTheme="minorHAnsi" w:hAnsiTheme="minorHAnsi" w:cstheme="minorHAnsi"/>
                <w:b/>
                <w:sz w:val="20"/>
                <w:szCs w:val="20"/>
                <w:lang w:val="hr-HR"/>
              </w:rPr>
              <w:t xml:space="preserve">: </w:t>
            </w:r>
            <w:r w:rsidRPr="00AA14C5">
              <w:rPr>
                <w:rFonts w:asciiTheme="minorHAnsi" w:hAnsiTheme="minorHAnsi" w:cstheme="minorHAnsi"/>
                <w:sz w:val="20"/>
                <w:szCs w:val="20"/>
              </w:rPr>
              <w:t>Consensus among countries on key trans boundary concerns and drivers of change, including climate change and variability, reached through joint fact finding</w:t>
            </w:r>
          </w:p>
        </w:tc>
        <w:tc>
          <w:tcPr>
            <w:tcW w:w="4508" w:type="dxa"/>
          </w:tcPr>
          <w:p w14:paraId="2E73AA1B" w14:textId="0300651F" w:rsidR="00AA14C5" w:rsidRPr="00AA14C5" w:rsidRDefault="00AA14C5" w:rsidP="005662AE">
            <w:pPr>
              <w:rPr>
                <w:rFonts w:asciiTheme="minorHAnsi" w:hAnsiTheme="minorHAnsi"/>
                <w:sz w:val="20"/>
                <w:szCs w:val="20"/>
              </w:rPr>
            </w:pPr>
            <w:r w:rsidRPr="00AA14C5">
              <w:rPr>
                <w:rFonts w:asciiTheme="minorHAnsi" w:hAnsiTheme="minorHAnsi"/>
                <w:sz w:val="20"/>
                <w:szCs w:val="20"/>
              </w:rPr>
              <w:t>High degree of consensus was achieved among Drin riparian countries on major transboundary concerns and drivers of change. Preparation of the TDA was a successful exercise. Furthermore, the TDA was developed in a way so as the contained information and chapters could also constitute the building blocks for the development of a river basin management plan at the Drin Basin level in accordance with the EU Water Framework Directive. In essence the TDA is the equivalent of a Drin River Basin Management Plan "Characterization Report" as it includes the following: initial proposal for the delineation of water bodies in accordance to the EU WFD, calculation of water budget under different scenarios, analysis of pollution pressures, assessment of pollution loads, assessment of chemical pollution, identification of protected areas, analysis of the governance of water and environment in the basin, initial assessment of the condition of and the pressures to biodiversity etc.</w:t>
            </w:r>
            <w:r w:rsidRPr="00AA14C5">
              <w:rPr>
                <w:rFonts w:asciiTheme="minorHAnsi" w:hAnsiTheme="minorHAnsi"/>
              </w:rPr>
              <w:t xml:space="preserve"> </w:t>
            </w:r>
            <w:r w:rsidRPr="00AA14C5">
              <w:rPr>
                <w:rFonts w:asciiTheme="minorHAnsi" w:hAnsiTheme="minorHAnsi"/>
                <w:sz w:val="20"/>
                <w:szCs w:val="20"/>
              </w:rPr>
              <w:t xml:space="preserve">Finally, the IMS </w:t>
            </w:r>
            <w:r w:rsidR="00823714">
              <w:rPr>
                <w:lang w:val="en-US"/>
              </w:rPr>
              <w:t xml:space="preserve"> </w:t>
            </w:r>
            <w:r w:rsidR="00823714" w:rsidRPr="00894841">
              <w:rPr>
                <w:rFonts w:asciiTheme="minorHAnsi" w:hAnsiTheme="minorHAnsi" w:cstheme="minorHAnsi"/>
                <w:sz w:val="20"/>
                <w:szCs w:val="20"/>
                <w:lang w:val="en-US"/>
              </w:rPr>
              <w:t>contains all information gathered or generated for the development of the TDA. It also allows exchange of information; the latter will become possible upon decision by the DCG of the type of data to be exchanged, frequency etc.</w:t>
            </w:r>
          </w:p>
        </w:tc>
      </w:tr>
      <w:tr w:rsidR="00AA14C5" w:rsidRPr="00AA14C5" w14:paraId="62D9F412" w14:textId="77777777" w:rsidTr="005662AE">
        <w:tc>
          <w:tcPr>
            <w:tcW w:w="4508" w:type="dxa"/>
          </w:tcPr>
          <w:p w14:paraId="24CA741D" w14:textId="77777777" w:rsidR="00AA14C5" w:rsidRPr="00AA14C5" w:rsidRDefault="00AA14C5" w:rsidP="005662AE">
            <w:pPr>
              <w:rPr>
                <w:rFonts w:asciiTheme="minorHAnsi" w:hAnsiTheme="minorHAnsi"/>
                <w:sz w:val="20"/>
                <w:szCs w:val="20"/>
              </w:rPr>
            </w:pPr>
            <w:r w:rsidRPr="00AA14C5">
              <w:rPr>
                <w:rFonts w:asciiTheme="minorHAnsi" w:hAnsiTheme="minorHAnsi" w:cstheme="minorHAnsi"/>
                <w:b/>
                <w:sz w:val="20"/>
                <w:szCs w:val="20"/>
              </w:rPr>
              <w:t xml:space="preserve">Outcome 2: </w:t>
            </w:r>
            <w:r w:rsidRPr="00AA14C5">
              <w:rPr>
                <w:rFonts w:asciiTheme="minorHAnsi" w:hAnsiTheme="minorHAnsi" w:cstheme="minorHAnsi"/>
                <w:sz w:val="20"/>
                <w:szCs w:val="20"/>
              </w:rPr>
              <w:t>V</w:t>
            </w:r>
            <w:r w:rsidRPr="00AA14C5">
              <w:rPr>
                <w:rFonts w:asciiTheme="minorHAnsi" w:hAnsiTheme="minorHAnsi" w:cstheme="minorHAnsi"/>
                <w:bCs/>
                <w:sz w:val="20"/>
                <w:szCs w:val="20"/>
              </w:rPr>
              <w:t>isioning process opens the way for systematic cooperation in the management of the transboundary Drin River Basin</w:t>
            </w:r>
          </w:p>
        </w:tc>
        <w:tc>
          <w:tcPr>
            <w:tcW w:w="4508" w:type="dxa"/>
          </w:tcPr>
          <w:p w14:paraId="05D54C3A" w14:textId="7AA31420" w:rsidR="00AA14C5" w:rsidRPr="00AA14C5" w:rsidRDefault="00AA14C5" w:rsidP="005662AE">
            <w:pPr>
              <w:pStyle w:val="NormalWeb"/>
              <w:rPr>
                <w:rFonts w:asciiTheme="minorHAnsi" w:hAnsiTheme="minorHAnsi"/>
                <w:sz w:val="20"/>
                <w:szCs w:val="20"/>
              </w:rPr>
            </w:pPr>
            <w:r w:rsidRPr="00AA14C5">
              <w:rPr>
                <w:rFonts w:asciiTheme="minorHAnsi" w:hAnsiTheme="minorHAnsi"/>
                <w:sz w:val="20"/>
                <w:szCs w:val="20"/>
              </w:rPr>
              <w:t xml:space="preserve">The 2011 Shared Vision was confirmed by all the countries, which offered wide opportunity for extended cooperation in the Drin River Basin, which has led to the endorsement of the SAP. In addition, surplus funds, which have not been spent on </w:t>
            </w:r>
            <w:r w:rsidRPr="00AA14C5">
              <w:rPr>
                <w:rFonts w:asciiTheme="minorHAnsi" w:hAnsiTheme="minorHAnsi"/>
                <w:sz w:val="20"/>
                <w:szCs w:val="20"/>
              </w:rPr>
              <w:lastRenderedPageBreak/>
              <w:t>developing a new vision, were utilised for the preparation of the study to assess the cost of SAP implementation, to be used as a guide for the future concrete interventions</w:t>
            </w:r>
            <w:r w:rsidR="00E13732">
              <w:rPr>
                <w:rFonts w:asciiTheme="minorHAnsi" w:hAnsiTheme="minorHAnsi"/>
                <w:sz w:val="20"/>
                <w:szCs w:val="20"/>
              </w:rPr>
              <w:t xml:space="preserve">, </w:t>
            </w:r>
            <w:r w:rsidR="00E13732" w:rsidRPr="00894841">
              <w:rPr>
                <w:rFonts w:asciiTheme="minorHAnsi" w:hAnsiTheme="minorHAnsi" w:cstheme="minorHAnsi"/>
                <w:sz w:val="20"/>
                <w:szCs w:val="20"/>
                <w:lang w:val="en-US"/>
              </w:rPr>
              <w:t>and a feasibility study for the development of an international agreement for the management of the Drin Basin as well as a draft international agreement text to be negotiated by the countries</w:t>
            </w:r>
            <w:r w:rsidRPr="00AA14C5">
              <w:rPr>
                <w:rFonts w:asciiTheme="minorHAnsi" w:hAnsiTheme="minorHAnsi"/>
                <w:sz w:val="20"/>
                <w:szCs w:val="20"/>
              </w:rPr>
              <w:t xml:space="preserve">. </w:t>
            </w:r>
          </w:p>
        </w:tc>
      </w:tr>
      <w:tr w:rsidR="00AA14C5" w:rsidRPr="00AA14C5" w14:paraId="331D04A4" w14:textId="77777777" w:rsidTr="005662AE">
        <w:tc>
          <w:tcPr>
            <w:tcW w:w="4508" w:type="dxa"/>
          </w:tcPr>
          <w:p w14:paraId="5E753210" w14:textId="77777777" w:rsidR="00AA14C5" w:rsidRPr="00AA14C5" w:rsidRDefault="00AA14C5" w:rsidP="005662AE">
            <w:pPr>
              <w:rPr>
                <w:rFonts w:asciiTheme="minorHAnsi" w:hAnsiTheme="minorHAnsi"/>
                <w:sz w:val="20"/>
                <w:szCs w:val="20"/>
              </w:rPr>
            </w:pPr>
            <w:r w:rsidRPr="00AA14C5">
              <w:rPr>
                <w:rFonts w:asciiTheme="minorHAnsi" w:hAnsiTheme="minorHAnsi" w:cstheme="minorHAnsi"/>
                <w:b/>
                <w:sz w:val="20"/>
                <w:szCs w:val="20"/>
              </w:rPr>
              <w:lastRenderedPageBreak/>
              <w:t xml:space="preserve">Outcome 3: </w:t>
            </w:r>
            <w:r w:rsidRPr="00AA14C5">
              <w:rPr>
                <w:rFonts w:asciiTheme="minorHAnsi" w:hAnsiTheme="minorHAnsi" w:cstheme="minorHAnsi"/>
                <w:bCs/>
                <w:sz w:val="20"/>
                <w:szCs w:val="20"/>
              </w:rPr>
              <w:t>Countries and donors commit to sustain joint cooperation mechanisms and to undertake priority reforms and investments</w:t>
            </w:r>
          </w:p>
        </w:tc>
        <w:tc>
          <w:tcPr>
            <w:tcW w:w="4508" w:type="dxa"/>
          </w:tcPr>
          <w:p w14:paraId="510E77F6" w14:textId="77777777" w:rsidR="00AA14C5" w:rsidRPr="00AA14C5" w:rsidRDefault="00AA14C5" w:rsidP="005662AE">
            <w:pPr>
              <w:pStyle w:val="NormalWeb"/>
              <w:rPr>
                <w:rFonts w:asciiTheme="minorHAnsi" w:hAnsiTheme="minorHAnsi"/>
                <w:sz w:val="20"/>
                <w:szCs w:val="20"/>
              </w:rPr>
            </w:pPr>
            <w:r w:rsidRPr="00AA14C5">
              <w:rPr>
                <w:rFonts w:asciiTheme="minorHAnsi" w:hAnsiTheme="minorHAnsi"/>
                <w:sz w:val="20"/>
                <w:szCs w:val="20"/>
              </w:rPr>
              <w:t xml:space="preserve">Partnership Conference was delayed because of the COVID-19. During the online event, the potential partners expressed their interest to continue supporting countries in their transboundary management efforts. Several potential spin-off projects were announced. </w:t>
            </w:r>
          </w:p>
        </w:tc>
      </w:tr>
      <w:tr w:rsidR="00AA14C5" w:rsidRPr="00AA14C5" w14:paraId="3BFB7097" w14:textId="77777777" w:rsidTr="005662AE">
        <w:tc>
          <w:tcPr>
            <w:tcW w:w="4508" w:type="dxa"/>
          </w:tcPr>
          <w:p w14:paraId="7B47CD1C" w14:textId="77777777" w:rsidR="00AA14C5" w:rsidRPr="00AA14C5" w:rsidRDefault="00AA14C5" w:rsidP="005662AE">
            <w:pPr>
              <w:rPr>
                <w:rFonts w:asciiTheme="minorHAnsi" w:hAnsiTheme="minorHAnsi"/>
                <w:sz w:val="20"/>
                <w:szCs w:val="20"/>
              </w:rPr>
            </w:pPr>
            <w:r w:rsidRPr="00AA14C5">
              <w:rPr>
                <w:rFonts w:asciiTheme="minorHAnsi" w:hAnsiTheme="minorHAnsi" w:cstheme="minorHAnsi"/>
                <w:b/>
                <w:sz w:val="20"/>
                <w:szCs w:val="20"/>
              </w:rPr>
              <w:t xml:space="preserve">Outcome 4: </w:t>
            </w:r>
            <w:r w:rsidRPr="00AA14C5">
              <w:rPr>
                <w:rFonts w:asciiTheme="minorHAnsi" w:hAnsiTheme="minorHAnsi" w:cstheme="minorHAnsi"/>
                <w:bCs/>
                <w:sz w:val="20"/>
                <w:szCs w:val="20"/>
              </w:rPr>
              <w:t>The operationalization and strengthening of the institutional and legal frameworks for transboundary cooperation will facilitate balancing of water uses and sustaining environmental quality throughout the extended Drin Basin</w:t>
            </w:r>
          </w:p>
        </w:tc>
        <w:tc>
          <w:tcPr>
            <w:tcW w:w="4508" w:type="dxa"/>
          </w:tcPr>
          <w:p w14:paraId="0C949A98" w14:textId="0501A25B" w:rsidR="00AA14C5" w:rsidRPr="00AA14C5" w:rsidRDefault="00AA14C5" w:rsidP="00894841">
            <w:pPr>
              <w:pStyle w:val="CommentText"/>
              <w:rPr>
                <w:rFonts w:asciiTheme="minorHAnsi" w:hAnsiTheme="minorHAnsi"/>
              </w:rPr>
            </w:pPr>
            <w:r w:rsidRPr="00AA14C5">
              <w:rPr>
                <w:rFonts w:asciiTheme="minorHAnsi" w:hAnsiTheme="minorHAnsi"/>
              </w:rPr>
              <w:t xml:space="preserve">The Drin Core Group has led the efforts to strengthen the institutional and legal framework. It has held frequent meetings, and acting as the Project Steering Committee had achieving meetings frequency way above the average for similar projects. </w:t>
            </w:r>
            <w:r w:rsidR="00E13732" w:rsidRPr="00894841">
              <w:rPr>
                <w:rFonts w:asciiTheme="minorHAnsi" w:hAnsiTheme="minorHAnsi" w:cstheme="minorHAnsi"/>
              </w:rPr>
              <w:t>It also became the SC of two additional regional projects thus having a coordinating/</w:t>
            </w:r>
            <w:r w:rsidR="00E13732">
              <w:rPr>
                <w:rFonts w:asciiTheme="minorHAnsi" w:hAnsiTheme="minorHAnsi" w:cstheme="minorHAnsi"/>
              </w:rPr>
              <w:t xml:space="preserve"> </w:t>
            </w:r>
            <w:r w:rsidR="00E13732" w:rsidRPr="00894841">
              <w:rPr>
                <w:rFonts w:asciiTheme="minorHAnsi" w:hAnsiTheme="minorHAnsi" w:cstheme="minorHAnsi"/>
              </w:rPr>
              <w:t>overview role for almost all the regional projects focusing on the Drin Basin.</w:t>
            </w:r>
            <w:r w:rsidR="00E13732">
              <w:rPr>
                <w:rFonts w:asciiTheme="minorHAnsi" w:hAnsiTheme="minorHAnsi" w:cstheme="minorHAnsi"/>
              </w:rPr>
              <w:t xml:space="preserve"> </w:t>
            </w:r>
            <w:r w:rsidRPr="00AA14C5">
              <w:rPr>
                <w:rFonts w:asciiTheme="minorHAnsi" w:hAnsiTheme="minorHAnsi"/>
              </w:rPr>
              <w:t xml:space="preserve">This has greatly increased the ownership of the project by the countries. The training and other capacity building activities were fully </w:t>
            </w:r>
            <w:r w:rsidR="00E13732" w:rsidRPr="00AA14C5">
              <w:rPr>
                <w:rFonts w:asciiTheme="minorHAnsi" w:hAnsiTheme="minorHAnsi"/>
              </w:rPr>
              <w:t>implemented</w:t>
            </w:r>
            <w:r w:rsidRPr="00AA14C5">
              <w:rPr>
                <w:rFonts w:asciiTheme="minorHAnsi" w:hAnsiTheme="minorHAnsi"/>
              </w:rPr>
              <w:t xml:space="preserve">. The IMCs were not established as envisaged, and more efforts in the future will have to be employed at country level to establish them within their full mandates. </w:t>
            </w:r>
          </w:p>
        </w:tc>
      </w:tr>
      <w:tr w:rsidR="00AA14C5" w:rsidRPr="00AA14C5" w14:paraId="0937B5A0" w14:textId="77777777" w:rsidTr="005662AE">
        <w:tc>
          <w:tcPr>
            <w:tcW w:w="4508" w:type="dxa"/>
          </w:tcPr>
          <w:p w14:paraId="381B339D" w14:textId="77777777" w:rsidR="00AA14C5" w:rsidRPr="00AA14C5" w:rsidRDefault="00AA14C5" w:rsidP="005662AE">
            <w:pPr>
              <w:rPr>
                <w:rFonts w:asciiTheme="minorHAnsi" w:hAnsiTheme="minorHAnsi"/>
                <w:sz w:val="20"/>
                <w:szCs w:val="20"/>
              </w:rPr>
            </w:pPr>
            <w:r w:rsidRPr="00AA14C5">
              <w:rPr>
                <w:rFonts w:asciiTheme="minorHAnsi" w:hAnsiTheme="minorHAnsi" w:cstheme="minorHAnsi"/>
                <w:b/>
                <w:sz w:val="20"/>
                <w:szCs w:val="20"/>
              </w:rPr>
              <w:t xml:space="preserve">Outcome 5: </w:t>
            </w:r>
            <w:r w:rsidRPr="00AA14C5">
              <w:rPr>
                <w:rFonts w:asciiTheme="minorHAnsi" w:hAnsiTheme="minorHAnsi" w:cstheme="minorHAnsi"/>
                <w:bCs/>
                <w:sz w:val="20"/>
                <w:szCs w:val="20"/>
              </w:rPr>
              <w:t>Benefits demonstrated on the ground by environmentally sound approaches and technologies new to the region</w:t>
            </w:r>
          </w:p>
        </w:tc>
        <w:tc>
          <w:tcPr>
            <w:tcW w:w="4508" w:type="dxa"/>
          </w:tcPr>
          <w:p w14:paraId="0697D0F3" w14:textId="77777777" w:rsidR="00AA14C5" w:rsidRPr="00AA14C5" w:rsidRDefault="00AA14C5" w:rsidP="005662AE">
            <w:pPr>
              <w:pStyle w:val="NormalWeb"/>
              <w:rPr>
                <w:rFonts w:asciiTheme="minorHAnsi" w:hAnsiTheme="minorHAnsi"/>
                <w:sz w:val="20"/>
                <w:szCs w:val="20"/>
              </w:rPr>
            </w:pPr>
            <w:r w:rsidRPr="00AA14C5">
              <w:rPr>
                <w:rFonts w:asciiTheme="minorHAnsi" w:hAnsiTheme="minorHAnsi"/>
                <w:sz w:val="20"/>
                <w:szCs w:val="20"/>
              </w:rPr>
              <w:t>Demonstration projects were successfully implemented, often with full support of and coordination with the local communities.</w:t>
            </w:r>
          </w:p>
        </w:tc>
      </w:tr>
      <w:tr w:rsidR="00AA14C5" w:rsidRPr="00AA14C5" w14:paraId="20624DAA" w14:textId="77777777" w:rsidTr="005662AE">
        <w:tc>
          <w:tcPr>
            <w:tcW w:w="4508" w:type="dxa"/>
          </w:tcPr>
          <w:p w14:paraId="393F6935" w14:textId="77777777" w:rsidR="00AA14C5" w:rsidRPr="00AA14C5" w:rsidRDefault="00AA14C5" w:rsidP="005662AE">
            <w:pPr>
              <w:rPr>
                <w:rFonts w:asciiTheme="minorHAnsi" w:hAnsiTheme="minorHAnsi"/>
                <w:sz w:val="20"/>
                <w:szCs w:val="20"/>
              </w:rPr>
            </w:pPr>
            <w:r w:rsidRPr="00AA14C5">
              <w:rPr>
                <w:rFonts w:asciiTheme="minorHAnsi" w:hAnsiTheme="minorHAnsi" w:cstheme="minorHAnsi"/>
                <w:b/>
                <w:bCs/>
                <w:sz w:val="20"/>
                <w:szCs w:val="20"/>
              </w:rPr>
              <w:t xml:space="preserve">Outcome 6: </w:t>
            </w:r>
            <w:r w:rsidRPr="00AA14C5">
              <w:rPr>
                <w:rFonts w:asciiTheme="minorHAnsi" w:hAnsiTheme="minorHAnsi" w:cstheme="minorHAnsi"/>
                <w:bCs/>
                <w:sz w:val="20"/>
                <w:szCs w:val="20"/>
              </w:rPr>
              <w:t>Public support and participation to IWRM and joint multi-country management enhanced through stakeholder involvement and gender mainstreaming</w:t>
            </w:r>
          </w:p>
        </w:tc>
        <w:tc>
          <w:tcPr>
            <w:tcW w:w="4508" w:type="dxa"/>
          </w:tcPr>
          <w:p w14:paraId="50B3E4EE" w14:textId="1A3784A1" w:rsidR="00AA14C5" w:rsidRPr="00AA14C5" w:rsidRDefault="00AA14C5" w:rsidP="00894841">
            <w:pPr>
              <w:pStyle w:val="CommentText"/>
              <w:rPr>
                <w:rFonts w:asciiTheme="minorHAnsi" w:hAnsiTheme="minorHAnsi"/>
              </w:rPr>
            </w:pPr>
            <w:r w:rsidRPr="00AA14C5">
              <w:rPr>
                <w:rFonts w:asciiTheme="minorHAnsi" w:hAnsiTheme="minorHAnsi"/>
              </w:rPr>
              <w:t>Stakeholder engagement strategy, including the gender mainstreaming action plan, was fully implemented. Successful stakeholders’ conferences greatly contributed to the raised awareness of the project and the objectives it wanted to achieve.</w:t>
            </w:r>
            <w:r w:rsidR="00E13732">
              <w:rPr>
                <w:lang w:val="en-US"/>
              </w:rPr>
              <w:t xml:space="preserve"> </w:t>
            </w:r>
            <w:r w:rsidR="00E13732" w:rsidRPr="00894841">
              <w:rPr>
                <w:rFonts w:asciiTheme="minorHAnsi" w:hAnsiTheme="minorHAnsi" w:cstheme="minorHAnsi"/>
                <w:lang w:val="en-US"/>
              </w:rPr>
              <w:t>The project contributed to an understanding of the transboundary issues and their causes as well as an understanding of the need of coordinated/</w:t>
            </w:r>
            <w:r w:rsidR="00E13732">
              <w:rPr>
                <w:rFonts w:asciiTheme="minorHAnsi" w:hAnsiTheme="minorHAnsi" w:cstheme="minorHAnsi"/>
                <w:lang w:val="en-US"/>
              </w:rPr>
              <w:t xml:space="preserve"> </w:t>
            </w:r>
            <w:r w:rsidR="00E13732" w:rsidRPr="00894841">
              <w:rPr>
                <w:rFonts w:asciiTheme="minorHAnsi" w:hAnsiTheme="minorHAnsi" w:cstheme="minorHAnsi"/>
                <w:lang w:val="en-US"/>
              </w:rPr>
              <w:t>cooperative action for the addressing of the needs and</w:t>
            </w:r>
            <w:r w:rsidR="00E13732">
              <w:rPr>
                <w:rFonts w:asciiTheme="minorHAnsi" w:hAnsiTheme="minorHAnsi" w:cstheme="minorHAnsi"/>
                <w:lang w:val="en-US"/>
              </w:rPr>
              <w:t xml:space="preserve">, thus, </w:t>
            </w:r>
            <w:r w:rsidR="00E13732" w:rsidRPr="00894841">
              <w:rPr>
                <w:rFonts w:asciiTheme="minorHAnsi" w:hAnsiTheme="minorHAnsi" w:cstheme="minorHAnsi"/>
                <w:lang w:val="en-US"/>
              </w:rPr>
              <w:t xml:space="preserve">increased level of ownership and pride among stakeholders, positively affecting the project implementation and increasing </w:t>
            </w:r>
            <w:r w:rsidR="00E13732">
              <w:rPr>
                <w:rFonts w:asciiTheme="minorHAnsi" w:hAnsiTheme="minorHAnsi" w:cstheme="minorHAnsi"/>
                <w:lang w:val="en-US"/>
              </w:rPr>
              <w:t xml:space="preserve">its </w:t>
            </w:r>
            <w:r w:rsidR="00E13732" w:rsidRPr="00894841">
              <w:rPr>
                <w:rFonts w:asciiTheme="minorHAnsi" w:hAnsiTheme="minorHAnsi" w:cstheme="minorHAnsi"/>
                <w:lang w:val="en-US"/>
              </w:rPr>
              <w:t>sustainability likelihood</w:t>
            </w:r>
            <w:r w:rsidR="00E13732">
              <w:rPr>
                <w:rFonts w:asciiTheme="minorHAnsi" w:hAnsiTheme="minorHAnsi" w:cstheme="minorHAnsi"/>
                <w:lang w:val="en-US"/>
              </w:rPr>
              <w:t xml:space="preserve">. </w:t>
            </w:r>
          </w:p>
        </w:tc>
      </w:tr>
      <w:tr w:rsidR="00AA14C5" w:rsidRPr="00AA14C5" w14:paraId="5C37A062" w14:textId="77777777" w:rsidTr="005662AE">
        <w:tc>
          <w:tcPr>
            <w:tcW w:w="4508" w:type="dxa"/>
          </w:tcPr>
          <w:p w14:paraId="764A2601" w14:textId="77777777" w:rsidR="00AA14C5" w:rsidRPr="00AA14C5" w:rsidRDefault="00AA14C5" w:rsidP="005662AE">
            <w:pPr>
              <w:rPr>
                <w:rFonts w:asciiTheme="minorHAnsi" w:hAnsiTheme="minorHAnsi"/>
                <w:sz w:val="20"/>
                <w:szCs w:val="20"/>
              </w:rPr>
            </w:pPr>
            <w:r w:rsidRPr="00AA14C5">
              <w:rPr>
                <w:rFonts w:asciiTheme="minorHAnsi" w:hAnsiTheme="minorHAnsi" w:cstheme="minorHAnsi"/>
                <w:b/>
                <w:sz w:val="20"/>
                <w:szCs w:val="20"/>
              </w:rPr>
              <w:t xml:space="preserve">Outcome 7: </w:t>
            </w:r>
            <w:r w:rsidRPr="00AA14C5">
              <w:rPr>
                <w:rFonts w:asciiTheme="minorHAnsi" w:hAnsiTheme="minorHAnsi" w:cstheme="minorHAnsi"/>
                <w:bCs/>
                <w:sz w:val="20"/>
                <w:szCs w:val="20"/>
              </w:rPr>
              <w:t>Political awareness at all levels and private sector participation strengthened through higher visibility of the project‘s developments and targeted outreach initiatives</w:t>
            </w:r>
          </w:p>
        </w:tc>
        <w:tc>
          <w:tcPr>
            <w:tcW w:w="4508" w:type="dxa"/>
          </w:tcPr>
          <w:p w14:paraId="15A0FDDC" w14:textId="5C1F7789" w:rsidR="00AA14C5" w:rsidRPr="00AA14C5" w:rsidRDefault="00E13732" w:rsidP="00894841">
            <w:pPr>
              <w:pStyle w:val="CommentText"/>
              <w:rPr>
                <w:rFonts w:asciiTheme="minorHAnsi" w:hAnsiTheme="minorHAnsi"/>
              </w:rPr>
            </w:pPr>
            <w:r w:rsidRPr="00894841">
              <w:rPr>
                <w:rFonts w:asciiTheme="minorHAnsi" w:hAnsiTheme="minorHAnsi" w:cstheme="minorHAnsi"/>
                <w:color w:val="000000"/>
              </w:rPr>
              <w:t xml:space="preserve">An Information, Communication and Outreach Strategy is developed, approved by the DCG and implemented ensuring that the project activities, outputs and outcomes are communicated to the stakeholders and these have increased awareness regarding the Project, the Drin Coordinated Action Process and the management issues in the Drin Basin its causes and potential solutions, enabling their meaningful engagement in the implementation of the project activities, the provision of input (technical and other) as necessary as well as </w:t>
            </w:r>
            <w:r w:rsidRPr="00894841">
              <w:rPr>
                <w:rFonts w:asciiTheme="minorHAnsi" w:hAnsiTheme="minorHAnsi" w:cstheme="minorHAnsi"/>
                <w:color w:val="000000"/>
              </w:rPr>
              <w:lastRenderedPageBreak/>
              <w:t xml:space="preserve">enabling the success of the project and increasing the potential of sustainability of the results of the project leading to enhanced coordinated transboundary water resources management. </w:t>
            </w:r>
            <w:r w:rsidR="00AA14C5" w:rsidRPr="00894841">
              <w:rPr>
                <w:rFonts w:asciiTheme="minorHAnsi" w:hAnsiTheme="minorHAnsi" w:cstheme="minorHAnsi"/>
              </w:rPr>
              <w:t>So</w:t>
            </w:r>
            <w:r w:rsidR="00AA14C5" w:rsidRPr="00AA14C5">
              <w:rPr>
                <w:rFonts w:asciiTheme="minorHAnsi" w:hAnsiTheme="minorHAnsi"/>
              </w:rPr>
              <w:t>me of the</w:t>
            </w:r>
            <w:r>
              <w:rPr>
                <w:rFonts w:asciiTheme="minorHAnsi" w:hAnsiTheme="minorHAnsi"/>
              </w:rPr>
              <w:t xml:space="preserve"> communication products</w:t>
            </w:r>
            <w:r w:rsidR="00AA14C5" w:rsidRPr="00AA14C5">
              <w:rPr>
                <w:rFonts w:asciiTheme="minorHAnsi" w:hAnsiTheme="minorHAnsi"/>
              </w:rPr>
              <w:t xml:space="preserve">, like animated stories, were quite innovative. </w:t>
            </w:r>
          </w:p>
        </w:tc>
      </w:tr>
    </w:tbl>
    <w:p w14:paraId="5D10CA08" w14:textId="77777777" w:rsidR="00AA14C5" w:rsidRDefault="00AA14C5" w:rsidP="00AA14C5">
      <w:pPr>
        <w:pStyle w:val="NormalWeb"/>
        <w:jc w:val="both"/>
        <w:rPr>
          <w:rFonts w:asciiTheme="minorHAnsi" w:hAnsiTheme="minorHAnsi"/>
          <w:sz w:val="22"/>
          <w:szCs w:val="22"/>
        </w:rPr>
      </w:pPr>
      <w:r>
        <w:rPr>
          <w:rFonts w:asciiTheme="minorHAnsi" w:hAnsiTheme="minorHAnsi"/>
          <w:sz w:val="22"/>
          <w:szCs w:val="22"/>
        </w:rPr>
        <w:lastRenderedPageBreak/>
        <w:t>One constraining factor was the unexpected occurrence of the COVID-19 crisis. However, t</w:t>
      </w:r>
      <w:r w:rsidRPr="00145637">
        <w:rPr>
          <w:rFonts w:asciiTheme="minorHAnsi" w:hAnsiTheme="minorHAnsi"/>
          <w:sz w:val="22"/>
          <w:szCs w:val="22"/>
        </w:rPr>
        <w:t xml:space="preserve">he project management team navigated through the crisis with great skill, which resulted </w:t>
      </w:r>
      <w:r>
        <w:rPr>
          <w:rFonts w:asciiTheme="minorHAnsi" w:hAnsiTheme="minorHAnsi"/>
          <w:sz w:val="22"/>
          <w:szCs w:val="22"/>
        </w:rPr>
        <w:t>in</w:t>
      </w:r>
      <w:r w:rsidRPr="00145637">
        <w:rPr>
          <w:rFonts w:asciiTheme="minorHAnsi" w:hAnsiTheme="minorHAnsi"/>
          <w:sz w:val="22"/>
          <w:szCs w:val="22"/>
        </w:rPr>
        <w:t>to no interruption of implementation of the project activities.</w:t>
      </w:r>
    </w:p>
    <w:p w14:paraId="68238D77" w14:textId="77777777" w:rsidR="00AA14C5" w:rsidRDefault="00AA14C5" w:rsidP="00AA14C5">
      <w:pPr>
        <w:pStyle w:val="NormalWeb"/>
        <w:jc w:val="both"/>
        <w:rPr>
          <w:rFonts w:asciiTheme="minorHAnsi" w:hAnsiTheme="minorHAnsi"/>
          <w:sz w:val="22"/>
          <w:szCs w:val="22"/>
        </w:rPr>
      </w:pPr>
      <w:r>
        <w:rPr>
          <w:rFonts w:asciiTheme="minorHAnsi" w:hAnsiTheme="minorHAnsi"/>
          <w:sz w:val="22"/>
          <w:szCs w:val="22"/>
        </w:rPr>
        <w:t xml:space="preserve">Project has, through the implementation of the Gender Mainstreaming Action Plan, integrated gender issues into all project activities. It was very efficient in stimulating participation of women not only in awareness raising activities, such as annual stakeholders’ conference, but also at the level of experts. </w:t>
      </w:r>
    </w:p>
    <w:p w14:paraId="36F6F209" w14:textId="77777777" w:rsidR="00AA14C5" w:rsidRDefault="00AA14C5" w:rsidP="00AA14C5">
      <w:pPr>
        <w:spacing w:before="100" w:beforeAutospacing="1" w:after="100" w:afterAutospacing="1"/>
        <w:rPr>
          <w:rFonts w:ascii="Calibri" w:hAnsi="Calibri"/>
          <w:sz w:val="22"/>
          <w:szCs w:val="22"/>
        </w:rPr>
      </w:pPr>
      <w:r w:rsidRPr="00145637">
        <w:rPr>
          <w:rFonts w:ascii="Calibri" w:hAnsi="Calibri"/>
          <w:sz w:val="22"/>
          <w:szCs w:val="22"/>
        </w:rPr>
        <w:t xml:space="preserve">The effectiveness of the project at achieving its expected outcomes and objectives is rated as </w:t>
      </w:r>
      <w:r w:rsidRPr="005B23BC">
        <w:rPr>
          <w:rFonts w:ascii="Calibri" w:hAnsi="Calibri"/>
          <w:b/>
          <w:bCs/>
          <w:sz w:val="22"/>
          <w:szCs w:val="22"/>
        </w:rPr>
        <w:t>Highly</w:t>
      </w:r>
      <w:r w:rsidRPr="005B23BC">
        <w:rPr>
          <w:rFonts w:ascii="Calibri" w:hAnsi="Calibri"/>
          <w:b/>
          <w:bCs/>
          <w:sz w:val="22"/>
          <w:szCs w:val="22"/>
          <w:lang w:val="hr-HR"/>
        </w:rPr>
        <w:t xml:space="preserve"> </w:t>
      </w:r>
      <w:r w:rsidRPr="00145637">
        <w:rPr>
          <w:rFonts w:ascii="Calibri" w:hAnsi="Calibri"/>
          <w:b/>
          <w:bCs/>
          <w:sz w:val="22"/>
          <w:szCs w:val="22"/>
        </w:rPr>
        <w:t>Satisfactory</w:t>
      </w:r>
      <w:r>
        <w:rPr>
          <w:rFonts w:ascii="Calibri" w:hAnsi="Calibri"/>
          <w:b/>
          <w:bCs/>
          <w:sz w:val="22"/>
          <w:szCs w:val="22"/>
          <w:lang w:val="hr-HR"/>
        </w:rPr>
        <w:t xml:space="preserve"> (HS)</w:t>
      </w:r>
      <w:r w:rsidRPr="00145637">
        <w:rPr>
          <w:rFonts w:ascii="Calibri" w:hAnsi="Calibri"/>
          <w:sz w:val="22"/>
          <w:szCs w:val="22"/>
        </w:rPr>
        <w:t xml:space="preserve">. </w:t>
      </w:r>
    </w:p>
    <w:p w14:paraId="3AB01B03" w14:textId="77777777" w:rsidR="000F31AD" w:rsidRDefault="00A317E5">
      <w:pPr>
        <w:pStyle w:val="Heading3"/>
      </w:pPr>
      <w:bookmarkStart w:id="44" w:name="_Toc81335866"/>
      <w:r>
        <w:t>3.3.4.</w:t>
      </w:r>
      <w:r>
        <w:tab/>
        <w:t>Efficiency</w:t>
      </w:r>
      <w:bookmarkEnd w:id="44"/>
    </w:p>
    <w:p w14:paraId="11091078" w14:textId="77777777" w:rsidR="00AA14C5" w:rsidRPr="00AA14C5" w:rsidRDefault="00AA14C5" w:rsidP="00AA14C5">
      <w:pPr>
        <w:pStyle w:val="NormalWeb"/>
        <w:jc w:val="both"/>
      </w:pPr>
      <w:r w:rsidRPr="00CF22B2">
        <w:rPr>
          <w:rFonts w:ascii="Calibri" w:hAnsi="Calibri"/>
          <w:sz w:val="22"/>
          <w:szCs w:val="22"/>
        </w:rPr>
        <w:t xml:space="preserve">In general, the </w:t>
      </w:r>
      <w:r w:rsidRPr="00AA14C5">
        <w:rPr>
          <w:rFonts w:ascii="Calibri" w:hAnsi="Calibri"/>
          <w:sz w:val="22"/>
          <w:szCs w:val="22"/>
        </w:rPr>
        <w:t>project implementation team</w:t>
      </w:r>
      <w:r w:rsidRPr="00CF22B2">
        <w:rPr>
          <w:rFonts w:ascii="Calibri" w:hAnsi="Calibri"/>
          <w:sz w:val="22"/>
          <w:szCs w:val="22"/>
        </w:rPr>
        <w:t xml:space="preserve"> has communicated well </w:t>
      </w:r>
      <w:r>
        <w:rPr>
          <w:rFonts w:ascii="Calibri" w:hAnsi="Calibri"/>
          <w:sz w:val="22"/>
          <w:szCs w:val="22"/>
        </w:rPr>
        <w:t xml:space="preserve">with all the parties </w:t>
      </w:r>
      <w:r w:rsidRPr="00CF22B2">
        <w:rPr>
          <w:rFonts w:ascii="Calibri" w:hAnsi="Calibri"/>
          <w:sz w:val="22"/>
          <w:szCs w:val="22"/>
        </w:rPr>
        <w:t xml:space="preserve">and has had excellent relationships with the main project stakeholders. Many interviewees highlighted the experience and effectiveness of the Project </w:t>
      </w:r>
      <w:r w:rsidRPr="00AA14C5">
        <w:rPr>
          <w:rFonts w:ascii="Calibri" w:hAnsi="Calibri"/>
          <w:sz w:val="22"/>
          <w:szCs w:val="22"/>
        </w:rPr>
        <w:t>Manager</w:t>
      </w:r>
      <w:r>
        <w:rPr>
          <w:rFonts w:ascii="Calibri" w:hAnsi="Calibri"/>
          <w:sz w:val="22"/>
          <w:szCs w:val="22"/>
        </w:rPr>
        <w:t xml:space="preserve"> and his team and the project enjoyed good collaboration </w:t>
      </w:r>
      <w:r w:rsidR="00852610">
        <w:rPr>
          <w:rFonts w:ascii="Calibri" w:hAnsi="Calibri"/>
          <w:sz w:val="22"/>
          <w:szCs w:val="22"/>
        </w:rPr>
        <w:t xml:space="preserve">as well as constant informal communication </w:t>
      </w:r>
      <w:r>
        <w:rPr>
          <w:rFonts w:ascii="Calibri" w:hAnsi="Calibri"/>
          <w:sz w:val="22"/>
          <w:szCs w:val="22"/>
        </w:rPr>
        <w:t>with all key stakeholders implementing an excellent participative approach, which is the area where GWP Med has had a long-standing experience which was successfully applied in this project</w:t>
      </w:r>
      <w:r w:rsidRPr="00AA14C5">
        <w:rPr>
          <w:rFonts w:ascii="Calibri" w:hAnsi="Calibri"/>
          <w:sz w:val="22"/>
          <w:szCs w:val="22"/>
        </w:rPr>
        <w:t>.</w:t>
      </w:r>
      <w:r>
        <w:rPr>
          <w:rFonts w:ascii="Calibri" w:hAnsi="Calibri"/>
          <w:sz w:val="22"/>
          <w:szCs w:val="22"/>
        </w:rPr>
        <w:t xml:space="preserve"> The team’s relationship with the PB is to be commended.  </w:t>
      </w:r>
      <w:r w:rsidRPr="00AA14C5">
        <w:rPr>
          <w:rFonts w:ascii="Calibri" w:hAnsi="Calibri"/>
          <w:sz w:val="22"/>
          <w:szCs w:val="22"/>
        </w:rPr>
        <w:t xml:space="preserve"> </w:t>
      </w:r>
    </w:p>
    <w:p w14:paraId="23C97EEC" w14:textId="77777777" w:rsidR="00AA14C5" w:rsidRDefault="00852610" w:rsidP="00852610">
      <w:pPr>
        <w:jc w:val="both"/>
        <w:rPr>
          <w:rFonts w:asciiTheme="minorHAnsi" w:hAnsiTheme="minorHAnsi" w:cs="TimesNewRomanPSMT"/>
          <w:sz w:val="22"/>
          <w:szCs w:val="22"/>
          <w:lang w:val="hr-HR"/>
        </w:rPr>
      </w:pPr>
      <w:r w:rsidRPr="00CF22B2">
        <w:rPr>
          <w:rFonts w:asciiTheme="minorHAnsi" w:hAnsiTheme="minorHAnsi" w:cs="TimesNewRomanPSMT"/>
          <w:sz w:val="22"/>
          <w:szCs w:val="22"/>
        </w:rPr>
        <w:t xml:space="preserve">Furthermore, as discussed in section </w:t>
      </w:r>
      <w:r>
        <w:rPr>
          <w:rFonts w:asciiTheme="minorHAnsi" w:hAnsiTheme="minorHAnsi" w:cs="TimesNewRomanPSMT"/>
          <w:sz w:val="22"/>
          <w:szCs w:val="22"/>
          <w:lang w:val="hr-HR"/>
        </w:rPr>
        <w:t>3</w:t>
      </w:r>
      <w:r w:rsidRPr="00CF22B2">
        <w:rPr>
          <w:rFonts w:asciiTheme="minorHAnsi" w:hAnsiTheme="minorHAnsi" w:cs="TimesNewRomanPSMT"/>
          <w:sz w:val="22"/>
          <w:szCs w:val="22"/>
        </w:rPr>
        <w:t xml:space="preserve">.2.1, the </w:t>
      </w:r>
      <w:r>
        <w:rPr>
          <w:rFonts w:asciiTheme="minorHAnsi" w:hAnsiTheme="minorHAnsi" w:cs="TimesNewRomanPSMT"/>
          <w:sz w:val="22"/>
          <w:szCs w:val="22"/>
          <w:lang w:val="hr-HR"/>
        </w:rPr>
        <w:t>TE</w:t>
      </w:r>
      <w:r w:rsidRPr="00CF22B2">
        <w:rPr>
          <w:rFonts w:asciiTheme="minorHAnsi" w:hAnsiTheme="minorHAnsi" w:cs="TimesNewRomanPSMT"/>
          <w:sz w:val="22"/>
          <w:szCs w:val="22"/>
        </w:rPr>
        <w:t xml:space="preserve"> </w:t>
      </w:r>
      <w:r w:rsidRPr="00852610">
        <w:rPr>
          <w:rFonts w:asciiTheme="minorHAnsi" w:hAnsiTheme="minorHAnsi" w:cs="TimesNewRomanPSMT"/>
          <w:sz w:val="22"/>
          <w:szCs w:val="22"/>
        </w:rPr>
        <w:t>found</w:t>
      </w:r>
      <w:r w:rsidRPr="00CF22B2">
        <w:rPr>
          <w:rFonts w:asciiTheme="minorHAnsi" w:hAnsiTheme="minorHAnsi" w:cs="TimesNewRomanPSMT"/>
          <w:sz w:val="22"/>
          <w:szCs w:val="22"/>
        </w:rPr>
        <w:t xml:space="preserve"> that the project management team used adaptive management to secure project deliverables while maintaining adherence to the overall project design. Adaptive management ha</w:t>
      </w:r>
      <w:r>
        <w:rPr>
          <w:rFonts w:asciiTheme="minorHAnsi" w:hAnsiTheme="minorHAnsi" w:cs="TimesNewRomanPSMT"/>
          <w:sz w:val="22"/>
          <w:szCs w:val="22"/>
          <w:lang w:val="hr-HR"/>
        </w:rPr>
        <w:t>s</w:t>
      </w:r>
      <w:r w:rsidRPr="00CF22B2">
        <w:rPr>
          <w:rFonts w:asciiTheme="minorHAnsi" w:hAnsiTheme="minorHAnsi" w:cs="TimesNewRomanPSMT"/>
          <w:sz w:val="22"/>
          <w:szCs w:val="22"/>
        </w:rPr>
        <w:t xml:space="preserve"> been used regularly to adapt to a constantly changing environment; particularly to adapt to several </w:t>
      </w:r>
      <w:r>
        <w:rPr>
          <w:rFonts w:asciiTheme="minorHAnsi" w:hAnsiTheme="minorHAnsi" w:cs="TimesNewRomanPSMT"/>
          <w:sz w:val="22"/>
          <w:szCs w:val="22"/>
          <w:lang w:val="hr-HR"/>
        </w:rPr>
        <w:t xml:space="preserve">COVID-19. </w:t>
      </w:r>
    </w:p>
    <w:p w14:paraId="0416E779" w14:textId="77777777" w:rsidR="00852610" w:rsidRDefault="00852610" w:rsidP="00852610">
      <w:pPr>
        <w:jc w:val="both"/>
        <w:rPr>
          <w:rFonts w:asciiTheme="minorHAnsi" w:hAnsiTheme="minorHAnsi" w:cs="TimesNewRomanPSMT"/>
          <w:sz w:val="22"/>
          <w:szCs w:val="22"/>
          <w:lang w:val="hr-HR"/>
        </w:rPr>
      </w:pPr>
    </w:p>
    <w:p w14:paraId="7DBAC839" w14:textId="77777777" w:rsidR="00852610" w:rsidRDefault="00852610" w:rsidP="00852610">
      <w:pPr>
        <w:jc w:val="both"/>
        <w:rPr>
          <w:rFonts w:asciiTheme="minorHAnsi" w:hAnsiTheme="minorHAnsi" w:cs="TimesNewRomanPSMT"/>
          <w:sz w:val="22"/>
          <w:szCs w:val="22"/>
        </w:rPr>
      </w:pPr>
      <w:r w:rsidRPr="00CF22B2">
        <w:rPr>
          <w:rFonts w:asciiTheme="minorHAnsi" w:hAnsiTheme="minorHAnsi" w:cs="TimesNewRomanPSMT"/>
          <w:sz w:val="22"/>
          <w:szCs w:val="22"/>
        </w:rPr>
        <w:t>The efficiency of the project was also the result of a well-managed day-to-day activities. Using a participative approach and a good transparent communication approach, project activities were implemented with a good engagement of stakeholders and clear management procedures. The good relationship between UNDP, the implementation team and stakeholders also contributed to an efficient implementation.</w:t>
      </w:r>
    </w:p>
    <w:p w14:paraId="01A0268D" w14:textId="77777777" w:rsidR="00852610" w:rsidRDefault="00852610" w:rsidP="00B1547E">
      <w:pPr>
        <w:pStyle w:val="NormalWeb"/>
        <w:jc w:val="both"/>
        <w:rPr>
          <w:rFonts w:ascii="Calibri" w:hAnsi="Calibri"/>
          <w:sz w:val="22"/>
          <w:szCs w:val="22"/>
        </w:rPr>
      </w:pPr>
      <w:r>
        <w:rPr>
          <w:rFonts w:asciiTheme="minorHAnsi" w:hAnsiTheme="minorHAnsi" w:cs="TimesNewRomanPSMT"/>
          <w:sz w:val="22"/>
          <w:szCs w:val="22"/>
        </w:rPr>
        <w:t xml:space="preserve">While proposing a “no-cost” extension for one year, the MTR elaborated the following reasoning: </w:t>
      </w:r>
      <w:r w:rsidR="00B1547E">
        <w:rPr>
          <w:rFonts w:asciiTheme="minorHAnsi" w:hAnsiTheme="minorHAnsi" w:cs="TimesNewRomanPSMT"/>
          <w:sz w:val="22"/>
          <w:szCs w:val="22"/>
        </w:rPr>
        <w:t>(</w:t>
      </w:r>
      <w:r>
        <w:rPr>
          <w:rFonts w:ascii="Calibri" w:hAnsi="Calibri"/>
          <w:sz w:val="22"/>
          <w:szCs w:val="22"/>
        </w:rPr>
        <w:t>i) a delay in starting project activities due to securing “no-objection” from Albania for GWP ground staff</w:t>
      </w:r>
      <w:r w:rsidR="00B1547E">
        <w:rPr>
          <w:rFonts w:ascii="Calibri" w:hAnsi="Calibri"/>
          <w:sz w:val="22"/>
          <w:szCs w:val="22"/>
        </w:rPr>
        <w:t xml:space="preserve">, and </w:t>
      </w:r>
      <w:r>
        <w:rPr>
          <w:rFonts w:ascii="Calibri" w:hAnsi="Calibri"/>
          <w:sz w:val="22"/>
          <w:szCs w:val="22"/>
        </w:rPr>
        <w:t xml:space="preserve">the decision to ensure that parallel activities could be conducted in the Kosovo (White Drini) project; </w:t>
      </w:r>
      <w:r w:rsidR="00B1547E">
        <w:rPr>
          <w:rFonts w:ascii="Calibri" w:hAnsi="Calibri"/>
          <w:sz w:val="22"/>
          <w:szCs w:val="22"/>
        </w:rPr>
        <w:t>(</w:t>
      </w:r>
      <w:r>
        <w:rPr>
          <w:rFonts w:ascii="Calibri" w:hAnsi="Calibri"/>
          <w:sz w:val="22"/>
          <w:szCs w:val="22"/>
        </w:rPr>
        <w:t>ii) the TDA taking longer than anticipated due to delays in achieving field monitoring results due to the delayed start</w:t>
      </w:r>
      <w:r w:rsidR="00B1547E">
        <w:rPr>
          <w:rFonts w:ascii="Calibri" w:hAnsi="Calibri"/>
          <w:sz w:val="22"/>
          <w:szCs w:val="22"/>
        </w:rPr>
        <w:t>, an</w:t>
      </w:r>
      <w:r>
        <w:rPr>
          <w:rFonts w:ascii="Calibri" w:hAnsi="Calibri"/>
          <w:sz w:val="22"/>
          <w:szCs w:val="22"/>
        </w:rPr>
        <w:t xml:space="preserve"> delays in the thematic report on Hydrology; </w:t>
      </w:r>
      <w:r w:rsidR="00B1547E">
        <w:rPr>
          <w:rFonts w:ascii="Calibri" w:hAnsi="Calibri"/>
          <w:sz w:val="22"/>
          <w:szCs w:val="22"/>
        </w:rPr>
        <w:t>(</w:t>
      </w:r>
      <w:r>
        <w:rPr>
          <w:rFonts w:ascii="Calibri" w:hAnsi="Calibri"/>
          <w:sz w:val="22"/>
          <w:szCs w:val="22"/>
        </w:rPr>
        <w:t xml:space="preserve">iii) the establishment of an unforeseen, but highly important and country driven Expert Working Group on Flood Control which needs time to convene and provide meaningful input for the SAP; </w:t>
      </w:r>
      <w:r w:rsidR="00B1547E">
        <w:rPr>
          <w:rFonts w:ascii="Calibri" w:hAnsi="Calibri"/>
          <w:sz w:val="22"/>
          <w:szCs w:val="22"/>
        </w:rPr>
        <w:t>(</w:t>
      </w:r>
      <w:r>
        <w:rPr>
          <w:rFonts w:ascii="Calibri" w:hAnsi="Calibri"/>
          <w:sz w:val="22"/>
          <w:szCs w:val="22"/>
        </w:rPr>
        <w:t>iv) greater time for SAP development than envisioned in ProDoc</w:t>
      </w:r>
      <w:r w:rsidR="00B1547E">
        <w:rPr>
          <w:rFonts w:ascii="Calibri" w:hAnsi="Calibri"/>
          <w:sz w:val="22"/>
          <w:szCs w:val="22"/>
        </w:rPr>
        <w:t>;</w:t>
      </w:r>
      <w:r>
        <w:rPr>
          <w:rFonts w:ascii="Calibri" w:hAnsi="Calibri"/>
          <w:sz w:val="22"/>
          <w:szCs w:val="22"/>
        </w:rPr>
        <w:t xml:space="preserve"> </w:t>
      </w:r>
      <w:r w:rsidR="00B1547E">
        <w:rPr>
          <w:rFonts w:ascii="Calibri" w:hAnsi="Calibri"/>
          <w:sz w:val="22"/>
          <w:szCs w:val="22"/>
        </w:rPr>
        <w:t>(</w:t>
      </w:r>
      <w:r>
        <w:rPr>
          <w:rFonts w:ascii="Calibri" w:hAnsi="Calibri"/>
          <w:sz w:val="22"/>
          <w:szCs w:val="22"/>
        </w:rPr>
        <w:t xml:space="preserve">v) taking advantage of the large Annual stakeholder and DCG meeting in November 2020 to showcase its achievements and forward the SAP; and </w:t>
      </w:r>
      <w:r w:rsidR="00B1547E">
        <w:rPr>
          <w:rFonts w:ascii="Calibri" w:hAnsi="Calibri"/>
          <w:sz w:val="22"/>
          <w:szCs w:val="22"/>
        </w:rPr>
        <w:t>(</w:t>
      </w:r>
      <w:r>
        <w:rPr>
          <w:rFonts w:ascii="Calibri" w:hAnsi="Calibri"/>
          <w:sz w:val="22"/>
          <w:szCs w:val="22"/>
        </w:rPr>
        <w:t xml:space="preserve">vi) ensuring sufficient time to close the project (2-3 months). </w:t>
      </w:r>
      <w:r w:rsidR="00C3341A">
        <w:rPr>
          <w:rFonts w:ascii="Calibri" w:hAnsi="Calibri"/>
          <w:sz w:val="22"/>
          <w:szCs w:val="22"/>
        </w:rPr>
        <w:t xml:space="preserve">The one-year extension is justifiable. Equally so, the project was extended for additional six months to adapt to the consequences of the COVID-19. For the reasons outlined above, the extension could not be avoided. </w:t>
      </w:r>
    </w:p>
    <w:p w14:paraId="77F39BCD" w14:textId="3FE465B8" w:rsidR="00C3341A" w:rsidRPr="00C3341A" w:rsidRDefault="00C3341A" w:rsidP="00B1547E">
      <w:pPr>
        <w:pStyle w:val="NormalWeb"/>
        <w:jc w:val="both"/>
        <w:rPr>
          <w:rFonts w:ascii="Calibri" w:hAnsi="Calibri"/>
          <w:b/>
          <w:bCs/>
          <w:sz w:val="22"/>
          <w:szCs w:val="22"/>
        </w:rPr>
      </w:pPr>
      <w:r>
        <w:rPr>
          <w:rFonts w:ascii="Calibri" w:hAnsi="Calibri"/>
          <w:sz w:val="22"/>
          <w:szCs w:val="22"/>
        </w:rPr>
        <w:lastRenderedPageBreak/>
        <w:t xml:space="preserve">The TE finds that the project has been implemented cost-effectively and it was an operation that created a good value for money, the fact that was stressed bay many interviewees. However, because of the project extension, even if </w:t>
      </w:r>
      <w:r w:rsidR="00E13732">
        <w:rPr>
          <w:rFonts w:ascii="Calibri" w:hAnsi="Calibri"/>
          <w:sz w:val="22"/>
          <w:szCs w:val="22"/>
        </w:rPr>
        <w:t xml:space="preserve">it was </w:t>
      </w:r>
      <w:r>
        <w:rPr>
          <w:rFonts w:ascii="Calibri" w:hAnsi="Calibri"/>
          <w:sz w:val="22"/>
          <w:szCs w:val="22"/>
        </w:rPr>
        <w:t xml:space="preserve">justified, the TE finds the efficiency of the project as </w:t>
      </w:r>
      <w:r>
        <w:rPr>
          <w:rFonts w:ascii="Calibri" w:hAnsi="Calibri"/>
          <w:b/>
          <w:bCs/>
          <w:sz w:val="22"/>
          <w:szCs w:val="22"/>
        </w:rPr>
        <w:t>Satisfactory (S).</w:t>
      </w:r>
    </w:p>
    <w:p w14:paraId="57AD0A99" w14:textId="77777777" w:rsidR="000F31AD" w:rsidRDefault="00A317E5">
      <w:pPr>
        <w:pStyle w:val="Heading3"/>
      </w:pPr>
      <w:bookmarkStart w:id="45" w:name="_Toc81335867"/>
      <w:r>
        <w:t>3.3.5.</w:t>
      </w:r>
      <w:r>
        <w:tab/>
        <w:t>Overall outcome</w:t>
      </w:r>
      <w:bookmarkEnd w:id="45"/>
    </w:p>
    <w:p w14:paraId="247C7004" w14:textId="77777777" w:rsidR="00C3341A" w:rsidRDefault="00C3341A" w:rsidP="00C3341A"/>
    <w:p w14:paraId="54E21A86" w14:textId="77777777" w:rsidR="005B23BC" w:rsidRDefault="005B23BC" w:rsidP="005B23BC">
      <w:pPr>
        <w:jc w:val="both"/>
        <w:rPr>
          <w:rFonts w:asciiTheme="minorHAnsi" w:hAnsiTheme="minorHAnsi"/>
          <w:sz w:val="22"/>
          <w:szCs w:val="22"/>
        </w:rPr>
      </w:pPr>
      <w:r w:rsidRPr="005B23BC">
        <w:rPr>
          <w:rFonts w:asciiTheme="minorHAnsi" w:hAnsiTheme="minorHAnsi"/>
          <w:sz w:val="22"/>
          <w:szCs w:val="22"/>
        </w:rPr>
        <w:t xml:space="preserve">The overall </w:t>
      </w:r>
      <w:r>
        <w:rPr>
          <w:rFonts w:asciiTheme="minorHAnsi" w:hAnsiTheme="minorHAnsi"/>
          <w:sz w:val="22"/>
          <w:szCs w:val="22"/>
        </w:rPr>
        <w:t>outcome of the Drin River Project is calculated in the Table 7 below:</w:t>
      </w:r>
    </w:p>
    <w:p w14:paraId="0120750E" w14:textId="77777777" w:rsidR="005B23BC" w:rsidRPr="005B23BC" w:rsidRDefault="005B23BC" w:rsidP="005B23BC">
      <w:pPr>
        <w:jc w:val="both"/>
        <w:rPr>
          <w:rFonts w:asciiTheme="minorHAnsi" w:hAnsiTheme="minorHAnsi"/>
          <w:sz w:val="22"/>
          <w:szCs w:val="22"/>
        </w:rPr>
      </w:pPr>
    </w:p>
    <w:p w14:paraId="55373C8D" w14:textId="77777777" w:rsidR="00C3341A" w:rsidRPr="005B23BC" w:rsidRDefault="005B23BC" w:rsidP="00C3341A">
      <w:pPr>
        <w:jc w:val="both"/>
        <w:rPr>
          <w:rFonts w:asciiTheme="minorHAnsi" w:hAnsiTheme="minorHAnsi"/>
          <w:b/>
          <w:bCs/>
          <w:sz w:val="22"/>
          <w:szCs w:val="22"/>
        </w:rPr>
      </w:pPr>
      <w:r w:rsidRPr="005B23BC">
        <w:rPr>
          <w:rFonts w:asciiTheme="minorHAnsi" w:hAnsiTheme="minorHAnsi"/>
          <w:b/>
          <w:bCs/>
          <w:sz w:val="22"/>
          <w:szCs w:val="22"/>
        </w:rPr>
        <w:t>Table 7: Assessment of Outcomes</w:t>
      </w:r>
    </w:p>
    <w:p w14:paraId="431ADC58" w14:textId="77777777" w:rsidR="00C3341A" w:rsidRDefault="00C3341A" w:rsidP="00C3341A"/>
    <w:tbl>
      <w:tblPr>
        <w:tblStyle w:val="TableGrid"/>
        <w:tblW w:w="0" w:type="auto"/>
        <w:tblLook w:val="04A0" w:firstRow="1" w:lastRow="0" w:firstColumn="1" w:lastColumn="0" w:noHBand="0" w:noVBand="1"/>
      </w:tblPr>
      <w:tblGrid>
        <w:gridCol w:w="4957"/>
        <w:gridCol w:w="4059"/>
      </w:tblGrid>
      <w:tr w:rsidR="005B23BC" w14:paraId="7425E1EB" w14:textId="77777777" w:rsidTr="005B23BC">
        <w:tc>
          <w:tcPr>
            <w:tcW w:w="4957" w:type="dxa"/>
            <w:shd w:val="clear" w:color="auto" w:fill="F4B083" w:themeFill="accent2" w:themeFillTint="99"/>
          </w:tcPr>
          <w:p w14:paraId="7883E937" w14:textId="77777777" w:rsidR="005B23BC" w:rsidRPr="005B23BC" w:rsidRDefault="005B23BC" w:rsidP="005B23BC">
            <w:pPr>
              <w:jc w:val="center"/>
              <w:rPr>
                <w:rFonts w:asciiTheme="minorHAnsi" w:hAnsiTheme="minorHAnsi"/>
                <w:b/>
                <w:bCs/>
                <w:sz w:val="20"/>
                <w:szCs w:val="20"/>
              </w:rPr>
            </w:pPr>
            <w:r>
              <w:rPr>
                <w:rFonts w:asciiTheme="minorHAnsi" w:hAnsiTheme="minorHAnsi"/>
                <w:b/>
                <w:bCs/>
                <w:sz w:val="20"/>
                <w:szCs w:val="20"/>
              </w:rPr>
              <w:t>Assessment of Outcomes</w:t>
            </w:r>
          </w:p>
        </w:tc>
        <w:tc>
          <w:tcPr>
            <w:tcW w:w="4059" w:type="dxa"/>
            <w:shd w:val="clear" w:color="auto" w:fill="F4B083" w:themeFill="accent2" w:themeFillTint="99"/>
          </w:tcPr>
          <w:p w14:paraId="7796ED98" w14:textId="77777777" w:rsidR="005B23BC" w:rsidRPr="005B23BC" w:rsidRDefault="005B23BC" w:rsidP="005B23BC">
            <w:pPr>
              <w:jc w:val="center"/>
              <w:rPr>
                <w:rFonts w:asciiTheme="minorHAnsi" w:hAnsiTheme="minorHAnsi"/>
                <w:b/>
                <w:bCs/>
                <w:sz w:val="20"/>
                <w:szCs w:val="20"/>
              </w:rPr>
            </w:pPr>
            <w:r>
              <w:rPr>
                <w:rFonts w:asciiTheme="minorHAnsi" w:hAnsiTheme="minorHAnsi"/>
                <w:b/>
                <w:bCs/>
                <w:sz w:val="20"/>
                <w:szCs w:val="20"/>
              </w:rPr>
              <w:t>Rating</w:t>
            </w:r>
          </w:p>
        </w:tc>
      </w:tr>
      <w:tr w:rsidR="005B23BC" w14:paraId="6B828B99" w14:textId="77777777" w:rsidTr="005B23BC">
        <w:tc>
          <w:tcPr>
            <w:tcW w:w="4957" w:type="dxa"/>
          </w:tcPr>
          <w:p w14:paraId="6C58DE64" w14:textId="77777777" w:rsidR="005B23BC" w:rsidRPr="005B23BC" w:rsidRDefault="005B23BC" w:rsidP="00C3341A">
            <w:pPr>
              <w:rPr>
                <w:rFonts w:asciiTheme="minorHAnsi" w:hAnsiTheme="minorHAnsi"/>
                <w:sz w:val="20"/>
                <w:szCs w:val="20"/>
              </w:rPr>
            </w:pPr>
            <w:r w:rsidRPr="005B23BC">
              <w:rPr>
                <w:rFonts w:asciiTheme="minorHAnsi" w:hAnsiTheme="minorHAnsi"/>
                <w:sz w:val="20"/>
                <w:szCs w:val="20"/>
              </w:rPr>
              <w:t>Relevance</w:t>
            </w:r>
          </w:p>
        </w:tc>
        <w:tc>
          <w:tcPr>
            <w:tcW w:w="4059" w:type="dxa"/>
          </w:tcPr>
          <w:p w14:paraId="2858A36E" w14:textId="77777777" w:rsidR="005B23BC" w:rsidRPr="005B23BC" w:rsidRDefault="005B23BC" w:rsidP="00C3341A">
            <w:pPr>
              <w:rPr>
                <w:rFonts w:asciiTheme="minorHAnsi" w:hAnsiTheme="minorHAnsi"/>
                <w:sz w:val="20"/>
                <w:szCs w:val="20"/>
              </w:rPr>
            </w:pPr>
            <w:r>
              <w:rPr>
                <w:rFonts w:asciiTheme="minorHAnsi" w:hAnsiTheme="minorHAnsi"/>
                <w:sz w:val="20"/>
                <w:szCs w:val="20"/>
              </w:rPr>
              <w:t>Highly Satisfactory</w:t>
            </w:r>
          </w:p>
        </w:tc>
      </w:tr>
      <w:tr w:rsidR="005B23BC" w14:paraId="61F1E019" w14:textId="77777777" w:rsidTr="005B23BC">
        <w:tc>
          <w:tcPr>
            <w:tcW w:w="4957" w:type="dxa"/>
          </w:tcPr>
          <w:p w14:paraId="0A326838" w14:textId="77777777" w:rsidR="005B23BC" w:rsidRPr="005B23BC" w:rsidRDefault="005B23BC" w:rsidP="00C3341A">
            <w:pPr>
              <w:rPr>
                <w:rFonts w:asciiTheme="minorHAnsi" w:hAnsiTheme="minorHAnsi"/>
                <w:sz w:val="20"/>
                <w:szCs w:val="20"/>
              </w:rPr>
            </w:pPr>
            <w:r>
              <w:rPr>
                <w:rFonts w:asciiTheme="minorHAnsi" w:hAnsiTheme="minorHAnsi"/>
                <w:sz w:val="20"/>
                <w:szCs w:val="20"/>
              </w:rPr>
              <w:t>Effectiveness</w:t>
            </w:r>
          </w:p>
        </w:tc>
        <w:tc>
          <w:tcPr>
            <w:tcW w:w="4059" w:type="dxa"/>
          </w:tcPr>
          <w:p w14:paraId="4AD4D4BB" w14:textId="77777777" w:rsidR="005B23BC" w:rsidRPr="005B23BC" w:rsidRDefault="005B23BC" w:rsidP="00C3341A">
            <w:pPr>
              <w:rPr>
                <w:rFonts w:asciiTheme="minorHAnsi" w:hAnsiTheme="minorHAnsi"/>
                <w:sz w:val="20"/>
                <w:szCs w:val="20"/>
              </w:rPr>
            </w:pPr>
            <w:r>
              <w:rPr>
                <w:rFonts w:asciiTheme="minorHAnsi" w:hAnsiTheme="minorHAnsi"/>
                <w:sz w:val="20"/>
                <w:szCs w:val="20"/>
              </w:rPr>
              <w:t>Highly Satisfactory</w:t>
            </w:r>
          </w:p>
        </w:tc>
      </w:tr>
      <w:tr w:rsidR="005B23BC" w14:paraId="1C700489" w14:textId="77777777" w:rsidTr="005B23BC">
        <w:tc>
          <w:tcPr>
            <w:tcW w:w="4957" w:type="dxa"/>
          </w:tcPr>
          <w:p w14:paraId="172F1AF1" w14:textId="77777777" w:rsidR="005B23BC" w:rsidRPr="005B23BC" w:rsidRDefault="005B23BC" w:rsidP="00C3341A">
            <w:pPr>
              <w:rPr>
                <w:rFonts w:asciiTheme="minorHAnsi" w:hAnsiTheme="minorHAnsi"/>
                <w:sz w:val="20"/>
                <w:szCs w:val="20"/>
              </w:rPr>
            </w:pPr>
            <w:r>
              <w:rPr>
                <w:rFonts w:asciiTheme="minorHAnsi" w:hAnsiTheme="minorHAnsi"/>
                <w:sz w:val="20"/>
                <w:szCs w:val="20"/>
              </w:rPr>
              <w:t>Efficiency</w:t>
            </w:r>
          </w:p>
        </w:tc>
        <w:tc>
          <w:tcPr>
            <w:tcW w:w="4059" w:type="dxa"/>
          </w:tcPr>
          <w:p w14:paraId="05294CB2" w14:textId="77777777" w:rsidR="005B23BC" w:rsidRPr="005B23BC" w:rsidRDefault="005B23BC" w:rsidP="00C3341A">
            <w:pPr>
              <w:rPr>
                <w:rFonts w:asciiTheme="minorHAnsi" w:hAnsiTheme="minorHAnsi"/>
                <w:sz w:val="20"/>
                <w:szCs w:val="20"/>
              </w:rPr>
            </w:pPr>
            <w:r>
              <w:rPr>
                <w:rFonts w:asciiTheme="minorHAnsi" w:hAnsiTheme="minorHAnsi"/>
                <w:sz w:val="20"/>
                <w:szCs w:val="20"/>
              </w:rPr>
              <w:t>Satisfactory</w:t>
            </w:r>
          </w:p>
        </w:tc>
      </w:tr>
      <w:tr w:rsidR="005B23BC" w14:paraId="54685F03" w14:textId="77777777" w:rsidTr="005B23BC">
        <w:tc>
          <w:tcPr>
            <w:tcW w:w="4957" w:type="dxa"/>
          </w:tcPr>
          <w:p w14:paraId="106AB445" w14:textId="77777777" w:rsidR="005B23BC" w:rsidRPr="005B23BC" w:rsidRDefault="005B23BC" w:rsidP="00C3341A">
            <w:pPr>
              <w:rPr>
                <w:rFonts w:asciiTheme="minorHAnsi" w:hAnsiTheme="minorHAnsi"/>
                <w:sz w:val="20"/>
                <w:szCs w:val="20"/>
              </w:rPr>
            </w:pPr>
            <w:r>
              <w:rPr>
                <w:rFonts w:asciiTheme="minorHAnsi" w:hAnsiTheme="minorHAnsi"/>
                <w:sz w:val="20"/>
                <w:szCs w:val="20"/>
              </w:rPr>
              <w:t>Overall Project Outcome Rating</w:t>
            </w:r>
          </w:p>
        </w:tc>
        <w:tc>
          <w:tcPr>
            <w:tcW w:w="4059" w:type="dxa"/>
          </w:tcPr>
          <w:p w14:paraId="68926CE4" w14:textId="77777777" w:rsidR="005B23BC" w:rsidRPr="005B23BC" w:rsidRDefault="005B23BC" w:rsidP="00C3341A">
            <w:pPr>
              <w:rPr>
                <w:rFonts w:asciiTheme="minorHAnsi" w:hAnsiTheme="minorHAnsi"/>
                <w:sz w:val="20"/>
                <w:szCs w:val="20"/>
              </w:rPr>
            </w:pPr>
            <w:r>
              <w:rPr>
                <w:rFonts w:asciiTheme="minorHAnsi" w:hAnsiTheme="minorHAnsi"/>
                <w:sz w:val="20"/>
                <w:szCs w:val="20"/>
              </w:rPr>
              <w:t>Highly Satisfactory</w:t>
            </w:r>
          </w:p>
        </w:tc>
      </w:tr>
    </w:tbl>
    <w:p w14:paraId="4311DD6B" w14:textId="77777777" w:rsidR="005B23BC" w:rsidRPr="00C3341A" w:rsidRDefault="005B23BC" w:rsidP="00C3341A"/>
    <w:p w14:paraId="1F6817DB" w14:textId="77777777" w:rsidR="000F31AD" w:rsidRDefault="00A317E5">
      <w:pPr>
        <w:pStyle w:val="Heading3"/>
      </w:pPr>
      <w:bookmarkStart w:id="46" w:name="_Toc81335868"/>
      <w:r>
        <w:t>3.3.6.</w:t>
      </w:r>
      <w:r>
        <w:tab/>
        <w:t>Sustainability</w:t>
      </w:r>
      <w:bookmarkEnd w:id="46"/>
    </w:p>
    <w:p w14:paraId="7767F90F" w14:textId="77777777" w:rsidR="005B23BC" w:rsidRDefault="005B23BC" w:rsidP="005B23BC"/>
    <w:p w14:paraId="6ACA9FBF" w14:textId="77777777" w:rsidR="00810431" w:rsidRPr="00EB606A" w:rsidRDefault="00EB606A" w:rsidP="00EB606A">
      <w:pPr>
        <w:jc w:val="both"/>
        <w:rPr>
          <w:rFonts w:asciiTheme="minorHAnsi" w:hAnsiTheme="minorHAnsi"/>
          <w:sz w:val="22"/>
          <w:szCs w:val="22"/>
        </w:rPr>
      </w:pPr>
      <w:r w:rsidRPr="00EB606A">
        <w:rPr>
          <w:rFonts w:asciiTheme="minorHAnsi" w:hAnsiTheme="minorHAnsi"/>
          <w:sz w:val="22"/>
          <w:szCs w:val="22"/>
        </w:rPr>
        <w:t xml:space="preserve">The ProDoc </w:t>
      </w:r>
      <w:r>
        <w:rPr>
          <w:rFonts w:asciiTheme="minorHAnsi" w:hAnsiTheme="minorHAnsi"/>
          <w:sz w:val="22"/>
          <w:szCs w:val="22"/>
        </w:rPr>
        <w:t xml:space="preserve">has not elaborated a coherent strategy for the sustainability of project’s outcomes. Equally so, there was no need for the Exit Strategy instituted. </w:t>
      </w:r>
      <w:r w:rsidR="00425FC0">
        <w:rPr>
          <w:rFonts w:asciiTheme="minorHAnsi" w:hAnsiTheme="minorHAnsi"/>
          <w:sz w:val="22"/>
          <w:szCs w:val="22"/>
        </w:rPr>
        <w:t>But some</w:t>
      </w:r>
      <w:r>
        <w:rPr>
          <w:rFonts w:asciiTheme="minorHAnsi" w:hAnsiTheme="minorHAnsi"/>
          <w:sz w:val="22"/>
          <w:szCs w:val="22"/>
        </w:rPr>
        <w:t xml:space="preserve"> institutional arrangements proposed in the ProDoc, such as establishment of EWGs and/or IMCs, aimed at facilitating (EWGs) or enhancing (IMCs) the potential of sustainability of the project outcomes. The MTR has rated overall sustainability of the project as “likely”, based on the substantial political support for implementing the 2011 MoU, as well as complying </w:t>
      </w:r>
      <w:r w:rsidR="00425FC0">
        <w:rPr>
          <w:rFonts w:asciiTheme="minorHAnsi" w:hAnsiTheme="minorHAnsi"/>
          <w:sz w:val="22"/>
          <w:szCs w:val="22"/>
        </w:rPr>
        <w:t>with EU WFD standards under Chapter 27.  However, as discussed in the previous sections, project achievements are to a large extent “owned” by the relevant entities involved in managing transboundary water resources of the Drin River Basin, making the key achievements “institutionalized” and becoming part of the “toolbox” to effectively manage those water resources. By definition, project results should be sustained over the long-term.</w:t>
      </w:r>
    </w:p>
    <w:p w14:paraId="7A5F406B" w14:textId="77777777" w:rsidR="00810431" w:rsidRPr="005B23BC" w:rsidRDefault="00810431" w:rsidP="005B23BC"/>
    <w:p w14:paraId="33374793" w14:textId="77777777" w:rsidR="000F31AD" w:rsidRDefault="00A317E5">
      <w:pPr>
        <w:pStyle w:val="Heading4"/>
      </w:pPr>
      <w:bookmarkStart w:id="47" w:name="_Toc81335869"/>
      <w:r>
        <w:t>3.3.6.1.</w:t>
      </w:r>
      <w:r>
        <w:tab/>
        <w:t>Financial</w:t>
      </w:r>
      <w:r w:rsidR="00425FC0">
        <w:t xml:space="preserve"> sustainability</w:t>
      </w:r>
      <w:bookmarkEnd w:id="47"/>
    </w:p>
    <w:p w14:paraId="6AC1B23C" w14:textId="5CB88298" w:rsidR="00DF5DC1" w:rsidRPr="00DF5DC1" w:rsidRDefault="00425FC0" w:rsidP="00DF5DC1">
      <w:pPr>
        <w:pStyle w:val="NormalWeb"/>
        <w:jc w:val="both"/>
        <w:rPr>
          <w:rFonts w:asciiTheme="minorHAnsi" w:hAnsiTheme="minorHAnsi"/>
          <w:sz w:val="22"/>
          <w:szCs w:val="22"/>
        </w:rPr>
      </w:pPr>
      <w:r w:rsidRPr="00425FC0">
        <w:rPr>
          <w:rFonts w:asciiTheme="minorHAnsi" w:hAnsiTheme="minorHAnsi" w:cs="TimesNewRomanPSMT"/>
          <w:sz w:val="22"/>
          <w:szCs w:val="22"/>
        </w:rPr>
        <w:t>When reviewing the sustainability of project achievements – particularly the demonstrations - financial risk is the main area where the sustainability of some project achievements can be questioned.</w:t>
      </w:r>
      <w:r w:rsidR="00DF5DC1">
        <w:rPr>
          <w:rFonts w:asciiTheme="minorHAnsi" w:hAnsiTheme="minorHAnsi" w:cs="TimesNewRomanPSMT"/>
          <w:sz w:val="22"/>
          <w:szCs w:val="22"/>
        </w:rPr>
        <w:t xml:space="preserve"> The key question is: </w:t>
      </w:r>
      <w:r w:rsidR="00DF5DC1" w:rsidRPr="0013248A">
        <w:rPr>
          <w:rFonts w:asciiTheme="minorHAnsi" w:hAnsiTheme="minorHAnsi" w:cs="TimesNewRomanPSMT"/>
          <w:sz w:val="22"/>
          <w:szCs w:val="22"/>
        </w:rPr>
        <w:t>What about after the project end</w:t>
      </w:r>
      <w:r w:rsidR="00DF5DC1">
        <w:rPr>
          <w:rFonts w:asciiTheme="minorHAnsi" w:hAnsiTheme="minorHAnsi" w:cs="TimesNewRomanPSMT"/>
          <w:sz w:val="22"/>
          <w:szCs w:val="22"/>
        </w:rPr>
        <w:t>s</w:t>
      </w:r>
      <w:r w:rsidR="00DF5DC1" w:rsidRPr="0013248A">
        <w:rPr>
          <w:rFonts w:asciiTheme="minorHAnsi" w:hAnsiTheme="minorHAnsi" w:cs="TimesNewRomanPSMT"/>
          <w:sz w:val="22"/>
          <w:szCs w:val="22"/>
        </w:rPr>
        <w:t xml:space="preserve"> and the project resources will be no longer available?</w:t>
      </w:r>
      <w:r w:rsidR="00DF5DC1">
        <w:rPr>
          <w:rFonts w:ascii="TimesNewRomanPSMT" w:hAnsi="TimesNewRomanPSMT" w:cs="TimesNewRomanPSMT"/>
          <w:sz w:val="20"/>
          <w:szCs w:val="20"/>
        </w:rPr>
        <w:t xml:space="preserve"> </w:t>
      </w:r>
      <w:r w:rsidRPr="00425FC0">
        <w:rPr>
          <w:rFonts w:asciiTheme="minorHAnsi" w:hAnsiTheme="minorHAnsi" w:cs="TimesNewRomanPSMT"/>
          <w:sz w:val="22"/>
          <w:szCs w:val="22"/>
        </w:rPr>
        <w:t>The project invested in some demonstrations</w:t>
      </w:r>
      <w:r>
        <w:rPr>
          <w:rFonts w:asciiTheme="minorHAnsi" w:hAnsiTheme="minorHAnsi" w:cs="TimesNewRomanPSMT"/>
          <w:sz w:val="22"/>
          <w:szCs w:val="22"/>
        </w:rPr>
        <w:t xml:space="preserve">, such as production of briquettes in the Lake Skadar </w:t>
      </w:r>
      <w:r w:rsidR="0013248A">
        <w:rPr>
          <w:rFonts w:asciiTheme="minorHAnsi" w:hAnsiTheme="minorHAnsi" w:cs="TimesNewRomanPSMT"/>
          <w:sz w:val="22"/>
          <w:szCs w:val="22"/>
        </w:rPr>
        <w:t>National Park</w:t>
      </w:r>
      <w:r>
        <w:rPr>
          <w:rFonts w:asciiTheme="minorHAnsi" w:hAnsiTheme="minorHAnsi" w:cs="TimesNewRomanPSMT"/>
          <w:sz w:val="22"/>
          <w:szCs w:val="22"/>
        </w:rPr>
        <w:t xml:space="preserve"> in Montenegro, </w:t>
      </w:r>
      <w:r w:rsidR="00C96C97">
        <w:rPr>
          <w:rFonts w:asciiTheme="minorHAnsi" w:hAnsiTheme="minorHAnsi" w:cs="TimesNewRomanPSMT"/>
          <w:sz w:val="22"/>
          <w:szCs w:val="22"/>
        </w:rPr>
        <w:t xml:space="preserve">and </w:t>
      </w:r>
      <w:r w:rsidR="00DF5DC1">
        <w:rPr>
          <w:rFonts w:asciiTheme="minorHAnsi" w:hAnsiTheme="minorHAnsi" w:cs="TimesNewRomanPSMT"/>
          <w:sz w:val="22"/>
          <w:szCs w:val="22"/>
        </w:rPr>
        <w:t>proposals exist how to make the production of pellets financially viable, though the time will be needed to raise the awareness of the potential customers to buy them. Regarding the implementation of SAP, there are indications that countries may be ready to finance their participation in the institutions established or supported by the project such as DCG. In this regard, the MTR rightly note</w:t>
      </w:r>
      <w:r w:rsidR="00C96C97">
        <w:rPr>
          <w:rFonts w:asciiTheme="minorHAnsi" w:hAnsiTheme="minorHAnsi" w:cs="TimesNewRomanPSMT"/>
          <w:sz w:val="22"/>
          <w:szCs w:val="22"/>
        </w:rPr>
        <w:t>d</w:t>
      </w:r>
      <w:r w:rsidR="00DF5DC1">
        <w:rPr>
          <w:rFonts w:asciiTheme="minorHAnsi" w:hAnsiTheme="minorHAnsi" w:cs="TimesNewRomanPSMT"/>
          <w:sz w:val="22"/>
          <w:szCs w:val="22"/>
        </w:rPr>
        <w:t xml:space="preserve"> that “…the </w:t>
      </w:r>
      <w:r w:rsidR="00DF5DC1">
        <w:rPr>
          <w:rFonts w:ascii="Calibri" w:hAnsi="Calibri"/>
          <w:sz w:val="22"/>
          <w:szCs w:val="22"/>
        </w:rPr>
        <w:t xml:space="preserve">countries will need to experience significant benefits from the process before they are able to assume the entire role of funding a Drin Commission (Drin Core Group) with a dedicated secretariat, and conduct national monitoring at the level envisioned under the EU WFD.” </w:t>
      </w:r>
      <w:r w:rsidR="00C96C97">
        <w:rPr>
          <w:rFonts w:ascii="Calibri" w:hAnsi="Calibri"/>
          <w:sz w:val="22"/>
          <w:szCs w:val="22"/>
        </w:rPr>
        <w:t>I</w:t>
      </w:r>
      <w:r w:rsidR="000B4FC9">
        <w:rPr>
          <w:rFonts w:ascii="Calibri" w:hAnsi="Calibri"/>
          <w:sz w:val="22"/>
          <w:szCs w:val="22"/>
        </w:rPr>
        <w:t>n</w:t>
      </w:r>
      <w:r w:rsidR="00C96C97">
        <w:rPr>
          <w:rFonts w:ascii="Calibri" w:hAnsi="Calibri"/>
          <w:sz w:val="22"/>
          <w:szCs w:val="22"/>
        </w:rPr>
        <w:t xml:space="preserve"> an interim period, funds have been secured for financing DCG meetings for the next three years vi the Adaptation Fund’s Floods project, while the Secretariat of the DSG is serviced by GWP-Med through appointment by the Drin MoU. There are also funds secured for one Stakeholder Conference in 2022. Furthermore, </w:t>
      </w:r>
      <w:r w:rsidR="00C96C97" w:rsidRPr="00894841">
        <w:rPr>
          <w:rFonts w:asciiTheme="minorHAnsi" w:hAnsiTheme="minorHAnsi" w:cstheme="minorHAnsi"/>
          <w:sz w:val="22"/>
          <w:szCs w:val="22"/>
          <w:lang w:val="en-US"/>
        </w:rPr>
        <w:t>the waste and wastewater investments included in</w:t>
      </w:r>
      <w:r w:rsidR="00894841">
        <w:rPr>
          <w:rFonts w:asciiTheme="minorHAnsi" w:hAnsiTheme="minorHAnsi" w:cstheme="minorHAnsi"/>
          <w:sz w:val="22"/>
          <w:szCs w:val="22"/>
          <w:lang w:val="en-US"/>
        </w:rPr>
        <w:t xml:space="preserve"> </w:t>
      </w:r>
      <w:r w:rsidR="00C96C97">
        <w:rPr>
          <w:rFonts w:asciiTheme="minorHAnsi" w:hAnsiTheme="minorHAnsi" w:cstheme="minorHAnsi"/>
          <w:sz w:val="22"/>
          <w:szCs w:val="22"/>
          <w:lang w:val="en-US"/>
        </w:rPr>
        <w:t xml:space="preserve">SAP are </w:t>
      </w:r>
      <w:r w:rsidR="00C96C97" w:rsidRPr="00894841">
        <w:rPr>
          <w:rFonts w:asciiTheme="minorHAnsi" w:hAnsiTheme="minorHAnsi" w:cstheme="minorHAnsi"/>
          <w:sz w:val="22"/>
          <w:szCs w:val="22"/>
          <w:lang w:val="en-US"/>
        </w:rPr>
        <w:t>expected to be funded by IPA funds.</w:t>
      </w:r>
      <w:r w:rsidR="00C96C97">
        <w:rPr>
          <w:lang w:val="en-US"/>
        </w:rPr>
        <w:t xml:space="preserve"> </w:t>
      </w:r>
      <w:r w:rsidR="00C96C97">
        <w:rPr>
          <w:rFonts w:ascii="Calibri" w:hAnsi="Calibri"/>
          <w:sz w:val="22"/>
          <w:szCs w:val="22"/>
        </w:rPr>
        <w:t>Having the above in mind, t</w:t>
      </w:r>
      <w:r w:rsidR="00A3516F">
        <w:rPr>
          <w:rFonts w:asciiTheme="minorHAnsi" w:hAnsiTheme="minorHAnsi" w:cs="TimesNewRomanPSMT"/>
          <w:sz w:val="22"/>
          <w:szCs w:val="22"/>
        </w:rPr>
        <w:t>he financial</w:t>
      </w:r>
      <w:r w:rsidR="00DF5DC1" w:rsidRPr="00DF5DC1">
        <w:rPr>
          <w:rFonts w:asciiTheme="minorHAnsi" w:hAnsiTheme="minorHAnsi" w:cs="TimesNewRomanPSMT"/>
          <w:sz w:val="22"/>
          <w:szCs w:val="22"/>
        </w:rPr>
        <w:t xml:space="preserve"> sustainability is rated as </w:t>
      </w:r>
      <w:r w:rsidR="00DF5DC1" w:rsidRPr="00DF5DC1">
        <w:rPr>
          <w:rFonts w:asciiTheme="minorHAnsi" w:hAnsiTheme="minorHAnsi"/>
          <w:b/>
          <w:bCs/>
          <w:sz w:val="22"/>
          <w:szCs w:val="22"/>
        </w:rPr>
        <w:t>Likely</w:t>
      </w:r>
      <w:r w:rsidR="00DF5DC1">
        <w:rPr>
          <w:rFonts w:asciiTheme="minorHAnsi" w:hAnsiTheme="minorHAnsi" w:cs="TimesNewRomanPSMT"/>
          <w:sz w:val="22"/>
          <w:szCs w:val="22"/>
        </w:rPr>
        <w:t xml:space="preserve"> </w:t>
      </w:r>
      <w:r w:rsidR="00DF5DC1" w:rsidRPr="00DF5DC1">
        <w:rPr>
          <w:rFonts w:asciiTheme="minorHAnsi" w:hAnsiTheme="minorHAnsi" w:cs="TimesNewRomanPSMT"/>
          <w:b/>
          <w:bCs/>
          <w:sz w:val="22"/>
          <w:szCs w:val="22"/>
        </w:rPr>
        <w:t>(L).</w:t>
      </w:r>
      <w:r w:rsidR="00DF5DC1" w:rsidRPr="00DF5DC1">
        <w:rPr>
          <w:rFonts w:asciiTheme="minorHAnsi" w:hAnsiTheme="minorHAnsi" w:cs="TimesNewRomanPSMT"/>
          <w:sz w:val="22"/>
          <w:szCs w:val="22"/>
        </w:rPr>
        <w:t xml:space="preserve"> </w:t>
      </w:r>
    </w:p>
    <w:p w14:paraId="23DF8DDA" w14:textId="77777777" w:rsidR="000F31AD" w:rsidRDefault="00A317E5">
      <w:pPr>
        <w:pStyle w:val="Heading4"/>
      </w:pPr>
      <w:bookmarkStart w:id="48" w:name="_Toc81335870"/>
      <w:r>
        <w:lastRenderedPageBreak/>
        <w:t>3.3.6.2.</w:t>
      </w:r>
      <w:r>
        <w:tab/>
        <w:t>Socio-political</w:t>
      </w:r>
      <w:r w:rsidR="00425FC0">
        <w:t xml:space="preserve"> sustainability</w:t>
      </w:r>
      <w:bookmarkEnd w:id="48"/>
    </w:p>
    <w:p w14:paraId="5251A6CE" w14:textId="77777777" w:rsidR="00A3516F" w:rsidRDefault="00A3516F" w:rsidP="00A3516F">
      <w:pPr>
        <w:pStyle w:val="NormalWeb"/>
        <w:spacing w:before="0" w:beforeAutospacing="0" w:after="0" w:afterAutospacing="0"/>
        <w:contextualSpacing/>
        <w:jc w:val="both"/>
        <w:rPr>
          <w:rFonts w:asciiTheme="minorHAnsi" w:hAnsiTheme="minorHAnsi" w:cs="TimesNewRomanPSMT"/>
          <w:sz w:val="22"/>
          <w:szCs w:val="22"/>
        </w:rPr>
      </w:pPr>
    </w:p>
    <w:p w14:paraId="21791909" w14:textId="77777777" w:rsidR="00A3516F" w:rsidRPr="00396C5F" w:rsidRDefault="00A3516F" w:rsidP="00396C5F">
      <w:pPr>
        <w:pStyle w:val="NormalWeb"/>
        <w:spacing w:before="0" w:beforeAutospacing="0" w:after="0" w:afterAutospacing="0"/>
        <w:contextualSpacing/>
        <w:jc w:val="both"/>
      </w:pPr>
      <w:r w:rsidRPr="00A3516F">
        <w:rPr>
          <w:rFonts w:asciiTheme="minorHAnsi" w:hAnsiTheme="minorHAnsi" w:cs="TimesNewRomanPSMT"/>
          <w:sz w:val="22"/>
          <w:szCs w:val="22"/>
        </w:rPr>
        <w:t xml:space="preserve">The </w:t>
      </w:r>
      <w:r>
        <w:rPr>
          <w:rFonts w:asciiTheme="minorHAnsi" w:hAnsiTheme="minorHAnsi" w:cs="TimesNewRomanPSMT"/>
          <w:sz w:val="22"/>
          <w:szCs w:val="22"/>
        </w:rPr>
        <w:t xml:space="preserve">TE </w:t>
      </w:r>
      <w:r w:rsidRPr="00A3516F">
        <w:rPr>
          <w:rFonts w:asciiTheme="minorHAnsi" w:hAnsiTheme="minorHAnsi" w:cs="TimesNewRomanPSMT"/>
          <w:sz w:val="22"/>
          <w:szCs w:val="22"/>
        </w:rPr>
        <w:t>identified no expected issues that would result in negative social impacts</w:t>
      </w:r>
      <w:r>
        <w:rPr>
          <w:rFonts w:asciiTheme="minorHAnsi" w:hAnsiTheme="minorHAnsi" w:cs="TimesNewRomanPSMT"/>
          <w:sz w:val="22"/>
          <w:szCs w:val="22"/>
        </w:rPr>
        <w:t>, therefore there</w:t>
      </w:r>
      <w:r w:rsidRPr="00A3516F">
        <w:rPr>
          <w:rFonts w:asciiTheme="minorHAnsi" w:hAnsiTheme="minorHAnsi" w:cs="TimesNewRomanPSMT"/>
          <w:sz w:val="22"/>
          <w:szCs w:val="22"/>
        </w:rPr>
        <w:t xml:space="preserve"> is no socio- economic risk to </w:t>
      </w:r>
      <w:r w:rsidR="00396C5F">
        <w:rPr>
          <w:rFonts w:asciiTheme="minorHAnsi" w:hAnsiTheme="minorHAnsi" w:cs="TimesNewRomanPSMT"/>
          <w:sz w:val="22"/>
          <w:szCs w:val="22"/>
        </w:rPr>
        <w:t xml:space="preserve">the project’s </w:t>
      </w:r>
      <w:r w:rsidRPr="00A3516F">
        <w:rPr>
          <w:rFonts w:asciiTheme="minorHAnsi" w:hAnsiTheme="minorHAnsi" w:cs="TimesNewRomanPSMT"/>
          <w:sz w:val="22"/>
          <w:szCs w:val="22"/>
        </w:rPr>
        <w:t xml:space="preserve">sustainability. </w:t>
      </w:r>
      <w:r>
        <w:rPr>
          <w:rFonts w:asciiTheme="minorHAnsi" w:hAnsiTheme="minorHAnsi" w:cs="TimesNewRomanPSMT"/>
          <w:sz w:val="22"/>
          <w:szCs w:val="22"/>
        </w:rPr>
        <w:t>As MTR found “…</w:t>
      </w:r>
      <w:r>
        <w:rPr>
          <w:rFonts w:ascii="Calibri" w:hAnsi="Calibri"/>
          <w:sz w:val="22"/>
          <w:szCs w:val="22"/>
        </w:rPr>
        <w:t>project is based on developing a more integrated approach to managing the Drin River Basin that includes improvements to the environment, but also addressing economic development through flood mitigation and improved water quality for municipal supply and fisheries.” At the time when the TE has been carried out, no changes were found that would justify altering that statement. Also, the project has established very good collaboration with the power generating companies in the participating countries</w:t>
      </w:r>
      <w:r w:rsidR="00396C5F">
        <w:rPr>
          <w:rFonts w:ascii="Calibri" w:hAnsi="Calibri"/>
          <w:sz w:val="22"/>
          <w:szCs w:val="22"/>
        </w:rPr>
        <w:t xml:space="preserve">, which is expected to have positive impacts regarding both power production and flood control. The project has also established very good relationship with all stakeholder groups resulting in their ownership of the project, the fact that was frequently confirmed during the interviews. The socio-economic sustainability is rated as </w:t>
      </w:r>
      <w:r w:rsidR="00396C5F">
        <w:rPr>
          <w:rFonts w:ascii="Calibri" w:hAnsi="Calibri"/>
          <w:b/>
          <w:bCs/>
          <w:sz w:val="22"/>
          <w:szCs w:val="22"/>
        </w:rPr>
        <w:t>Likely (L)</w:t>
      </w:r>
      <w:r w:rsidR="00396C5F">
        <w:rPr>
          <w:rFonts w:ascii="Calibri" w:hAnsi="Calibri"/>
          <w:sz w:val="22"/>
          <w:szCs w:val="22"/>
        </w:rPr>
        <w:t>.</w:t>
      </w:r>
    </w:p>
    <w:p w14:paraId="3DC22CD6" w14:textId="77777777" w:rsidR="004D7ABC" w:rsidRPr="00A3516F" w:rsidRDefault="004D7ABC" w:rsidP="004D7ABC">
      <w:pPr>
        <w:rPr>
          <w:rFonts w:asciiTheme="minorHAnsi" w:hAnsiTheme="minorHAnsi"/>
          <w:sz w:val="22"/>
          <w:szCs w:val="22"/>
        </w:rPr>
      </w:pPr>
    </w:p>
    <w:p w14:paraId="5D3EDAEB" w14:textId="77777777" w:rsidR="000F31AD" w:rsidRDefault="00A317E5">
      <w:pPr>
        <w:pStyle w:val="Heading4"/>
      </w:pPr>
      <w:bookmarkStart w:id="49" w:name="_Toc81335871"/>
      <w:r>
        <w:t>3.3.6.3.</w:t>
      </w:r>
      <w:r>
        <w:tab/>
        <w:t>Institutional framework and governance</w:t>
      </w:r>
      <w:bookmarkEnd w:id="49"/>
    </w:p>
    <w:p w14:paraId="4F6146A8" w14:textId="77777777" w:rsidR="00396C5F" w:rsidRDefault="00396C5F" w:rsidP="00396C5F">
      <w:pPr>
        <w:rPr>
          <w:rFonts w:eastAsia="Calibri Light"/>
        </w:rPr>
      </w:pPr>
    </w:p>
    <w:p w14:paraId="61E07A57" w14:textId="77777777" w:rsidR="00396C5F" w:rsidRPr="00083021" w:rsidRDefault="00396C5F" w:rsidP="00396C5F">
      <w:pPr>
        <w:jc w:val="both"/>
        <w:rPr>
          <w:rFonts w:asciiTheme="minorHAnsi" w:eastAsia="Calibri Light" w:hAnsiTheme="minorHAnsi"/>
          <w:sz w:val="22"/>
          <w:szCs w:val="22"/>
        </w:rPr>
      </w:pPr>
      <w:r>
        <w:rPr>
          <w:rFonts w:asciiTheme="minorHAnsi" w:eastAsia="Calibri Light" w:hAnsiTheme="minorHAnsi"/>
          <w:sz w:val="22"/>
          <w:szCs w:val="22"/>
        </w:rPr>
        <w:t>The project has addressed institutional and governance arrangements</w:t>
      </w:r>
      <w:r w:rsidR="00083021">
        <w:rPr>
          <w:rFonts w:asciiTheme="minorHAnsi" w:eastAsia="Calibri Light" w:hAnsiTheme="minorHAnsi"/>
          <w:sz w:val="22"/>
          <w:szCs w:val="22"/>
        </w:rPr>
        <w:t xml:space="preserve"> by enhancing the capacity of institutions for transboundary water management. The training activities were all implemented as planned, the IMS aimed at facilitating river basin management has been installed, study visits have helped regional stakeholders to anticipate lessons learned in other river basins, and expert working groups have been established to assist in dealing with specific IWRM issues. But above all, the role of DCG, established under the 2011 MoU and which has been supervising the implementation of the project by acting as the Project Board/Steering Committee, has been strengthened and it is now acknowledged as a body that may be taking more responsibility in the future, possibly in the form of the Drin River Commission. The TE rates the sustainability of institutional framework and governance as </w:t>
      </w:r>
      <w:r w:rsidR="00083021">
        <w:rPr>
          <w:rFonts w:asciiTheme="minorHAnsi" w:eastAsia="Calibri Light" w:hAnsiTheme="minorHAnsi"/>
          <w:b/>
          <w:bCs/>
          <w:sz w:val="22"/>
          <w:szCs w:val="22"/>
        </w:rPr>
        <w:t>Likely (L)</w:t>
      </w:r>
      <w:r w:rsidR="00083021">
        <w:rPr>
          <w:rFonts w:asciiTheme="minorHAnsi" w:eastAsia="Calibri Light" w:hAnsiTheme="minorHAnsi"/>
          <w:sz w:val="22"/>
          <w:szCs w:val="22"/>
        </w:rPr>
        <w:t>.</w:t>
      </w:r>
    </w:p>
    <w:p w14:paraId="7BC2373D" w14:textId="77777777" w:rsidR="00396C5F" w:rsidRPr="00396C5F" w:rsidRDefault="00396C5F" w:rsidP="00396C5F">
      <w:pPr>
        <w:rPr>
          <w:rFonts w:eastAsia="Calibri Light"/>
        </w:rPr>
      </w:pPr>
    </w:p>
    <w:p w14:paraId="64CE24FB" w14:textId="77777777" w:rsidR="000F31AD" w:rsidRDefault="00A317E5">
      <w:pPr>
        <w:pStyle w:val="Heading4"/>
      </w:pPr>
      <w:bookmarkStart w:id="50" w:name="_Toc81335872"/>
      <w:r>
        <w:t>3.3.6.4.</w:t>
      </w:r>
      <w:r>
        <w:tab/>
        <w:t>Environmental</w:t>
      </w:r>
      <w:r w:rsidR="00425FC0">
        <w:t xml:space="preserve"> sustainability</w:t>
      </w:r>
      <w:bookmarkEnd w:id="50"/>
    </w:p>
    <w:p w14:paraId="536D9AE8" w14:textId="77777777" w:rsidR="00083021" w:rsidRDefault="00083021">
      <w:pPr>
        <w:pStyle w:val="Heading4"/>
      </w:pPr>
    </w:p>
    <w:p w14:paraId="2EDC9B70" w14:textId="77777777" w:rsidR="00083021" w:rsidRPr="00784644" w:rsidRDefault="00083021" w:rsidP="00784644">
      <w:pPr>
        <w:jc w:val="both"/>
        <w:rPr>
          <w:rFonts w:asciiTheme="minorHAnsi" w:hAnsiTheme="minorHAnsi" w:cstheme="minorHAnsi"/>
          <w:sz w:val="21"/>
          <w:szCs w:val="21"/>
        </w:rPr>
      </w:pPr>
      <w:r w:rsidRPr="00784644">
        <w:rPr>
          <w:rFonts w:asciiTheme="minorHAnsi" w:hAnsiTheme="minorHAnsi" w:cstheme="minorHAnsi"/>
          <w:sz w:val="21"/>
          <w:szCs w:val="21"/>
        </w:rPr>
        <w:t xml:space="preserve">The TE finds that there are no factors that could undermine the future flow of project environmental benefits, while the project itself does not pose a threat to the sustainability of the project’s outcomes. The environmental sustainability of the project is </w:t>
      </w:r>
      <w:r w:rsidRPr="00784644">
        <w:rPr>
          <w:rFonts w:asciiTheme="minorHAnsi" w:hAnsiTheme="minorHAnsi" w:cstheme="minorHAnsi"/>
          <w:b/>
          <w:bCs/>
          <w:sz w:val="21"/>
          <w:szCs w:val="21"/>
        </w:rPr>
        <w:t>Likely (L)</w:t>
      </w:r>
      <w:r w:rsidRPr="00784644">
        <w:rPr>
          <w:rFonts w:asciiTheme="minorHAnsi" w:hAnsiTheme="minorHAnsi" w:cstheme="minorHAnsi"/>
          <w:sz w:val="21"/>
          <w:szCs w:val="21"/>
        </w:rPr>
        <w:t>.</w:t>
      </w:r>
    </w:p>
    <w:p w14:paraId="6043D367" w14:textId="77777777" w:rsidR="00083021" w:rsidRDefault="00083021">
      <w:pPr>
        <w:pStyle w:val="Heading4"/>
      </w:pPr>
    </w:p>
    <w:p w14:paraId="25120DB5" w14:textId="77777777" w:rsidR="000F31AD" w:rsidRDefault="00A317E5">
      <w:pPr>
        <w:pStyle w:val="Heading4"/>
      </w:pPr>
      <w:bookmarkStart w:id="51" w:name="_Toc81335873"/>
      <w:r>
        <w:t>3.3.6.5.</w:t>
      </w:r>
      <w:r>
        <w:tab/>
        <w:t>Overall likelihood</w:t>
      </w:r>
      <w:r w:rsidR="00425FC0">
        <w:t xml:space="preserve"> of sustainability</w:t>
      </w:r>
      <w:bookmarkEnd w:id="51"/>
    </w:p>
    <w:p w14:paraId="40A492D3" w14:textId="77777777" w:rsidR="00083021" w:rsidRDefault="00083021">
      <w:pPr>
        <w:pStyle w:val="Heading3"/>
      </w:pPr>
    </w:p>
    <w:p w14:paraId="04A179BB" w14:textId="5221FC03" w:rsidR="00083021" w:rsidRDefault="00083021" w:rsidP="008E260E">
      <w:pPr>
        <w:tabs>
          <w:tab w:val="left" w:pos="8166"/>
        </w:tabs>
        <w:jc w:val="both"/>
        <w:rPr>
          <w:rFonts w:asciiTheme="minorHAnsi" w:hAnsiTheme="minorHAnsi"/>
          <w:sz w:val="22"/>
          <w:szCs w:val="22"/>
        </w:rPr>
      </w:pPr>
      <w:r w:rsidRPr="00F0114A">
        <w:rPr>
          <w:rFonts w:asciiTheme="minorHAnsi" w:hAnsiTheme="minorHAnsi"/>
          <w:sz w:val="22"/>
          <w:szCs w:val="22"/>
        </w:rPr>
        <w:t xml:space="preserve">The specific dimension’s sustainability of the project </w:t>
      </w:r>
      <w:r w:rsidR="00F0114A" w:rsidRPr="00F0114A">
        <w:rPr>
          <w:rFonts w:asciiTheme="minorHAnsi" w:hAnsiTheme="minorHAnsi"/>
          <w:sz w:val="22"/>
          <w:szCs w:val="22"/>
        </w:rPr>
        <w:t>is presented in Table 8 below.</w:t>
      </w:r>
      <w:r w:rsidR="008E260E">
        <w:rPr>
          <w:rFonts w:asciiTheme="minorHAnsi" w:hAnsiTheme="minorHAnsi"/>
          <w:sz w:val="22"/>
          <w:szCs w:val="22"/>
        </w:rPr>
        <w:tab/>
      </w:r>
    </w:p>
    <w:p w14:paraId="41C79C94" w14:textId="77777777" w:rsidR="00F0114A" w:rsidRDefault="00F0114A" w:rsidP="00F0114A">
      <w:pPr>
        <w:jc w:val="both"/>
        <w:rPr>
          <w:rFonts w:asciiTheme="minorHAnsi" w:hAnsiTheme="minorHAnsi"/>
          <w:sz w:val="22"/>
          <w:szCs w:val="22"/>
        </w:rPr>
      </w:pPr>
    </w:p>
    <w:p w14:paraId="21CEA299" w14:textId="77777777" w:rsidR="00F0114A" w:rsidRDefault="00F0114A" w:rsidP="00F0114A">
      <w:pPr>
        <w:jc w:val="both"/>
        <w:rPr>
          <w:rFonts w:asciiTheme="minorHAnsi" w:hAnsiTheme="minorHAnsi"/>
          <w:sz w:val="22"/>
          <w:szCs w:val="22"/>
        </w:rPr>
      </w:pPr>
      <w:r>
        <w:rPr>
          <w:rFonts w:asciiTheme="minorHAnsi" w:hAnsiTheme="minorHAnsi"/>
          <w:sz w:val="22"/>
          <w:szCs w:val="22"/>
        </w:rPr>
        <w:t>Table 8: Assessment of sustainability dimensions</w:t>
      </w:r>
    </w:p>
    <w:p w14:paraId="0F409057" w14:textId="77777777" w:rsidR="00F0114A" w:rsidRDefault="00F0114A" w:rsidP="00F0114A">
      <w:pPr>
        <w:jc w:val="both"/>
        <w:rPr>
          <w:rFonts w:asciiTheme="minorHAnsi" w:hAnsiTheme="minorHAnsi"/>
          <w:sz w:val="22"/>
          <w:szCs w:val="22"/>
        </w:rPr>
      </w:pPr>
    </w:p>
    <w:tbl>
      <w:tblPr>
        <w:tblStyle w:val="TableGrid"/>
        <w:tblW w:w="0" w:type="auto"/>
        <w:tblLook w:val="04A0" w:firstRow="1" w:lastRow="0" w:firstColumn="1" w:lastColumn="0" w:noHBand="0" w:noVBand="1"/>
      </w:tblPr>
      <w:tblGrid>
        <w:gridCol w:w="5524"/>
        <w:gridCol w:w="3492"/>
      </w:tblGrid>
      <w:tr w:rsidR="00F0114A" w14:paraId="4C99547A" w14:textId="77777777" w:rsidTr="00F0114A">
        <w:tc>
          <w:tcPr>
            <w:tcW w:w="5524" w:type="dxa"/>
            <w:shd w:val="clear" w:color="auto" w:fill="F4B083" w:themeFill="accent2" w:themeFillTint="99"/>
          </w:tcPr>
          <w:p w14:paraId="3AEE1B65" w14:textId="77777777" w:rsidR="00F0114A" w:rsidRPr="00F0114A" w:rsidRDefault="00F0114A" w:rsidP="00F0114A">
            <w:pPr>
              <w:jc w:val="center"/>
              <w:rPr>
                <w:rFonts w:asciiTheme="minorHAnsi" w:hAnsiTheme="minorHAnsi"/>
                <w:b/>
                <w:bCs/>
                <w:sz w:val="20"/>
                <w:szCs w:val="20"/>
              </w:rPr>
            </w:pPr>
            <w:r>
              <w:rPr>
                <w:rFonts w:asciiTheme="minorHAnsi" w:hAnsiTheme="minorHAnsi"/>
                <w:b/>
                <w:bCs/>
                <w:sz w:val="20"/>
                <w:szCs w:val="20"/>
              </w:rPr>
              <w:t>Sustainability</w:t>
            </w:r>
          </w:p>
        </w:tc>
        <w:tc>
          <w:tcPr>
            <w:tcW w:w="3492" w:type="dxa"/>
            <w:shd w:val="clear" w:color="auto" w:fill="F4B083" w:themeFill="accent2" w:themeFillTint="99"/>
          </w:tcPr>
          <w:p w14:paraId="5B9DB799" w14:textId="77777777" w:rsidR="00F0114A" w:rsidRPr="00F0114A" w:rsidRDefault="00F0114A" w:rsidP="00F0114A">
            <w:pPr>
              <w:jc w:val="center"/>
              <w:rPr>
                <w:rFonts w:asciiTheme="minorHAnsi" w:hAnsiTheme="minorHAnsi"/>
                <w:b/>
                <w:bCs/>
                <w:sz w:val="20"/>
                <w:szCs w:val="20"/>
              </w:rPr>
            </w:pPr>
            <w:r>
              <w:rPr>
                <w:rFonts w:asciiTheme="minorHAnsi" w:hAnsiTheme="minorHAnsi"/>
                <w:b/>
                <w:bCs/>
                <w:sz w:val="20"/>
                <w:szCs w:val="20"/>
              </w:rPr>
              <w:t>Rating</w:t>
            </w:r>
          </w:p>
        </w:tc>
      </w:tr>
      <w:tr w:rsidR="00F0114A" w14:paraId="7AEB6893" w14:textId="77777777" w:rsidTr="00F0114A">
        <w:tc>
          <w:tcPr>
            <w:tcW w:w="5524" w:type="dxa"/>
          </w:tcPr>
          <w:p w14:paraId="314ABBBD" w14:textId="77777777" w:rsidR="00F0114A" w:rsidRDefault="00F0114A" w:rsidP="00F0114A">
            <w:pPr>
              <w:jc w:val="both"/>
              <w:rPr>
                <w:rFonts w:asciiTheme="minorHAnsi" w:hAnsiTheme="minorHAnsi"/>
                <w:sz w:val="22"/>
                <w:szCs w:val="22"/>
              </w:rPr>
            </w:pPr>
            <w:r>
              <w:rPr>
                <w:rFonts w:asciiTheme="minorHAnsi" w:hAnsiTheme="minorHAnsi"/>
                <w:sz w:val="22"/>
                <w:szCs w:val="22"/>
              </w:rPr>
              <w:t>Financial resources</w:t>
            </w:r>
          </w:p>
        </w:tc>
        <w:tc>
          <w:tcPr>
            <w:tcW w:w="3492" w:type="dxa"/>
          </w:tcPr>
          <w:p w14:paraId="1B111F53" w14:textId="32DA4FC0" w:rsidR="00F0114A" w:rsidRDefault="00F0114A" w:rsidP="00F0114A">
            <w:pPr>
              <w:jc w:val="both"/>
              <w:rPr>
                <w:rFonts w:asciiTheme="minorHAnsi" w:hAnsiTheme="minorHAnsi"/>
                <w:sz w:val="22"/>
                <w:szCs w:val="22"/>
              </w:rPr>
            </w:pPr>
            <w:r>
              <w:rPr>
                <w:rFonts w:asciiTheme="minorHAnsi" w:hAnsiTheme="minorHAnsi"/>
                <w:sz w:val="22"/>
                <w:szCs w:val="22"/>
              </w:rPr>
              <w:t>Likely</w:t>
            </w:r>
          </w:p>
        </w:tc>
      </w:tr>
      <w:tr w:rsidR="00F0114A" w14:paraId="1D672A05" w14:textId="77777777" w:rsidTr="00F0114A">
        <w:tc>
          <w:tcPr>
            <w:tcW w:w="5524" w:type="dxa"/>
          </w:tcPr>
          <w:p w14:paraId="3417BCCC" w14:textId="77777777" w:rsidR="00F0114A" w:rsidRDefault="00F0114A" w:rsidP="00F0114A">
            <w:pPr>
              <w:jc w:val="both"/>
              <w:rPr>
                <w:rFonts w:asciiTheme="minorHAnsi" w:hAnsiTheme="minorHAnsi"/>
                <w:sz w:val="22"/>
                <w:szCs w:val="22"/>
              </w:rPr>
            </w:pPr>
            <w:r>
              <w:rPr>
                <w:rFonts w:asciiTheme="minorHAnsi" w:hAnsiTheme="minorHAnsi"/>
                <w:sz w:val="22"/>
                <w:szCs w:val="22"/>
              </w:rPr>
              <w:t>Socio-political</w:t>
            </w:r>
          </w:p>
        </w:tc>
        <w:tc>
          <w:tcPr>
            <w:tcW w:w="3492" w:type="dxa"/>
          </w:tcPr>
          <w:p w14:paraId="0DB2BF72" w14:textId="77777777" w:rsidR="00F0114A" w:rsidRDefault="00F0114A" w:rsidP="00F0114A">
            <w:pPr>
              <w:jc w:val="both"/>
              <w:rPr>
                <w:rFonts w:asciiTheme="minorHAnsi" w:hAnsiTheme="minorHAnsi"/>
                <w:sz w:val="22"/>
                <w:szCs w:val="22"/>
              </w:rPr>
            </w:pPr>
            <w:r>
              <w:rPr>
                <w:rFonts w:asciiTheme="minorHAnsi" w:hAnsiTheme="minorHAnsi"/>
                <w:sz w:val="22"/>
                <w:szCs w:val="22"/>
              </w:rPr>
              <w:t>Likely</w:t>
            </w:r>
          </w:p>
        </w:tc>
      </w:tr>
      <w:tr w:rsidR="00F0114A" w14:paraId="0DF361FD" w14:textId="77777777" w:rsidTr="00F0114A">
        <w:tc>
          <w:tcPr>
            <w:tcW w:w="5524" w:type="dxa"/>
          </w:tcPr>
          <w:p w14:paraId="19C3BEBC" w14:textId="77777777" w:rsidR="00F0114A" w:rsidRDefault="00F0114A" w:rsidP="00F0114A">
            <w:pPr>
              <w:jc w:val="both"/>
              <w:rPr>
                <w:rFonts w:asciiTheme="minorHAnsi" w:hAnsiTheme="minorHAnsi"/>
                <w:sz w:val="22"/>
                <w:szCs w:val="22"/>
              </w:rPr>
            </w:pPr>
            <w:r>
              <w:rPr>
                <w:rFonts w:asciiTheme="minorHAnsi" w:hAnsiTheme="minorHAnsi"/>
                <w:sz w:val="22"/>
                <w:szCs w:val="22"/>
              </w:rPr>
              <w:t>Institutional framework and governance</w:t>
            </w:r>
          </w:p>
        </w:tc>
        <w:tc>
          <w:tcPr>
            <w:tcW w:w="3492" w:type="dxa"/>
          </w:tcPr>
          <w:p w14:paraId="0578FFA0" w14:textId="77777777" w:rsidR="00F0114A" w:rsidRDefault="00F0114A" w:rsidP="00F0114A">
            <w:pPr>
              <w:jc w:val="both"/>
              <w:rPr>
                <w:rFonts w:asciiTheme="minorHAnsi" w:hAnsiTheme="minorHAnsi"/>
                <w:sz w:val="22"/>
                <w:szCs w:val="22"/>
              </w:rPr>
            </w:pPr>
            <w:r>
              <w:rPr>
                <w:rFonts w:asciiTheme="minorHAnsi" w:hAnsiTheme="minorHAnsi"/>
                <w:sz w:val="22"/>
                <w:szCs w:val="22"/>
              </w:rPr>
              <w:t>Likely</w:t>
            </w:r>
          </w:p>
        </w:tc>
      </w:tr>
      <w:tr w:rsidR="00F0114A" w14:paraId="56FCCDA6" w14:textId="77777777" w:rsidTr="00F0114A">
        <w:tc>
          <w:tcPr>
            <w:tcW w:w="5524" w:type="dxa"/>
          </w:tcPr>
          <w:p w14:paraId="4D02D79D" w14:textId="77777777" w:rsidR="00F0114A" w:rsidRDefault="00F0114A" w:rsidP="00F0114A">
            <w:pPr>
              <w:jc w:val="both"/>
              <w:rPr>
                <w:rFonts w:asciiTheme="minorHAnsi" w:hAnsiTheme="minorHAnsi"/>
                <w:sz w:val="22"/>
                <w:szCs w:val="22"/>
              </w:rPr>
            </w:pPr>
            <w:r>
              <w:rPr>
                <w:rFonts w:asciiTheme="minorHAnsi" w:hAnsiTheme="minorHAnsi"/>
                <w:sz w:val="22"/>
                <w:szCs w:val="22"/>
              </w:rPr>
              <w:t>Environmental</w:t>
            </w:r>
          </w:p>
        </w:tc>
        <w:tc>
          <w:tcPr>
            <w:tcW w:w="3492" w:type="dxa"/>
          </w:tcPr>
          <w:p w14:paraId="01167E6D" w14:textId="77777777" w:rsidR="00F0114A" w:rsidRDefault="00F0114A" w:rsidP="00F0114A">
            <w:pPr>
              <w:jc w:val="both"/>
              <w:rPr>
                <w:rFonts w:asciiTheme="minorHAnsi" w:hAnsiTheme="minorHAnsi"/>
                <w:sz w:val="22"/>
                <w:szCs w:val="22"/>
              </w:rPr>
            </w:pPr>
            <w:r>
              <w:rPr>
                <w:rFonts w:asciiTheme="minorHAnsi" w:hAnsiTheme="minorHAnsi"/>
                <w:sz w:val="22"/>
                <w:szCs w:val="22"/>
              </w:rPr>
              <w:t>Likely</w:t>
            </w:r>
          </w:p>
        </w:tc>
      </w:tr>
      <w:tr w:rsidR="00F0114A" w14:paraId="5E9AF755" w14:textId="77777777" w:rsidTr="00F0114A">
        <w:tc>
          <w:tcPr>
            <w:tcW w:w="5524" w:type="dxa"/>
          </w:tcPr>
          <w:p w14:paraId="3B6A4008" w14:textId="77777777" w:rsidR="00F0114A" w:rsidRDefault="00F0114A" w:rsidP="00F0114A">
            <w:pPr>
              <w:jc w:val="both"/>
              <w:rPr>
                <w:rFonts w:asciiTheme="minorHAnsi" w:hAnsiTheme="minorHAnsi"/>
                <w:sz w:val="22"/>
                <w:szCs w:val="22"/>
              </w:rPr>
            </w:pPr>
            <w:r>
              <w:rPr>
                <w:rFonts w:asciiTheme="minorHAnsi" w:hAnsiTheme="minorHAnsi"/>
                <w:sz w:val="22"/>
                <w:szCs w:val="22"/>
              </w:rPr>
              <w:t>Overall likelihood of Sustainability</w:t>
            </w:r>
          </w:p>
        </w:tc>
        <w:tc>
          <w:tcPr>
            <w:tcW w:w="3492" w:type="dxa"/>
          </w:tcPr>
          <w:p w14:paraId="76275955" w14:textId="7C32585B" w:rsidR="00F0114A" w:rsidRDefault="00F0114A" w:rsidP="00F0114A">
            <w:pPr>
              <w:jc w:val="both"/>
              <w:rPr>
                <w:rFonts w:asciiTheme="minorHAnsi" w:hAnsiTheme="minorHAnsi"/>
                <w:sz w:val="22"/>
                <w:szCs w:val="22"/>
              </w:rPr>
            </w:pPr>
            <w:r>
              <w:rPr>
                <w:rFonts w:asciiTheme="minorHAnsi" w:hAnsiTheme="minorHAnsi"/>
                <w:sz w:val="22"/>
                <w:szCs w:val="22"/>
              </w:rPr>
              <w:t>Likely</w:t>
            </w:r>
          </w:p>
        </w:tc>
      </w:tr>
    </w:tbl>
    <w:p w14:paraId="7A0F4F9E" w14:textId="3D27BA17" w:rsidR="00083021" w:rsidRDefault="00083021" w:rsidP="00F0114A">
      <w:pPr>
        <w:pStyle w:val="NormalWeb"/>
        <w:jc w:val="both"/>
      </w:pPr>
      <w:r>
        <w:rPr>
          <w:rFonts w:ascii="Calibri" w:hAnsi="Calibri"/>
          <w:sz w:val="22"/>
          <w:szCs w:val="22"/>
        </w:rPr>
        <w:t xml:space="preserve">Taking all dimensions of sustainability into account and in accordance with UNDP guidance for conducting terminal evaluations of GEF-financed projects which stipulates that the overall rating for sustainability should be no higher than the lowest rated dimension, the overall rating for </w:t>
      </w:r>
      <w:r w:rsidR="00F0114A">
        <w:rPr>
          <w:rFonts w:ascii="Calibri" w:hAnsi="Calibri"/>
          <w:sz w:val="22"/>
          <w:szCs w:val="22"/>
        </w:rPr>
        <w:t>the</w:t>
      </w:r>
      <w:r>
        <w:rPr>
          <w:rFonts w:ascii="Calibri" w:hAnsi="Calibri"/>
          <w:sz w:val="22"/>
          <w:szCs w:val="22"/>
        </w:rPr>
        <w:t xml:space="preserve"> project is </w:t>
      </w:r>
      <w:r>
        <w:rPr>
          <w:rFonts w:ascii="Calibri" w:hAnsi="Calibri"/>
          <w:b/>
          <w:bCs/>
          <w:sz w:val="22"/>
          <w:szCs w:val="22"/>
        </w:rPr>
        <w:t xml:space="preserve">Likely </w:t>
      </w:r>
      <w:r w:rsidR="00F0114A">
        <w:rPr>
          <w:rFonts w:ascii="Calibri" w:hAnsi="Calibri"/>
          <w:b/>
          <w:bCs/>
          <w:sz w:val="22"/>
          <w:szCs w:val="22"/>
        </w:rPr>
        <w:t>(L)</w:t>
      </w:r>
      <w:r>
        <w:rPr>
          <w:rFonts w:ascii="Calibri" w:hAnsi="Calibri"/>
          <w:b/>
          <w:bCs/>
          <w:sz w:val="22"/>
          <w:szCs w:val="22"/>
        </w:rPr>
        <w:t xml:space="preserve">. </w:t>
      </w:r>
    </w:p>
    <w:p w14:paraId="386E5523" w14:textId="77777777" w:rsidR="00083021" w:rsidRDefault="00083021">
      <w:pPr>
        <w:pStyle w:val="Heading3"/>
      </w:pPr>
    </w:p>
    <w:p w14:paraId="7BC4F98D" w14:textId="77777777" w:rsidR="000F31AD" w:rsidRDefault="00A317E5">
      <w:pPr>
        <w:pStyle w:val="Heading3"/>
      </w:pPr>
      <w:bookmarkStart w:id="52" w:name="_Toc81335874"/>
      <w:r>
        <w:t>3.3.7.</w:t>
      </w:r>
      <w:r>
        <w:tab/>
        <w:t>Country ownership</w:t>
      </w:r>
      <w:bookmarkEnd w:id="52"/>
    </w:p>
    <w:p w14:paraId="4EA68E42" w14:textId="77777777" w:rsidR="00374704" w:rsidRDefault="00374704">
      <w:pPr>
        <w:pStyle w:val="Heading3"/>
        <w:rPr>
          <w:rFonts w:ascii="Calibri" w:eastAsia="Calibri" w:hAnsi="Calibri" w:cs="Calibri"/>
        </w:rPr>
      </w:pPr>
    </w:p>
    <w:p w14:paraId="66AC5384" w14:textId="551D71B7" w:rsidR="008A3F41" w:rsidRPr="00784644" w:rsidRDefault="00A0686F" w:rsidP="00784644">
      <w:pPr>
        <w:jc w:val="both"/>
        <w:rPr>
          <w:rFonts w:asciiTheme="minorHAnsi" w:eastAsia="Calibri" w:hAnsiTheme="minorHAnsi" w:cstheme="minorHAnsi"/>
          <w:sz w:val="22"/>
          <w:szCs w:val="22"/>
        </w:rPr>
      </w:pPr>
      <w:r w:rsidRPr="00784644">
        <w:rPr>
          <w:rFonts w:asciiTheme="minorHAnsi" w:eastAsia="Calibri" w:hAnsiTheme="minorHAnsi" w:cstheme="minorHAnsi"/>
          <w:sz w:val="22"/>
          <w:szCs w:val="22"/>
        </w:rPr>
        <w:t xml:space="preserve">Since the project </w:t>
      </w:r>
      <w:r w:rsidR="00E009B8" w:rsidRPr="00894841">
        <w:rPr>
          <w:rFonts w:asciiTheme="minorHAnsi" w:hAnsiTheme="minorHAnsi" w:cstheme="minorHAnsi"/>
          <w:sz w:val="22"/>
          <w:szCs w:val="22"/>
        </w:rPr>
        <w:t>was designed to implement the provisions of the Drin MoU</w:t>
      </w:r>
      <w:r w:rsidRPr="00784644">
        <w:rPr>
          <w:rFonts w:asciiTheme="minorHAnsi" w:eastAsia="Calibri" w:hAnsiTheme="minorHAnsi" w:cstheme="minorHAnsi"/>
          <w:sz w:val="22"/>
          <w:szCs w:val="22"/>
        </w:rPr>
        <w:t xml:space="preserve"> (following the Drin Dialogue process), which was unequivocally endorsed by the participating countries it has, by definition, addressed key national needs to improve water management. This position was later reinforced by the endorsement and adoption of TDA and SAP. </w:t>
      </w:r>
      <w:r w:rsidR="00E009B8" w:rsidRPr="00894841">
        <w:rPr>
          <w:rFonts w:asciiTheme="minorHAnsi" w:hAnsiTheme="minorHAnsi" w:cstheme="minorHAnsi"/>
          <w:sz w:val="22"/>
          <w:szCs w:val="22"/>
        </w:rPr>
        <w:t>The SAP draws legitimacy from the Drin MoU</w:t>
      </w:r>
      <w:r w:rsidR="00E009B8">
        <w:rPr>
          <w:rFonts w:asciiTheme="minorHAnsi" w:hAnsiTheme="minorHAnsi" w:cstheme="minorHAnsi"/>
          <w:sz w:val="22"/>
          <w:szCs w:val="22"/>
        </w:rPr>
        <w:t>, while the TDA</w:t>
      </w:r>
      <w:r w:rsidR="00E009B8" w:rsidRPr="00894841">
        <w:rPr>
          <w:rFonts w:asciiTheme="minorHAnsi" w:hAnsiTheme="minorHAnsi" w:cstheme="minorHAnsi"/>
          <w:sz w:val="22"/>
          <w:szCs w:val="22"/>
        </w:rPr>
        <w:t xml:space="preserve"> details action for the implementation of the </w:t>
      </w:r>
      <w:r w:rsidR="00E009B8">
        <w:rPr>
          <w:rFonts w:asciiTheme="minorHAnsi" w:hAnsiTheme="minorHAnsi" w:cstheme="minorHAnsi"/>
          <w:sz w:val="22"/>
          <w:szCs w:val="22"/>
        </w:rPr>
        <w:t>SAP</w:t>
      </w:r>
      <w:r w:rsidR="00E009B8">
        <w:t xml:space="preserve">. </w:t>
      </w:r>
      <w:r w:rsidRPr="00784644">
        <w:rPr>
          <w:rFonts w:asciiTheme="minorHAnsi" w:eastAsia="Calibri" w:hAnsiTheme="minorHAnsi" w:cstheme="minorHAnsi"/>
          <w:sz w:val="22"/>
          <w:szCs w:val="22"/>
        </w:rPr>
        <w:t xml:space="preserve">Countries have utilised the </w:t>
      </w:r>
      <w:r w:rsidR="00845353" w:rsidRPr="00784644">
        <w:rPr>
          <w:rFonts w:asciiTheme="minorHAnsi" w:eastAsia="Calibri" w:hAnsiTheme="minorHAnsi" w:cstheme="minorHAnsi"/>
          <w:sz w:val="22"/>
          <w:szCs w:val="22"/>
        </w:rPr>
        <w:t>project’s</w:t>
      </w:r>
      <w:r w:rsidRPr="00784644">
        <w:rPr>
          <w:rFonts w:asciiTheme="minorHAnsi" w:eastAsia="Calibri" w:hAnsiTheme="minorHAnsi" w:cstheme="minorHAnsi"/>
          <w:sz w:val="22"/>
          <w:szCs w:val="22"/>
        </w:rPr>
        <w:t xml:space="preserve"> outcomes to work towards implementation of the EU Water Directive, which is an important part of the EU acquis. The Drin Project also identified complementary activities supported by other donors (World Bank, GIZ, SIDA), </w:t>
      </w:r>
      <w:r w:rsidR="008A3F41" w:rsidRPr="00784644">
        <w:rPr>
          <w:rFonts w:asciiTheme="minorHAnsi" w:eastAsia="Calibri" w:hAnsiTheme="minorHAnsi" w:cstheme="minorHAnsi"/>
          <w:sz w:val="22"/>
          <w:szCs w:val="22"/>
        </w:rPr>
        <w:t xml:space="preserve">which signifies anticipation of important national priorities. </w:t>
      </w:r>
    </w:p>
    <w:p w14:paraId="7C0CCB1D" w14:textId="77777777" w:rsidR="008A3F41" w:rsidRPr="00784644" w:rsidRDefault="008A3F41" w:rsidP="00784644">
      <w:pPr>
        <w:jc w:val="both"/>
        <w:rPr>
          <w:rFonts w:asciiTheme="minorHAnsi" w:eastAsia="Calibri" w:hAnsiTheme="minorHAnsi" w:cstheme="minorHAnsi"/>
          <w:sz w:val="22"/>
          <w:szCs w:val="22"/>
        </w:rPr>
      </w:pPr>
    </w:p>
    <w:p w14:paraId="11D90169" w14:textId="2B6CD924" w:rsidR="00374704" w:rsidRPr="00784644" w:rsidRDefault="008A3F41" w:rsidP="00784644">
      <w:pPr>
        <w:jc w:val="both"/>
        <w:rPr>
          <w:rFonts w:asciiTheme="minorHAnsi" w:eastAsia="Calibri" w:hAnsiTheme="minorHAnsi" w:cstheme="minorHAnsi"/>
          <w:sz w:val="22"/>
          <w:szCs w:val="22"/>
        </w:rPr>
      </w:pPr>
      <w:r w:rsidRPr="00784644">
        <w:rPr>
          <w:rFonts w:asciiTheme="minorHAnsi" w:eastAsia="Calibri" w:hAnsiTheme="minorHAnsi" w:cstheme="minorHAnsi"/>
          <w:sz w:val="22"/>
          <w:szCs w:val="22"/>
        </w:rPr>
        <w:t>Government representatives and Civil Society Organisations were actively involved</w:t>
      </w:r>
      <w:r w:rsidR="00A0686F" w:rsidRPr="00784644">
        <w:rPr>
          <w:rFonts w:asciiTheme="minorHAnsi" w:eastAsia="Calibri" w:hAnsiTheme="minorHAnsi" w:cstheme="minorHAnsi"/>
          <w:sz w:val="22"/>
          <w:szCs w:val="22"/>
        </w:rPr>
        <w:t xml:space="preserve"> </w:t>
      </w:r>
      <w:r w:rsidRPr="00784644">
        <w:rPr>
          <w:rFonts w:asciiTheme="minorHAnsi" w:eastAsia="Calibri" w:hAnsiTheme="minorHAnsi" w:cstheme="minorHAnsi"/>
          <w:sz w:val="22"/>
          <w:szCs w:val="22"/>
        </w:rPr>
        <w:t>in the project identification, planning and implementation, in particular by participating in important events where the shape of the future project was outlined as well as being active members of the DCG. The financial commitment of the recipient governments in the form of direct cash transfers was minimal, but in-kind contribution was significant. Each participating country has established or designated an intersectoral committee to liaise with the project team. In addition, the national project office was opened in every participating country, which significantly contributed to the country ownership.</w:t>
      </w:r>
    </w:p>
    <w:p w14:paraId="4D17E5F2" w14:textId="77777777" w:rsidR="008A3F41" w:rsidRPr="00784644" w:rsidRDefault="008A3F41" w:rsidP="00784644">
      <w:pPr>
        <w:jc w:val="both"/>
        <w:rPr>
          <w:rFonts w:asciiTheme="minorHAnsi" w:eastAsia="Calibri" w:hAnsiTheme="minorHAnsi" w:cstheme="minorHAnsi"/>
          <w:sz w:val="22"/>
          <w:szCs w:val="22"/>
        </w:rPr>
      </w:pPr>
    </w:p>
    <w:p w14:paraId="28DD55B9" w14:textId="77777777" w:rsidR="008A3F41" w:rsidRPr="00784644" w:rsidRDefault="008A3F41" w:rsidP="00784644">
      <w:pPr>
        <w:jc w:val="both"/>
        <w:rPr>
          <w:rFonts w:asciiTheme="minorHAnsi" w:eastAsia="Calibri" w:hAnsiTheme="minorHAnsi" w:cstheme="minorHAnsi"/>
          <w:sz w:val="22"/>
          <w:szCs w:val="22"/>
        </w:rPr>
      </w:pPr>
      <w:r w:rsidRPr="00784644">
        <w:rPr>
          <w:rFonts w:asciiTheme="minorHAnsi" w:eastAsia="Calibri" w:hAnsiTheme="minorHAnsi" w:cstheme="minorHAnsi"/>
          <w:sz w:val="22"/>
          <w:szCs w:val="22"/>
        </w:rPr>
        <w:t xml:space="preserve">As a conclusion, the TE finds that the countries’ ownership has been very good and it is expected that this level of country ownership will contribute to the long-term sustainability of project achievements. </w:t>
      </w:r>
    </w:p>
    <w:p w14:paraId="4E2E67C2" w14:textId="77777777" w:rsidR="00374704" w:rsidRPr="00784644" w:rsidRDefault="00374704" w:rsidP="00784644">
      <w:pPr>
        <w:jc w:val="both"/>
        <w:rPr>
          <w:rFonts w:asciiTheme="minorHAnsi" w:eastAsia="Calibri" w:hAnsiTheme="minorHAnsi" w:cstheme="minorHAnsi"/>
          <w:sz w:val="22"/>
          <w:szCs w:val="22"/>
        </w:rPr>
      </w:pPr>
    </w:p>
    <w:p w14:paraId="654F573D" w14:textId="77777777" w:rsidR="000F31AD" w:rsidRDefault="00A317E5">
      <w:pPr>
        <w:pStyle w:val="Heading3"/>
      </w:pPr>
      <w:bookmarkStart w:id="53" w:name="_Toc81335875"/>
      <w:r>
        <w:rPr>
          <w:rFonts w:ascii="Calibri" w:eastAsia="Calibri" w:hAnsi="Calibri" w:cs="Calibri"/>
        </w:rPr>
        <w:t>3.3.8.</w:t>
      </w:r>
      <w:r>
        <w:rPr>
          <w:rFonts w:ascii="Calibri" w:eastAsia="Calibri" w:hAnsi="Calibri" w:cs="Calibri"/>
        </w:rPr>
        <w:tab/>
      </w:r>
      <w:r>
        <w:t>Gender equality and women’s empowerment</w:t>
      </w:r>
      <w:bookmarkEnd w:id="53"/>
      <w:r>
        <w:t xml:space="preserve"> </w:t>
      </w:r>
    </w:p>
    <w:p w14:paraId="2FD2B03A" w14:textId="77777777" w:rsidR="008A3F41" w:rsidRDefault="008A3F41">
      <w:pPr>
        <w:pStyle w:val="Heading3"/>
      </w:pPr>
    </w:p>
    <w:p w14:paraId="40BF7E95" w14:textId="682AD2C7" w:rsidR="007250BF" w:rsidRPr="00784644" w:rsidRDefault="007250BF" w:rsidP="00784644">
      <w:pPr>
        <w:jc w:val="both"/>
        <w:rPr>
          <w:rFonts w:asciiTheme="minorHAnsi" w:hAnsiTheme="minorHAnsi" w:cstheme="minorHAnsi"/>
          <w:sz w:val="22"/>
          <w:szCs w:val="22"/>
        </w:rPr>
      </w:pPr>
      <w:r w:rsidRPr="00784644">
        <w:rPr>
          <w:rFonts w:asciiTheme="minorHAnsi" w:hAnsiTheme="minorHAnsi" w:cstheme="minorHAnsi"/>
          <w:sz w:val="22"/>
          <w:szCs w:val="22"/>
        </w:rPr>
        <w:t>The Drin Project ProDoc addressed the g</w:t>
      </w:r>
      <w:r w:rsidR="002D47EC" w:rsidRPr="00784644">
        <w:rPr>
          <w:rFonts w:asciiTheme="minorHAnsi" w:hAnsiTheme="minorHAnsi" w:cstheme="minorHAnsi"/>
          <w:sz w:val="22"/>
          <w:szCs w:val="22"/>
        </w:rPr>
        <w:t xml:space="preserve">ender mainstreaming </w:t>
      </w:r>
      <w:r w:rsidR="00E009B8">
        <w:rPr>
          <w:rFonts w:asciiTheme="minorHAnsi" w:hAnsiTheme="minorHAnsi" w:cstheme="minorHAnsi"/>
          <w:sz w:val="22"/>
          <w:szCs w:val="22"/>
        </w:rPr>
        <w:t>through a</w:t>
      </w:r>
      <w:r w:rsidRPr="00784644">
        <w:rPr>
          <w:rFonts w:asciiTheme="minorHAnsi" w:hAnsiTheme="minorHAnsi" w:cstheme="minorHAnsi"/>
          <w:sz w:val="22"/>
          <w:szCs w:val="22"/>
        </w:rPr>
        <w:t xml:space="preserve"> component (Component 5), within which the Gender Mainstreaming Strategy including Gender Action Plan was delivered. The strategy was implemented in full, with a large number of consultation meetings at national and basin levels. It has to be mentioned that the Drin Project was not meant to contribute directly to the betterment of the status of women in riparian countries, in particular in economic sense, but had the aim to increase stakeholder participation with increasing role of women in that endeavour. </w:t>
      </w:r>
    </w:p>
    <w:p w14:paraId="0D67E7FC" w14:textId="77777777" w:rsidR="007250BF" w:rsidRPr="00784644" w:rsidRDefault="007250BF" w:rsidP="00784644">
      <w:pPr>
        <w:jc w:val="both"/>
        <w:rPr>
          <w:rFonts w:asciiTheme="minorHAnsi" w:hAnsiTheme="minorHAnsi" w:cstheme="minorHAnsi"/>
          <w:sz w:val="22"/>
          <w:szCs w:val="22"/>
        </w:rPr>
      </w:pPr>
    </w:p>
    <w:p w14:paraId="663B5775" w14:textId="4BAFFED2" w:rsidR="008A3F41" w:rsidRPr="00784644" w:rsidRDefault="007250BF" w:rsidP="00784644">
      <w:pPr>
        <w:jc w:val="both"/>
        <w:rPr>
          <w:rFonts w:asciiTheme="minorHAnsi" w:hAnsiTheme="minorHAnsi" w:cstheme="minorHAnsi"/>
          <w:sz w:val="22"/>
          <w:szCs w:val="22"/>
        </w:rPr>
      </w:pPr>
      <w:r w:rsidRPr="00784644">
        <w:rPr>
          <w:rFonts w:asciiTheme="minorHAnsi" w:hAnsiTheme="minorHAnsi" w:cstheme="minorHAnsi"/>
          <w:sz w:val="22"/>
          <w:szCs w:val="22"/>
        </w:rPr>
        <w:t xml:space="preserve">The strategy itself identified a number of entry points for mainstreaming and concluded that each project’s output presents possibilities for engendering the work. Consequently, each of the project’s outputs has one or several gender outputs, actions and indicators, which was clearly presented in the Gender Action Plan.   </w:t>
      </w:r>
      <w:r w:rsidR="006B0898" w:rsidRPr="00784644">
        <w:rPr>
          <w:rFonts w:asciiTheme="minorHAnsi" w:hAnsiTheme="minorHAnsi" w:cstheme="minorHAnsi"/>
          <w:sz w:val="22"/>
          <w:szCs w:val="22"/>
        </w:rPr>
        <w:t>All the activities in Drin Basin have promoted a balanced participation of men and women. Women represented 30% of the members of the Drin Core Group and approximately 60% of the members of the Expert Working Groups of the Drin Core Group. I</w:t>
      </w:r>
      <w:r w:rsidR="00E57E68">
        <w:rPr>
          <w:rFonts w:asciiTheme="minorHAnsi" w:hAnsiTheme="minorHAnsi" w:cstheme="minorHAnsi"/>
          <w:sz w:val="22"/>
          <w:szCs w:val="22"/>
        </w:rPr>
        <w:t>n</w:t>
      </w:r>
      <w:r w:rsidR="006B0898" w:rsidRPr="00784644">
        <w:rPr>
          <w:rFonts w:asciiTheme="minorHAnsi" w:hAnsiTheme="minorHAnsi" w:cstheme="minorHAnsi"/>
          <w:sz w:val="22"/>
          <w:szCs w:val="22"/>
        </w:rPr>
        <w:t xml:space="preserve"> awareness raising activities, such as the annual Drin Day, participation of women NGOs in implementation of activities related to recycling, ecotourism, etc. were promoted. The TE finds that the project has effectively promoted the gender mainstreaming in its activities.</w:t>
      </w:r>
    </w:p>
    <w:p w14:paraId="0D970417" w14:textId="77777777" w:rsidR="008A3F41" w:rsidRPr="006B0898" w:rsidRDefault="008A3F41" w:rsidP="006B0898">
      <w:pPr>
        <w:pStyle w:val="Heading3"/>
        <w:jc w:val="both"/>
        <w:rPr>
          <w:rFonts w:asciiTheme="minorHAnsi" w:hAnsiTheme="minorHAnsi" w:cstheme="minorHAnsi"/>
          <w:color w:val="000000" w:themeColor="text1"/>
          <w:sz w:val="22"/>
          <w:szCs w:val="22"/>
        </w:rPr>
      </w:pPr>
    </w:p>
    <w:p w14:paraId="75849F00" w14:textId="15D62D43" w:rsidR="000F31AD" w:rsidRDefault="00D906F6">
      <w:pPr>
        <w:pStyle w:val="Heading3"/>
      </w:pPr>
      <w:r>
        <w:t xml:space="preserve"> </w:t>
      </w:r>
      <w:bookmarkStart w:id="54" w:name="_Toc81335876"/>
      <w:r w:rsidR="00A317E5">
        <w:t>3.3.9.</w:t>
      </w:r>
      <w:r w:rsidR="00A317E5">
        <w:tab/>
        <w:t>Cross-cutting issues</w:t>
      </w:r>
      <w:bookmarkEnd w:id="54"/>
    </w:p>
    <w:p w14:paraId="7BD4A920" w14:textId="77777777" w:rsidR="006B0898" w:rsidRDefault="006B0898">
      <w:pPr>
        <w:pStyle w:val="Heading3"/>
      </w:pPr>
    </w:p>
    <w:p w14:paraId="286920A5" w14:textId="77777777" w:rsidR="00CF5BEB" w:rsidRDefault="00CF5BEB" w:rsidP="00CF5BEB">
      <w:pPr>
        <w:jc w:val="both"/>
        <w:rPr>
          <w:rFonts w:asciiTheme="minorHAnsi" w:hAnsiTheme="minorHAnsi" w:cstheme="minorHAnsi"/>
          <w:sz w:val="22"/>
          <w:szCs w:val="22"/>
        </w:rPr>
      </w:pPr>
      <w:r>
        <w:rPr>
          <w:rFonts w:asciiTheme="minorHAnsi" w:hAnsiTheme="minorHAnsi" w:cstheme="minorHAnsi"/>
          <w:sz w:val="22"/>
          <w:szCs w:val="22"/>
        </w:rPr>
        <w:t xml:space="preserve">The project was envisaged to </w:t>
      </w:r>
      <w:r w:rsidR="00727B48">
        <w:rPr>
          <w:rFonts w:asciiTheme="minorHAnsi" w:hAnsiTheme="minorHAnsi" w:cstheme="minorHAnsi"/>
          <w:sz w:val="22"/>
          <w:szCs w:val="22"/>
        </w:rPr>
        <w:t xml:space="preserve">align with the </w:t>
      </w:r>
      <w:r w:rsidR="009B5A2F">
        <w:rPr>
          <w:rFonts w:asciiTheme="minorHAnsi" w:hAnsiTheme="minorHAnsi" w:cstheme="minorHAnsi"/>
          <w:sz w:val="22"/>
          <w:szCs w:val="22"/>
        </w:rPr>
        <w:t xml:space="preserve">UNDP country programming. At the PIF stage, and later during the preparation of the ProDoc, the country programming in the participating countries was taken into consideration, in particular support to the actions aimed at protecting their environment and water resources. The project’s activities were fully consistent with the above UNDP strategic directions. Since the project’s activities were fully implemented, the requirement to respect UNDP country programming in water resources management was full respected. Similarly, although not </w:t>
      </w:r>
      <w:r w:rsidR="009B5A2F">
        <w:rPr>
          <w:rFonts w:asciiTheme="minorHAnsi" w:hAnsiTheme="minorHAnsi" w:cstheme="minorHAnsi"/>
          <w:sz w:val="22"/>
          <w:szCs w:val="22"/>
        </w:rPr>
        <w:lastRenderedPageBreak/>
        <w:t>specifically mentioned because they were adopted after the project was approved, the SDGs were also integrated in the project design and, later, contribution was made to reaching the respective SDGs targets at national levels. This is particularly valid for SDG6.</w:t>
      </w:r>
    </w:p>
    <w:p w14:paraId="641622B2" w14:textId="77777777" w:rsidR="009B5A2F" w:rsidRDefault="009B5A2F" w:rsidP="00CF5BEB">
      <w:pPr>
        <w:jc w:val="both"/>
        <w:rPr>
          <w:rFonts w:asciiTheme="minorHAnsi" w:hAnsiTheme="minorHAnsi" w:cstheme="minorHAnsi"/>
          <w:sz w:val="22"/>
          <w:szCs w:val="22"/>
        </w:rPr>
      </w:pPr>
    </w:p>
    <w:p w14:paraId="403DEED1" w14:textId="77777777" w:rsidR="009B5A2F" w:rsidRDefault="009B5A2F" w:rsidP="00CF5BEB">
      <w:pPr>
        <w:jc w:val="both"/>
        <w:rPr>
          <w:rFonts w:asciiTheme="minorHAnsi" w:hAnsiTheme="minorHAnsi" w:cstheme="minorHAnsi"/>
          <w:sz w:val="22"/>
          <w:szCs w:val="22"/>
        </w:rPr>
      </w:pPr>
      <w:r>
        <w:rPr>
          <w:rFonts w:asciiTheme="minorHAnsi" w:hAnsiTheme="minorHAnsi" w:cstheme="minorHAnsi"/>
          <w:sz w:val="22"/>
          <w:szCs w:val="22"/>
        </w:rPr>
        <w:t>The project has mainstreamed a number of cross-cutting issues, namely those on improved governance (this is the core objective of the entire project); climate change mitigation and adaptation (in particular in relation to climate variability and change); disaster prevention and recovery (related to flood risk management), and above all, the capacity development, which is also one of the core objectives of the project. Specific activities/outputs carried out during the project’s implementation and to be considered as dealing with cross-cutting issues are:</w:t>
      </w:r>
    </w:p>
    <w:p w14:paraId="22FF8DD6" w14:textId="77777777" w:rsidR="009B5A2F" w:rsidRDefault="009B5A2F" w:rsidP="00CF5BEB">
      <w:pPr>
        <w:jc w:val="both"/>
        <w:rPr>
          <w:rFonts w:asciiTheme="minorHAnsi" w:hAnsiTheme="minorHAnsi" w:cstheme="minorHAnsi"/>
          <w:sz w:val="22"/>
          <w:szCs w:val="22"/>
        </w:rPr>
      </w:pPr>
    </w:p>
    <w:p w14:paraId="40F11047" w14:textId="77777777" w:rsidR="006B0898" w:rsidRPr="009B5A2F" w:rsidRDefault="00CF5BEB" w:rsidP="0052081C">
      <w:pPr>
        <w:pStyle w:val="ListParagraph"/>
        <w:numPr>
          <w:ilvl w:val="0"/>
          <w:numId w:val="10"/>
        </w:numPr>
        <w:ind w:left="426" w:hanging="426"/>
        <w:jc w:val="both"/>
        <w:rPr>
          <w:rFonts w:asciiTheme="minorHAnsi" w:hAnsiTheme="minorHAnsi" w:cstheme="minorHAnsi"/>
          <w:sz w:val="22"/>
          <w:szCs w:val="22"/>
        </w:rPr>
      </w:pPr>
      <w:r w:rsidRPr="009B5A2F">
        <w:rPr>
          <w:rFonts w:asciiTheme="minorHAnsi" w:hAnsiTheme="minorHAnsi" w:cstheme="minorHAnsi"/>
          <w:sz w:val="22"/>
          <w:szCs w:val="22"/>
        </w:rPr>
        <w:t>A study to assess the cost of the SAP implementation</w:t>
      </w:r>
    </w:p>
    <w:p w14:paraId="7B0A3CD8" w14:textId="77777777" w:rsidR="00CF5BEB" w:rsidRPr="009B5A2F" w:rsidRDefault="00CF5BEB" w:rsidP="0052081C">
      <w:pPr>
        <w:pStyle w:val="ListParagraph"/>
        <w:numPr>
          <w:ilvl w:val="0"/>
          <w:numId w:val="10"/>
        </w:numPr>
        <w:ind w:left="426" w:hanging="426"/>
        <w:jc w:val="both"/>
        <w:rPr>
          <w:rFonts w:asciiTheme="minorHAnsi" w:hAnsiTheme="minorHAnsi" w:cstheme="minorHAnsi"/>
          <w:sz w:val="22"/>
          <w:szCs w:val="22"/>
        </w:rPr>
      </w:pPr>
      <w:r w:rsidRPr="009B5A2F">
        <w:rPr>
          <w:rFonts w:asciiTheme="minorHAnsi" w:hAnsiTheme="minorHAnsi" w:cstheme="minorHAnsi"/>
          <w:sz w:val="22"/>
          <w:szCs w:val="22"/>
        </w:rPr>
        <w:t>Lake Ohrid Management Plan</w:t>
      </w:r>
    </w:p>
    <w:p w14:paraId="52CD2E7E" w14:textId="77777777" w:rsidR="00CF5BEB" w:rsidRPr="009B5A2F" w:rsidRDefault="00CF5BEB" w:rsidP="0052081C">
      <w:pPr>
        <w:pStyle w:val="ListParagraph"/>
        <w:numPr>
          <w:ilvl w:val="0"/>
          <w:numId w:val="10"/>
        </w:numPr>
        <w:ind w:left="426" w:hanging="426"/>
        <w:jc w:val="both"/>
        <w:rPr>
          <w:rFonts w:asciiTheme="minorHAnsi" w:hAnsiTheme="minorHAnsi" w:cstheme="minorHAnsi"/>
          <w:sz w:val="22"/>
          <w:szCs w:val="22"/>
        </w:rPr>
      </w:pPr>
      <w:r w:rsidRPr="009B5A2F">
        <w:rPr>
          <w:rFonts w:asciiTheme="minorHAnsi" w:hAnsiTheme="minorHAnsi" w:cstheme="minorHAnsi"/>
          <w:sz w:val="22"/>
          <w:szCs w:val="22"/>
        </w:rPr>
        <w:t xml:space="preserve">Wastewater integrated modelling tool   </w:t>
      </w:r>
    </w:p>
    <w:p w14:paraId="247D73B6" w14:textId="77777777" w:rsidR="00CF5BEB" w:rsidRPr="009B5A2F" w:rsidRDefault="00CF5BEB" w:rsidP="0052081C">
      <w:pPr>
        <w:pStyle w:val="ListParagraph"/>
        <w:numPr>
          <w:ilvl w:val="0"/>
          <w:numId w:val="10"/>
        </w:numPr>
        <w:ind w:left="426" w:hanging="426"/>
        <w:jc w:val="both"/>
        <w:rPr>
          <w:rFonts w:asciiTheme="minorHAnsi" w:hAnsiTheme="minorHAnsi" w:cstheme="minorHAnsi"/>
          <w:sz w:val="22"/>
          <w:szCs w:val="22"/>
        </w:rPr>
      </w:pPr>
      <w:r w:rsidRPr="009B5A2F">
        <w:rPr>
          <w:rFonts w:asciiTheme="minorHAnsi" w:hAnsiTheme="minorHAnsi" w:cstheme="minorHAnsi"/>
          <w:sz w:val="22"/>
          <w:szCs w:val="22"/>
        </w:rPr>
        <w:t>Reduction of nutrient load and forest preservation through biomass collection and production of fuel briquettes in the Montenegrin part of Skadar Lake</w:t>
      </w:r>
    </w:p>
    <w:p w14:paraId="7BCCE215" w14:textId="77777777" w:rsidR="00CF5BEB" w:rsidRPr="009B5A2F" w:rsidRDefault="00CF5BEB" w:rsidP="0052081C">
      <w:pPr>
        <w:pStyle w:val="ListParagraph"/>
        <w:numPr>
          <w:ilvl w:val="0"/>
          <w:numId w:val="10"/>
        </w:numPr>
        <w:ind w:left="426" w:hanging="426"/>
        <w:jc w:val="both"/>
        <w:rPr>
          <w:rFonts w:asciiTheme="minorHAnsi" w:hAnsiTheme="minorHAnsi" w:cstheme="minorHAnsi"/>
          <w:sz w:val="22"/>
          <w:szCs w:val="22"/>
        </w:rPr>
      </w:pPr>
      <w:r w:rsidRPr="009B5A2F">
        <w:rPr>
          <w:rFonts w:asciiTheme="minorHAnsi" w:hAnsiTheme="minorHAnsi" w:cstheme="minorHAnsi"/>
          <w:sz w:val="22"/>
          <w:szCs w:val="22"/>
        </w:rPr>
        <w:t>Flood Risk Management in the Drin Basin</w:t>
      </w:r>
      <w:r w:rsidR="009B5A2F">
        <w:rPr>
          <w:rFonts w:asciiTheme="minorHAnsi" w:hAnsiTheme="minorHAnsi" w:cstheme="minorHAnsi"/>
          <w:sz w:val="22"/>
          <w:szCs w:val="22"/>
        </w:rPr>
        <w:t>.</w:t>
      </w:r>
    </w:p>
    <w:p w14:paraId="7E0A3F14" w14:textId="77777777" w:rsidR="006B0898" w:rsidRDefault="006B0898">
      <w:pPr>
        <w:pStyle w:val="Heading3"/>
      </w:pPr>
    </w:p>
    <w:p w14:paraId="6A22E16B" w14:textId="0A8C4E8B" w:rsidR="009B5A2F" w:rsidRDefault="009B5A2F" w:rsidP="009B5A2F">
      <w:pPr>
        <w:jc w:val="both"/>
        <w:rPr>
          <w:rFonts w:asciiTheme="minorHAnsi" w:hAnsiTheme="minorHAnsi" w:cstheme="minorHAnsi"/>
          <w:sz w:val="22"/>
          <w:szCs w:val="22"/>
        </w:rPr>
      </w:pPr>
      <w:r>
        <w:rPr>
          <w:rFonts w:asciiTheme="minorHAnsi" w:hAnsiTheme="minorHAnsi" w:cstheme="minorHAnsi"/>
          <w:sz w:val="22"/>
          <w:szCs w:val="22"/>
        </w:rPr>
        <w:t xml:space="preserve">Project will </w:t>
      </w:r>
      <w:r w:rsidR="00784644">
        <w:rPr>
          <w:rFonts w:asciiTheme="minorHAnsi" w:hAnsiTheme="minorHAnsi" w:cstheme="minorHAnsi"/>
          <w:sz w:val="22"/>
          <w:szCs w:val="22"/>
        </w:rPr>
        <w:t xml:space="preserve">contribute to better preparation to cope with disasters and will reduce risk from floods, in particular when the flood risk management in the Drin basin will be operationalised. </w:t>
      </w:r>
    </w:p>
    <w:p w14:paraId="43ADE7B6" w14:textId="0C5C5462" w:rsidR="00E009B8" w:rsidRDefault="00E009B8" w:rsidP="009B5A2F">
      <w:pPr>
        <w:jc w:val="both"/>
        <w:rPr>
          <w:rFonts w:asciiTheme="minorHAnsi" w:hAnsiTheme="minorHAnsi" w:cstheme="minorHAnsi"/>
          <w:sz w:val="22"/>
          <w:szCs w:val="22"/>
        </w:rPr>
      </w:pPr>
    </w:p>
    <w:p w14:paraId="4D1DD8B1" w14:textId="0116C0D8" w:rsidR="00E009B8" w:rsidRDefault="00E009B8" w:rsidP="009B5A2F">
      <w:pPr>
        <w:jc w:val="both"/>
        <w:rPr>
          <w:rFonts w:asciiTheme="minorHAnsi" w:hAnsiTheme="minorHAnsi" w:cstheme="minorHAnsi"/>
          <w:sz w:val="22"/>
          <w:szCs w:val="22"/>
        </w:rPr>
      </w:pPr>
      <w:r>
        <w:rPr>
          <w:rFonts w:asciiTheme="minorHAnsi" w:hAnsiTheme="minorHAnsi" w:cstheme="minorHAnsi"/>
          <w:sz w:val="22"/>
          <w:szCs w:val="22"/>
        </w:rPr>
        <w:t>The Drin Project ProDoc has not requested specific reference to the human rights issue, therefore it did not elaborate directly on the issue. However, since the main subject deals with one of the basic human rights – adequate and equitable management of water resources at the river basin level, which results in improved management of the Drin River Basin, it is expected that the implementation of the project results will implicitly contribute to the advancement of the human rights in the project region.</w:t>
      </w:r>
    </w:p>
    <w:p w14:paraId="572EA926" w14:textId="77777777" w:rsidR="00784644" w:rsidRDefault="00784644" w:rsidP="009B5A2F">
      <w:pPr>
        <w:jc w:val="both"/>
        <w:rPr>
          <w:rFonts w:asciiTheme="minorHAnsi" w:hAnsiTheme="minorHAnsi" w:cstheme="minorHAnsi"/>
          <w:sz w:val="22"/>
          <w:szCs w:val="22"/>
        </w:rPr>
      </w:pPr>
    </w:p>
    <w:p w14:paraId="341C0A7F" w14:textId="77777777" w:rsidR="00784644" w:rsidRPr="009B5A2F" w:rsidRDefault="00784644" w:rsidP="009B5A2F">
      <w:pPr>
        <w:jc w:val="both"/>
        <w:rPr>
          <w:rFonts w:asciiTheme="minorHAnsi" w:hAnsiTheme="minorHAnsi" w:cstheme="minorHAnsi"/>
          <w:sz w:val="22"/>
          <w:szCs w:val="22"/>
        </w:rPr>
      </w:pPr>
      <w:r>
        <w:rPr>
          <w:rFonts w:asciiTheme="minorHAnsi" w:hAnsiTheme="minorHAnsi" w:cstheme="minorHAnsi"/>
          <w:sz w:val="22"/>
          <w:szCs w:val="22"/>
        </w:rPr>
        <w:t>The TE finds that the project has sufficiently integrated cross-cutting issues in its design as well as during its implementation.</w:t>
      </w:r>
    </w:p>
    <w:p w14:paraId="32CB6EFF" w14:textId="77777777" w:rsidR="009B5A2F" w:rsidRDefault="009B5A2F" w:rsidP="009B5A2F"/>
    <w:p w14:paraId="416E03B4" w14:textId="77777777" w:rsidR="000F31AD" w:rsidRDefault="00A317E5">
      <w:pPr>
        <w:pStyle w:val="Heading3"/>
      </w:pPr>
      <w:bookmarkStart w:id="55" w:name="_Toc81335877"/>
      <w:r>
        <w:t>3.3.1</w:t>
      </w:r>
      <w:r w:rsidR="00784644">
        <w:t>0</w:t>
      </w:r>
      <w:r>
        <w:t>.</w:t>
      </w:r>
      <w:r>
        <w:tab/>
        <w:t>Catalytic/replication effect</w:t>
      </w:r>
      <w:bookmarkEnd w:id="55"/>
    </w:p>
    <w:p w14:paraId="3490ECC7" w14:textId="77777777" w:rsidR="00AA29F7" w:rsidRDefault="00AA29F7" w:rsidP="00AA29F7">
      <w:pPr>
        <w:pStyle w:val="NormalWeb"/>
        <w:jc w:val="both"/>
        <w:rPr>
          <w:rFonts w:ascii="TimesNewRomanPSMT" w:hAnsi="TimesNewRomanPSMT" w:cs="TimesNewRomanPSMT"/>
          <w:sz w:val="20"/>
          <w:szCs w:val="20"/>
        </w:rPr>
      </w:pPr>
      <w:r w:rsidRPr="00AA29F7">
        <w:rPr>
          <w:rFonts w:asciiTheme="minorHAnsi" w:hAnsiTheme="minorHAnsi" w:cstheme="minorHAnsi"/>
          <w:sz w:val="22"/>
          <w:szCs w:val="22"/>
        </w:rPr>
        <w:t xml:space="preserve">The GEF defines the catalytic </w:t>
      </w:r>
      <w:r w:rsidR="00341372">
        <w:rPr>
          <w:rFonts w:asciiTheme="minorHAnsi" w:hAnsiTheme="minorHAnsi" w:cstheme="minorHAnsi"/>
          <w:sz w:val="22"/>
          <w:szCs w:val="22"/>
        </w:rPr>
        <w:t>or replication effect</w:t>
      </w:r>
      <w:r w:rsidRPr="00AA29F7">
        <w:rPr>
          <w:rFonts w:asciiTheme="minorHAnsi" w:hAnsiTheme="minorHAnsi" w:cstheme="minorHAnsi"/>
          <w:sz w:val="22"/>
          <w:szCs w:val="22"/>
        </w:rPr>
        <w:t xml:space="preserve"> of projects as one of the operational principles for the development and implementation of the GEF work program. The GEF funds projects in such a way that they attract additional resources, pursue strategies that have a greater result than the project itself, and/or accelerate a process of development or change. It recognizes that its support is catalytic in nature</w:t>
      </w:r>
      <w:r w:rsidR="00341372">
        <w:rPr>
          <w:rFonts w:asciiTheme="minorHAnsi" w:hAnsiTheme="minorHAnsi" w:cstheme="minorHAnsi"/>
          <w:sz w:val="22"/>
          <w:szCs w:val="22"/>
        </w:rPr>
        <w:t xml:space="preserve"> if</w:t>
      </w:r>
      <w:r w:rsidRPr="00AA29F7">
        <w:rPr>
          <w:rFonts w:asciiTheme="minorHAnsi" w:hAnsiTheme="minorHAnsi" w:cstheme="minorHAnsi"/>
          <w:sz w:val="22"/>
          <w:szCs w:val="22"/>
        </w:rPr>
        <w:t xml:space="preserve"> </w:t>
      </w:r>
      <w:r w:rsidRPr="00341372">
        <w:rPr>
          <w:rFonts w:asciiTheme="minorHAnsi" w:hAnsiTheme="minorHAnsi" w:cstheme="minorHAnsi"/>
          <w:iCs/>
          <w:sz w:val="22"/>
          <w:szCs w:val="22"/>
        </w:rPr>
        <w:t>it does not achieve impact on its own but rather in collaboration with its partners, especially through follow-up actions by governments and other agents at different scales</w:t>
      </w:r>
      <w:r w:rsidRPr="00AA29F7">
        <w:rPr>
          <w:rFonts w:asciiTheme="minorHAnsi" w:hAnsiTheme="minorHAnsi" w:cstheme="minorHAnsi"/>
          <w:sz w:val="22"/>
          <w:szCs w:val="22"/>
        </w:rPr>
        <w:t xml:space="preserve">. </w:t>
      </w:r>
      <w:r w:rsidR="00341372">
        <w:rPr>
          <w:rFonts w:asciiTheme="minorHAnsi" w:hAnsiTheme="minorHAnsi" w:cstheme="minorHAnsi"/>
          <w:sz w:val="22"/>
          <w:szCs w:val="22"/>
        </w:rPr>
        <w:t>T</w:t>
      </w:r>
      <w:r w:rsidRPr="00AA29F7">
        <w:rPr>
          <w:rFonts w:asciiTheme="minorHAnsi" w:hAnsiTheme="minorHAnsi" w:cstheme="minorHAnsi"/>
          <w:sz w:val="22"/>
          <w:szCs w:val="22"/>
        </w:rPr>
        <w:t xml:space="preserve">he review of the catalytic </w:t>
      </w:r>
      <w:r w:rsidR="00341372">
        <w:rPr>
          <w:rFonts w:asciiTheme="minorHAnsi" w:hAnsiTheme="minorHAnsi" w:cstheme="minorHAnsi"/>
          <w:sz w:val="22"/>
          <w:szCs w:val="22"/>
        </w:rPr>
        <w:t>effect</w:t>
      </w:r>
      <w:r w:rsidRPr="00AA29F7">
        <w:rPr>
          <w:rFonts w:asciiTheme="minorHAnsi" w:hAnsiTheme="minorHAnsi" w:cstheme="minorHAnsi"/>
          <w:sz w:val="22"/>
          <w:szCs w:val="22"/>
        </w:rPr>
        <w:t xml:space="preserve"> of this project is to consider the extent to which the project has demonstrated: </w:t>
      </w:r>
      <w:r w:rsidR="00341372">
        <w:rPr>
          <w:rFonts w:asciiTheme="minorHAnsi" w:hAnsiTheme="minorHAnsi" w:cstheme="minorHAnsi"/>
          <w:sz w:val="22"/>
          <w:szCs w:val="22"/>
        </w:rPr>
        <w:t>(</w:t>
      </w:r>
      <w:r w:rsidRPr="00AA29F7">
        <w:rPr>
          <w:rFonts w:asciiTheme="minorHAnsi" w:hAnsiTheme="minorHAnsi" w:cstheme="minorHAnsi"/>
          <w:sz w:val="22"/>
          <w:szCs w:val="22"/>
        </w:rPr>
        <w:t xml:space="preserve">a) </w:t>
      </w:r>
      <w:r w:rsidR="00341372" w:rsidRPr="00AA29F7">
        <w:rPr>
          <w:rFonts w:asciiTheme="minorHAnsi" w:hAnsiTheme="minorHAnsi" w:cstheme="minorHAnsi"/>
          <w:sz w:val="22"/>
          <w:szCs w:val="22"/>
        </w:rPr>
        <w:t>scaling up of the project achievements</w:t>
      </w:r>
      <w:r w:rsidRPr="00AA29F7">
        <w:rPr>
          <w:rFonts w:asciiTheme="minorHAnsi" w:hAnsiTheme="minorHAnsi" w:cstheme="minorHAnsi"/>
          <w:sz w:val="22"/>
          <w:szCs w:val="22"/>
        </w:rPr>
        <w:t xml:space="preserve">, </w:t>
      </w:r>
      <w:r w:rsidR="00341372">
        <w:rPr>
          <w:rFonts w:asciiTheme="minorHAnsi" w:hAnsiTheme="minorHAnsi" w:cstheme="minorHAnsi"/>
          <w:sz w:val="22"/>
          <w:szCs w:val="22"/>
        </w:rPr>
        <w:t>(</w:t>
      </w:r>
      <w:r w:rsidRPr="00AA29F7">
        <w:rPr>
          <w:rFonts w:asciiTheme="minorHAnsi" w:hAnsiTheme="minorHAnsi" w:cstheme="minorHAnsi"/>
          <w:sz w:val="22"/>
          <w:szCs w:val="22"/>
        </w:rPr>
        <w:t>b</w:t>
      </w:r>
      <w:r w:rsidR="00341372">
        <w:rPr>
          <w:rFonts w:asciiTheme="minorHAnsi" w:hAnsiTheme="minorHAnsi" w:cstheme="minorHAnsi"/>
          <w:sz w:val="22"/>
          <w:szCs w:val="22"/>
        </w:rPr>
        <w:t>)</w:t>
      </w:r>
      <w:r w:rsidR="00341372" w:rsidRPr="00341372">
        <w:rPr>
          <w:rFonts w:asciiTheme="minorHAnsi" w:hAnsiTheme="minorHAnsi" w:cstheme="minorHAnsi"/>
          <w:sz w:val="22"/>
          <w:szCs w:val="22"/>
        </w:rPr>
        <w:t xml:space="preserve"> </w:t>
      </w:r>
      <w:r w:rsidR="00341372" w:rsidRPr="00AA29F7">
        <w:rPr>
          <w:rFonts w:asciiTheme="minorHAnsi" w:hAnsiTheme="minorHAnsi" w:cstheme="minorHAnsi"/>
          <w:sz w:val="22"/>
          <w:szCs w:val="22"/>
        </w:rPr>
        <w:t>replication</w:t>
      </w:r>
      <w:r w:rsidRPr="00AA29F7">
        <w:rPr>
          <w:rFonts w:asciiTheme="minorHAnsi" w:hAnsiTheme="minorHAnsi" w:cstheme="minorHAnsi"/>
          <w:sz w:val="22"/>
          <w:szCs w:val="22"/>
        </w:rPr>
        <w:t xml:space="preserve">, </w:t>
      </w:r>
      <w:r w:rsidR="00341372">
        <w:rPr>
          <w:rFonts w:asciiTheme="minorHAnsi" w:hAnsiTheme="minorHAnsi" w:cstheme="minorHAnsi"/>
          <w:sz w:val="22"/>
          <w:szCs w:val="22"/>
        </w:rPr>
        <w:t>(</w:t>
      </w:r>
      <w:r w:rsidRPr="00AA29F7">
        <w:rPr>
          <w:rFonts w:asciiTheme="minorHAnsi" w:hAnsiTheme="minorHAnsi" w:cstheme="minorHAnsi"/>
          <w:sz w:val="22"/>
          <w:szCs w:val="22"/>
        </w:rPr>
        <w:t xml:space="preserve">c) </w:t>
      </w:r>
      <w:r w:rsidR="00341372" w:rsidRPr="00AA29F7">
        <w:rPr>
          <w:rFonts w:asciiTheme="minorHAnsi" w:hAnsiTheme="minorHAnsi" w:cstheme="minorHAnsi"/>
          <w:sz w:val="22"/>
          <w:szCs w:val="22"/>
        </w:rPr>
        <w:t>demonstration(s)</w:t>
      </w:r>
      <w:r w:rsidRPr="00AA29F7">
        <w:rPr>
          <w:rFonts w:asciiTheme="minorHAnsi" w:hAnsiTheme="minorHAnsi" w:cstheme="minorHAnsi"/>
          <w:sz w:val="22"/>
          <w:szCs w:val="22"/>
        </w:rPr>
        <w:t xml:space="preserve">, and </w:t>
      </w:r>
      <w:r w:rsidR="00341372">
        <w:rPr>
          <w:rFonts w:asciiTheme="minorHAnsi" w:hAnsiTheme="minorHAnsi" w:cstheme="minorHAnsi"/>
          <w:sz w:val="22"/>
          <w:szCs w:val="22"/>
        </w:rPr>
        <w:t>(</w:t>
      </w:r>
      <w:r w:rsidRPr="00AA29F7">
        <w:rPr>
          <w:rFonts w:asciiTheme="minorHAnsi" w:hAnsiTheme="minorHAnsi" w:cstheme="minorHAnsi"/>
          <w:sz w:val="22"/>
          <w:szCs w:val="22"/>
        </w:rPr>
        <w:t>d)</w:t>
      </w:r>
      <w:r w:rsidR="00341372" w:rsidRPr="00341372">
        <w:rPr>
          <w:rFonts w:asciiTheme="minorHAnsi" w:hAnsiTheme="minorHAnsi" w:cstheme="minorHAnsi"/>
          <w:sz w:val="22"/>
          <w:szCs w:val="22"/>
        </w:rPr>
        <w:t xml:space="preserve"> </w:t>
      </w:r>
      <w:r w:rsidR="00341372" w:rsidRPr="00AA29F7">
        <w:rPr>
          <w:rFonts w:asciiTheme="minorHAnsi" w:hAnsiTheme="minorHAnsi" w:cstheme="minorHAnsi"/>
          <w:sz w:val="22"/>
          <w:szCs w:val="22"/>
        </w:rPr>
        <w:t>the production of a “</w:t>
      </w:r>
      <w:r w:rsidR="00341372" w:rsidRPr="00AA29F7">
        <w:rPr>
          <w:rFonts w:asciiTheme="minorHAnsi" w:hAnsiTheme="minorHAnsi" w:cstheme="minorHAnsi"/>
          <w:i/>
          <w:iCs/>
          <w:sz w:val="22"/>
          <w:szCs w:val="22"/>
        </w:rPr>
        <w:t>public good</w:t>
      </w:r>
      <w:r w:rsidR="00341372" w:rsidRPr="00AA29F7">
        <w:rPr>
          <w:rFonts w:asciiTheme="minorHAnsi" w:hAnsiTheme="minorHAnsi" w:cstheme="minorHAnsi"/>
          <w:sz w:val="22"/>
          <w:szCs w:val="22"/>
        </w:rPr>
        <w:t>”</w:t>
      </w:r>
      <w:r>
        <w:rPr>
          <w:rFonts w:ascii="TimesNewRomanPSMT" w:hAnsi="TimesNewRomanPSMT" w:cs="TimesNewRomanPSMT"/>
          <w:sz w:val="20"/>
          <w:szCs w:val="20"/>
        </w:rPr>
        <w:t xml:space="preserve">. </w:t>
      </w:r>
    </w:p>
    <w:p w14:paraId="36D866B6" w14:textId="226EC32C" w:rsidR="00341372" w:rsidRDefault="00341372" w:rsidP="00AA29F7">
      <w:pPr>
        <w:pStyle w:val="NormalWeb"/>
        <w:jc w:val="both"/>
        <w:rPr>
          <w:rFonts w:asciiTheme="minorHAnsi" w:hAnsiTheme="minorHAnsi" w:cstheme="minorHAnsi"/>
          <w:sz w:val="22"/>
          <w:szCs w:val="22"/>
        </w:rPr>
      </w:pPr>
      <w:r w:rsidRPr="00341372">
        <w:rPr>
          <w:rFonts w:asciiTheme="minorHAnsi" w:hAnsiTheme="minorHAnsi" w:cstheme="minorHAnsi"/>
          <w:sz w:val="22"/>
          <w:szCs w:val="22"/>
        </w:rPr>
        <w:t>Considering the GEF definition of the catalytic role, the project has demonstrated catalytic role</w:t>
      </w:r>
      <w:r>
        <w:rPr>
          <w:rFonts w:asciiTheme="minorHAnsi" w:hAnsiTheme="minorHAnsi" w:cstheme="minorHAnsi"/>
          <w:sz w:val="22"/>
          <w:szCs w:val="22"/>
        </w:rPr>
        <w:t xml:space="preserve"> through its foundational and demonstration activities. It has produced certain “public goods” such as innovative solution to produce pressure on Skadar National Park water ecosystem by installing a capacity to produce briquettes made out of invasive species, that will be used for heating National Park facilities, and possibly other establishments. </w:t>
      </w:r>
      <w:r w:rsidR="002873EE">
        <w:rPr>
          <w:rFonts w:asciiTheme="minorHAnsi" w:hAnsiTheme="minorHAnsi" w:cstheme="minorHAnsi"/>
          <w:sz w:val="22"/>
          <w:szCs w:val="22"/>
        </w:rPr>
        <w:t xml:space="preserve">Another example </w:t>
      </w:r>
      <w:r w:rsidR="00317424">
        <w:rPr>
          <w:rFonts w:asciiTheme="minorHAnsi" w:hAnsiTheme="minorHAnsi" w:cstheme="minorHAnsi"/>
          <w:sz w:val="22"/>
          <w:szCs w:val="22"/>
        </w:rPr>
        <w:t>is t</w:t>
      </w:r>
      <w:r w:rsidR="00317424" w:rsidRPr="00894841">
        <w:rPr>
          <w:rFonts w:asciiTheme="minorHAnsi" w:hAnsiTheme="minorHAnsi" w:cstheme="minorHAnsi"/>
          <w:sz w:val="22"/>
          <w:szCs w:val="22"/>
        </w:rPr>
        <w:t>he Kramovic “constructed wetlands” wastewater treatment plant operates and is the first of its kind in Kosovo</w:t>
      </w:r>
      <w:r w:rsidR="00317424">
        <w:rPr>
          <w:rFonts w:asciiTheme="minorHAnsi" w:hAnsiTheme="minorHAnsi" w:cstheme="minorHAnsi"/>
          <w:sz w:val="22"/>
          <w:szCs w:val="22"/>
        </w:rPr>
        <w:t>. T</w:t>
      </w:r>
      <w:r w:rsidR="00317424" w:rsidRPr="00894841">
        <w:rPr>
          <w:rFonts w:asciiTheme="minorHAnsi" w:hAnsiTheme="minorHAnsi" w:cstheme="minorHAnsi"/>
          <w:sz w:val="22"/>
          <w:szCs w:val="22"/>
        </w:rPr>
        <w:t xml:space="preserve">here is interest </w:t>
      </w:r>
      <w:r w:rsidR="00317424">
        <w:rPr>
          <w:rFonts w:asciiTheme="minorHAnsi" w:hAnsiTheme="minorHAnsi" w:cstheme="minorHAnsi"/>
          <w:sz w:val="22"/>
          <w:szCs w:val="22"/>
        </w:rPr>
        <w:t>in</w:t>
      </w:r>
      <w:r w:rsidR="00317424" w:rsidRPr="00894841">
        <w:rPr>
          <w:rFonts w:asciiTheme="minorHAnsi" w:hAnsiTheme="minorHAnsi" w:cstheme="minorHAnsi"/>
          <w:sz w:val="22"/>
          <w:szCs w:val="22"/>
        </w:rPr>
        <w:t xml:space="preserve"> Kosovo to replicate this as a solution for agglomerations that are difficult to connect to major wastewater treatment plants</w:t>
      </w:r>
      <w:r w:rsidR="00317424">
        <w:t xml:space="preserve">. </w:t>
      </w:r>
      <w:r w:rsidR="00317424">
        <w:rPr>
          <w:rFonts w:asciiTheme="minorHAnsi" w:hAnsiTheme="minorHAnsi" w:cstheme="minorHAnsi"/>
          <w:sz w:val="22"/>
          <w:szCs w:val="22"/>
        </w:rPr>
        <w:t>T</w:t>
      </w:r>
      <w:r w:rsidR="002873EE">
        <w:rPr>
          <w:rFonts w:asciiTheme="minorHAnsi" w:hAnsiTheme="minorHAnsi" w:cstheme="minorHAnsi"/>
          <w:sz w:val="22"/>
          <w:szCs w:val="22"/>
        </w:rPr>
        <w:t xml:space="preserve">he activity to test the feasibility of flood micro-financing in the Skadar </w:t>
      </w:r>
      <w:r w:rsidR="002873EE">
        <w:rPr>
          <w:rFonts w:asciiTheme="minorHAnsi" w:hAnsiTheme="minorHAnsi" w:cstheme="minorHAnsi"/>
          <w:sz w:val="22"/>
          <w:szCs w:val="22"/>
        </w:rPr>
        <w:lastRenderedPageBreak/>
        <w:t>Lake area, and Struga area in the Drin Basin</w:t>
      </w:r>
      <w:r w:rsidR="00317424">
        <w:rPr>
          <w:rFonts w:asciiTheme="minorHAnsi" w:hAnsiTheme="minorHAnsi" w:cstheme="minorHAnsi"/>
          <w:sz w:val="22"/>
          <w:szCs w:val="22"/>
        </w:rPr>
        <w:t xml:space="preserve"> that</w:t>
      </w:r>
      <w:r w:rsidR="002873EE">
        <w:rPr>
          <w:rFonts w:asciiTheme="minorHAnsi" w:hAnsiTheme="minorHAnsi" w:cstheme="minorHAnsi"/>
          <w:sz w:val="22"/>
          <w:szCs w:val="22"/>
        </w:rPr>
        <w:t xml:space="preserve"> has high potential for replication</w:t>
      </w:r>
      <w:r w:rsidR="00317424">
        <w:rPr>
          <w:rFonts w:asciiTheme="minorHAnsi" w:hAnsiTheme="minorHAnsi" w:cstheme="minorHAnsi"/>
          <w:sz w:val="22"/>
          <w:szCs w:val="22"/>
        </w:rPr>
        <w:t xml:space="preserve"> should also be mentioned</w:t>
      </w:r>
      <w:r w:rsidR="002873EE">
        <w:rPr>
          <w:rFonts w:asciiTheme="minorHAnsi" w:hAnsiTheme="minorHAnsi" w:cstheme="minorHAnsi"/>
          <w:sz w:val="22"/>
          <w:szCs w:val="22"/>
        </w:rPr>
        <w:t>.</w:t>
      </w:r>
    </w:p>
    <w:p w14:paraId="26E9147C" w14:textId="0E423618" w:rsidR="00341372" w:rsidRDefault="002873EE" w:rsidP="00AA29F7">
      <w:pPr>
        <w:pStyle w:val="NormalWeb"/>
        <w:jc w:val="both"/>
        <w:rPr>
          <w:rFonts w:asciiTheme="minorHAnsi" w:hAnsiTheme="minorHAnsi" w:cstheme="minorHAnsi"/>
          <w:sz w:val="22"/>
          <w:szCs w:val="22"/>
        </w:rPr>
      </w:pPr>
      <w:r w:rsidRPr="002873EE">
        <w:rPr>
          <w:rFonts w:asciiTheme="minorHAnsi" w:hAnsiTheme="minorHAnsi" w:cstheme="minorHAnsi"/>
          <w:sz w:val="22"/>
          <w:szCs w:val="22"/>
        </w:rPr>
        <w:t xml:space="preserve">The project has not yet exhibited concrete replication examples in other regions. However, two spin-off projects of the Drin Project: Austrian Development Agency (ADA) supported project “Promoting the Sustainable Management of Natural Resources in </w:t>
      </w:r>
      <w:r w:rsidR="00475DC2" w:rsidRPr="002873EE">
        <w:rPr>
          <w:rFonts w:asciiTheme="minorHAnsi" w:hAnsiTheme="minorHAnsi" w:cstheme="minorHAnsi"/>
          <w:sz w:val="22"/>
          <w:szCs w:val="22"/>
        </w:rPr>
        <w:t>South-eastern</w:t>
      </w:r>
      <w:r w:rsidRPr="002873EE">
        <w:rPr>
          <w:rFonts w:asciiTheme="minorHAnsi" w:hAnsiTheme="minorHAnsi" w:cstheme="minorHAnsi"/>
          <w:sz w:val="22"/>
          <w:szCs w:val="22"/>
        </w:rPr>
        <w:t xml:space="preserve"> Europe, through the use of the Nexus approach” focusing on Drin, and Adaptation Fund supported and UNDP implemented project “Integrated climate-resilient transboundary flood risk management in the Drin River basin in the Western Balkans”</w:t>
      </w:r>
      <w:r>
        <w:rPr>
          <w:rFonts w:asciiTheme="minorHAnsi" w:hAnsiTheme="minorHAnsi" w:cstheme="minorHAnsi"/>
          <w:sz w:val="22"/>
          <w:szCs w:val="22"/>
        </w:rPr>
        <w:t xml:space="preserve">, could be considered as examples of </w:t>
      </w:r>
      <w:r w:rsidR="00317424">
        <w:rPr>
          <w:rFonts w:asciiTheme="minorHAnsi" w:hAnsiTheme="minorHAnsi" w:cstheme="minorHAnsi"/>
          <w:sz w:val="22"/>
          <w:szCs w:val="22"/>
        </w:rPr>
        <w:t>catalytic/</w:t>
      </w:r>
      <w:r>
        <w:rPr>
          <w:rFonts w:asciiTheme="minorHAnsi" w:hAnsiTheme="minorHAnsi" w:cstheme="minorHAnsi"/>
          <w:sz w:val="22"/>
          <w:szCs w:val="22"/>
        </w:rPr>
        <w:t>replication</w:t>
      </w:r>
      <w:r w:rsidR="00317424">
        <w:rPr>
          <w:rFonts w:asciiTheme="minorHAnsi" w:hAnsiTheme="minorHAnsi" w:cstheme="minorHAnsi"/>
          <w:sz w:val="22"/>
          <w:szCs w:val="22"/>
        </w:rPr>
        <w:t xml:space="preserve"> effect</w:t>
      </w:r>
      <w:r>
        <w:rPr>
          <w:rFonts w:asciiTheme="minorHAnsi" w:hAnsiTheme="minorHAnsi" w:cstheme="minorHAnsi"/>
          <w:sz w:val="22"/>
          <w:szCs w:val="22"/>
        </w:rPr>
        <w:t>, because they are based on the concrete outputs of the project</w:t>
      </w:r>
      <w:r w:rsidRPr="002873EE">
        <w:rPr>
          <w:rFonts w:asciiTheme="minorHAnsi" w:hAnsiTheme="minorHAnsi" w:cstheme="minorHAnsi"/>
          <w:sz w:val="22"/>
          <w:szCs w:val="22"/>
        </w:rPr>
        <w:t xml:space="preserve">. </w:t>
      </w:r>
      <w:r>
        <w:rPr>
          <w:rFonts w:asciiTheme="minorHAnsi" w:hAnsiTheme="minorHAnsi" w:cstheme="minorHAnsi"/>
          <w:sz w:val="22"/>
          <w:szCs w:val="22"/>
        </w:rPr>
        <w:t xml:space="preserve">Besides the above, a few other project’s products could be replicated elsewhere, such as the very efficiently managed stakeholder’ engagement strategy and the Integrated Management System.  </w:t>
      </w:r>
    </w:p>
    <w:p w14:paraId="56C38DA5" w14:textId="77777777" w:rsidR="0019541D" w:rsidRPr="0019541D" w:rsidRDefault="0019541D" w:rsidP="0019541D">
      <w:pPr>
        <w:pStyle w:val="NormalWeb"/>
        <w:jc w:val="both"/>
        <w:rPr>
          <w:rFonts w:asciiTheme="minorHAnsi" w:hAnsiTheme="minorHAnsi" w:cstheme="minorHAnsi"/>
          <w:sz w:val="22"/>
          <w:szCs w:val="22"/>
        </w:rPr>
      </w:pPr>
      <w:r w:rsidRPr="0019541D">
        <w:rPr>
          <w:rFonts w:asciiTheme="minorHAnsi" w:hAnsiTheme="minorHAnsi" w:cstheme="minorHAnsi"/>
          <w:sz w:val="22"/>
          <w:szCs w:val="22"/>
        </w:rPr>
        <w:t>From a cataly</w:t>
      </w:r>
      <w:r>
        <w:rPr>
          <w:rFonts w:asciiTheme="minorHAnsi" w:hAnsiTheme="minorHAnsi" w:cstheme="minorHAnsi"/>
          <w:sz w:val="22"/>
          <w:szCs w:val="22"/>
        </w:rPr>
        <w:t>tic/replication project’s</w:t>
      </w:r>
      <w:r w:rsidRPr="0019541D">
        <w:rPr>
          <w:rFonts w:asciiTheme="minorHAnsi" w:hAnsiTheme="minorHAnsi" w:cstheme="minorHAnsi"/>
          <w:sz w:val="22"/>
          <w:szCs w:val="22"/>
        </w:rPr>
        <w:t xml:space="preserve"> role point of view, the project has developed “</w:t>
      </w:r>
      <w:r w:rsidRPr="0019541D">
        <w:rPr>
          <w:rFonts w:asciiTheme="minorHAnsi" w:hAnsiTheme="minorHAnsi" w:cstheme="minorHAnsi"/>
          <w:i/>
          <w:iCs/>
          <w:sz w:val="22"/>
          <w:szCs w:val="22"/>
        </w:rPr>
        <w:t>public goods</w:t>
      </w:r>
      <w:r w:rsidRPr="0019541D">
        <w:rPr>
          <w:rFonts w:asciiTheme="minorHAnsi" w:hAnsiTheme="minorHAnsi" w:cstheme="minorHAnsi"/>
          <w:sz w:val="22"/>
          <w:szCs w:val="22"/>
        </w:rPr>
        <w:t xml:space="preserve">”, </w:t>
      </w:r>
      <w:r w:rsidRPr="0019541D">
        <w:rPr>
          <w:rFonts w:asciiTheme="minorHAnsi" w:hAnsiTheme="minorHAnsi" w:cstheme="minorHAnsi"/>
          <w:iCs/>
          <w:sz w:val="22"/>
          <w:szCs w:val="22"/>
        </w:rPr>
        <w:t>demonstrated</w:t>
      </w:r>
      <w:r w:rsidRPr="0019541D">
        <w:rPr>
          <w:rFonts w:asciiTheme="minorHAnsi" w:hAnsiTheme="minorHAnsi" w:cstheme="minorHAnsi"/>
          <w:i/>
          <w:iCs/>
          <w:sz w:val="22"/>
          <w:szCs w:val="22"/>
        </w:rPr>
        <w:t xml:space="preserve"> </w:t>
      </w:r>
      <w:r w:rsidRPr="0019541D">
        <w:rPr>
          <w:rFonts w:asciiTheme="minorHAnsi" w:hAnsiTheme="minorHAnsi" w:cstheme="minorHAnsi"/>
          <w:sz w:val="22"/>
          <w:szCs w:val="22"/>
        </w:rPr>
        <w:t xml:space="preserve">the usability and effectiveness of the </w:t>
      </w:r>
      <w:r>
        <w:rPr>
          <w:rFonts w:asciiTheme="minorHAnsi" w:hAnsiTheme="minorHAnsi" w:cstheme="minorHAnsi"/>
          <w:sz w:val="22"/>
          <w:szCs w:val="22"/>
        </w:rPr>
        <w:t xml:space="preserve">governance arrangements, </w:t>
      </w:r>
      <w:r w:rsidRPr="0019541D">
        <w:rPr>
          <w:rFonts w:asciiTheme="minorHAnsi" w:hAnsiTheme="minorHAnsi" w:cstheme="minorHAnsi"/>
          <w:sz w:val="22"/>
          <w:szCs w:val="22"/>
        </w:rPr>
        <w:t xml:space="preserve">tools, methods, innovative solutions, and skills and knowledge. It is now at the stage </w:t>
      </w:r>
      <w:r>
        <w:rPr>
          <w:rFonts w:asciiTheme="minorHAnsi" w:hAnsiTheme="minorHAnsi" w:cstheme="minorHAnsi"/>
          <w:sz w:val="22"/>
          <w:szCs w:val="22"/>
        </w:rPr>
        <w:t>where it could be</w:t>
      </w:r>
      <w:r w:rsidRPr="0019541D">
        <w:rPr>
          <w:rFonts w:asciiTheme="minorHAnsi" w:hAnsiTheme="minorHAnsi" w:cstheme="minorHAnsi"/>
          <w:sz w:val="22"/>
          <w:szCs w:val="22"/>
        </w:rPr>
        <w:t xml:space="preserve"> replicated and scaled-up throughout the relevant organizations including governmental and non-governmental organizations for some of these tools and methods. As it was discussed in other sections of this report, project achievements benefit from a good national ownership, most of these achievements are already institutionalized and all signals point to the long-term sustainability of these achievements. It is anticipated that in the years to come, these achievements will be replicated and scaled-up throughout </w:t>
      </w:r>
      <w:r>
        <w:rPr>
          <w:rFonts w:asciiTheme="minorHAnsi" w:hAnsiTheme="minorHAnsi" w:cstheme="minorHAnsi"/>
          <w:sz w:val="22"/>
          <w:szCs w:val="22"/>
        </w:rPr>
        <w:t>the region</w:t>
      </w:r>
      <w:r w:rsidRPr="0019541D">
        <w:rPr>
          <w:rFonts w:asciiTheme="minorHAnsi" w:hAnsiTheme="minorHAnsi" w:cstheme="minorHAnsi"/>
          <w:sz w:val="22"/>
          <w:szCs w:val="22"/>
        </w:rPr>
        <w:t xml:space="preserve">. </w:t>
      </w:r>
    </w:p>
    <w:p w14:paraId="271DE06A" w14:textId="77777777" w:rsidR="000F31AD" w:rsidRDefault="00A317E5">
      <w:pPr>
        <w:pStyle w:val="Heading3"/>
      </w:pPr>
      <w:bookmarkStart w:id="56" w:name="_Toc81335878"/>
      <w:r>
        <w:t>3.3.1</w:t>
      </w:r>
      <w:r w:rsidR="00784644">
        <w:t>1</w:t>
      </w:r>
      <w:r>
        <w:t>.</w:t>
      </w:r>
      <w:r>
        <w:tab/>
        <w:t>Progress to impact</w:t>
      </w:r>
      <w:bookmarkEnd w:id="56"/>
    </w:p>
    <w:p w14:paraId="40370472" w14:textId="77777777" w:rsidR="0019541D" w:rsidRDefault="0019541D" w:rsidP="0019541D">
      <w:pPr>
        <w:pStyle w:val="NormalWeb"/>
        <w:jc w:val="both"/>
        <w:rPr>
          <w:rFonts w:ascii="Calibri" w:hAnsi="Calibri" w:cs="Calibri"/>
          <w:sz w:val="22"/>
          <w:szCs w:val="22"/>
        </w:rPr>
      </w:pPr>
      <w:r>
        <w:rPr>
          <w:rFonts w:ascii="Calibri" w:hAnsi="Calibri" w:cs="Calibri"/>
          <w:sz w:val="22"/>
          <w:szCs w:val="22"/>
        </w:rPr>
        <w:t xml:space="preserve">For GEF projects, impact is defined as changes in global/regional environmental benefits as verified by environmental stress and/or changes in environmental status. The Drin Project does not have such direct impact, but by building capacity and strengthening transboundary water governance it is supporting improvements in people’s lives in Drin riparian countries and positive changes in regional environmental benefits in a long term. </w:t>
      </w:r>
    </w:p>
    <w:p w14:paraId="51BD8D11" w14:textId="77777777" w:rsidR="00845353" w:rsidRDefault="0019541D" w:rsidP="00736B29">
      <w:pPr>
        <w:pStyle w:val="NormalWeb"/>
        <w:spacing w:before="0" w:beforeAutospacing="0" w:after="0" w:afterAutospacing="0"/>
        <w:jc w:val="both"/>
        <w:rPr>
          <w:rFonts w:ascii="Calibri" w:hAnsi="Calibri" w:cs="Calibri"/>
          <w:color w:val="000000"/>
          <w:sz w:val="22"/>
          <w:szCs w:val="22"/>
        </w:rPr>
      </w:pPr>
      <w:r>
        <w:rPr>
          <w:rFonts w:asciiTheme="minorHAnsi" w:hAnsiTheme="minorHAnsi" w:cstheme="minorHAnsi"/>
          <w:sz w:val="22"/>
          <w:szCs w:val="22"/>
        </w:rPr>
        <w:t xml:space="preserve">The ProDoc has identified as the intermediate state the “Implementation of SAP on the ground”, which is a pre-condition for a long-term impact “Improved balancing of water uses and environmental quality in the Drin Basin”. </w:t>
      </w:r>
      <w:r w:rsidR="002B0D75">
        <w:rPr>
          <w:rFonts w:asciiTheme="minorHAnsi" w:hAnsiTheme="minorHAnsi" w:cstheme="minorHAnsi"/>
          <w:sz w:val="22"/>
          <w:szCs w:val="22"/>
        </w:rPr>
        <w:t xml:space="preserve">The project has achieved good progress towards </w:t>
      </w:r>
      <w:r w:rsidR="00736B29">
        <w:rPr>
          <w:rFonts w:asciiTheme="minorHAnsi" w:hAnsiTheme="minorHAnsi" w:cstheme="minorHAnsi"/>
          <w:sz w:val="22"/>
          <w:szCs w:val="22"/>
        </w:rPr>
        <w:t xml:space="preserve">reaching the long-term impact. The latter is impossible to measure now because the project’s outcomes are not designed as to result in direct improvement in the ecosystem state indicators, including the water use. The </w:t>
      </w:r>
      <w:r w:rsidR="00736B29">
        <w:rPr>
          <w:rFonts w:ascii="Calibri" w:hAnsi="Calibri" w:cs="Calibri"/>
          <w:color w:val="000000"/>
          <w:sz w:val="22"/>
          <w:szCs w:val="22"/>
        </w:rPr>
        <w:t xml:space="preserve">project’s SRF clearly depicts the strategy of project development towards impacts. </w:t>
      </w:r>
    </w:p>
    <w:p w14:paraId="098B3B94" w14:textId="77777777" w:rsidR="00845353" w:rsidRDefault="00845353" w:rsidP="00736B29">
      <w:pPr>
        <w:pStyle w:val="NormalWeb"/>
        <w:spacing w:before="0" w:beforeAutospacing="0" w:after="0" w:afterAutospacing="0"/>
        <w:jc w:val="both"/>
        <w:rPr>
          <w:rFonts w:ascii="Calibri" w:hAnsi="Calibri" w:cs="Calibri"/>
          <w:color w:val="000000"/>
          <w:sz w:val="22"/>
          <w:szCs w:val="22"/>
        </w:rPr>
      </w:pPr>
    </w:p>
    <w:p w14:paraId="72F9A154" w14:textId="77777777" w:rsidR="00845353" w:rsidRDefault="00736B29" w:rsidP="00736B29">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The Outcomes 1, 2 and 3 are of the foundational nature as they are aiming at creating a base for a long term and sustainable transboundary water management in the Drin Basin. In this context, the TDA, including the Shared Vision, and SAP have been agreed upon following elaborate collaboration process, and adopted by the riparian countries. With this, the project has made significant progress towards reaching its immediate objective – implementation of SAP on the ground, </w:t>
      </w:r>
      <w:r w:rsidR="000B4FC9">
        <w:rPr>
          <w:rFonts w:ascii="Calibri" w:hAnsi="Calibri" w:cs="Calibri"/>
          <w:color w:val="000000"/>
          <w:sz w:val="22"/>
          <w:szCs w:val="22"/>
        </w:rPr>
        <w:t xml:space="preserve">and </w:t>
      </w:r>
      <w:r>
        <w:rPr>
          <w:rFonts w:ascii="Calibri" w:hAnsi="Calibri" w:cs="Calibri"/>
          <w:color w:val="000000"/>
          <w:sz w:val="22"/>
          <w:szCs w:val="22"/>
        </w:rPr>
        <w:t xml:space="preserve">all pre-conditions are met to succeed in reaching that objective. </w:t>
      </w:r>
    </w:p>
    <w:p w14:paraId="70608DEA" w14:textId="77777777" w:rsidR="00845353" w:rsidRDefault="00845353" w:rsidP="00736B29">
      <w:pPr>
        <w:pStyle w:val="NormalWeb"/>
        <w:spacing w:before="0" w:beforeAutospacing="0" w:after="0" w:afterAutospacing="0"/>
        <w:jc w:val="both"/>
        <w:rPr>
          <w:rFonts w:ascii="Calibri" w:hAnsi="Calibri" w:cs="Calibri"/>
          <w:color w:val="000000"/>
          <w:sz w:val="22"/>
          <w:szCs w:val="22"/>
        </w:rPr>
      </w:pPr>
    </w:p>
    <w:p w14:paraId="55940461" w14:textId="77777777" w:rsidR="00845353" w:rsidRDefault="00736B29" w:rsidP="00736B29">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Capacity building and demonstration character of the project are embedded in Outcome</w:t>
      </w:r>
      <w:r w:rsidR="000B4FC9">
        <w:rPr>
          <w:rFonts w:ascii="Calibri" w:hAnsi="Calibri" w:cs="Calibri"/>
          <w:color w:val="000000"/>
          <w:sz w:val="22"/>
          <w:szCs w:val="22"/>
        </w:rPr>
        <w:t>s</w:t>
      </w:r>
      <w:r>
        <w:rPr>
          <w:rFonts w:ascii="Calibri" w:hAnsi="Calibri" w:cs="Calibri"/>
          <w:color w:val="000000"/>
          <w:sz w:val="22"/>
          <w:szCs w:val="22"/>
        </w:rPr>
        <w:t xml:space="preserve"> 4 and 5, which aim </w:t>
      </w:r>
      <w:r w:rsidR="000B4FC9">
        <w:rPr>
          <w:rFonts w:ascii="Calibri" w:hAnsi="Calibri" w:cs="Calibri"/>
          <w:color w:val="000000"/>
          <w:sz w:val="22"/>
          <w:szCs w:val="22"/>
        </w:rPr>
        <w:t xml:space="preserve">at </w:t>
      </w:r>
      <w:r>
        <w:rPr>
          <w:rFonts w:ascii="Calibri" w:hAnsi="Calibri" w:cs="Calibri"/>
          <w:color w:val="000000"/>
          <w:sz w:val="22"/>
          <w:szCs w:val="22"/>
        </w:rPr>
        <w:t xml:space="preserve">increasing the capacity of regional institutions for IWRM and showing how some innovative solutions can assist in implementing the SAP. </w:t>
      </w:r>
      <w:r w:rsidR="00DF2AC9">
        <w:rPr>
          <w:rFonts w:ascii="Calibri" w:hAnsi="Calibri" w:cs="Calibri"/>
          <w:color w:val="000000"/>
          <w:sz w:val="22"/>
          <w:szCs w:val="22"/>
        </w:rPr>
        <w:t xml:space="preserve">Project has achieved these objectives too and contributed to improvement of capacities, which is another necessary pre-condition for achievement of the Intermediate State and, ultimately, the long-term goal. </w:t>
      </w:r>
    </w:p>
    <w:p w14:paraId="7AFF337E" w14:textId="77777777" w:rsidR="00845353" w:rsidRDefault="00845353" w:rsidP="00736B29">
      <w:pPr>
        <w:pStyle w:val="NormalWeb"/>
        <w:spacing w:before="0" w:beforeAutospacing="0" w:after="0" w:afterAutospacing="0"/>
        <w:jc w:val="both"/>
        <w:rPr>
          <w:rFonts w:ascii="Calibri" w:hAnsi="Calibri" w:cs="Calibri"/>
          <w:color w:val="000000"/>
          <w:sz w:val="22"/>
          <w:szCs w:val="22"/>
        </w:rPr>
      </w:pPr>
    </w:p>
    <w:p w14:paraId="19B25D43" w14:textId="2A78E53E" w:rsidR="00736B29" w:rsidRDefault="00DF2AC9" w:rsidP="00736B29">
      <w:pPr>
        <w:pStyle w:val="NormalWeb"/>
        <w:spacing w:before="0" w:beforeAutospacing="0" w:after="0" w:afterAutospacing="0"/>
        <w:jc w:val="both"/>
      </w:pPr>
      <w:r>
        <w:rPr>
          <w:rFonts w:ascii="Calibri" w:hAnsi="Calibri" w:cs="Calibri"/>
          <w:color w:val="000000"/>
          <w:sz w:val="22"/>
          <w:szCs w:val="22"/>
        </w:rPr>
        <w:lastRenderedPageBreak/>
        <w:t>Finally, Outcomes 6 and 7 assisted in raising the awareness on the project and its outcomes, as well as made stakeholders become an active ingredient of the project’s implementation. Mechanisms for active stakeholders’ involvement (DCG, EWG and annual Stakeholders Meetings) are arrangements that were put in place to facilitate follow-up actions.</w:t>
      </w:r>
    </w:p>
    <w:p w14:paraId="37644577" w14:textId="77777777" w:rsidR="00845353" w:rsidRDefault="00845353" w:rsidP="005F3D88">
      <w:pPr>
        <w:pStyle w:val="Heading1"/>
      </w:pPr>
      <w:bookmarkStart w:id="57" w:name="_Toc81335879"/>
    </w:p>
    <w:p w14:paraId="12A960A9" w14:textId="2B675CEA" w:rsidR="000F31AD" w:rsidRDefault="00A317E5" w:rsidP="005F3D88">
      <w:pPr>
        <w:pStyle w:val="Heading1"/>
      </w:pPr>
      <w:r>
        <w:t xml:space="preserve">4. </w:t>
      </w:r>
      <w:r>
        <w:tab/>
        <w:t>Main findings, conclusions, recommendations and lessons learned</w:t>
      </w:r>
      <w:r>
        <w:rPr>
          <w:rFonts w:ascii="MS Gothic" w:eastAsia="MS Gothic" w:hAnsi="MS Gothic" w:cs="MS Gothic"/>
        </w:rPr>
        <w:t> </w:t>
      </w:r>
      <w:bookmarkEnd w:id="57"/>
    </w:p>
    <w:p w14:paraId="06EDE3A7" w14:textId="17440EA9" w:rsidR="00DF2AC9" w:rsidRDefault="00DF2AC9">
      <w:pPr>
        <w:pStyle w:val="Heading2"/>
      </w:pPr>
    </w:p>
    <w:p w14:paraId="6F85DF89" w14:textId="1A339A4E" w:rsidR="007F59DF" w:rsidRPr="007F59DF" w:rsidRDefault="00A317E5" w:rsidP="007F59DF">
      <w:pPr>
        <w:pStyle w:val="Heading2"/>
        <w:spacing w:before="0"/>
        <w:contextualSpacing/>
      </w:pPr>
      <w:bookmarkStart w:id="58" w:name="_Toc81335880"/>
      <w:r>
        <w:t>4.1.</w:t>
      </w:r>
      <w:r>
        <w:tab/>
        <w:t xml:space="preserve">Main findings </w:t>
      </w:r>
      <w:r>
        <w:rPr>
          <w:rFonts w:ascii="MS Gothic" w:eastAsia="MS Gothic" w:hAnsi="MS Gothic" w:cs="MS Gothic"/>
        </w:rPr>
        <w:t> </w:t>
      </w:r>
      <w:bookmarkEnd w:id="58"/>
      <w:r w:rsidR="007F59DF">
        <w:rPr>
          <w:rFonts w:asciiTheme="minorHAnsi" w:hAnsiTheme="minorHAnsi"/>
          <w:sz w:val="22"/>
          <w:szCs w:val="22"/>
        </w:rPr>
        <w:t xml:space="preserve"> </w:t>
      </w:r>
    </w:p>
    <w:p w14:paraId="1B88D00D" w14:textId="428C55B6" w:rsidR="004E20E4" w:rsidRDefault="007F59DF" w:rsidP="007F59DF">
      <w:pPr>
        <w:pStyle w:val="NormalWeb"/>
        <w:jc w:val="both"/>
        <w:rPr>
          <w:rFonts w:asciiTheme="minorHAnsi" w:hAnsiTheme="minorHAnsi"/>
          <w:sz w:val="22"/>
          <w:szCs w:val="22"/>
        </w:rPr>
      </w:pPr>
      <w:r>
        <w:rPr>
          <w:rFonts w:asciiTheme="minorHAnsi" w:hAnsiTheme="minorHAnsi"/>
          <w:b/>
          <w:bCs/>
          <w:color w:val="000000" w:themeColor="text1"/>
          <w:sz w:val="22"/>
          <w:szCs w:val="22"/>
        </w:rPr>
        <w:t xml:space="preserve">Relevance: </w:t>
      </w:r>
      <w:r w:rsidR="004E20E4" w:rsidRPr="004E20E4">
        <w:rPr>
          <w:rFonts w:asciiTheme="minorHAnsi" w:hAnsiTheme="minorHAnsi"/>
          <w:sz w:val="22"/>
          <w:szCs w:val="22"/>
        </w:rPr>
        <w:t xml:space="preserve">The complex nature of the Drin Basin, where lakes, rivers and underground flows interact in ways hard to unravel, compounded by the many and often conflicting uses of water resources, and by the transboundary conditions that prevail throughout the basin, determines the high fragility of the basin ecosystems and poses serious challenges to the overall sustainability of the water resources of the basin. The project responds to an urgent need for harmonizing and coordinating within a common strategic framework </w:t>
      </w:r>
      <w:r w:rsidR="000B4FC9">
        <w:rPr>
          <w:rFonts w:asciiTheme="minorHAnsi" w:hAnsiTheme="minorHAnsi"/>
          <w:sz w:val="22"/>
          <w:szCs w:val="22"/>
        </w:rPr>
        <w:t xml:space="preserve">with </w:t>
      </w:r>
      <w:r w:rsidR="004E20E4" w:rsidRPr="004E20E4">
        <w:rPr>
          <w:rFonts w:asciiTheme="minorHAnsi" w:hAnsiTheme="minorHAnsi"/>
          <w:sz w:val="22"/>
          <w:szCs w:val="22"/>
        </w:rPr>
        <w:t>several management schemes, consultation mechanisms and cooperation efforts, including multi-country ones, that at present characterize the management set up of the Basin</w:t>
      </w:r>
      <w:r w:rsidR="004E20E4">
        <w:rPr>
          <w:rFonts w:asciiTheme="minorHAnsi" w:hAnsiTheme="minorHAnsi"/>
          <w:sz w:val="22"/>
          <w:szCs w:val="22"/>
        </w:rPr>
        <w:t xml:space="preserve">. The project is also commensurate with the countries’ efforts </w:t>
      </w:r>
      <w:r>
        <w:rPr>
          <w:rFonts w:asciiTheme="minorHAnsi" w:hAnsiTheme="minorHAnsi"/>
          <w:sz w:val="22"/>
          <w:szCs w:val="22"/>
        </w:rPr>
        <w:t>to adopt/approximate to the EU acquis, including its provisions on shared water resources management.</w:t>
      </w:r>
      <w:r w:rsidRPr="00AB4FEB">
        <w:rPr>
          <w:rFonts w:asciiTheme="minorHAnsi" w:hAnsiTheme="minorHAnsi"/>
          <w:sz w:val="22"/>
          <w:szCs w:val="22"/>
        </w:rPr>
        <w:t xml:space="preserve"> </w:t>
      </w:r>
      <w:r w:rsidRPr="005B751C">
        <w:rPr>
          <w:rFonts w:asciiTheme="minorHAnsi" w:hAnsiTheme="minorHAnsi"/>
          <w:sz w:val="22"/>
          <w:szCs w:val="22"/>
        </w:rPr>
        <w:t xml:space="preserve">The project is very well aligned with the UNDP and GEF strategic priorities. It is linked with the UNDP’s Strategic Plan “Changing </w:t>
      </w:r>
      <w:r w:rsidR="00AD47F7">
        <w:rPr>
          <w:rFonts w:asciiTheme="minorHAnsi" w:hAnsiTheme="minorHAnsi"/>
          <w:sz w:val="22"/>
          <w:szCs w:val="22"/>
        </w:rPr>
        <w:t>w</w:t>
      </w:r>
      <w:r w:rsidR="00AD47F7" w:rsidRPr="005B751C">
        <w:rPr>
          <w:rFonts w:asciiTheme="minorHAnsi" w:hAnsiTheme="minorHAnsi"/>
          <w:sz w:val="22"/>
          <w:szCs w:val="22"/>
        </w:rPr>
        <w:t xml:space="preserve">ith </w:t>
      </w:r>
      <w:r w:rsidRPr="005B751C">
        <w:rPr>
          <w:rFonts w:asciiTheme="minorHAnsi" w:hAnsiTheme="minorHAnsi"/>
          <w:sz w:val="22"/>
          <w:szCs w:val="22"/>
        </w:rPr>
        <w:t>the World (2014-2017)” and fits into UNDP‘s core Water Governance Programme, and adheres to the UNDP role as identified in the UNDAF Country Programme and Countries Programme Action Plans (CPAP).  It also aims at implementing the GEF International Waters Focal Area Objective IW-3, Outcome 3.</w:t>
      </w:r>
      <w:r w:rsidR="004E20E4">
        <w:rPr>
          <w:rFonts w:asciiTheme="minorHAnsi" w:hAnsiTheme="minorHAnsi"/>
          <w:sz w:val="22"/>
          <w:szCs w:val="22"/>
        </w:rPr>
        <w:t>, and several SDGs.</w:t>
      </w:r>
    </w:p>
    <w:p w14:paraId="03F12811" w14:textId="3A1D0D54" w:rsidR="004E20E4" w:rsidRDefault="004E20E4" w:rsidP="004E20E4">
      <w:pPr>
        <w:pStyle w:val="NormalWeb"/>
        <w:jc w:val="both"/>
        <w:rPr>
          <w:rFonts w:asciiTheme="minorHAnsi" w:hAnsiTheme="minorHAnsi"/>
          <w:sz w:val="22"/>
          <w:szCs w:val="22"/>
        </w:rPr>
      </w:pPr>
      <w:r>
        <w:rPr>
          <w:rFonts w:asciiTheme="minorHAnsi" w:hAnsiTheme="minorHAnsi"/>
          <w:b/>
          <w:bCs/>
          <w:sz w:val="22"/>
          <w:szCs w:val="22"/>
        </w:rPr>
        <w:t xml:space="preserve">Effectiveness: </w:t>
      </w:r>
      <w:r w:rsidR="007F59DF">
        <w:rPr>
          <w:rFonts w:asciiTheme="minorHAnsi" w:hAnsiTheme="minorHAnsi"/>
          <w:sz w:val="22"/>
          <w:szCs w:val="22"/>
        </w:rPr>
        <w:t xml:space="preserve"> </w:t>
      </w:r>
      <w:r>
        <w:rPr>
          <w:rFonts w:asciiTheme="minorHAnsi" w:hAnsiTheme="minorHAnsi"/>
          <w:sz w:val="22"/>
          <w:szCs w:val="22"/>
        </w:rPr>
        <w:t>The project has achieved its overall objective as well as its outcomes. The TE finds that these outcomes have been commensurate with the participating countries’ priorities. One particular achievement was the effectiveness of stakeholders’ engagement, through Drin Core Group, EWGs and Stakeholders annual meetings, which was the crucial element that brought agreement on the SAP. Equally so, the project was very effective in raising the capacity as well as the awareness on critical water resources problems in the region, that has contributed to the wide acceptance of project outcomes and outputs among all stakeholder groups.</w:t>
      </w:r>
      <w:r w:rsidR="000B4FC9" w:rsidRPr="000B4FC9">
        <w:rPr>
          <w:rFonts w:asciiTheme="minorHAnsi" w:hAnsiTheme="minorHAnsi"/>
          <w:sz w:val="22"/>
          <w:szCs w:val="22"/>
        </w:rPr>
        <w:t xml:space="preserve"> </w:t>
      </w:r>
      <w:r w:rsidR="000B4FC9">
        <w:rPr>
          <w:rFonts w:asciiTheme="minorHAnsi" w:hAnsiTheme="minorHAnsi"/>
          <w:sz w:val="22"/>
          <w:szCs w:val="22"/>
        </w:rPr>
        <w:t>The Drin Project has delivered a number of additional results that have not been originally envisaged by the ProDoc. These outputs were requested by the countries participating in the project and have contributed to strengthening the strategic component of the project. This has greatly raised the effectiveness level of the project.</w:t>
      </w:r>
    </w:p>
    <w:p w14:paraId="38137102" w14:textId="77777777" w:rsidR="005F3D88" w:rsidRDefault="005F3D88" w:rsidP="004E20E4">
      <w:pPr>
        <w:pStyle w:val="NormalWeb"/>
        <w:jc w:val="both"/>
        <w:rPr>
          <w:rFonts w:asciiTheme="minorHAnsi" w:hAnsiTheme="minorHAnsi"/>
          <w:sz w:val="22"/>
          <w:szCs w:val="22"/>
        </w:rPr>
      </w:pPr>
      <w:r>
        <w:rPr>
          <w:rFonts w:asciiTheme="minorHAnsi" w:hAnsiTheme="minorHAnsi"/>
          <w:b/>
          <w:bCs/>
          <w:sz w:val="22"/>
          <w:szCs w:val="22"/>
        </w:rPr>
        <w:t xml:space="preserve">Efficiency: </w:t>
      </w:r>
      <w:r>
        <w:rPr>
          <w:rFonts w:asciiTheme="minorHAnsi" w:hAnsiTheme="minorHAnsi"/>
          <w:sz w:val="22"/>
          <w:szCs w:val="22"/>
        </w:rPr>
        <w:t>The project has confronted two major obstacles: initial delays in the start of the project caused by delayed confirmation by some countries and several snap elections that caused, and by the COVID-19 crisis. The project implementation team managed to adapt quickly to these changing circumstances, and the impacts of these disturbances were not felt as one might have expected.</w:t>
      </w:r>
    </w:p>
    <w:p w14:paraId="690D7AD3" w14:textId="4EB9D28E" w:rsidR="004E20E4" w:rsidRPr="005F3D88" w:rsidRDefault="005F3D88" w:rsidP="004E20E4">
      <w:pPr>
        <w:pStyle w:val="NormalWeb"/>
        <w:jc w:val="both"/>
        <w:rPr>
          <w:rFonts w:asciiTheme="minorHAnsi" w:hAnsiTheme="minorHAnsi"/>
          <w:sz w:val="22"/>
          <w:szCs w:val="22"/>
        </w:rPr>
      </w:pPr>
      <w:r>
        <w:rPr>
          <w:rFonts w:asciiTheme="minorHAnsi" w:hAnsiTheme="minorHAnsi"/>
          <w:b/>
          <w:bCs/>
          <w:sz w:val="22"/>
          <w:szCs w:val="22"/>
        </w:rPr>
        <w:t xml:space="preserve">Sustainability: </w:t>
      </w:r>
      <w:r>
        <w:rPr>
          <w:rFonts w:asciiTheme="minorHAnsi" w:hAnsiTheme="minorHAnsi"/>
          <w:sz w:val="22"/>
          <w:szCs w:val="22"/>
        </w:rPr>
        <w:t xml:space="preserve">Institutional capacity has been strengthened at national </w:t>
      </w:r>
      <w:r w:rsidR="000B4FC9">
        <w:rPr>
          <w:rFonts w:asciiTheme="minorHAnsi" w:hAnsiTheme="minorHAnsi"/>
          <w:sz w:val="22"/>
          <w:szCs w:val="22"/>
        </w:rPr>
        <w:t xml:space="preserve">and transboundary </w:t>
      </w:r>
      <w:r>
        <w:rPr>
          <w:rFonts w:asciiTheme="minorHAnsi" w:hAnsiTheme="minorHAnsi"/>
          <w:sz w:val="22"/>
          <w:szCs w:val="22"/>
        </w:rPr>
        <w:t>level</w:t>
      </w:r>
      <w:r w:rsidR="000B4FC9">
        <w:rPr>
          <w:rFonts w:asciiTheme="minorHAnsi" w:hAnsiTheme="minorHAnsi"/>
          <w:sz w:val="22"/>
          <w:szCs w:val="22"/>
        </w:rPr>
        <w:t>s</w:t>
      </w:r>
      <w:r>
        <w:rPr>
          <w:rFonts w:asciiTheme="minorHAnsi" w:hAnsiTheme="minorHAnsi"/>
          <w:sz w:val="22"/>
          <w:szCs w:val="22"/>
        </w:rPr>
        <w:t xml:space="preserve">, and management and knowledge tools have been provided that will enable countries to sustainably manage Drin River Basin on a long-term basis.  The project has extended its reach to integrate a score of cross-cutting issues, such as climate change and mitigation and adaptation, flood risk management, demonstration activities etc. The project has achieved full support of the participating countries largely due to a successfully implemented Stakeholders’ Engagement and Gender Mainstreaming </w:t>
      </w:r>
      <w:r>
        <w:rPr>
          <w:rFonts w:asciiTheme="minorHAnsi" w:hAnsiTheme="minorHAnsi"/>
          <w:sz w:val="22"/>
          <w:szCs w:val="22"/>
        </w:rPr>
        <w:lastRenderedPageBreak/>
        <w:t>Strategies. All countries also agree on the objective of creating the Drin River Commission in the future.</w:t>
      </w:r>
      <w:r w:rsidR="000B4FC9">
        <w:rPr>
          <w:rFonts w:asciiTheme="minorHAnsi" w:hAnsiTheme="minorHAnsi"/>
          <w:sz w:val="22"/>
          <w:szCs w:val="22"/>
        </w:rPr>
        <w:t xml:space="preserve"> The project has also secured additional financing for some critical activities that will extend its reach in the transitional period before new initiatives (some of them already planned and approved) will start to operate in the Drin Basin region.</w:t>
      </w:r>
    </w:p>
    <w:p w14:paraId="48F4F432" w14:textId="78490345" w:rsidR="005F3D88" w:rsidRDefault="00A317E5">
      <w:pPr>
        <w:pStyle w:val="Heading2"/>
      </w:pPr>
      <w:bookmarkStart w:id="59" w:name="_Toc81335881"/>
      <w:r>
        <w:t>4.2.</w:t>
      </w:r>
      <w:r>
        <w:tab/>
        <w:t>Conclusions</w:t>
      </w:r>
      <w:bookmarkEnd w:id="59"/>
      <w:r>
        <w:t xml:space="preserve"> </w:t>
      </w:r>
    </w:p>
    <w:p w14:paraId="6654DD5E" w14:textId="4C670170" w:rsidR="00045528" w:rsidRDefault="00045528" w:rsidP="00045528">
      <w:pPr>
        <w:pStyle w:val="NormalWeb"/>
        <w:jc w:val="both"/>
        <w:rPr>
          <w:rFonts w:asciiTheme="minorHAnsi" w:hAnsiTheme="minorHAnsi"/>
          <w:sz w:val="22"/>
          <w:szCs w:val="22"/>
        </w:rPr>
      </w:pPr>
      <w:r>
        <w:rPr>
          <w:rFonts w:asciiTheme="minorHAnsi" w:eastAsia="MS Gothic" w:hAnsiTheme="minorHAnsi" w:cs="MS Gothic"/>
          <w:color w:val="000000" w:themeColor="text1"/>
          <w:sz w:val="22"/>
          <w:szCs w:val="22"/>
        </w:rPr>
        <w:t xml:space="preserve">The Drin Project has fully met its objective to promote and improve joint management </w:t>
      </w:r>
      <w:r>
        <w:rPr>
          <w:rFonts w:asciiTheme="minorHAnsi" w:hAnsiTheme="minorHAnsi"/>
          <w:sz w:val="22"/>
          <w:szCs w:val="22"/>
        </w:rPr>
        <w:t xml:space="preserve">of the shared water resources of the extended transboundary Drin River Basin. In doing so, the project has achieved all expected results. The project implementing agency and the project implementation team have managed to actively engage wide array of government, CSO and local stakeholder administrative departments, organisations and individuals. </w:t>
      </w:r>
    </w:p>
    <w:p w14:paraId="26AEFDF4" w14:textId="0A67C9F4" w:rsidR="003F0E5A" w:rsidRDefault="003F0E5A" w:rsidP="00045528">
      <w:pPr>
        <w:pStyle w:val="NormalWeb"/>
        <w:jc w:val="both"/>
        <w:rPr>
          <w:rFonts w:asciiTheme="minorHAnsi" w:hAnsiTheme="minorHAnsi"/>
          <w:sz w:val="22"/>
          <w:szCs w:val="22"/>
        </w:rPr>
      </w:pPr>
      <w:r>
        <w:rPr>
          <w:rFonts w:asciiTheme="minorHAnsi" w:hAnsiTheme="minorHAnsi"/>
          <w:sz w:val="22"/>
          <w:szCs w:val="22"/>
        </w:rPr>
        <w:t xml:space="preserve">Several factors contributed to the successful completion of the project. The ProDoc has clearly stated objectives followed by a rational design of project’s components, outcomes and outputs. The SRF was clear and indicators were SMART, which allowed easy monitoring and reporting on the project’s results. The design simplicity was the main reason why the MTR only marginally changed outcomes’ indicators, which has made the project’s structure even more streamlined. Furthermore, the project implementation team was very committed and spared no time to engage in frequent and fruitful consultation with a variety of project partners. The GWP Med’s long-standing experience in dealing with stakeholders’ participation and gender mainstreaming made this aspect the backbone of the project contributing thus to its overall success. </w:t>
      </w:r>
    </w:p>
    <w:p w14:paraId="01EC7DFC" w14:textId="44D33CF1" w:rsidR="003F0E5A" w:rsidRDefault="003F0E5A" w:rsidP="00045528">
      <w:pPr>
        <w:pStyle w:val="NormalWeb"/>
        <w:jc w:val="both"/>
        <w:rPr>
          <w:rFonts w:asciiTheme="minorHAnsi" w:hAnsiTheme="minorHAnsi"/>
          <w:sz w:val="22"/>
          <w:szCs w:val="22"/>
        </w:rPr>
      </w:pPr>
      <w:r>
        <w:rPr>
          <w:rFonts w:asciiTheme="minorHAnsi" w:hAnsiTheme="minorHAnsi"/>
          <w:sz w:val="22"/>
          <w:szCs w:val="22"/>
        </w:rPr>
        <w:t xml:space="preserve">Another important achievement factor was the high relevance of the subject of integrated river basin management for the Drin River Basin countries, not only regarding their national priorities but also their aspirations to join EU in the future which </w:t>
      </w:r>
      <w:r w:rsidR="00AD47F7">
        <w:rPr>
          <w:rFonts w:asciiTheme="minorHAnsi" w:hAnsiTheme="minorHAnsi"/>
          <w:sz w:val="22"/>
          <w:szCs w:val="22"/>
        </w:rPr>
        <w:t>referred</w:t>
      </w:r>
      <w:r>
        <w:rPr>
          <w:rFonts w:asciiTheme="minorHAnsi" w:hAnsiTheme="minorHAnsi"/>
          <w:sz w:val="22"/>
          <w:szCs w:val="22"/>
        </w:rPr>
        <w:t xml:space="preserve"> to the EU WFD </w:t>
      </w:r>
      <w:r w:rsidR="000B4FC9">
        <w:rPr>
          <w:rFonts w:asciiTheme="minorHAnsi" w:hAnsiTheme="minorHAnsi"/>
          <w:sz w:val="22"/>
          <w:szCs w:val="22"/>
        </w:rPr>
        <w:t xml:space="preserve">as </w:t>
      </w:r>
      <w:r>
        <w:rPr>
          <w:rFonts w:asciiTheme="minorHAnsi" w:hAnsiTheme="minorHAnsi"/>
          <w:sz w:val="22"/>
          <w:szCs w:val="22"/>
        </w:rPr>
        <w:t xml:space="preserve">one of the pivotal components of the project. It also enhanced countries’ ownership of the project. These are the basic ingredients for the long-term sustainability of the project’s outcomes, including the implementation of SAP, which was unequivocally endorsed by all the countries. </w:t>
      </w:r>
      <w:r w:rsidR="00B46C08">
        <w:rPr>
          <w:rFonts w:asciiTheme="minorHAnsi" w:hAnsiTheme="minorHAnsi"/>
          <w:sz w:val="22"/>
          <w:szCs w:val="22"/>
        </w:rPr>
        <w:t xml:space="preserve">An explicit </w:t>
      </w:r>
      <w:r>
        <w:rPr>
          <w:rFonts w:asciiTheme="minorHAnsi" w:hAnsiTheme="minorHAnsi"/>
          <w:sz w:val="22"/>
          <w:szCs w:val="22"/>
        </w:rPr>
        <w:t>exit strategy of the project</w:t>
      </w:r>
      <w:r w:rsidR="00B46C08">
        <w:rPr>
          <w:rFonts w:asciiTheme="minorHAnsi" w:hAnsiTheme="minorHAnsi"/>
          <w:sz w:val="22"/>
          <w:szCs w:val="22"/>
        </w:rPr>
        <w:t>, whose aim would be to show how the long-term sustainability of the project results will be secured, was not developed. However, the sustainability of the project results has been secured by a number of outputs, envisaged by the ProDoc or produced in addition to it, which have particularly enhanced the catalytic/replication impact of the project. Above all, it is</w:t>
      </w:r>
      <w:r>
        <w:rPr>
          <w:rFonts w:asciiTheme="minorHAnsi" w:hAnsiTheme="minorHAnsi"/>
          <w:sz w:val="22"/>
          <w:szCs w:val="22"/>
        </w:rPr>
        <w:t xml:space="preserve"> the existence of </w:t>
      </w:r>
      <w:r w:rsidR="00B46C08">
        <w:rPr>
          <w:rFonts w:asciiTheme="minorHAnsi" w:hAnsiTheme="minorHAnsi"/>
          <w:sz w:val="22"/>
          <w:szCs w:val="22"/>
        </w:rPr>
        <w:t xml:space="preserve">a strongly endorsed </w:t>
      </w:r>
      <w:r>
        <w:rPr>
          <w:rFonts w:asciiTheme="minorHAnsi" w:hAnsiTheme="minorHAnsi"/>
          <w:sz w:val="22"/>
          <w:szCs w:val="22"/>
        </w:rPr>
        <w:t xml:space="preserve">SAP </w:t>
      </w:r>
      <w:r w:rsidR="00B46C08">
        <w:rPr>
          <w:rFonts w:asciiTheme="minorHAnsi" w:hAnsiTheme="minorHAnsi"/>
          <w:sz w:val="22"/>
          <w:szCs w:val="22"/>
        </w:rPr>
        <w:t xml:space="preserve">which </w:t>
      </w:r>
      <w:r w:rsidR="00202E41">
        <w:rPr>
          <w:rFonts w:asciiTheme="minorHAnsi" w:hAnsiTheme="minorHAnsi"/>
          <w:sz w:val="22"/>
          <w:szCs w:val="22"/>
        </w:rPr>
        <w:t xml:space="preserve">is </w:t>
      </w:r>
      <w:r w:rsidR="00B46C08">
        <w:rPr>
          <w:rFonts w:asciiTheme="minorHAnsi" w:hAnsiTheme="minorHAnsi"/>
          <w:sz w:val="22"/>
          <w:szCs w:val="22"/>
        </w:rPr>
        <w:t>the</w:t>
      </w:r>
      <w:r w:rsidR="00202E41">
        <w:rPr>
          <w:rFonts w:asciiTheme="minorHAnsi" w:hAnsiTheme="minorHAnsi"/>
          <w:sz w:val="22"/>
          <w:szCs w:val="22"/>
        </w:rPr>
        <w:t xml:space="preserve"> guarantee that </w:t>
      </w:r>
      <w:r w:rsidR="00B46C08">
        <w:rPr>
          <w:rFonts w:asciiTheme="minorHAnsi" w:hAnsiTheme="minorHAnsi"/>
          <w:sz w:val="22"/>
          <w:szCs w:val="22"/>
        </w:rPr>
        <w:t>the Drin River Basin will be better managed in the future</w:t>
      </w:r>
      <w:r w:rsidR="00202E41">
        <w:rPr>
          <w:rFonts w:asciiTheme="minorHAnsi" w:hAnsiTheme="minorHAnsi"/>
          <w:sz w:val="22"/>
          <w:szCs w:val="22"/>
        </w:rPr>
        <w:t>. Finally, the support for the continuation of the activities initiated by the project was expressed by the high-level representatives from the riparian countries at the 8</w:t>
      </w:r>
      <w:r w:rsidR="00202E41" w:rsidRPr="00202E41">
        <w:rPr>
          <w:rFonts w:asciiTheme="minorHAnsi" w:hAnsiTheme="minorHAnsi"/>
          <w:sz w:val="22"/>
          <w:szCs w:val="22"/>
          <w:vertAlign w:val="superscript"/>
        </w:rPr>
        <w:t>th</w:t>
      </w:r>
      <w:r w:rsidR="00202E41">
        <w:rPr>
          <w:rFonts w:asciiTheme="minorHAnsi" w:hAnsiTheme="minorHAnsi"/>
          <w:sz w:val="22"/>
          <w:szCs w:val="22"/>
        </w:rPr>
        <w:t xml:space="preserve"> Drin Stakeholders Conference held on July 9</w:t>
      </w:r>
      <w:r w:rsidR="00202E41" w:rsidRPr="00202E41">
        <w:rPr>
          <w:rFonts w:asciiTheme="minorHAnsi" w:hAnsiTheme="minorHAnsi"/>
          <w:sz w:val="22"/>
          <w:szCs w:val="22"/>
          <w:vertAlign w:val="superscript"/>
        </w:rPr>
        <w:t>th</w:t>
      </w:r>
      <w:r w:rsidR="00202E41">
        <w:rPr>
          <w:rFonts w:asciiTheme="minorHAnsi" w:hAnsiTheme="minorHAnsi"/>
          <w:sz w:val="22"/>
          <w:szCs w:val="22"/>
        </w:rPr>
        <w:t xml:space="preserve"> 2021.  </w:t>
      </w:r>
      <w:r>
        <w:rPr>
          <w:rFonts w:asciiTheme="minorHAnsi" w:hAnsiTheme="minorHAnsi"/>
          <w:sz w:val="22"/>
          <w:szCs w:val="22"/>
        </w:rPr>
        <w:t xml:space="preserve">  </w:t>
      </w:r>
    </w:p>
    <w:p w14:paraId="0796A7F2" w14:textId="6BC5C770" w:rsidR="00202E41" w:rsidRDefault="00202E41" w:rsidP="00045528">
      <w:pPr>
        <w:pStyle w:val="NormalWeb"/>
        <w:jc w:val="both"/>
        <w:rPr>
          <w:rFonts w:asciiTheme="minorHAnsi" w:hAnsiTheme="minorHAnsi"/>
          <w:sz w:val="22"/>
          <w:szCs w:val="22"/>
        </w:rPr>
      </w:pPr>
      <w:r>
        <w:rPr>
          <w:rFonts w:asciiTheme="minorHAnsi" w:hAnsiTheme="minorHAnsi"/>
          <w:sz w:val="22"/>
          <w:szCs w:val="22"/>
        </w:rPr>
        <w:t xml:space="preserve">Finally, the project has excelled in adaptive management, monitoring and reporting of progress. This is due to the quality and commitment of the project implementation team, in particular after the COVID-19 crisis started to affect the project’s activities. The team has quickly reassembled and continued with the online meetings and consultation at the pace that existed before the crisis. </w:t>
      </w:r>
    </w:p>
    <w:p w14:paraId="052C7D64" w14:textId="598C0A64" w:rsidR="000F31AD" w:rsidRDefault="00B46C08">
      <w:pPr>
        <w:pStyle w:val="Heading2"/>
      </w:pPr>
      <w:bookmarkStart w:id="60" w:name="_Toc81335882"/>
      <w:r>
        <w:t>4.</w:t>
      </w:r>
      <w:r w:rsidR="00133F02">
        <w:t>3</w:t>
      </w:r>
      <w:r>
        <w:tab/>
      </w:r>
      <w:r w:rsidR="002936C7">
        <w:t>R</w:t>
      </w:r>
      <w:r w:rsidR="00A317E5">
        <w:t xml:space="preserve">ecommendations </w:t>
      </w:r>
      <w:r w:rsidR="00A317E5">
        <w:rPr>
          <w:rFonts w:ascii="MS Gothic" w:eastAsia="MS Gothic" w:hAnsi="MS Gothic" w:cs="MS Gothic"/>
        </w:rPr>
        <w:t> </w:t>
      </w:r>
      <w:bookmarkEnd w:id="60"/>
    </w:p>
    <w:p w14:paraId="7388328A" w14:textId="77777777" w:rsidR="00202E41" w:rsidRDefault="00202E41">
      <w:pPr>
        <w:pStyle w:val="Heading2"/>
      </w:pPr>
    </w:p>
    <w:p w14:paraId="04C446DC" w14:textId="6BEEC9B8" w:rsidR="00202E41" w:rsidRDefault="00202E41" w:rsidP="00202E41">
      <w:pPr>
        <w:jc w:val="both"/>
        <w:rPr>
          <w:rFonts w:asciiTheme="minorHAnsi" w:hAnsiTheme="minorHAnsi"/>
          <w:sz w:val="22"/>
          <w:szCs w:val="22"/>
        </w:rPr>
      </w:pPr>
      <w:r w:rsidRPr="00202E41">
        <w:rPr>
          <w:rFonts w:asciiTheme="minorHAnsi" w:hAnsiTheme="minorHAnsi"/>
          <w:sz w:val="22"/>
          <w:szCs w:val="22"/>
        </w:rPr>
        <w:t xml:space="preserve">Since the Drin Project is practically being closed at the time of the TE, the following recommendations will refer to the future programming of </w:t>
      </w:r>
      <w:r w:rsidR="00BB67EC">
        <w:rPr>
          <w:rFonts w:asciiTheme="minorHAnsi" w:hAnsiTheme="minorHAnsi"/>
          <w:sz w:val="22"/>
          <w:szCs w:val="22"/>
        </w:rPr>
        <w:t xml:space="preserve">regional initiatives but also </w:t>
      </w:r>
      <w:r w:rsidRPr="00202E41">
        <w:rPr>
          <w:rFonts w:asciiTheme="minorHAnsi" w:hAnsiTheme="minorHAnsi"/>
          <w:sz w:val="22"/>
          <w:szCs w:val="22"/>
        </w:rPr>
        <w:t>similar initiatives</w:t>
      </w:r>
      <w:r w:rsidR="00BB67EC">
        <w:rPr>
          <w:rFonts w:asciiTheme="minorHAnsi" w:hAnsiTheme="minorHAnsi"/>
          <w:sz w:val="22"/>
          <w:szCs w:val="22"/>
        </w:rPr>
        <w:t xml:space="preserve"> in other regions</w:t>
      </w:r>
      <w:r w:rsidRPr="00202E41">
        <w:rPr>
          <w:rFonts w:asciiTheme="minorHAnsi" w:hAnsiTheme="minorHAnsi"/>
          <w:sz w:val="22"/>
          <w:szCs w:val="22"/>
        </w:rPr>
        <w:t>.</w:t>
      </w:r>
    </w:p>
    <w:p w14:paraId="42BD98B8" w14:textId="4FA89BF4" w:rsidR="002936C7" w:rsidRDefault="002936C7" w:rsidP="00202E41">
      <w:pPr>
        <w:jc w:val="both"/>
        <w:rPr>
          <w:rFonts w:asciiTheme="minorHAnsi" w:hAnsiTheme="minorHAnsi"/>
          <w:sz w:val="22"/>
          <w:szCs w:val="22"/>
        </w:rPr>
      </w:pPr>
    </w:p>
    <w:p w14:paraId="1273D176" w14:textId="288EA4E0" w:rsidR="009D3520" w:rsidRPr="00894841" w:rsidRDefault="009D3520" w:rsidP="00202E41">
      <w:pPr>
        <w:jc w:val="both"/>
        <w:rPr>
          <w:rFonts w:asciiTheme="minorHAnsi" w:hAnsiTheme="minorHAnsi"/>
          <w:i/>
          <w:sz w:val="22"/>
          <w:szCs w:val="22"/>
        </w:rPr>
      </w:pPr>
      <w:r>
        <w:rPr>
          <w:rFonts w:asciiTheme="minorHAnsi" w:hAnsiTheme="minorHAnsi"/>
          <w:i/>
          <w:sz w:val="22"/>
          <w:szCs w:val="22"/>
        </w:rPr>
        <w:t>Recommendations for the Drin Project</w:t>
      </w:r>
    </w:p>
    <w:p w14:paraId="61B9F316" w14:textId="77777777" w:rsidR="009D3520" w:rsidRPr="00202E41" w:rsidRDefault="009D3520" w:rsidP="00202E41">
      <w:pPr>
        <w:jc w:val="both"/>
        <w:rPr>
          <w:rFonts w:asciiTheme="minorHAnsi" w:hAnsiTheme="minorHAnsi"/>
          <w:sz w:val="22"/>
          <w:szCs w:val="22"/>
        </w:rPr>
      </w:pPr>
    </w:p>
    <w:p w14:paraId="08334788" w14:textId="41765CE5" w:rsidR="00190BC7" w:rsidRDefault="00190BC7" w:rsidP="00190BC7">
      <w:pPr>
        <w:pStyle w:val="NormalWeb"/>
        <w:shd w:val="clear" w:color="auto" w:fill="FFFFFF"/>
        <w:spacing w:before="0" w:beforeAutospacing="0" w:after="0" w:afterAutospacing="0"/>
        <w:jc w:val="both"/>
        <w:rPr>
          <w:rFonts w:asciiTheme="minorHAnsi" w:hAnsiTheme="minorHAnsi"/>
          <w:sz w:val="22"/>
          <w:szCs w:val="22"/>
        </w:rPr>
      </w:pPr>
      <w:r w:rsidRPr="00894841">
        <w:rPr>
          <w:rFonts w:asciiTheme="minorHAnsi" w:hAnsiTheme="minorHAnsi"/>
          <w:b/>
          <w:sz w:val="22"/>
          <w:szCs w:val="22"/>
        </w:rPr>
        <w:lastRenderedPageBreak/>
        <w:t>Recommendation 1</w:t>
      </w:r>
      <w:r>
        <w:rPr>
          <w:rFonts w:asciiTheme="minorHAnsi" w:hAnsiTheme="minorHAnsi"/>
          <w:sz w:val="22"/>
          <w:szCs w:val="22"/>
        </w:rPr>
        <w:t xml:space="preserve">: </w:t>
      </w:r>
      <w:r w:rsidR="009D3520">
        <w:rPr>
          <w:rFonts w:asciiTheme="minorHAnsi" w:hAnsiTheme="minorHAnsi"/>
          <w:sz w:val="22"/>
          <w:szCs w:val="22"/>
        </w:rPr>
        <w:t>Efforts should be continued to establish, wherever possible,  the Inter-Ministerial Committees (IMC). This should include a proper mandate, composition and legal background. This will increase their decision-making power and contribute to better transboundary management from the national perspective. The project should assist in establishment of the IMCs.</w:t>
      </w:r>
    </w:p>
    <w:p w14:paraId="74D68FD6" w14:textId="779056EB" w:rsidR="009D3520" w:rsidRDefault="009D3520" w:rsidP="00190BC7">
      <w:pPr>
        <w:pStyle w:val="NormalWeb"/>
        <w:shd w:val="clear" w:color="auto" w:fill="FFFFFF"/>
        <w:spacing w:before="0" w:beforeAutospacing="0" w:after="0" w:afterAutospacing="0"/>
        <w:jc w:val="both"/>
        <w:rPr>
          <w:rFonts w:asciiTheme="minorHAnsi" w:hAnsiTheme="minorHAnsi"/>
          <w:sz w:val="22"/>
          <w:szCs w:val="22"/>
        </w:rPr>
      </w:pPr>
    </w:p>
    <w:p w14:paraId="77637545" w14:textId="1BF8A179" w:rsidR="009D3520" w:rsidRPr="00894841" w:rsidRDefault="009D3520" w:rsidP="00894841">
      <w:pPr>
        <w:pStyle w:val="NormalWeb"/>
        <w:shd w:val="clear" w:color="auto" w:fill="FFFFFF"/>
        <w:spacing w:before="0" w:beforeAutospacing="0" w:after="0" w:afterAutospacing="0"/>
        <w:jc w:val="both"/>
        <w:rPr>
          <w:rFonts w:asciiTheme="minorHAnsi" w:hAnsiTheme="minorHAnsi"/>
          <w:i/>
          <w:sz w:val="22"/>
          <w:szCs w:val="22"/>
        </w:rPr>
      </w:pPr>
      <w:r>
        <w:rPr>
          <w:rFonts w:asciiTheme="minorHAnsi" w:hAnsiTheme="minorHAnsi"/>
          <w:i/>
          <w:sz w:val="22"/>
          <w:szCs w:val="22"/>
        </w:rPr>
        <w:t>Recommendations for future programming</w:t>
      </w:r>
    </w:p>
    <w:p w14:paraId="0B7C760B" w14:textId="77777777" w:rsidR="00190BC7" w:rsidRDefault="00190BC7" w:rsidP="00894841">
      <w:pPr>
        <w:pStyle w:val="NormalWeb"/>
        <w:shd w:val="clear" w:color="auto" w:fill="FFFFFF"/>
        <w:spacing w:before="0" w:beforeAutospacing="0" w:after="0" w:afterAutospacing="0"/>
        <w:jc w:val="both"/>
        <w:rPr>
          <w:rFonts w:asciiTheme="minorHAnsi" w:hAnsiTheme="minorHAnsi"/>
          <w:sz w:val="22"/>
          <w:szCs w:val="22"/>
        </w:rPr>
      </w:pPr>
    </w:p>
    <w:p w14:paraId="780FAA48" w14:textId="58830E67" w:rsidR="002936C7" w:rsidRDefault="00190BC7" w:rsidP="00894841">
      <w:pPr>
        <w:pStyle w:val="NormalWeb"/>
        <w:shd w:val="clear" w:color="auto" w:fill="FFFFFF"/>
        <w:spacing w:before="0" w:beforeAutospacing="0" w:after="0" w:afterAutospacing="0"/>
        <w:jc w:val="both"/>
        <w:rPr>
          <w:rFonts w:asciiTheme="minorHAnsi" w:hAnsiTheme="minorHAnsi"/>
          <w:sz w:val="22"/>
          <w:szCs w:val="22"/>
        </w:rPr>
      </w:pPr>
      <w:r w:rsidRPr="00894841">
        <w:rPr>
          <w:rFonts w:asciiTheme="minorHAnsi" w:hAnsiTheme="minorHAnsi"/>
          <w:b/>
          <w:sz w:val="22"/>
          <w:szCs w:val="22"/>
        </w:rPr>
        <w:t>Recommendation 2:</w:t>
      </w:r>
      <w:r>
        <w:rPr>
          <w:rFonts w:asciiTheme="minorHAnsi" w:hAnsiTheme="minorHAnsi"/>
          <w:sz w:val="22"/>
          <w:szCs w:val="22"/>
        </w:rPr>
        <w:t xml:space="preserve"> </w:t>
      </w:r>
      <w:r w:rsidR="002936C7" w:rsidRPr="002936C7">
        <w:rPr>
          <w:rFonts w:asciiTheme="minorHAnsi" w:hAnsiTheme="minorHAnsi"/>
          <w:sz w:val="22"/>
          <w:szCs w:val="22"/>
        </w:rPr>
        <w:t xml:space="preserve">Design of future </w:t>
      </w:r>
      <w:r w:rsidR="002936C7">
        <w:rPr>
          <w:rFonts w:asciiTheme="minorHAnsi" w:hAnsiTheme="minorHAnsi"/>
          <w:sz w:val="22"/>
          <w:szCs w:val="22"/>
        </w:rPr>
        <w:t xml:space="preserve">regional </w:t>
      </w:r>
      <w:r w:rsidR="002936C7" w:rsidRPr="002936C7">
        <w:rPr>
          <w:rFonts w:asciiTheme="minorHAnsi" w:hAnsiTheme="minorHAnsi"/>
          <w:sz w:val="22"/>
          <w:szCs w:val="22"/>
        </w:rPr>
        <w:t>projects should be</w:t>
      </w:r>
      <w:r w:rsidR="002936C7">
        <w:rPr>
          <w:rFonts w:asciiTheme="minorHAnsi" w:hAnsiTheme="minorHAnsi"/>
          <w:sz w:val="22"/>
          <w:szCs w:val="22"/>
        </w:rPr>
        <w:t>tter</w:t>
      </w:r>
      <w:r w:rsidR="002936C7" w:rsidRPr="002936C7">
        <w:rPr>
          <w:rFonts w:asciiTheme="minorHAnsi" w:hAnsiTheme="minorHAnsi"/>
          <w:sz w:val="22"/>
          <w:szCs w:val="22"/>
        </w:rPr>
        <w:t xml:space="preserve"> </w:t>
      </w:r>
      <w:r w:rsidR="002936C7">
        <w:rPr>
          <w:rFonts w:asciiTheme="minorHAnsi" w:hAnsiTheme="minorHAnsi"/>
          <w:sz w:val="22"/>
          <w:szCs w:val="22"/>
        </w:rPr>
        <w:t>analyse the situation in countries to identify risks and eventual obstacles to transboundary management process at a regional scale. This should be more realistically reflected in the project documents.</w:t>
      </w:r>
    </w:p>
    <w:p w14:paraId="6BC6950B" w14:textId="77777777" w:rsidR="002936C7" w:rsidRPr="002936C7" w:rsidRDefault="002936C7" w:rsidP="00190BC7">
      <w:pPr>
        <w:pStyle w:val="NormalWeb"/>
        <w:shd w:val="clear" w:color="auto" w:fill="FFFFFF"/>
        <w:spacing w:before="0" w:beforeAutospacing="0" w:after="0" w:afterAutospacing="0"/>
        <w:jc w:val="both"/>
        <w:rPr>
          <w:rFonts w:asciiTheme="minorHAnsi" w:hAnsiTheme="minorHAnsi"/>
          <w:sz w:val="22"/>
          <w:szCs w:val="22"/>
        </w:rPr>
      </w:pPr>
    </w:p>
    <w:p w14:paraId="132412D7" w14:textId="7ABDD066" w:rsidR="002936C7" w:rsidRPr="002936C7" w:rsidRDefault="00190BC7" w:rsidP="00894841">
      <w:pPr>
        <w:pStyle w:val="NormalWeb"/>
        <w:shd w:val="clear" w:color="auto" w:fill="FFFFFF"/>
        <w:spacing w:before="0" w:beforeAutospacing="0" w:after="0" w:afterAutospacing="0"/>
        <w:jc w:val="both"/>
      </w:pPr>
      <w:r w:rsidRPr="00894841">
        <w:rPr>
          <w:rFonts w:ascii="Calibri" w:hAnsi="Calibri"/>
          <w:b/>
          <w:sz w:val="22"/>
          <w:szCs w:val="22"/>
        </w:rPr>
        <w:t>Recommendation 3:</w:t>
      </w:r>
      <w:r>
        <w:rPr>
          <w:rFonts w:ascii="Calibri" w:hAnsi="Calibri"/>
          <w:sz w:val="22"/>
          <w:szCs w:val="22"/>
        </w:rPr>
        <w:t xml:space="preserve"> </w:t>
      </w:r>
      <w:r w:rsidR="00BB67EC">
        <w:rPr>
          <w:rFonts w:ascii="Calibri" w:hAnsi="Calibri"/>
          <w:sz w:val="22"/>
          <w:szCs w:val="22"/>
        </w:rPr>
        <w:t>Project implementation team</w:t>
      </w:r>
      <w:r w:rsidR="00CF4902">
        <w:rPr>
          <w:rFonts w:ascii="Calibri" w:hAnsi="Calibri"/>
          <w:sz w:val="22"/>
          <w:szCs w:val="22"/>
        </w:rPr>
        <w:t xml:space="preserve"> should follow-up with the partners to determine an accurate level of co-financing committed to the project. GEF should consider a standardised approach to calculating co-financing to ensure that partners are calculating their commitments on the same basis</w:t>
      </w:r>
      <w:r w:rsidR="002936C7">
        <w:rPr>
          <w:rFonts w:ascii="Calibri" w:hAnsi="Calibri"/>
          <w:sz w:val="22"/>
          <w:szCs w:val="22"/>
        </w:rPr>
        <w:t>.</w:t>
      </w:r>
    </w:p>
    <w:p w14:paraId="56FA0B04" w14:textId="77777777" w:rsidR="002936C7" w:rsidRDefault="002936C7" w:rsidP="00190BC7">
      <w:pPr>
        <w:pStyle w:val="NormalWeb"/>
        <w:shd w:val="clear" w:color="auto" w:fill="FFFFFF"/>
        <w:spacing w:before="0" w:beforeAutospacing="0" w:after="0" w:afterAutospacing="0"/>
        <w:jc w:val="both"/>
      </w:pPr>
    </w:p>
    <w:p w14:paraId="4ECC8DA3" w14:textId="62B53FA6" w:rsidR="002936C7" w:rsidRDefault="00190BC7" w:rsidP="00894841">
      <w:pPr>
        <w:pStyle w:val="NormalWeb"/>
        <w:shd w:val="clear" w:color="auto" w:fill="FFFFFF"/>
        <w:spacing w:before="0" w:beforeAutospacing="0" w:after="0" w:afterAutospacing="0"/>
        <w:jc w:val="both"/>
        <w:rPr>
          <w:rFonts w:asciiTheme="minorHAnsi" w:hAnsiTheme="minorHAnsi"/>
          <w:sz w:val="22"/>
          <w:szCs w:val="22"/>
        </w:rPr>
      </w:pPr>
      <w:r w:rsidRPr="00894841">
        <w:rPr>
          <w:rFonts w:asciiTheme="minorHAnsi" w:hAnsiTheme="minorHAnsi"/>
          <w:b/>
          <w:sz w:val="22"/>
          <w:szCs w:val="22"/>
        </w:rPr>
        <w:t>Recommendation 4:</w:t>
      </w:r>
      <w:r>
        <w:rPr>
          <w:rFonts w:asciiTheme="minorHAnsi" w:hAnsiTheme="minorHAnsi"/>
          <w:sz w:val="22"/>
          <w:szCs w:val="22"/>
        </w:rPr>
        <w:t xml:space="preserve"> </w:t>
      </w:r>
      <w:r w:rsidR="002936C7" w:rsidRPr="002936C7">
        <w:rPr>
          <w:rFonts w:asciiTheme="minorHAnsi" w:hAnsiTheme="minorHAnsi"/>
          <w:sz w:val="22"/>
          <w:szCs w:val="22"/>
        </w:rPr>
        <w:t>Project</w:t>
      </w:r>
      <w:r w:rsidR="002936C7">
        <w:rPr>
          <w:rFonts w:asciiTheme="minorHAnsi" w:hAnsiTheme="minorHAnsi"/>
          <w:sz w:val="22"/>
          <w:szCs w:val="22"/>
        </w:rPr>
        <w:t>s’ design should have clearly elaborated the exit strategy that will show what is needed to avoid lengthy intermission periods. Many transboundary management processes are dependent on the project financing before they become fully endorsed by the countries, and no project continuity may negatively affect the process.</w:t>
      </w:r>
    </w:p>
    <w:p w14:paraId="48476EBD" w14:textId="77777777" w:rsidR="005443E7" w:rsidRDefault="005443E7" w:rsidP="00190BC7">
      <w:pPr>
        <w:pStyle w:val="NormalWeb"/>
        <w:shd w:val="clear" w:color="auto" w:fill="FFFFFF"/>
        <w:spacing w:before="0" w:beforeAutospacing="0" w:after="0" w:afterAutospacing="0"/>
        <w:jc w:val="both"/>
        <w:rPr>
          <w:rFonts w:asciiTheme="minorHAnsi" w:hAnsiTheme="minorHAnsi"/>
          <w:sz w:val="22"/>
          <w:szCs w:val="22"/>
        </w:rPr>
      </w:pPr>
    </w:p>
    <w:p w14:paraId="422F54D9" w14:textId="637EA324" w:rsidR="005443E7" w:rsidRDefault="00190BC7" w:rsidP="00894841">
      <w:pPr>
        <w:pStyle w:val="NormalWeb"/>
        <w:shd w:val="clear" w:color="auto" w:fill="FFFFFF"/>
        <w:spacing w:before="0" w:beforeAutospacing="0" w:after="0" w:afterAutospacing="0"/>
        <w:jc w:val="both"/>
        <w:rPr>
          <w:rFonts w:asciiTheme="minorHAnsi" w:hAnsiTheme="minorHAnsi"/>
          <w:sz w:val="22"/>
          <w:szCs w:val="22"/>
        </w:rPr>
      </w:pPr>
      <w:r w:rsidRPr="00894841">
        <w:rPr>
          <w:rFonts w:asciiTheme="minorHAnsi" w:hAnsiTheme="minorHAnsi"/>
          <w:b/>
          <w:sz w:val="22"/>
          <w:szCs w:val="22"/>
        </w:rPr>
        <w:t>Recommendation 5:</w:t>
      </w:r>
      <w:r>
        <w:rPr>
          <w:rFonts w:asciiTheme="minorHAnsi" w:hAnsiTheme="minorHAnsi"/>
          <w:sz w:val="22"/>
          <w:szCs w:val="22"/>
        </w:rPr>
        <w:t xml:space="preserve"> </w:t>
      </w:r>
      <w:r w:rsidR="002936C7">
        <w:rPr>
          <w:rFonts w:asciiTheme="minorHAnsi" w:hAnsiTheme="minorHAnsi"/>
          <w:sz w:val="22"/>
          <w:szCs w:val="22"/>
        </w:rPr>
        <w:t xml:space="preserve">The future </w:t>
      </w:r>
      <w:r w:rsidR="005443E7">
        <w:rPr>
          <w:rFonts w:asciiTheme="minorHAnsi" w:hAnsiTheme="minorHAnsi"/>
          <w:sz w:val="22"/>
          <w:szCs w:val="22"/>
        </w:rPr>
        <w:t xml:space="preserve">regional </w:t>
      </w:r>
      <w:r w:rsidR="002936C7">
        <w:rPr>
          <w:rFonts w:asciiTheme="minorHAnsi" w:hAnsiTheme="minorHAnsi"/>
          <w:sz w:val="22"/>
          <w:szCs w:val="22"/>
        </w:rPr>
        <w:t xml:space="preserve">project designs should allocate more resources to in-country implementation in the form of pilot or demonstration projects. </w:t>
      </w:r>
      <w:r w:rsidR="005443E7">
        <w:rPr>
          <w:rFonts w:asciiTheme="minorHAnsi" w:hAnsiTheme="minorHAnsi"/>
          <w:sz w:val="22"/>
          <w:szCs w:val="22"/>
        </w:rPr>
        <w:t xml:space="preserve">Increasing the number of national projects </w:t>
      </w:r>
      <w:r w:rsidR="002936C7">
        <w:rPr>
          <w:rFonts w:asciiTheme="minorHAnsi" w:hAnsiTheme="minorHAnsi"/>
          <w:sz w:val="22"/>
          <w:szCs w:val="22"/>
        </w:rPr>
        <w:t>may</w:t>
      </w:r>
      <w:r w:rsidR="005443E7">
        <w:rPr>
          <w:rFonts w:asciiTheme="minorHAnsi" w:hAnsiTheme="minorHAnsi"/>
          <w:sz w:val="22"/>
          <w:szCs w:val="22"/>
        </w:rPr>
        <w:t xml:space="preserve"> prove helpful to incorporate emerging and/or innovative issues and/or solutions as well as national priorities for the transboundary river basin. These projects should be planned in order to maintain the equal participation of all countries.</w:t>
      </w:r>
    </w:p>
    <w:p w14:paraId="2AAC95F1" w14:textId="77777777" w:rsidR="005443E7" w:rsidRDefault="005443E7" w:rsidP="00190BC7">
      <w:pPr>
        <w:pStyle w:val="NormalWeb"/>
        <w:shd w:val="clear" w:color="auto" w:fill="FFFFFF"/>
        <w:spacing w:before="0" w:beforeAutospacing="0" w:after="0" w:afterAutospacing="0"/>
        <w:jc w:val="both"/>
        <w:rPr>
          <w:rFonts w:asciiTheme="minorHAnsi" w:hAnsiTheme="minorHAnsi"/>
          <w:sz w:val="22"/>
          <w:szCs w:val="22"/>
        </w:rPr>
      </w:pPr>
    </w:p>
    <w:p w14:paraId="09A38038" w14:textId="4D0F82D4" w:rsidR="002936C7" w:rsidRDefault="00190BC7" w:rsidP="00894841">
      <w:pPr>
        <w:pStyle w:val="NormalWeb"/>
        <w:shd w:val="clear" w:color="auto" w:fill="FFFFFF"/>
        <w:spacing w:before="0" w:beforeAutospacing="0" w:after="0" w:afterAutospacing="0"/>
        <w:jc w:val="both"/>
        <w:rPr>
          <w:rFonts w:asciiTheme="minorHAnsi" w:hAnsiTheme="minorHAnsi"/>
          <w:sz w:val="22"/>
          <w:szCs w:val="22"/>
        </w:rPr>
      </w:pPr>
      <w:r w:rsidRPr="00894841">
        <w:rPr>
          <w:rFonts w:asciiTheme="minorHAnsi" w:hAnsiTheme="minorHAnsi"/>
          <w:b/>
          <w:sz w:val="22"/>
          <w:szCs w:val="22"/>
        </w:rPr>
        <w:t>Recommendation 6:</w:t>
      </w:r>
      <w:r>
        <w:rPr>
          <w:rFonts w:asciiTheme="minorHAnsi" w:hAnsiTheme="minorHAnsi"/>
          <w:sz w:val="22"/>
          <w:szCs w:val="22"/>
        </w:rPr>
        <w:t xml:space="preserve"> </w:t>
      </w:r>
      <w:r w:rsidR="005443E7">
        <w:rPr>
          <w:rFonts w:asciiTheme="minorHAnsi" w:hAnsiTheme="minorHAnsi"/>
          <w:sz w:val="22"/>
          <w:szCs w:val="22"/>
        </w:rPr>
        <w:t>If the initial analysis shows that such longer-term solution might be feasible, the project should in its design phase elaborate more extensively on the development of institutional solutions for transboundary water management</w:t>
      </w:r>
      <w:r w:rsidR="002936C7">
        <w:rPr>
          <w:rFonts w:asciiTheme="minorHAnsi" w:hAnsiTheme="minorHAnsi"/>
          <w:sz w:val="22"/>
          <w:szCs w:val="22"/>
        </w:rPr>
        <w:t xml:space="preserve"> </w:t>
      </w:r>
      <w:r w:rsidR="005443E7">
        <w:rPr>
          <w:rFonts w:asciiTheme="minorHAnsi" w:hAnsiTheme="minorHAnsi"/>
          <w:sz w:val="22"/>
          <w:szCs w:val="22"/>
        </w:rPr>
        <w:t>that might include, for example, establishment of river commissions coupled with the necessary legal provisions.</w:t>
      </w:r>
      <w:r>
        <w:rPr>
          <w:rFonts w:asciiTheme="minorHAnsi" w:hAnsiTheme="minorHAnsi"/>
          <w:sz w:val="22"/>
          <w:szCs w:val="22"/>
        </w:rPr>
        <w:t xml:space="preserve"> Since such decision is in the hands of the political authorities of the countries concerned, the project should support the establishment of such a solution, if it will be taken. </w:t>
      </w:r>
    </w:p>
    <w:p w14:paraId="52F2F3B3" w14:textId="77777777" w:rsidR="005443E7" w:rsidRDefault="005443E7" w:rsidP="00190BC7">
      <w:pPr>
        <w:pStyle w:val="NormalWeb"/>
        <w:shd w:val="clear" w:color="auto" w:fill="FFFFFF"/>
        <w:spacing w:before="0" w:beforeAutospacing="0" w:after="0" w:afterAutospacing="0"/>
        <w:jc w:val="both"/>
        <w:rPr>
          <w:rFonts w:asciiTheme="minorHAnsi" w:hAnsiTheme="minorHAnsi"/>
          <w:sz w:val="22"/>
          <w:szCs w:val="22"/>
        </w:rPr>
      </w:pPr>
    </w:p>
    <w:p w14:paraId="573F83EE" w14:textId="5A1E9484" w:rsidR="005443E7" w:rsidRDefault="00190BC7" w:rsidP="00894841">
      <w:pPr>
        <w:pStyle w:val="NormalWeb"/>
        <w:shd w:val="clear" w:color="auto" w:fill="FFFFFF"/>
        <w:spacing w:before="0" w:beforeAutospacing="0" w:after="0" w:afterAutospacing="0"/>
        <w:jc w:val="both"/>
        <w:rPr>
          <w:rFonts w:asciiTheme="minorHAnsi" w:hAnsiTheme="minorHAnsi"/>
          <w:sz w:val="22"/>
          <w:szCs w:val="22"/>
        </w:rPr>
      </w:pPr>
      <w:r w:rsidRPr="00894841">
        <w:rPr>
          <w:rFonts w:asciiTheme="minorHAnsi" w:hAnsiTheme="minorHAnsi"/>
          <w:b/>
          <w:sz w:val="22"/>
          <w:szCs w:val="22"/>
        </w:rPr>
        <w:t>Recommendation 7</w:t>
      </w:r>
      <w:r>
        <w:rPr>
          <w:rFonts w:asciiTheme="minorHAnsi" w:hAnsiTheme="minorHAnsi"/>
          <w:sz w:val="22"/>
          <w:szCs w:val="22"/>
        </w:rPr>
        <w:t xml:space="preserve">: </w:t>
      </w:r>
      <w:r w:rsidR="005443E7">
        <w:rPr>
          <w:rFonts w:asciiTheme="minorHAnsi" w:hAnsiTheme="minorHAnsi"/>
          <w:sz w:val="22"/>
          <w:szCs w:val="22"/>
        </w:rPr>
        <w:t>The execution arrangement of the regional projects should plan for decentralised project management, such as establishment of the country project offices in addition to the central implementation unit. The management proposals should elaborate in detail the terms of reference for such offices including the sources of financing.</w:t>
      </w:r>
    </w:p>
    <w:p w14:paraId="6EEACE8D" w14:textId="77777777" w:rsidR="005443E7" w:rsidRDefault="005443E7" w:rsidP="00190BC7">
      <w:pPr>
        <w:pStyle w:val="NormalWeb"/>
        <w:shd w:val="clear" w:color="auto" w:fill="FFFFFF"/>
        <w:spacing w:before="0" w:beforeAutospacing="0" w:after="0" w:afterAutospacing="0"/>
        <w:jc w:val="both"/>
        <w:rPr>
          <w:rFonts w:asciiTheme="minorHAnsi" w:hAnsiTheme="minorHAnsi"/>
          <w:sz w:val="22"/>
          <w:szCs w:val="22"/>
        </w:rPr>
      </w:pPr>
    </w:p>
    <w:p w14:paraId="291BE83E" w14:textId="6F9B13ED" w:rsidR="005443E7" w:rsidRDefault="00190BC7" w:rsidP="00894841">
      <w:pPr>
        <w:pStyle w:val="NormalWeb"/>
        <w:shd w:val="clear" w:color="auto" w:fill="FFFFFF"/>
        <w:spacing w:before="0" w:beforeAutospacing="0" w:after="0" w:afterAutospacing="0"/>
        <w:jc w:val="both"/>
        <w:rPr>
          <w:rFonts w:asciiTheme="minorHAnsi" w:hAnsiTheme="minorHAnsi"/>
          <w:sz w:val="22"/>
          <w:szCs w:val="22"/>
        </w:rPr>
      </w:pPr>
      <w:r w:rsidRPr="00894841">
        <w:rPr>
          <w:rFonts w:asciiTheme="minorHAnsi" w:hAnsiTheme="minorHAnsi"/>
          <w:b/>
          <w:sz w:val="22"/>
          <w:szCs w:val="22"/>
        </w:rPr>
        <w:t>Recommendation 8</w:t>
      </w:r>
      <w:r>
        <w:rPr>
          <w:rFonts w:asciiTheme="minorHAnsi" w:hAnsiTheme="minorHAnsi"/>
          <w:sz w:val="22"/>
          <w:szCs w:val="22"/>
        </w:rPr>
        <w:t xml:space="preserve">: </w:t>
      </w:r>
      <w:r w:rsidR="005443E7">
        <w:rPr>
          <w:rFonts w:asciiTheme="minorHAnsi" w:hAnsiTheme="minorHAnsi"/>
          <w:sz w:val="22"/>
          <w:szCs w:val="22"/>
        </w:rPr>
        <w:t>During the implementation of the project, every effort should be made to maintain the institutional continuity and to avoid frequent changes in participation at country level, as the opposite can significantly reduce the pace of the project implementation.</w:t>
      </w:r>
    </w:p>
    <w:p w14:paraId="4CA3AD26" w14:textId="77777777" w:rsidR="004F68C6" w:rsidRDefault="004F68C6" w:rsidP="00190BC7">
      <w:pPr>
        <w:pStyle w:val="NormalWeb"/>
        <w:shd w:val="clear" w:color="auto" w:fill="FFFFFF"/>
        <w:spacing w:before="0" w:beforeAutospacing="0" w:after="0" w:afterAutospacing="0"/>
        <w:jc w:val="both"/>
        <w:rPr>
          <w:rFonts w:asciiTheme="minorHAnsi" w:hAnsiTheme="minorHAnsi"/>
          <w:sz w:val="22"/>
          <w:szCs w:val="22"/>
        </w:rPr>
      </w:pPr>
    </w:p>
    <w:p w14:paraId="38C1B3AF" w14:textId="6D3D2365" w:rsidR="004F68C6" w:rsidRPr="002936C7" w:rsidRDefault="00190BC7" w:rsidP="00894841">
      <w:pPr>
        <w:pStyle w:val="NormalWeb"/>
        <w:shd w:val="clear" w:color="auto" w:fill="FFFFFF"/>
        <w:spacing w:before="0" w:beforeAutospacing="0" w:after="0" w:afterAutospacing="0"/>
        <w:jc w:val="both"/>
        <w:rPr>
          <w:rFonts w:asciiTheme="minorHAnsi" w:hAnsiTheme="minorHAnsi"/>
          <w:sz w:val="22"/>
          <w:szCs w:val="22"/>
        </w:rPr>
      </w:pPr>
      <w:r w:rsidRPr="00894841">
        <w:rPr>
          <w:rFonts w:asciiTheme="minorHAnsi" w:hAnsiTheme="minorHAnsi"/>
          <w:b/>
          <w:sz w:val="22"/>
          <w:szCs w:val="22"/>
        </w:rPr>
        <w:t>Recommendation 9</w:t>
      </w:r>
      <w:r>
        <w:rPr>
          <w:rFonts w:asciiTheme="minorHAnsi" w:hAnsiTheme="minorHAnsi"/>
          <w:sz w:val="22"/>
          <w:szCs w:val="22"/>
        </w:rPr>
        <w:t xml:space="preserve">: </w:t>
      </w:r>
      <w:r w:rsidR="004F68C6">
        <w:rPr>
          <w:rFonts w:asciiTheme="minorHAnsi" w:hAnsiTheme="minorHAnsi"/>
          <w:sz w:val="22"/>
          <w:szCs w:val="22"/>
        </w:rPr>
        <w:t>More efforts should be made to secure steady and, if possible, in cash financial provision by the participating countries, in particular for the implementation of SAP proposals. While this may be difficult to obtain at the start of the project, it should become a necessary condition for the exit strategy.</w:t>
      </w:r>
    </w:p>
    <w:p w14:paraId="43C5045C" w14:textId="7845037A" w:rsidR="00CF4902" w:rsidRDefault="00CF4902" w:rsidP="00CF4902"/>
    <w:p w14:paraId="322411B9" w14:textId="2B672F51" w:rsidR="00133F02" w:rsidRPr="00CF4902" w:rsidRDefault="00133F02" w:rsidP="00894841">
      <w:pPr>
        <w:pStyle w:val="Heading2"/>
      </w:pPr>
      <w:bookmarkStart w:id="61" w:name="_Toc81335883"/>
      <w:r>
        <w:t>4.4</w:t>
      </w:r>
      <w:r>
        <w:tab/>
        <w:t>Lessons learned</w:t>
      </w:r>
      <w:bookmarkEnd w:id="61"/>
    </w:p>
    <w:p w14:paraId="3B1AEC21" w14:textId="77777777" w:rsidR="000F31AD" w:rsidRDefault="000F31AD"/>
    <w:p w14:paraId="12E187AE" w14:textId="0ED55E68" w:rsidR="000F31AD" w:rsidRDefault="009D3520" w:rsidP="009D3520">
      <w:pPr>
        <w:jc w:val="both"/>
        <w:rPr>
          <w:rFonts w:asciiTheme="minorHAnsi" w:hAnsiTheme="minorHAnsi" w:cstheme="minorHAnsi"/>
          <w:sz w:val="22"/>
          <w:szCs w:val="22"/>
        </w:rPr>
      </w:pPr>
      <w:r w:rsidRPr="00894841">
        <w:rPr>
          <w:rFonts w:asciiTheme="minorHAnsi" w:hAnsiTheme="minorHAnsi" w:cstheme="minorHAnsi"/>
          <w:sz w:val="22"/>
          <w:szCs w:val="22"/>
        </w:rPr>
        <w:lastRenderedPageBreak/>
        <w:t xml:space="preserve">The Drin Project </w:t>
      </w:r>
      <w:r>
        <w:rPr>
          <w:rFonts w:asciiTheme="minorHAnsi" w:hAnsiTheme="minorHAnsi" w:cstheme="minorHAnsi"/>
          <w:sz w:val="22"/>
          <w:szCs w:val="22"/>
        </w:rPr>
        <w:t>has a number of lessons learned based on the good practices the project has produced. Some of the most important lessons learned are as follows:</w:t>
      </w:r>
    </w:p>
    <w:p w14:paraId="2A937B52" w14:textId="0326C090" w:rsidR="009D3520" w:rsidRDefault="009D3520" w:rsidP="009D3520">
      <w:pPr>
        <w:jc w:val="both"/>
        <w:rPr>
          <w:rFonts w:asciiTheme="minorHAnsi" w:hAnsiTheme="minorHAnsi" w:cstheme="minorHAnsi"/>
          <w:sz w:val="22"/>
          <w:szCs w:val="22"/>
        </w:rPr>
      </w:pPr>
    </w:p>
    <w:p w14:paraId="36D47741" w14:textId="10993DDD" w:rsidR="00B76479" w:rsidRDefault="00B76479" w:rsidP="0052081C">
      <w:pPr>
        <w:pStyle w:val="NormalWeb"/>
        <w:numPr>
          <w:ilvl w:val="0"/>
          <w:numId w:val="17"/>
        </w:numPr>
        <w:ind w:left="425" w:hanging="425"/>
        <w:contextualSpacing/>
        <w:jc w:val="both"/>
        <w:rPr>
          <w:rFonts w:asciiTheme="minorHAnsi" w:hAnsiTheme="minorHAnsi"/>
          <w:sz w:val="22"/>
          <w:szCs w:val="22"/>
        </w:rPr>
      </w:pPr>
      <w:r>
        <w:rPr>
          <w:rFonts w:asciiTheme="minorHAnsi" w:hAnsiTheme="minorHAnsi"/>
          <w:sz w:val="22"/>
          <w:szCs w:val="22"/>
        </w:rPr>
        <w:t xml:space="preserve">Project has clear and achievable objectives followed by a rational design of project’s components, outcomes and outputs. The design simplicity is an essential prerequisite for a successful implementation of the project. </w:t>
      </w:r>
    </w:p>
    <w:p w14:paraId="7C6B0C22" w14:textId="4547B8F5" w:rsidR="00B76479" w:rsidRDefault="00B76479" w:rsidP="00B76479">
      <w:pPr>
        <w:pStyle w:val="NormalWeb"/>
        <w:contextualSpacing/>
        <w:jc w:val="both"/>
        <w:rPr>
          <w:rFonts w:asciiTheme="minorHAnsi" w:hAnsiTheme="minorHAnsi"/>
          <w:sz w:val="22"/>
          <w:szCs w:val="22"/>
        </w:rPr>
      </w:pPr>
    </w:p>
    <w:p w14:paraId="6B8F773A" w14:textId="2471B979" w:rsidR="00B76479" w:rsidRDefault="00B76479" w:rsidP="0052081C">
      <w:pPr>
        <w:pStyle w:val="NormalWeb"/>
        <w:numPr>
          <w:ilvl w:val="0"/>
          <w:numId w:val="17"/>
        </w:numPr>
        <w:ind w:left="426" w:hanging="426"/>
        <w:contextualSpacing/>
        <w:jc w:val="both"/>
        <w:rPr>
          <w:rFonts w:asciiTheme="minorHAnsi" w:hAnsiTheme="minorHAnsi"/>
          <w:sz w:val="22"/>
          <w:szCs w:val="22"/>
        </w:rPr>
      </w:pPr>
      <w:r>
        <w:rPr>
          <w:rFonts w:asciiTheme="minorHAnsi" w:hAnsiTheme="minorHAnsi"/>
          <w:sz w:val="22"/>
          <w:szCs w:val="22"/>
        </w:rPr>
        <w:t xml:space="preserve">All project stakeholders have to be actively involved in the implementation of the project. Well-developed stakeholder engagement </w:t>
      </w:r>
      <w:r w:rsidR="00972AAE">
        <w:rPr>
          <w:rFonts w:asciiTheme="minorHAnsi" w:hAnsiTheme="minorHAnsi"/>
          <w:sz w:val="22"/>
          <w:szCs w:val="22"/>
        </w:rPr>
        <w:t xml:space="preserve">and integration </w:t>
      </w:r>
      <w:r>
        <w:rPr>
          <w:rFonts w:asciiTheme="minorHAnsi" w:hAnsiTheme="minorHAnsi"/>
          <w:sz w:val="22"/>
          <w:szCs w:val="22"/>
        </w:rPr>
        <w:t>mechanisms significantly contribute to better countries</w:t>
      </w:r>
      <w:r w:rsidR="00972AAE">
        <w:rPr>
          <w:rFonts w:asciiTheme="minorHAnsi" w:hAnsiTheme="minorHAnsi"/>
          <w:sz w:val="22"/>
          <w:szCs w:val="22"/>
        </w:rPr>
        <w:t>’</w:t>
      </w:r>
      <w:r>
        <w:rPr>
          <w:rFonts w:asciiTheme="minorHAnsi" w:hAnsiTheme="minorHAnsi"/>
          <w:sz w:val="22"/>
          <w:szCs w:val="22"/>
        </w:rPr>
        <w:t xml:space="preserve"> buy-in of the project and its overall success. </w:t>
      </w:r>
    </w:p>
    <w:p w14:paraId="60A0A486" w14:textId="77777777" w:rsidR="00B76479" w:rsidRDefault="00B76479" w:rsidP="00894841">
      <w:pPr>
        <w:pStyle w:val="NormalWeb"/>
        <w:contextualSpacing/>
        <w:jc w:val="both"/>
        <w:rPr>
          <w:rFonts w:asciiTheme="minorHAnsi" w:hAnsiTheme="minorHAnsi"/>
          <w:sz w:val="22"/>
          <w:szCs w:val="22"/>
        </w:rPr>
      </w:pPr>
    </w:p>
    <w:p w14:paraId="76F33BDA" w14:textId="6F829F33" w:rsidR="00B76479" w:rsidRDefault="00B76479" w:rsidP="0052081C">
      <w:pPr>
        <w:pStyle w:val="NormalWeb"/>
        <w:numPr>
          <w:ilvl w:val="0"/>
          <w:numId w:val="17"/>
        </w:numPr>
        <w:ind w:left="426" w:hanging="426"/>
        <w:contextualSpacing/>
        <w:jc w:val="both"/>
        <w:rPr>
          <w:rFonts w:asciiTheme="minorHAnsi" w:hAnsiTheme="minorHAnsi"/>
          <w:sz w:val="22"/>
          <w:szCs w:val="22"/>
        </w:rPr>
      </w:pPr>
      <w:r>
        <w:rPr>
          <w:rFonts w:asciiTheme="minorHAnsi" w:hAnsiTheme="minorHAnsi"/>
          <w:sz w:val="22"/>
          <w:szCs w:val="22"/>
        </w:rPr>
        <w:t xml:space="preserve">Successful communication and information strategy and a well-developed management information system make the project’s implementation transparent, increase trust in project actors and contribute to countries’ support to the project and implementation of its results increasing, thus, its sustainability level. </w:t>
      </w:r>
    </w:p>
    <w:p w14:paraId="01225F1E" w14:textId="77777777" w:rsidR="002468B9" w:rsidRDefault="002468B9" w:rsidP="00894841">
      <w:pPr>
        <w:pStyle w:val="NormalWeb"/>
        <w:contextualSpacing/>
        <w:jc w:val="both"/>
        <w:rPr>
          <w:rFonts w:asciiTheme="minorHAnsi" w:hAnsiTheme="minorHAnsi"/>
          <w:sz w:val="22"/>
          <w:szCs w:val="22"/>
        </w:rPr>
      </w:pPr>
    </w:p>
    <w:p w14:paraId="50F589D4" w14:textId="10F02F32" w:rsidR="002468B9" w:rsidRPr="002468B9" w:rsidRDefault="002468B9" w:rsidP="0052081C">
      <w:pPr>
        <w:pStyle w:val="NormalWeb"/>
        <w:numPr>
          <w:ilvl w:val="0"/>
          <w:numId w:val="17"/>
        </w:numPr>
        <w:ind w:left="426" w:hanging="426"/>
        <w:contextualSpacing/>
        <w:jc w:val="both"/>
        <w:rPr>
          <w:rFonts w:asciiTheme="minorHAnsi" w:hAnsiTheme="minorHAnsi"/>
          <w:sz w:val="22"/>
          <w:szCs w:val="22"/>
        </w:rPr>
      </w:pPr>
      <w:r w:rsidRPr="002468B9">
        <w:rPr>
          <w:rFonts w:asciiTheme="minorHAnsi" w:hAnsiTheme="minorHAnsi"/>
          <w:sz w:val="22"/>
          <w:szCs w:val="22"/>
        </w:rPr>
        <w:t>Gender strategies are effective if they are developed in early stages of the project in order to</w:t>
      </w:r>
      <w:r>
        <w:rPr>
          <w:rFonts w:asciiTheme="minorHAnsi" w:hAnsiTheme="minorHAnsi"/>
          <w:sz w:val="22"/>
          <w:szCs w:val="22"/>
        </w:rPr>
        <w:t xml:space="preserve"> </w:t>
      </w:r>
      <w:r w:rsidRPr="002468B9">
        <w:rPr>
          <w:rFonts w:asciiTheme="minorHAnsi" w:hAnsiTheme="minorHAnsi"/>
          <w:sz w:val="22"/>
          <w:szCs w:val="22"/>
        </w:rPr>
        <w:t>guide gender mainstreaming throughout the implementation process.</w:t>
      </w:r>
    </w:p>
    <w:p w14:paraId="43423B09" w14:textId="77777777" w:rsidR="00B76479" w:rsidRDefault="00B76479" w:rsidP="00894841">
      <w:pPr>
        <w:pStyle w:val="NormalWeb"/>
        <w:contextualSpacing/>
        <w:jc w:val="both"/>
        <w:rPr>
          <w:rFonts w:asciiTheme="minorHAnsi" w:hAnsiTheme="minorHAnsi"/>
          <w:sz w:val="22"/>
          <w:szCs w:val="22"/>
        </w:rPr>
      </w:pPr>
    </w:p>
    <w:p w14:paraId="6AA87404" w14:textId="43C981BA" w:rsidR="00B76479" w:rsidRDefault="00972AAE" w:rsidP="0052081C">
      <w:pPr>
        <w:pStyle w:val="NormalWeb"/>
        <w:numPr>
          <w:ilvl w:val="0"/>
          <w:numId w:val="17"/>
        </w:numPr>
        <w:ind w:left="426" w:hanging="426"/>
        <w:contextualSpacing/>
        <w:jc w:val="both"/>
        <w:rPr>
          <w:rFonts w:asciiTheme="minorHAnsi" w:hAnsiTheme="minorHAnsi"/>
          <w:sz w:val="22"/>
          <w:szCs w:val="22"/>
        </w:rPr>
      </w:pPr>
      <w:r>
        <w:rPr>
          <w:rFonts w:asciiTheme="minorHAnsi" w:hAnsiTheme="minorHAnsi"/>
          <w:sz w:val="22"/>
          <w:szCs w:val="22"/>
        </w:rPr>
        <w:t>Efforts to deliver more results than initially envisaged improves the project’s catalytic/replication effect. Catalytic effect of the project is enhanced by examples presented through demonstration projects.</w:t>
      </w:r>
    </w:p>
    <w:p w14:paraId="00F2881E" w14:textId="77777777" w:rsidR="00B76479" w:rsidRDefault="00B76479" w:rsidP="00894841">
      <w:pPr>
        <w:pStyle w:val="NormalWeb"/>
        <w:contextualSpacing/>
        <w:jc w:val="both"/>
        <w:rPr>
          <w:rFonts w:asciiTheme="minorHAnsi" w:hAnsiTheme="minorHAnsi"/>
          <w:sz w:val="22"/>
          <w:szCs w:val="22"/>
        </w:rPr>
      </w:pPr>
    </w:p>
    <w:p w14:paraId="00B60E29" w14:textId="3D885E34" w:rsidR="009D3520" w:rsidRDefault="00972AAE" w:rsidP="0052081C">
      <w:pPr>
        <w:pStyle w:val="NormalWeb"/>
        <w:numPr>
          <w:ilvl w:val="0"/>
          <w:numId w:val="17"/>
        </w:numPr>
        <w:ind w:left="425" w:hanging="425"/>
        <w:contextualSpacing/>
        <w:jc w:val="both"/>
        <w:rPr>
          <w:rFonts w:asciiTheme="minorHAnsi" w:hAnsiTheme="minorHAnsi"/>
          <w:sz w:val="22"/>
          <w:szCs w:val="22"/>
        </w:rPr>
      </w:pPr>
      <w:r>
        <w:rPr>
          <w:rFonts w:asciiTheme="minorHAnsi" w:hAnsiTheme="minorHAnsi"/>
          <w:sz w:val="22"/>
          <w:szCs w:val="22"/>
        </w:rPr>
        <w:t>T</w:t>
      </w:r>
      <w:r w:rsidR="00B76479">
        <w:rPr>
          <w:rFonts w:asciiTheme="minorHAnsi" w:hAnsiTheme="minorHAnsi"/>
          <w:sz w:val="22"/>
          <w:szCs w:val="22"/>
        </w:rPr>
        <w:t xml:space="preserve">he </w:t>
      </w:r>
      <w:r>
        <w:rPr>
          <w:rFonts w:asciiTheme="minorHAnsi" w:hAnsiTheme="minorHAnsi"/>
          <w:sz w:val="22"/>
          <w:szCs w:val="22"/>
        </w:rPr>
        <w:t xml:space="preserve">committed </w:t>
      </w:r>
      <w:r w:rsidR="00B76479">
        <w:rPr>
          <w:rFonts w:asciiTheme="minorHAnsi" w:hAnsiTheme="minorHAnsi"/>
          <w:sz w:val="22"/>
          <w:szCs w:val="22"/>
        </w:rPr>
        <w:t xml:space="preserve">project implementation team </w:t>
      </w:r>
      <w:r>
        <w:rPr>
          <w:rFonts w:asciiTheme="minorHAnsi" w:hAnsiTheme="minorHAnsi"/>
          <w:sz w:val="22"/>
          <w:szCs w:val="22"/>
        </w:rPr>
        <w:t>is key ingredient of the project’s success. This project has shown that the team has</w:t>
      </w:r>
      <w:r w:rsidR="00B76479">
        <w:rPr>
          <w:rFonts w:asciiTheme="minorHAnsi" w:hAnsiTheme="minorHAnsi"/>
          <w:sz w:val="22"/>
          <w:szCs w:val="22"/>
        </w:rPr>
        <w:t xml:space="preserve"> spared no time to engage in frequent and fruitful consultation with a variety of project partners. </w:t>
      </w:r>
      <w:r>
        <w:rPr>
          <w:rFonts w:asciiTheme="minorHAnsi" w:hAnsiTheme="minorHAnsi"/>
          <w:sz w:val="22"/>
          <w:szCs w:val="22"/>
        </w:rPr>
        <w:t>Its</w:t>
      </w:r>
      <w:r w:rsidR="00B76479">
        <w:rPr>
          <w:rFonts w:asciiTheme="minorHAnsi" w:hAnsiTheme="minorHAnsi"/>
          <w:sz w:val="22"/>
          <w:szCs w:val="22"/>
        </w:rPr>
        <w:t xml:space="preserve"> long-standing experience in dealing with stakeholders’ participation and gender mainstreaming made this aspect the backbone of the project contributing thus to its overall success. </w:t>
      </w:r>
    </w:p>
    <w:p w14:paraId="3392C9C2" w14:textId="77777777" w:rsidR="00972AAE" w:rsidRDefault="00972AAE" w:rsidP="00894841">
      <w:pPr>
        <w:pStyle w:val="NormalWeb"/>
        <w:contextualSpacing/>
        <w:jc w:val="both"/>
        <w:rPr>
          <w:rFonts w:asciiTheme="minorHAnsi" w:hAnsiTheme="minorHAnsi"/>
          <w:sz w:val="22"/>
          <w:szCs w:val="22"/>
        </w:rPr>
      </w:pPr>
    </w:p>
    <w:p w14:paraId="25956A10" w14:textId="191BBB45" w:rsidR="002468B9" w:rsidRDefault="002468B9" w:rsidP="0052081C">
      <w:pPr>
        <w:pStyle w:val="NormalWeb"/>
        <w:numPr>
          <w:ilvl w:val="0"/>
          <w:numId w:val="17"/>
        </w:numPr>
        <w:ind w:left="425" w:hanging="425"/>
        <w:contextualSpacing/>
        <w:jc w:val="both"/>
        <w:rPr>
          <w:rFonts w:asciiTheme="minorHAnsi" w:hAnsiTheme="minorHAnsi"/>
          <w:sz w:val="22"/>
          <w:szCs w:val="22"/>
        </w:rPr>
      </w:pPr>
      <w:r>
        <w:rPr>
          <w:rFonts w:asciiTheme="minorHAnsi" w:hAnsiTheme="minorHAnsi"/>
          <w:sz w:val="22"/>
          <w:szCs w:val="22"/>
        </w:rPr>
        <w:t>Capable project implementation team is essential element to successfully confront unexpected changes in the project’s environment, such as political events, economic crises, pandemics etc. This also contributes to the increased project’s effectiveness and efficiency.</w:t>
      </w:r>
    </w:p>
    <w:p w14:paraId="57B061E6" w14:textId="77777777" w:rsidR="002468B9" w:rsidRDefault="002468B9" w:rsidP="00894841">
      <w:pPr>
        <w:pStyle w:val="NormalWeb"/>
        <w:contextualSpacing/>
        <w:jc w:val="both"/>
        <w:rPr>
          <w:rFonts w:asciiTheme="minorHAnsi" w:hAnsiTheme="minorHAnsi"/>
          <w:sz w:val="22"/>
          <w:szCs w:val="22"/>
        </w:rPr>
      </w:pPr>
    </w:p>
    <w:p w14:paraId="77F4C2DC" w14:textId="485B07E5" w:rsidR="002468B9" w:rsidRPr="00894841" w:rsidRDefault="002468B9" w:rsidP="0052081C">
      <w:pPr>
        <w:pStyle w:val="NormalWeb"/>
        <w:numPr>
          <w:ilvl w:val="0"/>
          <w:numId w:val="17"/>
        </w:numPr>
        <w:ind w:left="426"/>
        <w:contextualSpacing/>
        <w:jc w:val="both"/>
        <w:rPr>
          <w:rFonts w:asciiTheme="minorHAnsi" w:hAnsiTheme="minorHAnsi"/>
          <w:sz w:val="22"/>
          <w:szCs w:val="22"/>
        </w:rPr>
      </w:pPr>
      <w:r w:rsidRPr="002468B9">
        <w:rPr>
          <w:rFonts w:asciiTheme="minorHAnsi" w:hAnsiTheme="minorHAnsi"/>
          <w:sz w:val="22"/>
          <w:szCs w:val="22"/>
        </w:rPr>
        <w:t xml:space="preserve">Capacity </w:t>
      </w:r>
      <w:r>
        <w:rPr>
          <w:rFonts w:asciiTheme="minorHAnsi" w:hAnsiTheme="minorHAnsi"/>
          <w:sz w:val="22"/>
          <w:szCs w:val="22"/>
        </w:rPr>
        <w:t xml:space="preserve">building </w:t>
      </w:r>
      <w:r w:rsidRPr="002468B9">
        <w:rPr>
          <w:rFonts w:asciiTheme="minorHAnsi" w:hAnsiTheme="minorHAnsi"/>
          <w:sz w:val="22"/>
          <w:szCs w:val="22"/>
        </w:rPr>
        <w:t xml:space="preserve">(individual as well as institutional) </w:t>
      </w:r>
      <w:r>
        <w:rPr>
          <w:rFonts w:asciiTheme="minorHAnsi" w:hAnsiTheme="minorHAnsi"/>
          <w:sz w:val="22"/>
          <w:szCs w:val="22"/>
        </w:rPr>
        <w:t xml:space="preserve">at national and transboundary levels </w:t>
      </w:r>
      <w:r w:rsidRPr="002468B9">
        <w:rPr>
          <w:rFonts w:asciiTheme="minorHAnsi" w:hAnsiTheme="minorHAnsi"/>
          <w:sz w:val="22"/>
          <w:szCs w:val="22"/>
        </w:rPr>
        <w:t>are key factors</w:t>
      </w:r>
      <w:r>
        <w:rPr>
          <w:rFonts w:asciiTheme="minorHAnsi" w:hAnsiTheme="minorHAnsi"/>
          <w:sz w:val="22"/>
          <w:szCs w:val="22"/>
        </w:rPr>
        <w:t xml:space="preserve"> </w:t>
      </w:r>
      <w:r w:rsidRPr="002468B9">
        <w:rPr>
          <w:rFonts w:asciiTheme="minorHAnsi" w:hAnsiTheme="minorHAnsi"/>
          <w:sz w:val="22"/>
          <w:szCs w:val="22"/>
        </w:rPr>
        <w:t>for sustaining results.</w:t>
      </w:r>
    </w:p>
    <w:p w14:paraId="711EE1F2" w14:textId="77777777" w:rsidR="000F31AD" w:rsidRDefault="00A317E5" w:rsidP="00894841">
      <w:pPr>
        <w:contextualSpacing/>
        <w:rPr>
          <w:rFonts w:ascii="Calibri Light" w:eastAsia="Calibri Light" w:hAnsi="Calibri Light" w:cs="Calibri Light"/>
          <w:color w:val="2F5496"/>
          <w:sz w:val="32"/>
          <w:szCs w:val="32"/>
        </w:rPr>
      </w:pPr>
      <w:r>
        <w:br w:type="page"/>
      </w:r>
    </w:p>
    <w:p w14:paraId="0504C777" w14:textId="77777777" w:rsidR="000F31AD" w:rsidRDefault="00A317E5" w:rsidP="00AC3243">
      <w:pPr>
        <w:pStyle w:val="Heading1"/>
      </w:pPr>
      <w:bookmarkStart w:id="62" w:name="_Toc81335884"/>
      <w:r w:rsidRPr="00AC3243">
        <w:lastRenderedPageBreak/>
        <w:t>Annexes</w:t>
      </w:r>
      <w:bookmarkEnd w:id="62"/>
    </w:p>
    <w:p w14:paraId="668E8DDB" w14:textId="77777777" w:rsidR="00AC3243" w:rsidRDefault="00AC3243" w:rsidP="00AC3243"/>
    <w:p w14:paraId="48CEE28C" w14:textId="6A129943" w:rsidR="00AC3243" w:rsidRPr="00AC3243" w:rsidRDefault="00AC3243" w:rsidP="00894841">
      <w:pPr>
        <w:sectPr w:rsidR="00AC3243" w:rsidRPr="00AC3243">
          <w:pgSz w:w="11906" w:h="16838"/>
          <w:pgMar w:top="1440" w:right="1440" w:bottom="1440" w:left="1440" w:header="708" w:footer="708" w:gutter="0"/>
          <w:cols w:space="720"/>
          <w:titlePg/>
        </w:sectPr>
      </w:pPr>
    </w:p>
    <w:p w14:paraId="43D5E269" w14:textId="77777777" w:rsidR="000F31AD" w:rsidRDefault="000F31AD">
      <w:pPr>
        <w:rPr>
          <w:rFonts w:ascii="Calibri" w:eastAsia="Calibri" w:hAnsi="Calibri" w:cs="Calibri"/>
          <w:sz w:val="22"/>
          <w:szCs w:val="22"/>
        </w:rPr>
      </w:pPr>
    </w:p>
    <w:p w14:paraId="7F5BAFE8" w14:textId="77777777" w:rsidR="000F31AD" w:rsidRDefault="00A317E5">
      <w:pPr>
        <w:pStyle w:val="Heading2"/>
      </w:pPr>
      <w:bookmarkStart w:id="63" w:name="_Toc81335885"/>
      <w:r>
        <w:t>Annex 1:</w:t>
      </w:r>
      <w:r>
        <w:tab/>
        <w:t>TE ToR (without ToR annexes)</w:t>
      </w:r>
      <w:bookmarkEnd w:id="63"/>
    </w:p>
    <w:p w14:paraId="23BF9BF7" w14:textId="77777777" w:rsidR="000F31AD" w:rsidRDefault="000F31AD">
      <w:pPr>
        <w:pStyle w:val="Heading2"/>
      </w:pPr>
    </w:p>
    <w:p w14:paraId="0A7B61ED" w14:textId="77777777" w:rsidR="0068698D" w:rsidRDefault="0068698D" w:rsidP="0068698D"/>
    <w:tbl>
      <w:tblPr>
        <w:tblW w:w="0" w:type="auto"/>
        <w:tblCellMar>
          <w:top w:w="20" w:type="dxa"/>
          <w:left w:w="20" w:type="dxa"/>
          <w:bottom w:w="20" w:type="dxa"/>
          <w:right w:w="20" w:type="dxa"/>
        </w:tblCellMar>
        <w:tblLook w:val="04A0" w:firstRow="1" w:lastRow="0" w:firstColumn="1" w:lastColumn="0" w:noHBand="0" w:noVBand="1"/>
      </w:tblPr>
      <w:tblGrid>
        <w:gridCol w:w="9026"/>
      </w:tblGrid>
      <w:tr w:rsidR="0068698D" w:rsidRPr="00894841" w14:paraId="285E8EDE" w14:textId="77777777" w:rsidTr="0068698D">
        <w:tc>
          <w:tcPr>
            <w:tcW w:w="0" w:type="auto"/>
            <w:shd w:val="clear" w:color="auto" w:fill="auto"/>
            <w:hideMark/>
          </w:tcPr>
          <w:p w14:paraId="132463E2"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Background</w:t>
            </w:r>
          </w:p>
          <w:p w14:paraId="761896D0" w14:textId="77777777" w:rsidR="0068698D" w:rsidRPr="00894841" w:rsidRDefault="0068698D" w:rsidP="00DB2DCE">
            <w:pPr>
              <w:rPr>
                <w:rFonts w:asciiTheme="minorHAnsi" w:hAnsiTheme="minorHAnsi" w:cstheme="minorHAnsi"/>
                <w:sz w:val="22"/>
                <w:szCs w:val="22"/>
              </w:rPr>
            </w:pPr>
          </w:p>
        </w:tc>
      </w:tr>
      <w:tr w:rsidR="0068698D" w:rsidRPr="00894841" w14:paraId="3D5DA5D6" w14:textId="77777777" w:rsidTr="0068698D">
        <w:tc>
          <w:tcPr>
            <w:tcW w:w="0" w:type="auto"/>
            <w:shd w:val="clear" w:color="auto" w:fill="auto"/>
            <w:hideMark/>
          </w:tcPr>
          <w:p w14:paraId="4E9BA44D"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In accordance with UNDP and GEF M&amp;E policies and procedures, all full- and medium-sized UNDP-supported GEF-financed projects are required to undergo a Terminal Evaluation (TE) at the end of the project.  This Terms of Reference (ToR) sets out the expectations for the TE of the full sized project entitled </w:t>
            </w:r>
            <w:r w:rsidRPr="00894841">
              <w:rPr>
                <w:rFonts w:asciiTheme="minorHAnsi" w:hAnsiTheme="minorHAnsi" w:cstheme="minorHAnsi"/>
                <w:i/>
                <w:iCs/>
                <w:sz w:val="22"/>
                <w:szCs w:val="22"/>
                <w:bdr w:val="none" w:sz="0" w:space="0" w:color="auto" w:frame="1"/>
              </w:rPr>
              <w:t>“</w:t>
            </w:r>
            <w:r w:rsidRPr="00894841">
              <w:rPr>
                <w:rFonts w:asciiTheme="minorHAnsi" w:hAnsiTheme="minorHAnsi" w:cstheme="minorHAnsi"/>
                <w:sz w:val="22"/>
                <w:szCs w:val="22"/>
              </w:rPr>
              <w:t>Enabling transboundary cooperation and integrated water resources management in the extended Drin River Basin” (PIMS 4482; $ 4M; Albania, North Macedonia and Montenegro are the Project beneficiaries) and the associated medium-sized project entitled </w:t>
            </w:r>
            <w:r w:rsidRPr="00894841">
              <w:rPr>
                <w:rFonts w:asciiTheme="minorHAnsi" w:hAnsiTheme="minorHAnsi" w:cstheme="minorHAnsi"/>
                <w:i/>
                <w:iCs/>
                <w:sz w:val="22"/>
                <w:szCs w:val="22"/>
                <w:bdr w:val="none" w:sz="0" w:space="0" w:color="auto" w:frame="1"/>
              </w:rPr>
              <w:t>“</w:t>
            </w:r>
            <w:r w:rsidRPr="00894841">
              <w:rPr>
                <w:rFonts w:asciiTheme="minorHAnsi" w:hAnsiTheme="minorHAnsi" w:cstheme="minorHAnsi"/>
                <w:sz w:val="22"/>
                <w:szCs w:val="22"/>
              </w:rPr>
              <w:t>Enabling transboundary cooperation and integrated water resources management in the White Drin and the extended Drin Basin” (PIMS 5510; $ 1N; Kosovo is the beneficiary country) implemented through the United Nation Development Program and executed by the Global Water Partnership (GWP) Organization through Global Water Partnership Mediterranean. The two projects are operationally linked and are executed as one. The projects started on late 2015 and is in its final year of implementation.</w:t>
            </w:r>
          </w:p>
          <w:p w14:paraId="43FB0D0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Terminal Evaluation process must follow the guidance outlined in the document ‘Guidance for Conducting Terminal Evaluations of UNDP-Supported, GEF-Financed Projects’ (http://web.undp.org/evaluation/guideline/documents/GEF/TE_GuidanceforUNDP-supportedGEF-financedProjects.pdf).</w:t>
            </w:r>
          </w:p>
          <w:p w14:paraId="112F33A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5ADCBE3E"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bdr w:val="none" w:sz="0" w:space="0" w:color="auto" w:frame="1"/>
              </w:rPr>
              <w:t>1.Project Description </w:t>
            </w:r>
          </w:p>
          <w:p w14:paraId="617B3C0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Drin Basin is located in the southeastern part of the Balkan Peninsula. It comprises the transboundary sub–basins of the Drin and Buna/Bojana Rivers and of the Prespa, Ohrid and Skadar/Shkoder Lakes. The Drin River is the “connecting body” of the “extended” Drin Basin, linking the lakes, wetlands, rivers and other aquatic habitats into a single, yet complex, ecosystem of major importance. The water bodies and their watersheds are spread in a geographical area that includes Albania, Greece, North Macedonia, Montenegro and Kosovo</w:t>
            </w:r>
            <w:bookmarkStart w:id="64" w:name="_ftnref1"/>
            <w:r w:rsidRPr="00894841">
              <w:rPr>
                <w:rFonts w:asciiTheme="minorHAnsi" w:hAnsiTheme="minorHAnsi" w:cstheme="minorHAnsi"/>
                <w:sz w:val="22"/>
                <w:szCs w:val="22"/>
              </w:rPr>
              <w:fldChar w:fldCharType="begin"/>
            </w:r>
            <w:r w:rsidRPr="00894841">
              <w:rPr>
                <w:rFonts w:asciiTheme="minorHAnsi" w:hAnsiTheme="minorHAnsi" w:cstheme="minorHAnsi"/>
                <w:sz w:val="22"/>
                <w:szCs w:val="22"/>
              </w:rPr>
              <w:instrText xml:space="preserve"> HYPERLINK "https://jobs.undp.org/cj_view_job.cfm?cur_job_id=98371" \l "_ftn1" </w:instrText>
            </w:r>
            <w:r w:rsidRPr="00894841">
              <w:rPr>
                <w:rFonts w:asciiTheme="minorHAnsi" w:hAnsiTheme="minorHAnsi" w:cstheme="minorHAnsi"/>
                <w:sz w:val="22"/>
                <w:szCs w:val="22"/>
              </w:rPr>
              <w:fldChar w:fldCharType="separate"/>
            </w:r>
            <w:r w:rsidRPr="00894841">
              <w:rPr>
                <w:rFonts w:asciiTheme="minorHAnsi" w:hAnsiTheme="minorHAnsi" w:cstheme="minorHAnsi"/>
                <w:sz w:val="22"/>
                <w:szCs w:val="22"/>
                <w:bdr w:val="none" w:sz="0" w:space="0" w:color="auto" w:frame="1"/>
              </w:rPr>
              <w:t>[1]</w:t>
            </w:r>
            <w:r w:rsidRPr="00894841">
              <w:rPr>
                <w:rFonts w:asciiTheme="minorHAnsi" w:hAnsiTheme="minorHAnsi" w:cstheme="minorHAnsi"/>
                <w:sz w:val="22"/>
                <w:szCs w:val="22"/>
              </w:rPr>
              <w:fldChar w:fldCharType="end"/>
            </w:r>
            <w:r w:rsidRPr="00894841">
              <w:rPr>
                <w:rFonts w:asciiTheme="minorHAnsi" w:hAnsiTheme="minorHAnsi" w:cstheme="minorHAnsi"/>
                <w:sz w:val="22"/>
                <w:szCs w:val="22"/>
              </w:rPr>
              <w:t>.</w:t>
            </w:r>
          </w:p>
          <w:p w14:paraId="4FBB64EF"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complex nature of the Drin Basin -where lakes, rivers and underground flows interact in ways hard to unravel compounded by the many and often conflicting uses of water resources and by the transboundary conditions that prevail throughout the basin- determines the high fragility of the basin ecosystems and poses serious challenges to the overall sustainability of the water resources of the basin.</w:t>
            </w:r>
          </w:p>
          <w:p w14:paraId="631C1717"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main transboundary problems in the Drin Basin</w:t>
            </w:r>
            <w:bookmarkStart w:id="65" w:name="_ftnref2"/>
            <w:r w:rsidRPr="00894841">
              <w:rPr>
                <w:rFonts w:asciiTheme="minorHAnsi" w:hAnsiTheme="minorHAnsi" w:cstheme="minorHAnsi"/>
                <w:sz w:val="22"/>
                <w:szCs w:val="22"/>
              </w:rPr>
              <w:fldChar w:fldCharType="begin"/>
            </w:r>
            <w:r w:rsidRPr="00894841">
              <w:rPr>
                <w:rFonts w:asciiTheme="minorHAnsi" w:hAnsiTheme="minorHAnsi" w:cstheme="minorHAnsi"/>
                <w:sz w:val="22"/>
                <w:szCs w:val="22"/>
              </w:rPr>
              <w:instrText xml:space="preserve"> HYPERLINK "https://jobs.undp.org/cj_view_job.cfm?cur_job_id=98371" \l "_ftn2" </w:instrText>
            </w:r>
            <w:r w:rsidRPr="00894841">
              <w:rPr>
                <w:rFonts w:asciiTheme="minorHAnsi" w:hAnsiTheme="minorHAnsi" w:cstheme="minorHAnsi"/>
                <w:sz w:val="22"/>
                <w:szCs w:val="22"/>
              </w:rPr>
              <w:fldChar w:fldCharType="separate"/>
            </w:r>
            <w:r w:rsidRPr="00894841">
              <w:rPr>
                <w:rFonts w:asciiTheme="minorHAnsi" w:hAnsiTheme="minorHAnsi" w:cstheme="minorHAnsi"/>
                <w:sz w:val="22"/>
                <w:szCs w:val="22"/>
                <w:bdr w:val="none" w:sz="0" w:space="0" w:color="auto" w:frame="1"/>
              </w:rPr>
              <w:t>[2]</w:t>
            </w:r>
            <w:r w:rsidRPr="00894841">
              <w:rPr>
                <w:rFonts w:asciiTheme="minorHAnsi" w:hAnsiTheme="minorHAnsi" w:cstheme="minorHAnsi"/>
                <w:sz w:val="22"/>
                <w:szCs w:val="22"/>
              </w:rPr>
              <w:fldChar w:fldCharType="end"/>
            </w:r>
            <w:r w:rsidRPr="00894841">
              <w:rPr>
                <w:rFonts w:asciiTheme="minorHAnsi" w:hAnsiTheme="minorHAnsi" w:cstheme="minorHAnsi"/>
                <w:sz w:val="22"/>
                <w:szCs w:val="22"/>
              </w:rPr>
              <w:t> are:</w:t>
            </w:r>
          </w:p>
          <w:p w14:paraId="47AEA745"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deterioration of water quality</w:t>
            </w:r>
          </w:p>
          <w:p w14:paraId="1253DAB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natural and regulated variability of the hydrological regime</w:t>
            </w:r>
          </w:p>
          <w:p w14:paraId="35FA270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biodiversity degradation</w:t>
            </w:r>
          </w:p>
          <w:p w14:paraId="58B7DFC7"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variability of the sediment transport regime.</w:t>
            </w:r>
          </w:p>
          <w:p w14:paraId="2110C3E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Climate variability and change has also been recognized as a significant regional (and global) problem that influences the four priority transboundary problems.</w:t>
            </w:r>
          </w:p>
          <w:p w14:paraId="1B37B934" w14:textId="72A625B6"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Overall, prior to the interventions supported through the two projects, there was an absence of an overarching basin-wide policy formulation and decision-making framework grounded on scientific data and knowledge. This hindered the design of coherent strategies, legislation and regulations, and prevented the identification of investments which are aligned with the sustainable utilization of the Basin’s water resources and their integrated management.</w:t>
            </w:r>
          </w:p>
          <w:p w14:paraId="7EF4206A" w14:textId="77777777" w:rsidR="0068698D" w:rsidRPr="00894841" w:rsidRDefault="0068698D" w:rsidP="00894841">
            <w:pPr>
              <w:rPr>
                <w:rFonts w:asciiTheme="minorHAnsi" w:hAnsiTheme="minorHAnsi" w:cstheme="minorHAnsi"/>
                <w:sz w:val="22"/>
                <w:szCs w:val="22"/>
              </w:rPr>
            </w:pPr>
          </w:p>
          <w:p w14:paraId="04A252C5" w14:textId="77777777" w:rsidR="0068698D" w:rsidRPr="00894841" w:rsidRDefault="0068698D" w:rsidP="00894841">
            <w:pPr>
              <w:rPr>
                <w:rFonts w:asciiTheme="minorHAnsi" w:hAnsiTheme="minorHAnsi" w:cstheme="minorHAnsi"/>
                <w:sz w:val="22"/>
                <w:szCs w:val="22"/>
              </w:rPr>
            </w:pPr>
          </w:p>
          <w:p w14:paraId="6B01AD94" w14:textId="768C6F9A" w:rsidR="0068698D" w:rsidRPr="00894841" w:rsidRDefault="0068698D" w:rsidP="00894841">
            <w:pPr>
              <w:rPr>
                <w:rFonts w:asciiTheme="minorHAnsi" w:hAnsiTheme="minorHAnsi" w:cstheme="minorHAnsi"/>
                <w:sz w:val="22"/>
                <w:szCs w:val="22"/>
              </w:rPr>
            </w:pPr>
          </w:p>
          <w:p w14:paraId="43C8BC4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lastRenderedPageBreak/>
              <w:t>The two Projects aim to </w:t>
            </w:r>
            <w:r w:rsidRPr="00894841">
              <w:rPr>
                <w:rFonts w:asciiTheme="minorHAnsi" w:hAnsiTheme="minorHAnsi" w:cstheme="minorHAnsi"/>
                <w:i/>
                <w:iCs/>
                <w:sz w:val="22"/>
                <w:szCs w:val="22"/>
                <w:bdr w:val="none" w:sz="0" w:space="0" w:color="auto" w:frame="1"/>
              </w:rPr>
              <w:t>promote joint management of the shared water resources of the transboundary Drin River Basin, including coordination mechanisms among the various sub-basin joint commissions and committees</w:t>
            </w:r>
            <w:r w:rsidRPr="00894841">
              <w:rPr>
                <w:rFonts w:asciiTheme="minorHAnsi" w:hAnsiTheme="minorHAnsi" w:cstheme="minorHAnsi"/>
                <w:sz w:val="22"/>
                <w:szCs w:val="22"/>
              </w:rPr>
              <w:t>.</w:t>
            </w:r>
          </w:p>
          <w:p w14:paraId="06EBFF6F"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Each of the Projects is articulated into five -identical in content- components; they are designed to achieve the goal mentioned above, through: (i) building consensus among countries on key transboundary concerns and drivers of change, including climate variability and change, reached through joint fact finding; (ii) facilitating the agreement on a shared vision and on a program of priority actions deemed necessary to achieve the vision; (iii) strengthening technical and institutional capacities.</w:t>
            </w:r>
          </w:p>
          <w:p w14:paraId="26B300A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Projects are aligned in content, aims and objectives with the Drin Coordinated Action, that is the framework set by the Drin riparian countries for the implementation of the Memorandum of Understanding for the Management of the Extended Transboundary Drin Basin (Drin MoU; signed by the Ministers responsible for the management of water resources and/or environment, and high-level representatives of the Riparians</w:t>
            </w:r>
            <w:bookmarkStart w:id="66" w:name="_ftnref3"/>
            <w:r w:rsidRPr="00894841">
              <w:rPr>
                <w:rFonts w:asciiTheme="minorHAnsi" w:hAnsiTheme="minorHAnsi" w:cstheme="minorHAnsi"/>
                <w:sz w:val="22"/>
                <w:szCs w:val="22"/>
              </w:rPr>
              <w:fldChar w:fldCharType="begin"/>
            </w:r>
            <w:r w:rsidRPr="00894841">
              <w:rPr>
                <w:rFonts w:asciiTheme="minorHAnsi" w:hAnsiTheme="minorHAnsi" w:cstheme="minorHAnsi"/>
                <w:sz w:val="22"/>
                <w:szCs w:val="22"/>
              </w:rPr>
              <w:instrText xml:space="preserve"> HYPERLINK "https://jobs.undp.org/cj_view_job.cfm?cur_job_id=98371" \l "_ftn3" </w:instrText>
            </w:r>
            <w:r w:rsidRPr="00894841">
              <w:rPr>
                <w:rFonts w:asciiTheme="minorHAnsi" w:hAnsiTheme="minorHAnsi" w:cstheme="minorHAnsi"/>
                <w:sz w:val="22"/>
                <w:szCs w:val="22"/>
              </w:rPr>
              <w:fldChar w:fldCharType="separate"/>
            </w:r>
            <w:r w:rsidRPr="00894841">
              <w:rPr>
                <w:rFonts w:asciiTheme="minorHAnsi" w:hAnsiTheme="minorHAnsi" w:cstheme="minorHAnsi"/>
                <w:sz w:val="22"/>
                <w:szCs w:val="22"/>
                <w:bdr w:val="none" w:sz="0" w:space="0" w:color="auto" w:frame="1"/>
              </w:rPr>
              <w:t>[3]</w:t>
            </w:r>
            <w:r w:rsidRPr="00894841">
              <w:rPr>
                <w:rFonts w:asciiTheme="minorHAnsi" w:hAnsiTheme="minorHAnsi" w:cstheme="minorHAnsi"/>
                <w:sz w:val="22"/>
                <w:szCs w:val="22"/>
              </w:rPr>
              <w:fldChar w:fldCharType="end"/>
            </w:r>
            <w:bookmarkEnd w:id="66"/>
            <w:r w:rsidRPr="00894841">
              <w:rPr>
                <w:rFonts w:asciiTheme="minorHAnsi" w:hAnsiTheme="minorHAnsi" w:cstheme="minorHAnsi"/>
                <w:sz w:val="22"/>
                <w:szCs w:val="22"/>
              </w:rPr>
              <w:t>, in Tirana, on 25 November 2011).</w:t>
            </w:r>
          </w:p>
          <w:p w14:paraId="3C2D7491"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Projects assist in the operationalization of the institutional structure of the Drin Coordinated Action, rendering it capable of undertaking its coordinative and executive role.</w:t>
            </w:r>
          </w:p>
          <w:p w14:paraId="36DDAD5A"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This includes:</w:t>
            </w:r>
          </w:p>
          <w:p w14:paraId="715024E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w:t>
            </w:r>
            <w:r w:rsidRPr="00894841">
              <w:rPr>
                <w:rFonts w:asciiTheme="minorHAnsi" w:hAnsiTheme="minorHAnsi" w:cstheme="minorHAnsi"/>
                <w:sz w:val="22"/>
                <w:szCs w:val="22"/>
                <w:bdr w:val="none" w:sz="0" w:space="0" w:color="auto" w:frame="1"/>
              </w:rPr>
              <w:t>Meeting of the Parties</w:t>
            </w:r>
          </w:p>
          <w:p w14:paraId="2AA43ECF"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w:t>
            </w:r>
            <w:r w:rsidRPr="00894841">
              <w:rPr>
                <w:rFonts w:asciiTheme="minorHAnsi" w:hAnsiTheme="minorHAnsi" w:cstheme="minorHAnsi"/>
                <w:sz w:val="22"/>
                <w:szCs w:val="22"/>
                <w:bdr w:val="none" w:sz="0" w:space="0" w:color="auto" w:frame="1"/>
              </w:rPr>
              <w:t>Drin Core Group </w:t>
            </w:r>
            <w:r w:rsidRPr="00894841">
              <w:rPr>
                <w:rFonts w:asciiTheme="minorHAnsi" w:hAnsiTheme="minorHAnsi" w:cstheme="minorHAnsi"/>
                <w:sz w:val="22"/>
                <w:szCs w:val="22"/>
              </w:rPr>
              <w:t>(DCG). This body is given the mandate to coordinate actions for the implementation of the MoU. The DCG Secretariat provides technical and administrative support to the DCG.</w:t>
            </w:r>
          </w:p>
          <w:p w14:paraId="7A0A47F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Four </w:t>
            </w:r>
            <w:r w:rsidRPr="00894841">
              <w:rPr>
                <w:rFonts w:asciiTheme="minorHAnsi" w:hAnsiTheme="minorHAnsi" w:cstheme="minorHAnsi"/>
                <w:sz w:val="22"/>
                <w:szCs w:val="22"/>
                <w:bdr w:val="none" w:sz="0" w:space="0" w:color="auto" w:frame="1"/>
              </w:rPr>
              <w:t>Expert Working Groups </w:t>
            </w:r>
            <w:r w:rsidRPr="00894841">
              <w:rPr>
                <w:rFonts w:asciiTheme="minorHAnsi" w:hAnsiTheme="minorHAnsi" w:cstheme="minorHAnsi"/>
                <w:sz w:val="22"/>
                <w:szCs w:val="22"/>
              </w:rPr>
              <w:t>(EWG): (i) Water Framework Directive implementation EWG (ii) Monitoring and Information exchange EWG (iii) Biodiversity and Ecosystem EWG (iv) Floods EWG.</w:t>
            </w:r>
          </w:p>
          <w:p w14:paraId="7777B47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DCG has undertaken the role of the Steering Committee of the Projects.</w:t>
            </w:r>
          </w:p>
          <w:p w14:paraId="4653C64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Projects are executed by GWP-Med with the involvement of UNECE. The budget is $4,5 for the full-size project and $1 M for the medium-sized project.</w:t>
            </w:r>
          </w:p>
          <w:p w14:paraId="16EB35F1"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Projects have been instrumental in enhancing cooperation among the Drin Riparians. In addition to the Strategic Action Programme that was endorsed by Ministers and high-level representatives in April 2021, there have been catalytic outcomes as a result of the project contributing to the enhancement of the political process under the Drin MoU:</w:t>
            </w:r>
          </w:p>
          <w:p w14:paraId="58811A5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DCG requested to initiate actions for the establishment of a Drin Joint Commission through the signing of an International Agreement. A draft international agreement text to be negotiated is being prepared.</w:t>
            </w:r>
          </w:p>
          <w:p w14:paraId="6BDC79D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DCG is becoming the reference point for a range of management actions supported by various donors and initiatives. Apart from the GEF Drin project, it is the SC of the:</w:t>
            </w:r>
          </w:p>
          <w:p w14:paraId="043BC93D"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Part of the Austrian Development Agency (ADA) supported Project “Promoting the Sustainable Management of Natural Resources in Southeastern Europe, through the use of the Nexus approach” focusing on Drin.</w:t>
            </w:r>
          </w:p>
          <w:p w14:paraId="04A3D43F"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Adaptation Fund supported and UNDP implemented “Integrated climate-resilient transboundary flood risk management in the Drin River basin in the Western Balkans”.</w:t>
            </w:r>
          </w:p>
          <w:p w14:paraId="1C123960"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Lake Ohrid Management Plan was adopted by both Albania and North Macedonia.</w:t>
            </w:r>
          </w:p>
          <w:p w14:paraId="022FCC1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COVID-19 pandemic and the subsequent mitigation measures taken by the beneficiary Riparians (lockdowns, curfews etc.), have adversely affected the execution of meetings, studies for which input by the representatives of institutions is necessary (e.g. provision of information and data; input for the development of studies; approval of studies; etc.) and field activities (demonstration activities, study visits, awareness activities etc.). As are response, the PCU has used internet-based means to conclude the execution of the project activities. The COVID-19 pandemic resulted in delays in the project execution but has had a small effect in its results.</w:t>
            </w:r>
          </w:p>
          <w:p w14:paraId="7EB5CC12"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1F62CB7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bdr w:val="none" w:sz="0" w:space="0" w:color="auto" w:frame="1"/>
              </w:rPr>
              <w:t>2.TE Purpose</w:t>
            </w:r>
          </w:p>
          <w:p w14:paraId="2C23BD6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lastRenderedPageBreak/>
              <w:t>The </w:t>
            </w:r>
            <w:r w:rsidRPr="00894841">
              <w:rPr>
                <w:rFonts w:asciiTheme="minorHAnsi" w:hAnsiTheme="minorHAnsi" w:cstheme="minorHAnsi"/>
                <w:sz w:val="22"/>
                <w:szCs w:val="22"/>
                <w:bdr w:val="none" w:sz="0" w:space="0" w:color="auto" w:frame="1"/>
              </w:rPr>
              <w:t>purpose</w:t>
            </w:r>
            <w:r w:rsidRPr="00894841">
              <w:rPr>
                <w:rFonts w:asciiTheme="minorHAnsi" w:hAnsiTheme="minorHAnsi" w:cstheme="minorHAnsi"/>
                <w:sz w:val="22"/>
                <w:szCs w:val="22"/>
              </w:rPr>
              <w:t> of the TE is to provide an impartial evaluation of the project in terms of its relevance, effectiveness, efficiency, impact, sustainability, overall performance, management and achievements.</w:t>
            </w:r>
          </w:p>
          <w:p w14:paraId="72256B29"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Terminal Evaluation consultant will develop a technical report on the assessment of the achievement of project results against what was expected to be achieved, and draw lessons that can both improve the sustainability of benefits from this project, and aid in the overall enhancement of UNDP programming. The TE report promotes accountability and transparency, and assesses the extent of project accomplishments.</w:t>
            </w:r>
          </w:p>
          <w:p w14:paraId="208CE8D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Terminal Evaluations for GEF-financed projects have the following complementary purposes:</w:t>
            </w:r>
          </w:p>
          <w:p w14:paraId="58CCB3E7"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To promote accountability and transparency;</w:t>
            </w:r>
          </w:p>
          <w:p w14:paraId="401E892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To synthesize lessons that can help to improve the selection, design and implementation of future UNDP-supported GEF-financed initiatives; and to improve the sustainability of benefits and aid in overall enhancement of UNDP programming;</w:t>
            </w:r>
          </w:p>
          <w:p w14:paraId="6E81382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To assess and document project results, and the contribution of these results towards achieving GEF strategic objectives aimed at global environmental benefits;</w:t>
            </w:r>
          </w:p>
          <w:p w14:paraId="6E54CBFE"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To gauge the extent of project convergence with other priorities within the UNDP country programme, including poverty alleviation; strengthening resilience to the impacts of climate change, reducing disaster risk and vulnerability.</w:t>
            </w:r>
          </w:p>
          <w:p w14:paraId="4622D19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main output results of the terminal evaluation process will be presented in a Steering Committee meeting that will be organized in May or June 2021.</w:t>
            </w:r>
          </w:p>
          <w:bookmarkStart w:id="67" w:name="_ftn1"/>
          <w:p w14:paraId="40CEC972"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fldChar w:fldCharType="begin"/>
            </w:r>
            <w:r w:rsidRPr="00894841">
              <w:rPr>
                <w:rFonts w:asciiTheme="minorHAnsi" w:hAnsiTheme="minorHAnsi" w:cstheme="minorHAnsi"/>
                <w:sz w:val="22"/>
                <w:szCs w:val="22"/>
              </w:rPr>
              <w:instrText xml:space="preserve"> HYPERLINK "https://jobs.undp.org/cj_view_job.cfm?cur_job_id=98371" \l "_ftnref1" </w:instrText>
            </w:r>
            <w:r w:rsidRPr="00894841">
              <w:rPr>
                <w:rFonts w:asciiTheme="minorHAnsi" w:hAnsiTheme="minorHAnsi" w:cstheme="minorHAnsi"/>
                <w:sz w:val="22"/>
                <w:szCs w:val="22"/>
              </w:rPr>
              <w:fldChar w:fldCharType="separate"/>
            </w:r>
            <w:r w:rsidRPr="00894841">
              <w:rPr>
                <w:rFonts w:asciiTheme="minorHAnsi" w:hAnsiTheme="minorHAnsi" w:cstheme="minorHAnsi"/>
                <w:sz w:val="22"/>
                <w:szCs w:val="22"/>
                <w:bdr w:val="none" w:sz="0" w:space="0" w:color="auto" w:frame="1"/>
              </w:rPr>
              <w:t>[1]</w:t>
            </w:r>
            <w:r w:rsidRPr="00894841">
              <w:rPr>
                <w:rFonts w:asciiTheme="minorHAnsi" w:hAnsiTheme="minorHAnsi" w:cstheme="minorHAnsi"/>
                <w:sz w:val="22"/>
                <w:szCs w:val="22"/>
              </w:rPr>
              <w:fldChar w:fldCharType="end"/>
            </w:r>
            <w:r w:rsidRPr="00894841">
              <w:rPr>
                <w:rFonts w:asciiTheme="minorHAnsi" w:hAnsiTheme="minorHAnsi" w:cstheme="minorHAnsi"/>
                <w:sz w:val="22"/>
                <w:szCs w:val="22"/>
              </w:rPr>
              <w:t> All references to Kosovo on this website are made in the context of UN Security Council Resolution 1244 (1999)</w:t>
            </w:r>
          </w:p>
          <w:bookmarkStart w:id="68" w:name="_ftn2"/>
          <w:p w14:paraId="5812FA79"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fldChar w:fldCharType="begin"/>
            </w:r>
            <w:r w:rsidRPr="00894841">
              <w:rPr>
                <w:rFonts w:asciiTheme="minorHAnsi" w:hAnsiTheme="minorHAnsi" w:cstheme="minorHAnsi"/>
                <w:sz w:val="22"/>
                <w:szCs w:val="22"/>
              </w:rPr>
              <w:instrText xml:space="preserve"> HYPERLINK "https://jobs.undp.org/cj_view_job.cfm?cur_job_id=98371" \l "_ftnref2" </w:instrText>
            </w:r>
            <w:r w:rsidRPr="00894841">
              <w:rPr>
                <w:rFonts w:asciiTheme="minorHAnsi" w:hAnsiTheme="minorHAnsi" w:cstheme="minorHAnsi"/>
                <w:sz w:val="22"/>
                <w:szCs w:val="22"/>
              </w:rPr>
              <w:fldChar w:fldCharType="separate"/>
            </w:r>
            <w:r w:rsidRPr="00894841">
              <w:rPr>
                <w:rFonts w:asciiTheme="minorHAnsi" w:hAnsiTheme="minorHAnsi" w:cstheme="minorHAnsi"/>
                <w:sz w:val="22"/>
                <w:szCs w:val="22"/>
                <w:bdr w:val="none" w:sz="0" w:space="0" w:color="auto" w:frame="1"/>
              </w:rPr>
              <w:t>[2]</w:t>
            </w:r>
            <w:r w:rsidRPr="00894841">
              <w:rPr>
                <w:rFonts w:asciiTheme="minorHAnsi" w:hAnsiTheme="minorHAnsi" w:cstheme="minorHAnsi"/>
                <w:sz w:val="22"/>
                <w:szCs w:val="22"/>
              </w:rPr>
              <w:fldChar w:fldCharType="end"/>
            </w:r>
            <w:r w:rsidRPr="00894841">
              <w:rPr>
                <w:rFonts w:asciiTheme="minorHAnsi" w:hAnsiTheme="minorHAnsi" w:cstheme="minorHAnsi"/>
                <w:sz w:val="22"/>
                <w:szCs w:val="22"/>
              </w:rPr>
              <w:t> As these were identified through the Drin Transboundary Diagnostic Analysis</w:t>
            </w:r>
          </w:p>
          <w:bookmarkStart w:id="69" w:name="_ftn3"/>
          <w:p w14:paraId="6B1FC88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fldChar w:fldCharType="begin"/>
            </w:r>
            <w:r w:rsidRPr="00894841">
              <w:rPr>
                <w:rFonts w:asciiTheme="minorHAnsi" w:hAnsiTheme="minorHAnsi" w:cstheme="minorHAnsi"/>
                <w:sz w:val="22"/>
                <w:szCs w:val="22"/>
              </w:rPr>
              <w:instrText xml:space="preserve"> HYPERLINK "https://jobs.undp.org/cj_view_job.cfm?cur_job_id=98371" \l "_ftnref3" </w:instrText>
            </w:r>
            <w:r w:rsidRPr="00894841">
              <w:rPr>
                <w:rFonts w:asciiTheme="minorHAnsi" w:hAnsiTheme="minorHAnsi" w:cstheme="minorHAnsi"/>
                <w:sz w:val="22"/>
                <w:szCs w:val="22"/>
              </w:rPr>
              <w:fldChar w:fldCharType="separate"/>
            </w:r>
            <w:r w:rsidRPr="00894841">
              <w:rPr>
                <w:rFonts w:asciiTheme="minorHAnsi" w:hAnsiTheme="minorHAnsi" w:cstheme="minorHAnsi"/>
                <w:sz w:val="22"/>
                <w:szCs w:val="22"/>
                <w:bdr w:val="none" w:sz="0" w:space="0" w:color="auto" w:frame="1"/>
              </w:rPr>
              <w:t>[3]</w:t>
            </w:r>
            <w:r w:rsidRPr="00894841">
              <w:rPr>
                <w:rFonts w:asciiTheme="minorHAnsi" w:hAnsiTheme="minorHAnsi" w:cstheme="minorHAnsi"/>
                <w:sz w:val="22"/>
                <w:szCs w:val="22"/>
              </w:rPr>
              <w:fldChar w:fldCharType="end"/>
            </w:r>
            <w:bookmarkEnd w:id="69"/>
            <w:r w:rsidRPr="00894841">
              <w:rPr>
                <w:rFonts w:asciiTheme="minorHAnsi" w:hAnsiTheme="minorHAnsi" w:cstheme="minorHAnsi"/>
                <w:sz w:val="22"/>
                <w:szCs w:val="22"/>
              </w:rPr>
              <w:t> Albania, North Macedonia, Greece, Kosovo and Montenegro.</w:t>
            </w:r>
          </w:p>
        </w:tc>
      </w:tr>
      <w:tr w:rsidR="0068698D" w:rsidRPr="00894841" w14:paraId="45A0FF6A" w14:textId="77777777" w:rsidTr="0068698D">
        <w:tc>
          <w:tcPr>
            <w:tcW w:w="0" w:type="auto"/>
            <w:shd w:val="clear" w:color="auto" w:fill="auto"/>
            <w:hideMark/>
          </w:tcPr>
          <w:p w14:paraId="4CAFC9B3" w14:textId="77777777" w:rsidR="0068698D" w:rsidRPr="00894841" w:rsidRDefault="0068698D" w:rsidP="00DB2DCE">
            <w:pPr>
              <w:rPr>
                <w:rFonts w:asciiTheme="minorHAnsi" w:hAnsiTheme="minorHAnsi" w:cstheme="minorHAnsi"/>
                <w:sz w:val="22"/>
                <w:szCs w:val="22"/>
              </w:rPr>
            </w:pPr>
            <w:r w:rsidRPr="00894841">
              <w:rPr>
                <w:rFonts w:asciiTheme="minorHAnsi" w:hAnsiTheme="minorHAnsi" w:cstheme="minorHAnsi"/>
                <w:sz w:val="22"/>
                <w:szCs w:val="22"/>
              </w:rPr>
              <w:lastRenderedPageBreak/>
              <w:br/>
            </w:r>
          </w:p>
          <w:p w14:paraId="0ED9B265"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Duties and Responsibilities</w:t>
            </w:r>
          </w:p>
          <w:p w14:paraId="509D826A" w14:textId="77777777" w:rsidR="0068698D" w:rsidRPr="00894841" w:rsidRDefault="0068698D" w:rsidP="00DB2DCE">
            <w:pPr>
              <w:rPr>
                <w:rFonts w:asciiTheme="minorHAnsi" w:hAnsiTheme="minorHAnsi" w:cstheme="minorHAnsi"/>
                <w:sz w:val="22"/>
                <w:szCs w:val="22"/>
              </w:rPr>
            </w:pPr>
          </w:p>
        </w:tc>
      </w:tr>
      <w:tr w:rsidR="0068698D" w:rsidRPr="00894841" w14:paraId="28612F70" w14:textId="77777777" w:rsidTr="0068698D">
        <w:tc>
          <w:tcPr>
            <w:tcW w:w="0" w:type="auto"/>
            <w:shd w:val="clear" w:color="auto" w:fill="auto"/>
            <w:hideMark/>
          </w:tcPr>
          <w:p w14:paraId="4C73565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bdr w:val="none" w:sz="0" w:space="0" w:color="auto" w:frame="1"/>
              </w:rPr>
              <w:t>1.TE Approach &amp; Methodology</w:t>
            </w:r>
          </w:p>
          <w:p w14:paraId="7FC4BA85"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TE must provide evidence-based information that is credible, reliable and useful.  The Evaluation should employ a combination of both qualitative and quantitative evaluation methods and instruments. The TE methodology should include:</w:t>
            </w:r>
          </w:p>
          <w:p w14:paraId="39347BE0"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Document review of all relevant documentation including the PIF, UNDP Social and Environmental Screening Procedure/SESP, Project Document, project reports and annual PIRs, project Steering Committee meetings reports, project budget revisions, national strategic and legal documents, and any other materials that the TE consultant considers useful for this evidence-based evaluation.</w:t>
            </w:r>
          </w:p>
          <w:p w14:paraId="2D810815"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Development of evaluation questions around relevance, effectiveness, efficiency and sustainability and designed for different stakeholders to be interviewed.</w:t>
            </w:r>
          </w:p>
          <w:p w14:paraId="4A1FE0F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TE is expected to follow a participatory and consultative approach that ensures close engagement with the Project Team, executing partner, UNDP Regional Technical Adviser, UNDP Country Office(s)/evaluation managers, and direct beneficiaries.</w:t>
            </w:r>
          </w:p>
          <w:p w14:paraId="4405A38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Engagement of stakeholders is vital to a successful TE. Stakeholder involvement should include interviews with stakeholders who have project responsibilities, including but not limited to:</w:t>
            </w:r>
          </w:p>
          <w:p w14:paraId="275EE59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UNDP GEF Regional Technical Advisor</w:t>
            </w:r>
          </w:p>
          <w:p w14:paraId="7E9B3F4D"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UNDP Country Offices in Albania and in Kosovo</w:t>
            </w:r>
          </w:p>
          <w:p w14:paraId="24D85E91"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GWP-Med being the executing agency </w:t>
            </w:r>
          </w:p>
          <w:p w14:paraId="1BB0A23E"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Project Manager</w:t>
            </w:r>
          </w:p>
          <w:p w14:paraId="624CD58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Steering Committee members</w:t>
            </w:r>
          </w:p>
          <w:p w14:paraId="38A86DF1"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Beneficiaries and stakeholders</w:t>
            </w:r>
            <w:hyperlink r:id="rId24" w:anchor="_ftn1" w:history="1">
              <w:r w:rsidRPr="00894841">
                <w:rPr>
                  <w:rFonts w:asciiTheme="minorHAnsi" w:hAnsiTheme="minorHAnsi" w:cstheme="minorHAnsi"/>
                  <w:sz w:val="22"/>
                  <w:szCs w:val="22"/>
                  <w:bdr w:val="none" w:sz="0" w:space="0" w:color="auto" w:frame="1"/>
                </w:rPr>
                <w:t>[1]</w:t>
              </w:r>
            </w:hyperlink>
          </w:p>
          <w:p w14:paraId="308E7E7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Interviews to be conducted online due to Covid-19 restrictions. All interviews should be undertaken in full confidence and anonymity. The final evaluation report should not assign specific comments to individuals.</w:t>
            </w:r>
          </w:p>
          <w:p w14:paraId="65971CE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lastRenderedPageBreak/>
              <w:t>Validation of key tangible outputs and interventions through available documents and reports produced for these outputs. These documents should include technical reports, brochures, and possibly pictures or videos that were taken by the project team from the field sites during the different phases of implementation.</w:t>
            </w:r>
          </w:p>
          <w:p w14:paraId="713CE385"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Other methods such as outcome mapping, online group discussions, etc.</w:t>
            </w:r>
          </w:p>
          <w:p w14:paraId="47F14D1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Data review and analysis of monitoring and other data sources and methods.</w:t>
            </w:r>
          </w:p>
          <w:p w14:paraId="0F275B3A"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Assurance of maximum validity, reliability of data (quality) and promote use; the TE process should ensure triangulation of the various data sources.</w:t>
            </w:r>
          </w:p>
          <w:p w14:paraId="73E37AD0"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specific design and methodology for the TE should emerge from consultations between the TE Consultant and the UNDP Regional Technical Advisor, UNDP Country offices in Albania and Kosovo and GWP-Med, regarding what is appropriate and feasible for meeting the TE purpose and objectives and answering the evaluation questions, given limitations of budget, time and data. The TE Consultant must, however, use gender-responsive methodologies and tools and ensure that gender equality and women’s empowerment, as well as other cross-cutting issues and SDGs are incorporated into the TE report.</w:t>
            </w:r>
          </w:p>
          <w:p w14:paraId="78EB66F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final methodological approach including interview schedule; data to be used in the evaluation etc. should be clearly outlined in the inception report and be fully discussed and agreed between UNDP Country offices in Albania and Kosovo, GWP-Med and the TE Consultant.</w:t>
            </w:r>
          </w:p>
          <w:p w14:paraId="79DAC14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final TE report should describe the full TE approach taken and the rationale for the approach making explicit the underlying assumptions, challenges, strengths and weaknesses about the methods and approach of the evaluation.</w:t>
            </w:r>
          </w:p>
          <w:p w14:paraId="583520F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As of 11 March 2020, the World Health Organization (WHO) declared COVID-19 a global pandemic as the new coronavirus rapidly spread to all regions of the world. A set of mitigation measures including lockdowns, curfews, travel bans etc., were applied and some continue to be in place. Most of the consultations and trainings are being conducted through online platforms. The TE Consultant should develop a methodology that takes this into account and conduct the TE virtually and remotely, including the use of remote interview methods and extended desk reviews, data analysis, surveys and evaluation questionnaires. This should be detailed in the TE Inception Report and agreed with the Commissioning Unit. </w:t>
            </w:r>
          </w:p>
          <w:p w14:paraId="093DDCA1"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2545B181"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bdr w:val="none" w:sz="0" w:space="0" w:color="auto" w:frame="1"/>
              </w:rPr>
              <w:t>Detailed Scope of the TE</w:t>
            </w:r>
          </w:p>
          <w:p w14:paraId="7DB7715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TE Consultant will first conduct a document review of project documents (i.e. PIF, Project Document, project reports and annual PIRs, project Steering committee meetings reports, project budget revisions, etc.) provided by the Project Team and UNDP. Then she/he will participate in an TE inception workshop to clarify her/his understanding of the objectives and methods of the TE, producing the TE inception report thereafter. The TE Consultant will then organize a series of interviews with relevant stakeholders.</w:t>
            </w:r>
          </w:p>
          <w:p w14:paraId="0184CBEA"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TE will assess project performance against expectations set out in the project’s Logical Framework/Results Framework (as per revisions by the Steering Committee; see TOR Annex A). The TE will assess results according to the criteria outlined in the Guidance for TEs of UNDP-supported GEF-financed Projects </w:t>
            </w:r>
            <w:r w:rsidRPr="00894841">
              <w:rPr>
                <w:rFonts w:asciiTheme="minorHAnsi" w:hAnsiTheme="minorHAnsi" w:cstheme="minorHAnsi"/>
                <w:i/>
                <w:iCs/>
                <w:sz w:val="22"/>
                <w:szCs w:val="22"/>
                <w:bdr w:val="none" w:sz="0" w:space="0" w:color="auto" w:frame="1"/>
              </w:rPr>
              <w:t>(</w:t>
            </w:r>
            <w:hyperlink r:id="rId25" w:history="1">
              <w:r w:rsidRPr="00894841">
                <w:rPr>
                  <w:rFonts w:asciiTheme="minorHAnsi" w:hAnsiTheme="minorHAnsi" w:cstheme="minorHAnsi"/>
                  <w:i/>
                  <w:iCs/>
                  <w:sz w:val="22"/>
                  <w:szCs w:val="22"/>
                  <w:bdr w:val="none" w:sz="0" w:space="0" w:color="auto" w:frame="1"/>
                </w:rPr>
                <w:t>http://web.undp.org/evaluation/guideline/documents/GEF/TE_GuidanceforUNDP-supportedGEF-financedProjects.pdf</w:t>
              </w:r>
            </w:hyperlink>
            <w:r w:rsidRPr="00894841">
              <w:rPr>
                <w:rFonts w:asciiTheme="minorHAnsi" w:hAnsiTheme="minorHAnsi" w:cstheme="minorHAnsi"/>
                <w:i/>
                <w:iCs/>
                <w:sz w:val="22"/>
                <w:szCs w:val="22"/>
                <w:bdr w:val="none" w:sz="0" w:space="0" w:color="auto" w:frame="1"/>
              </w:rPr>
              <w:t>)  </w:t>
            </w:r>
            <w:r w:rsidRPr="00894841">
              <w:rPr>
                <w:rFonts w:asciiTheme="minorHAnsi" w:hAnsiTheme="minorHAnsi" w:cstheme="minorHAnsi"/>
                <w:sz w:val="22"/>
                <w:szCs w:val="22"/>
              </w:rPr>
              <w:t>.</w:t>
            </w:r>
          </w:p>
          <w:p w14:paraId="5E8F7C4A"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Findings section of the TE report will cover the topics listed below.</w:t>
            </w:r>
          </w:p>
          <w:p w14:paraId="41A00A2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A full outline of the TE report’s content is provided in ToR Annex C.</w:t>
            </w:r>
          </w:p>
          <w:p w14:paraId="33B1AB32"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asterisk “(*)” indicates criteria for which a rating is required.</w:t>
            </w:r>
          </w:p>
          <w:p w14:paraId="420165C5"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Findings</w:t>
            </w:r>
          </w:p>
          <w:p w14:paraId="4AAA10C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Project Design/Formulation</w:t>
            </w:r>
          </w:p>
          <w:p w14:paraId="795296CE"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National priorities and country drivenness</w:t>
            </w:r>
          </w:p>
          <w:p w14:paraId="707047F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Analysis of Results Framework: project logic and strategy, indicators</w:t>
            </w:r>
          </w:p>
          <w:p w14:paraId="1E865EC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Gender equality and women’s empowerment</w:t>
            </w:r>
          </w:p>
          <w:p w14:paraId="23EF804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lastRenderedPageBreak/>
              <w:t>Social and Environmental Safeguards</w:t>
            </w:r>
          </w:p>
          <w:p w14:paraId="36188779"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Assumptions and Risks</w:t>
            </w:r>
          </w:p>
          <w:p w14:paraId="6611ED7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Lessons from other relevant projects (e.g. same focal area) incorporated into project design</w:t>
            </w:r>
          </w:p>
          <w:p w14:paraId="58CFFD7E"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Planned stakeholder participation</w:t>
            </w:r>
          </w:p>
          <w:p w14:paraId="3E3CB001"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Linkages between project and other interventions within the sector</w:t>
            </w:r>
          </w:p>
          <w:p w14:paraId="3938D90D"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Management arrangements</w:t>
            </w:r>
          </w:p>
          <w:p w14:paraId="54EB948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6CADB97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Project Implementation</w:t>
            </w:r>
          </w:p>
          <w:p w14:paraId="5FB1BDF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Adaptive management (changes to the project design and project outputs during implementation)</w:t>
            </w:r>
          </w:p>
          <w:p w14:paraId="40D16035"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Actual stakeholder participation and partnership arrangements</w:t>
            </w:r>
          </w:p>
          <w:p w14:paraId="3B64A2ED"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Project Finance and Co-finance</w:t>
            </w:r>
          </w:p>
          <w:p w14:paraId="1ECB377D"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Monitoring &amp; Evaluation: design at entry (*), implementation (*), and overall assessment of M&amp;E (*)</w:t>
            </w:r>
          </w:p>
          <w:p w14:paraId="751C84A2"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Implementing Agency (UNDP) (*) and Executing Agency (*), overall project oversight/implementation and execution (*)</w:t>
            </w:r>
          </w:p>
          <w:p w14:paraId="62192CF7"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Risk Management, including Social and Environmental Standards</w:t>
            </w:r>
          </w:p>
          <w:p w14:paraId="7ADEF225"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55FC5D4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Project Results</w:t>
            </w:r>
          </w:p>
          <w:p w14:paraId="4D93D6C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Assess the achievement of outcomes against indicators by reporting on the level of progress for each objective and outcome indicator at the time of the TE and noting final achievements</w:t>
            </w:r>
          </w:p>
          <w:p w14:paraId="3BA40DB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Relevance (*), Effectiveness (*), Efficiency (*) and overall project outcome (*)</w:t>
            </w:r>
          </w:p>
          <w:p w14:paraId="1FAE71B5"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Sustainability: financial (*)  , socio-political (*), institutional framework and governance (*), environmental (*), overall likelihood of sustainability (*)</w:t>
            </w:r>
          </w:p>
          <w:p w14:paraId="024CF2E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Country ownership</w:t>
            </w:r>
          </w:p>
          <w:p w14:paraId="5D0EC8E7"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Gender equality and women’s empowerment</w:t>
            </w:r>
          </w:p>
          <w:p w14:paraId="1B3E28FA"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Cross-cutting issues (improved governance, climate change, capacity development, South-South cooperation, knowledge management)</w:t>
            </w:r>
          </w:p>
          <w:p w14:paraId="3AB6CE3F"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GEF Additionality</w:t>
            </w:r>
          </w:p>
          <w:p w14:paraId="12130F0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Catalytic Role / Replication Effect</w:t>
            </w:r>
          </w:p>
          <w:p w14:paraId="0034EFC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Progress to impact</w:t>
            </w:r>
          </w:p>
          <w:p w14:paraId="09DEF2B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49123F62"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Main Findings, Conclusions, Recommendations and Lessons Learned</w:t>
            </w:r>
          </w:p>
          <w:p w14:paraId="5C165FD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TE Consultant will include a summary of the main findings of the TE report. Findings should be presented as statements of fact that are based on analysis of the data.</w:t>
            </w:r>
          </w:p>
          <w:p w14:paraId="6167B670"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The section on conclusions will be written in light of the findings. Conclusions should be comprehensive and balanced statements that are well substantiated by evidence and logically connected to the TE findings. They should highlight the strengths, weaknesses and results of the project, respond to key evaluation questions and provide insights into the identification of and/or solutions to important problems or issues pertinent to project beneficiaries, UNDP and the GEF, including issues in relation to gender equality and women’s empowerment.</w:t>
            </w:r>
          </w:p>
          <w:p w14:paraId="62CEBFC7"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Recommendations should provide concrete, practical, feasible and targeted recommendations directed to the intended users of the evaluation about what actions to take and decisions to make. The recommendations should be specifically supported by the evidence and linked to the findings and conclusions around key questions addressed by the evaluation.</w:t>
            </w:r>
          </w:p>
          <w:p w14:paraId="30A00E02"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TE report should also include lessons that can be taken from the evaluation, including best and worst practices in addressing issues relating to relevance, performance and success that can provide knowledge gained from the particular circumstance (programmatic and evaluation methods used, partnerships, financial leveraging, etc.) that are applicable to other GEF and UNDP interventions. When possible, the TE Consultant should include examples of good practices in project design and implementation.</w:t>
            </w:r>
          </w:p>
          <w:p w14:paraId="07463EF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It is important for the conclusions, recommendations and lessons learned of the TE report to include results related to gender equality and empowerment of women.</w:t>
            </w:r>
          </w:p>
          <w:p w14:paraId="2CEA543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lastRenderedPageBreak/>
              <w:t>The TE report will include an Evaluation Ratings Table, as shown in the ToR Annex.</w:t>
            </w:r>
          </w:p>
          <w:p w14:paraId="34AD6439"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7AEAB8E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bdr w:val="none" w:sz="0" w:space="0" w:color="auto" w:frame="1"/>
              </w:rPr>
              <w:t>Expected Outputs and Deliverables</w:t>
            </w:r>
          </w:p>
          <w:p w14:paraId="19C503E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TE Consultant shall prepare and submit:</w:t>
            </w:r>
          </w:p>
          <w:p w14:paraId="3632E05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TE Inception Report: TE Consultant clarifies objectives and methods of the TE no later than </w:t>
            </w:r>
            <w:r w:rsidRPr="00894841">
              <w:rPr>
                <w:rFonts w:asciiTheme="minorHAnsi" w:hAnsiTheme="minorHAnsi" w:cstheme="minorHAnsi"/>
                <w:i/>
                <w:iCs/>
                <w:sz w:val="22"/>
                <w:szCs w:val="22"/>
                <w:bdr w:val="none" w:sz="0" w:space="0" w:color="auto" w:frame="1"/>
              </w:rPr>
              <w:t>2 weeks</w:t>
            </w:r>
            <w:r w:rsidRPr="00894841">
              <w:rPr>
                <w:rFonts w:asciiTheme="minorHAnsi" w:hAnsiTheme="minorHAnsi" w:cstheme="minorHAnsi"/>
                <w:sz w:val="22"/>
                <w:szCs w:val="22"/>
              </w:rPr>
              <w:t> before the TE mission/interviews. TE Consultant submits the Inception Report to the Commissioning Unit and project management. Approximate due date: </w:t>
            </w:r>
            <w:r w:rsidRPr="00894841">
              <w:rPr>
                <w:rFonts w:asciiTheme="minorHAnsi" w:hAnsiTheme="minorHAnsi" w:cstheme="minorHAnsi"/>
                <w:i/>
                <w:iCs/>
                <w:sz w:val="22"/>
                <w:szCs w:val="22"/>
                <w:bdr w:val="none" w:sz="0" w:space="0" w:color="auto" w:frame="1"/>
              </w:rPr>
              <w:t> 15 May 2021</w:t>
            </w:r>
          </w:p>
          <w:p w14:paraId="58D4A73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Presentation: TE Consultant presents initial findings to project management and the Commissioning Unit at the end of the TE mission. Approximate due date: 25 </w:t>
            </w:r>
            <w:r w:rsidRPr="00894841">
              <w:rPr>
                <w:rFonts w:asciiTheme="minorHAnsi" w:hAnsiTheme="minorHAnsi" w:cstheme="minorHAnsi"/>
                <w:i/>
                <w:iCs/>
                <w:sz w:val="22"/>
                <w:szCs w:val="22"/>
                <w:bdr w:val="none" w:sz="0" w:space="0" w:color="auto" w:frame="1"/>
              </w:rPr>
              <w:t>May 2021</w:t>
            </w:r>
          </w:p>
          <w:p w14:paraId="711FEBBA"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Draft TE Report: TE Consultant submits full draft report with annexes </w:t>
            </w:r>
            <w:r w:rsidRPr="00894841">
              <w:rPr>
                <w:rFonts w:asciiTheme="minorHAnsi" w:hAnsiTheme="minorHAnsi" w:cstheme="minorHAnsi"/>
                <w:i/>
                <w:iCs/>
                <w:sz w:val="22"/>
                <w:szCs w:val="22"/>
                <w:bdr w:val="none" w:sz="0" w:space="0" w:color="auto" w:frame="1"/>
              </w:rPr>
              <w:t>within 2 weeks</w:t>
            </w:r>
            <w:r w:rsidRPr="00894841">
              <w:rPr>
                <w:rFonts w:asciiTheme="minorHAnsi" w:hAnsiTheme="minorHAnsi" w:cstheme="minorHAnsi"/>
                <w:sz w:val="22"/>
                <w:szCs w:val="22"/>
              </w:rPr>
              <w:t> of the end of the TE mission. Approximate due date: </w:t>
            </w:r>
            <w:r w:rsidRPr="00894841">
              <w:rPr>
                <w:rFonts w:asciiTheme="minorHAnsi" w:hAnsiTheme="minorHAnsi" w:cstheme="minorHAnsi"/>
                <w:i/>
                <w:iCs/>
                <w:sz w:val="22"/>
                <w:szCs w:val="22"/>
                <w:bdr w:val="none" w:sz="0" w:space="0" w:color="auto" w:frame="1"/>
              </w:rPr>
              <w:t>8 June 2021</w:t>
            </w:r>
          </w:p>
          <w:p w14:paraId="70A33D59"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Final TE Report*: TE Consultant submits revised report, detailing how all received comments have (and have not) been addressed in the final TE report, to the Commissioning Unit </w:t>
            </w:r>
            <w:r w:rsidRPr="00894841">
              <w:rPr>
                <w:rFonts w:asciiTheme="minorHAnsi" w:hAnsiTheme="minorHAnsi" w:cstheme="minorHAnsi"/>
                <w:i/>
                <w:iCs/>
                <w:sz w:val="22"/>
                <w:szCs w:val="22"/>
                <w:bdr w:val="none" w:sz="0" w:space="0" w:color="auto" w:frame="1"/>
              </w:rPr>
              <w:t>within 1 week</w:t>
            </w:r>
            <w:r w:rsidRPr="00894841">
              <w:rPr>
                <w:rFonts w:asciiTheme="minorHAnsi" w:hAnsiTheme="minorHAnsi" w:cstheme="minorHAnsi"/>
                <w:sz w:val="22"/>
                <w:szCs w:val="22"/>
              </w:rPr>
              <w:t> of receiving UNDP comments on draft. Approximate due date: </w:t>
            </w:r>
            <w:r w:rsidRPr="00894841">
              <w:rPr>
                <w:rFonts w:asciiTheme="minorHAnsi" w:hAnsiTheme="minorHAnsi" w:cstheme="minorHAnsi"/>
                <w:i/>
                <w:iCs/>
                <w:sz w:val="22"/>
                <w:szCs w:val="22"/>
                <w:bdr w:val="none" w:sz="0" w:space="0" w:color="auto" w:frame="1"/>
              </w:rPr>
              <w:t>1 July 2021</w:t>
            </w:r>
            <w:r w:rsidRPr="00894841">
              <w:rPr>
                <w:rFonts w:asciiTheme="minorHAnsi" w:hAnsiTheme="minorHAnsi" w:cstheme="minorHAnsi"/>
                <w:sz w:val="22"/>
                <w:szCs w:val="22"/>
              </w:rPr>
              <w:t>.</w:t>
            </w:r>
          </w:p>
          <w:p w14:paraId="4175660F"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4FD9287D"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final TE report must be in English.</w:t>
            </w:r>
          </w:p>
          <w:p w14:paraId="58F3117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final TE report will be quality assessed by the UNDP Independent Evaluation Office (IEO).  Details of the IEO’s quality assessment of decentralized evaluations can be found in Section 6 of the UNDP Evaluation Guidelines.</w:t>
            </w:r>
            <w:hyperlink r:id="rId26" w:anchor="_ftn2" w:history="1">
              <w:r w:rsidRPr="00894841">
                <w:rPr>
                  <w:rFonts w:asciiTheme="minorHAnsi" w:hAnsiTheme="minorHAnsi" w:cstheme="minorHAnsi"/>
                  <w:sz w:val="22"/>
                  <w:szCs w:val="22"/>
                  <w:bdr w:val="none" w:sz="0" w:space="0" w:color="auto" w:frame="1"/>
                </w:rPr>
                <w:t>[2]</w:t>
              </w:r>
            </w:hyperlink>
          </w:p>
          <w:p w14:paraId="7FF2A639"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1ADFD34B"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bdr w:val="none" w:sz="0" w:space="0" w:color="auto" w:frame="1"/>
              </w:rPr>
              <w:t>TE Arrangements</w:t>
            </w:r>
          </w:p>
          <w:p w14:paraId="17B99E05"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principal responsibility for managing the TE resides with the Commissioning Unit.  The Commissioning Unit for this project’s TE is UNDP Country Office in Albania in coordination with UNDP Country Office in Kosovo and UNDP IRH.</w:t>
            </w:r>
          </w:p>
          <w:p w14:paraId="46EFDB0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Commissioning Unit will contract the consultant .  The Project Team will be responsible for liaising with the TE Consultant to provide all relevant documents and set up stakeholder interviews.</w:t>
            </w:r>
          </w:p>
          <w:p w14:paraId="7AB200F1"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19DB0B40"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bdr w:val="none" w:sz="0" w:space="0" w:color="auto" w:frame="1"/>
              </w:rPr>
              <w:t>Duration of the Work</w:t>
            </w:r>
          </w:p>
          <w:p w14:paraId="034B46BC"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total duration of the TE will be approximately </w:t>
            </w:r>
            <w:r w:rsidRPr="00894841">
              <w:rPr>
                <w:rFonts w:asciiTheme="minorHAnsi" w:hAnsiTheme="minorHAnsi" w:cstheme="minorHAnsi"/>
                <w:i/>
                <w:iCs/>
                <w:sz w:val="22"/>
                <w:szCs w:val="22"/>
                <w:bdr w:val="none" w:sz="0" w:space="0" w:color="auto" w:frame="1"/>
              </w:rPr>
              <w:t>30 working days </w:t>
            </w:r>
            <w:r w:rsidRPr="00894841">
              <w:rPr>
                <w:rFonts w:asciiTheme="minorHAnsi" w:hAnsiTheme="minorHAnsi" w:cstheme="minorHAnsi"/>
                <w:sz w:val="22"/>
                <w:szCs w:val="22"/>
              </w:rPr>
              <w:t>over during May-July 2021</w:t>
            </w:r>
          </w:p>
          <w:p w14:paraId="79E53B69"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23 April 2021:</w:t>
            </w:r>
            <w:r w:rsidRPr="00894841">
              <w:rPr>
                <w:rFonts w:asciiTheme="minorHAnsi" w:hAnsiTheme="minorHAnsi" w:cstheme="minorHAnsi"/>
                <w:sz w:val="22"/>
                <w:szCs w:val="22"/>
              </w:rPr>
              <w:t> Application closes</w:t>
            </w:r>
          </w:p>
          <w:p w14:paraId="6A253649" w14:textId="1CC9B283"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15 May 2021:</w:t>
            </w:r>
            <w:r w:rsidRPr="00894841">
              <w:rPr>
                <w:rFonts w:asciiTheme="minorHAnsi" w:hAnsiTheme="minorHAnsi" w:cstheme="minorHAnsi"/>
                <w:sz w:val="22"/>
                <w:szCs w:val="22"/>
              </w:rPr>
              <w:t xml:space="preserve"> Finalization and Validation of TE Inception Report- latest start of TE interviews</w:t>
            </w:r>
          </w:p>
          <w:p w14:paraId="30A08B20" w14:textId="00D1FBA0"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21 May 2021</w:t>
            </w:r>
            <w:r w:rsidRPr="00894841">
              <w:rPr>
                <w:rFonts w:asciiTheme="minorHAnsi" w:hAnsiTheme="minorHAnsi" w:cstheme="minorHAnsi"/>
                <w:sz w:val="22"/>
                <w:szCs w:val="22"/>
              </w:rPr>
              <w:t>: TE stakeholder meetings, and interviews</w:t>
            </w:r>
          </w:p>
          <w:p w14:paraId="1A062717"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25 May 2021:</w:t>
            </w:r>
            <w:r w:rsidRPr="00894841">
              <w:rPr>
                <w:rFonts w:asciiTheme="minorHAnsi" w:hAnsiTheme="minorHAnsi" w:cstheme="minorHAnsi"/>
                <w:sz w:val="22"/>
                <w:szCs w:val="22"/>
              </w:rPr>
              <w:t> Presentation of initial findings</w:t>
            </w:r>
          </w:p>
          <w:p w14:paraId="7916565F" w14:textId="12AEC6CD"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8 June 2021:</w:t>
            </w:r>
            <w:r w:rsidRPr="00894841">
              <w:rPr>
                <w:rFonts w:asciiTheme="minorHAnsi" w:hAnsiTheme="minorHAnsi" w:cstheme="minorHAnsi"/>
                <w:sz w:val="22"/>
                <w:szCs w:val="22"/>
              </w:rPr>
              <w:t xml:space="preserve"> Preparation of draft TE report</w:t>
            </w:r>
          </w:p>
          <w:p w14:paraId="68FC837A"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9 June 2021:</w:t>
            </w:r>
            <w:r w:rsidRPr="00894841">
              <w:rPr>
                <w:rFonts w:asciiTheme="minorHAnsi" w:hAnsiTheme="minorHAnsi" w:cstheme="minorHAnsi"/>
                <w:sz w:val="22"/>
                <w:szCs w:val="22"/>
              </w:rPr>
              <w:t> Circulation of draft TE report for comments</w:t>
            </w:r>
          </w:p>
          <w:p w14:paraId="3A4CE10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11 June 2021</w:t>
            </w:r>
            <w:r w:rsidRPr="00894841">
              <w:rPr>
                <w:rFonts w:asciiTheme="minorHAnsi" w:hAnsiTheme="minorHAnsi" w:cstheme="minorHAnsi"/>
                <w:sz w:val="22"/>
                <w:szCs w:val="22"/>
              </w:rPr>
              <w:t>: Incorporation of comments on draft TE report into Audit Trail &amp; finalization of TE report</w:t>
            </w:r>
          </w:p>
          <w:p w14:paraId="326166C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25 June 2021:</w:t>
            </w:r>
            <w:r w:rsidRPr="00894841">
              <w:rPr>
                <w:rFonts w:asciiTheme="minorHAnsi" w:hAnsiTheme="minorHAnsi" w:cstheme="minorHAnsi"/>
                <w:sz w:val="22"/>
                <w:szCs w:val="22"/>
              </w:rPr>
              <w:t> Preparation &amp; Issue of Management Response</w:t>
            </w:r>
          </w:p>
          <w:p w14:paraId="5DB040E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1 July 2021:</w:t>
            </w:r>
            <w:r w:rsidRPr="00894841">
              <w:rPr>
                <w:rFonts w:asciiTheme="minorHAnsi" w:hAnsiTheme="minorHAnsi" w:cstheme="minorHAnsi"/>
                <w:sz w:val="22"/>
                <w:szCs w:val="22"/>
              </w:rPr>
              <w:t> Concluding Project SC meeting to present the TE findings</w:t>
            </w:r>
          </w:p>
          <w:p w14:paraId="4DB68D4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i/>
                <w:iCs/>
                <w:sz w:val="22"/>
                <w:szCs w:val="22"/>
                <w:bdr w:val="none" w:sz="0" w:space="0" w:color="auto" w:frame="1"/>
              </w:rPr>
              <w:t>1 July 2021:</w:t>
            </w:r>
            <w:r w:rsidRPr="00894841">
              <w:rPr>
                <w:rFonts w:asciiTheme="minorHAnsi" w:hAnsiTheme="minorHAnsi" w:cstheme="minorHAnsi"/>
                <w:sz w:val="22"/>
                <w:szCs w:val="22"/>
              </w:rPr>
              <w:t> Expected date of full TE completion</w:t>
            </w:r>
          </w:p>
          <w:p w14:paraId="6F568879"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 </w:t>
            </w:r>
          </w:p>
          <w:p w14:paraId="65BE8630"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The expected date start date of contract is </w:t>
            </w:r>
            <w:r w:rsidRPr="00894841">
              <w:rPr>
                <w:rFonts w:asciiTheme="minorHAnsi" w:hAnsiTheme="minorHAnsi" w:cstheme="minorHAnsi"/>
                <w:i/>
                <w:iCs/>
                <w:sz w:val="22"/>
                <w:szCs w:val="22"/>
                <w:bdr w:val="none" w:sz="0" w:space="0" w:color="auto" w:frame="1"/>
              </w:rPr>
              <w:t>1 May 2021.</w:t>
            </w:r>
          </w:p>
          <w:p w14:paraId="592EBF92" w14:textId="77777777" w:rsidR="0068698D" w:rsidRPr="00894841" w:rsidRDefault="0068698D" w:rsidP="00894841">
            <w:pPr>
              <w:rPr>
                <w:rFonts w:asciiTheme="minorHAnsi" w:hAnsiTheme="minorHAnsi" w:cstheme="minorHAnsi"/>
                <w:sz w:val="22"/>
                <w:szCs w:val="22"/>
              </w:rPr>
            </w:pPr>
            <w:hyperlink r:id="rId27" w:anchor="_ftnref1" w:history="1">
              <w:r w:rsidRPr="00894841">
                <w:rPr>
                  <w:rFonts w:asciiTheme="minorHAnsi" w:hAnsiTheme="minorHAnsi" w:cstheme="minorHAnsi"/>
                  <w:sz w:val="22"/>
                  <w:szCs w:val="22"/>
                  <w:bdr w:val="none" w:sz="0" w:space="0" w:color="auto" w:frame="1"/>
                </w:rPr>
                <w:t>[1]</w:t>
              </w:r>
            </w:hyperlink>
            <w:r w:rsidRPr="00894841">
              <w:rPr>
                <w:rFonts w:asciiTheme="minorHAnsi" w:hAnsiTheme="minorHAnsi" w:cstheme="minorHAnsi"/>
                <w:sz w:val="22"/>
                <w:szCs w:val="22"/>
              </w:rPr>
              <w:t> including but not limited to the Water Agency, Albania; Ministry of Environment, Albania; Ministry of Environment &amp; Physical Planning, North Macedonia; Ministry of Environment &amp; Energy, Greece; Kosovo* Environmental Protection Agency, Ministry of Environment &amp; Spatial Planning, Kosovo*; Ministry of Environment &amp; Spatial Planning Ministry of Sustainable; Development &amp; Tourism, Montenegro Ministry of Agriculture and Rural Development, Montenegro, Municipality of Shkodra, Municipality of Ohrid, Municipality of Rahovec; project stakeholders, academia, local government and CSOs, etc.</w:t>
            </w:r>
          </w:p>
          <w:p w14:paraId="71781F99" w14:textId="77777777" w:rsidR="0068698D" w:rsidRPr="00894841" w:rsidRDefault="0068698D" w:rsidP="00894841">
            <w:pPr>
              <w:rPr>
                <w:rFonts w:asciiTheme="minorHAnsi" w:hAnsiTheme="minorHAnsi" w:cstheme="minorHAnsi"/>
                <w:sz w:val="22"/>
                <w:szCs w:val="22"/>
              </w:rPr>
            </w:pPr>
            <w:hyperlink r:id="rId28" w:anchor="_ftnref2" w:history="1">
              <w:r w:rsidRPr="00894841">
                <w:rPr>
                  <w:rFonts w:asciiTheme="minorHAnsi" w:hAnsiTheme="minorHAnsi" w:cstheme="minorHAnsi"/>
                  <w:sz w:val="22"/>
                  <w:szCs w:val="22"/>
                  <w:bdr w:val="none" w:sz="0" w:space="0" w:color="auto" w:frame="1"/>
                </w:rPr>
                <w:t>[2]</w:t>
              </w:r>
            </w:hyperlink>
            <w:r w:rsidRPr="00894841">
              <w:rPr>
                <w:rFonts w:asciiTheme="minorHAnsi" w:hAnsiTheme="minorHAnsi" w:cstheme="minorHAnsi"/>
                <w:sz w:val="22"/>
                <w:szCs w:val="22"/>
              </w:rPr>
              <w:t> Access at: </w:t>
            </w:r>
            <w:hyperlink r:id="rId29" w:history="1">
              <w:r w:rsidRPr="00894841">
                <w:rPr>
                  <w:rFonts w:asciiTheme="minorHAnsi" w:hAnsiTheme="minorHAnsi" w:cstheme="minorHAnsi"/>
                  <w:sz w:val="22"/>
                  <w:szCs w:val="22"/>
                  <w:bdr w:val="none" w:sz="0" w:space="0" w:color="auto" w:frame="1"/>
                </w:rPr>
                <w:t>http://web.undp.org/evaluation/guideline/section-6.shtml</w:t>
              </w:r>
            </w:hyperlink>
          </w:p>
        </w:tc>
      </w:tr>
      <w:bookmarkEnd w:id="64"/>
      <w:bookmarkEnd w:id="65"/>
      <w:bookmarkEnd w:id="67"/>
      <w:bookmarkEnd w:id="68"/>
      <w:tr w:rsidR="0068698D" w:rsidRPr="00894841" w14:paraId="13EB2D5C" w14:textId="77777777" w:rsidTr="0068698D">
        <w:tc>
          <w:tcPr>
            <w:tcW w:w="0" w:type="auto"/>
            <w:shd w:val="clear" w:color="auto" w:fill="auto"/>
            <w:hideMark/>
          </w:tcPr>
          <w:p w14:paraId="3365A318" w14:textId="77777777" w:rsidR="0068698D" w:rsidRPr="00894841" w:rsidRDefault="0068698D" w:rsidP="00DB2DCE">
            <w:pPr>
              <w:rPr>
                <w:rFonts w:asciiTheme="minorHAnsi" w:hAnsiTheme="minorHAnsi" w:cstheme="minorHAnsi"/>
                <w:sz w:val="22"/>
                <w:szCs w:val="22"/>
              </w:rPr>
            </w:pPr>
            <w:r w:rsidRPr="00894841">
              <w:rPr>
                <w:rFonts w:asciiTheme="minorHAnsi" w:hAnsiTheme="minorHAnsi" w:cstheme="minorHAnsi"/>
                <w:sz w:val="22"/>
                <w:szCs w:val="22"/>
              </w:rPr>
              <w:lastRenderedPageBreak/>
              <w:br/>
            </w:r>
          </w:p>
          <w:p w14:paraId="5D2EAD87"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Competencies</w:t>
            </w:r>
          </w:p>
          <w:p w14:paraId="62C3FDC4" w14:textId="77777777" w:rsidR="0068698D" w:rsidRPr="00894841" w:rsidRDefault="0068698D" w:rsidP="00DB2DCE">
            <w:pPr>
              <w:rPr>
                <w:rFonts w:asciiTheme="minorHAnsi" w:hAnsiTheme="minorHAnsi" w:cstheme="minorHAnsi"/>
                <w:sz w:val="22"/>
                <w:szCs w:val="22"/>
              </w:rPr>
            </w:pPr>
          </w:p>
        </w:tc>
      </w:tr>
      <w:tr w:rsidR="0068698D" w:rsidRPr="00894841" w14:paraId="29C4C693" w14:textId="77777777" w:rsidTr="0068698D">
        <w:tc>
          <w:tcPr>
            <w:tcW w:w="0" w:type="auto"/>
            <w:shd w:val="clear" w:color="auto" w:fill="auto"/>
            <w:hideMark/>
          </w:tcPr>
          <w:p w14:paraId="4037DE24"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bdr w:val="none" w:sz="0" w:space="0" w:color="auto" w:frame="1"/>
              </w:rPr>
              <w:t>Corporate competencies:</w:t>
            </w:r>
          </w:p>
          <w:p w14:paraId="3A51DC00"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Promotes the vision, mission, and strategic goals of UNDP;</w:t>
            </w:r>
          </w:p>
          <w:p w14:paraId="7171CC6E"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Displays cultural, gender, religion, race, nationality and age sensitivity and adaptability;</w:t>
            </w:r>
          </w:p>
          <w:p w14:paraId="35BC8F66"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Treats all people fairly without favouritism;</w:t>
            </w:r>
          </w:p>
          <w:p w14:paraId="1DD60437"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Fulfils all obligations to gender sensitivity and zero tolerance for sexual harassment.</w:t>
            </w:r>
          </w:p>
          <w:p w14:paraId="366C6263"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bdr w:val="none" w:sz="0" w:space="0" w:color="auto" w:frame="1"/>
              </w:rPr>
              <w:t>Functional competencies:</w:t>
            </w:r>
          </w:p>
          <w:p w14:paraId="7707307A"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Excellent communication skills</w:t>
            </w:r>
          </w:p>
          <w:p w14:paraId="69DBA138" w14:textId="77777777" w:rsidR="0068698D" w:rsidRPr="00894841" w:rsidRDefault="0068698D" w:rsidP="00894841">
            <w:pPr>
              <w:rPr>
                <w:rFonts w:asciiTheme="minorHAnsi" w:hAnsiTheme="minorHAnsi" w:cstheme="minorHAnsi"/>
                <w:sz w:val="22"/>
                <w:szCs w:val="22"/>
              </w:rPr>
            </w:pPr>
            <w:r w:rsidRPr="00894841">
              <w:rPr>
                <w:rFonts w:asciiTheme="minorHAnsi" w:hAnsiTheme="minorHAnsi" w:cstheme="minorHAnsi"/>
                <w:sz w:val="22"/>
                <w:szCs w:val="22"/>
              </w:rPr>
              <w:t>Demonstrable analytical skills</w:t>
            </w:r>
          </w:p>
        </w:tc>
      </w:tr>
      <w:tr w:rsidR="0068698D" w:rsidRPr="00894841" w14:paraId="3623C91A" w14:textId="77777777" w:rsidTr="0068698D">
        <w:tc>
          <w:tcPr>
            <w:tcW w:w="0" w:type="auto"/>
            <w:shd w:val="clear" w:color="auto" w:fill="auto"/>
            <w:hideMark/>
          </w:tcPr>
          <w:p w14:paraId="7D02B816" w14:textId="77777777" w:rsidR="0068698D" w:rsidRPr="00845353" w:rsidRDefault="0068698D" w:rsidP="00DB2DCE">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br/>
            </w:r>
          </w:p>
          <w:p w14:paraId="6C5D1728"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Required Skills and Experience</w:t>
            </w:r>
          </w:p>
          <w:p w14:paraId="4A4E3A6A" w14:textId="77777777" w:rsidR="0068698D" w:rsidRPr="00845353" w:rsidRDefault="0068698D" w:rsidP="00DB2DCE">
            <w:pPr>
              <w:rPr>
                <w:rFonts w:asciiTheme="minorHAnsi" w:hAnsiTheme="minorHAnsi" w:cstheme="minorHAnsi"/>
                <w:color w:val="000000" w:themeColor="text1"/>
                <w:sz w:val="22"/>
                <w:szCs w:val="22"/>
              </w:rPr>
            </w:pPr>
          </w:p>
        </w:tc>
      </w:tr>
      <w:tr w:rsidR="0068698D" w:rsidRPr="00894841" w14:paraId="1CD526FA" w14:textId="77777777" w:rsidTr="0068698D">
        <w:tc>
          <w:tcPr>
            <w:tcW w:w="0" w:type="auto"/>
            <w:shd w:val="clear" w:color="auto" w:fill="auto"/>
            <w:hideMark/>
          </w:tcPr>
          <w:p w14:paraId="15E6C70F"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The evaluator cannot have participated in the project preparation, formulation and/or implementation (including the writing of the project document), must not have conducted this project’s Mid-Term Review and should not have a conflict of interest with the project’s related activities.</w:t>
            </w:r>
          </w:p>
          <w:p w14:paraId="516F5168"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The selection of evaluators will be aimed at maximizing the overall “team” qualities in the following areas:</w:t>
            </w:r>
          </w:p>
          <w:p w14:paraId="3692DD25"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Education</w:t>
            </w:r>
          </w:p>
          <w:p w14:paraId="3B3AB087"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At least Master’s degree in water resources management, applied water resources evaluation, environmental science or management, or other closely related field;</w:t>
            </w:r>
          </w:p>
          <w:p w14:paraId="55930DF3"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Experience</w:t>
            </w:r>
          </w:p>
          <w:p w14:paraId="058AF421"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Relevant experience with results-based management evaluation methodologies;</w:t>
            </w:r>
          </w:p>
          <w:p w14:paraId="3EC44917"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Experience applying SMART indicators and reconstructing or validating baseline scenarios;</w:t>
            </w:r>
          </w:p>
          <w:p w14:paraId="0B34CC8D"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Competence in adaptive management, as applied to International Waters transboundary fresh water systems;</w:t>
            </w:r>
          </w:p>
          <w:p w14:paraId="039804DC"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Experience working with the project evaluations;</w:t>
            </w:r>
          </w:p>
          <w:p w14:paraId="79FF11E8"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Experience working in South East Europe</w:t>
            </w:r>
            <w:r w:rsidRPr="00845353">
              <w:rPr>
                <w:rFonts w:asciiTheme="minorHAnsi" w:hAnsiTheme="minorHAnsi" w:cstheme="minorHAnsi"/>
                <w:i/>
                <w:iCs/>
                <w:color w:val="000000" w:themeColor="text1"/>
                <w:sz w:val="22"/>
                <w:szCs w:val="22"/>
                <w:bdr w:val="none" w:sz="0" w:space="0" w:color="auto" w:frame="1"/>
              </w:rPr>
              <w:t>;</w:t>
            </w:r>
          </w:p>
          <w:p w14:paraId="495EF501"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Work experience in resources management and international waters for at least 10 years</w:t>
            </w:r>
            <w:r w:rsidRPr="00845353">
              <w:rPr>
                <w:rFonts w:asciiTheme="minorHAnsi" w:hAnsiTheme="minorHAnsi" w:cstheme="minorHAnsi"/>
                <w:i/>
                <w:iCs/>
                <w:color w:val="000000" w:themeColor="text1"/>
                <w:sz w:val="22"/>
                <w:szCs w:val="22"/>
                <w:bdr w:val="none" w:sz="0" w:space="0" w:color="auto" w:frame="1"/>
              </w:rPr>
              <w:t>;</w:t>
            </w:r>
          </w:p>
          <w:p w14:paraId="5AEA0DCA"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Demonstrated experience with International Waters projects;</w:t>
            </w:r>
          </w:p>
          <w:p w14:paraId="601FE3D6"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Demonstrated understanding of issues related to gender and International Waters is an asset;</w:t>
            </w:r>
          </w:p>
          <w:p w14:paraId="42746055"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Excellent communication skills;</w:t>
            </w:r>
          </w:p>
          <w:p w14:paraId="05A083AF"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Demonstrable analytical skills;</w:t>
            </w:r>
          </w:p>
          <w:p w14:paraId="79E88C24"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Project evaluation/review experience within United Nations system will be considered an asset;</w:t>
            </w:r>
          </w:p>
          <w:p w14:paraId="69552A6D"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Experience with implementing evaluations remotely will be considered an asset.</w:t>
            </w:r>
          </w:p>
          <w:p w14:paraId="0349806D"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Language</w:t>
            </w:r>
          </w:p>
          <w:p w14:paraId="35D08D7F"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Fluency in written and spoken English.</w:t>
            </w:r>
          </w:p>
          <w:p w14:paraId="1CD107F3"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Evaluator Ethics</w:t>
            </w:r>
          </w:p>
          <w:p w14:paraId="1A2AB259"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The TE Consultant will be held to the highest ethical standards and is required to sign a code of conduct upon acceptance of the assignment. This evaluation will be conducted in accordance with the principles outlined in the UNEG ‘Ethical Guidelines for Evaluation’. The evaluator must safeguard the rights and confidentiality of information providers, interviewees and stakeholders through measures to ensure compliance with legal and other relevant codes governing collection of data and reporting on data. The evaluator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without the express authorization of UNDP and partners.</w:t>
            </w:r>
          </w:p>
          <w:p w14:paraId="7308B53B"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Payment Schedule</w:t>
            </w:r>
          </w:p>
          <w:p w14:paraId="301D7B6A"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lastRenderedPageBreak/>
              <w:t>20% payment upon satisfactory delivery of the final TE Inception Report and approval by the Commissioning Unit</w:t>
            </w:r>
          </w:p>
          <w:p w14:paraId="76146965"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40% payment upon satisfactory delivery of the draft TE report to the Commissioning Unit</w:t>
            </w:r>
          </w:p>
          <w:p w14:paraId="081C4A5F"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40% payment upon satisfactory delivery of the final TE report and approval by the Commissioning Unit and RTA (via signatures on the TE Report Clearance Form)</w:t>
            </w:r>
          </w:p>
          <w:p w14:paraId="405DC999"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Criteria for issuing the final payment of 40%</w:t>
            </w:r>
          </w:p>
          <w:p w14:paraId="690BB710"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The final TE report includes all requirements outlined in the TE TOR and is in accordance with the TE guidance.</w:t>
            </w:r>
          </w:p>
          <w:p w14:paraId="017AE1C5"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The final TE report is clearly written, logically organized, and is specific for this project (i.e. text has not been cut &amp; pasted from other MTR reports).</w:t>
            </w:r>
          </w:p>
          <w:p w14:paraId="6233E6D4"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 </w:t>
            </w:r>
          </w:p>
          <w:p w14:paraId="7C2B4FEB"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Application Procedure</w:t>
            </w:r>
          </w:p>
          <w:p w14:paraId="24A5EE2C"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Interested applicants are advised to carefully study all sections of this ToRs and ensure that they meet the general requirements as well as specific qualifications described. Incomplete applications will not be considered. Please make sure you have provided all requested materials.</w:t>
            </w:r>
          </w:p>
          <w:p w14:paraId="0CAED4F2"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The application should contain:</w:t>
            </w:r>
          </w:p>
          <w:p w14:paraId="2A2BFBEA"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Cover letter </w:t>
            </w:r>
            <w:r w:rsidRPr="00845353">
              <w:rPr>
                <w:rFonts w:asciiTheme="minorHAnsi" w:hAnsiTheme="minorHAnsi" w:cstheme="minorHAnsi"/>
                <w:color w:val="000000" w:themeColor="text1"/>
                <w:sz w:val="22"/>
                <w:szCs w:val="22"/>
              </w:rPr>
              <w:t>explaining why you are the most suitable candidate for the advertised position. Please paste the letter into the "Resume and Motivation" section of the electronic application. </w:t>
            </w:r>
          </w:p>
          <w:p w14:paraId="746C1C18"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Letter to UNDP Confirming Interest and Availability</w:t>
            </w:r>
            <w:r w:rsidRPr="00845353">
              <w:rPr>
                <w:rFonts w:asciiTheme="minorHAnsi" w:hAnsiTheme="minorHAnsi" w:cstheme="minorHAnsi"/>
                <w:color w:val="000000" w:themeColor="text1"/>
                <w:sz w:val="22"/>
                <w:szCs w:val="22"/>
              </w:rPr>
              <w:t>-please fill in the attached form. </w:t>
            </w:r>
            <w:hyperlink r:id="rId30" w:history="1">
              <w:r w:rsidRPr="00845353">
                <w:rPr>
                  <w:rFonts w:asciiTheme="minorHAnsi" w:hAnsiTheme="minorHAnsi" w:cstheme="minorHAnsi"/>
                  <w:color w:val="000000" w:themeColor="text1"/>
                  <w:sz w:val="22"/>
                  <w:szCs w:val="22"/>
                  <w:bdr w:val="none" w:sz="0" w:space="0" w:color="auto" w:frame="1"/>
                </w:rPr>
                <w:t>Download Here</w:t>
              </w:r>
            </w:hyperlink>
            <w:r w:rsidRPr="00845353">
              <w:rPr>
                <w:rFonts w:asciiTheme="minorHAnsi" w:hAnsiTheme="minorHAnsi" w:cstheme="minorHAnsi"/>
                <w:color w:val="000000" w:themeColor="text1"/>
                <w:sz w:val="22"/>
                <w:szCs w:val="22"/>
              </w:rPr>
              <w:t> </w:t>
            </w:r>
            <w:r w:rsidRPr="00845353">
              <w:rPr>
                <w:rFonts w:asciiTheme="minorHAnsi" w:hAnsiTheme="minorHAnsi" w:cstheme="minorHAnsi"/>
                <w:i/>
                <w:iCs/>
                <w:color w:val="000000" w:themeColor="text1"/>
                <w:sz w:val="22"/>
                <w:szCs w:val="22"/>
                <w:bdr w:val="none" w:sz="0" w:space="0" w:color="auto" w:frame="1"/>
              </w:rPr>
              <w:t>(kindly use FireFox Browser</w:t>
            </w:r>
            <w:r w:rsidRPr="00845353">
              <w:rPr>
                <w:rFonts w:asciiTheme="minorHAnsi" w:hAnsiTheme="minorHAnsi" w:cstheme="minorHAnsi"/>
                <w:color w:val="000000" w:themeColor="text1"/>
                <w:sz w:val="22"/>
                <w:szCs w:val="22"/>
              </w:rPr>
              <w:t>)</w:t>
            </w:r>
          </w:p>
          <w:p w14:paraId="727EA79F"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Filled P11 form</w:t>
            </w:r>
            <w:r w:rsidRPr="00845353">
              <w:rPr>
                <w:rFonts w:asciiTheme="minorHAnsi" w:hAnsiTheme="minorHAnsi" w:cstheme="minorHAnsi"/>
                <w:color w:val="000000" w:themeColor="text1"/>
                <w:sz w:val="22"/>
                <w:szCs w:val="22"/>
              </w:rPr>
              <w:t> including past experience in similar projects and contact details of referees, please upload the P11 instead of your CV. </w:t>
            </w:r>
            <w:hyperlink r:id="rId31" w:history="1">
              <w:r w:rsidRPr="00845353">
                <w:rPr>
                  <w:rFonts w:asciiTheme="minorHAnsi" w:hAnsiTheme="minorHAnsi" w:cstheme="minorHAnsi"/>
                  <w:color w:val="000000" w:themeColor="text1"/>
                  <w:sz w:val="22"/>
                  <w:szCs w:val="22"/>
                  <w:bdr w:val="none" w:sz="0" w:space="0" w:color="auto" w:frame="1"/>
                </w:rPr>
                <w:t>Download Here</w:t>
              </w:r>
            </w:hyperlink>
            <w:r w:rsidRPr="00845353">
              <w:rPr>
                <w:rFonts w:asciiTheme="minorHAnsi" w:hAnsiTheme="minorHAnsi" w:cstheme="minorHAnsi"/>
                <w:color w:val="000000" w:themeColor="text1"/>
                <w:sz w:val="22"/>
                <w:szCs w:val="22"/>
              </w:rPr>
              <w:t> (</w:t>
            </w:r>
            <w:r w:rsidRPr="00845353">
              <w:rPr>
                <w:rFonts w:asciiTheme="minorHAnsi" w:hAnsiTheme="minorHAnsi" w:cstheme="minorHAnsi"/>
                <w:i/>
                <w:iCs/>
                <w:color w:val="000000" w:themeColor="text1"/>
                <w:sz w:val="22"/>
                <w:szCs w:val="22"/>
                <w:bdr w:val="none" w:sz="0" w:space="0" w:color="auto" w:frame="1"/>
              </w:rPr>
              <w:t>kindly use FireFox Browser</w:t>
            </w:r>
            <w:r w:rsidRPr="00845353">
              <w:rPr>
                <w:rFonts w:asciiTheme="minorHAnsi" w:hAnsiTheme="minorHAnsi" w:cstheme="minorHAnsi"/>
                <w:color w:val="000000" w:themeColor="text1"/>
                <w:sz w:val="22"/>
                <w:szCs w:val="22"/>
              </w:rPr>
              <w:t>)</w:t>
            </w:r>
          </w:p>
          <w:p w14:paraId="7FF175F8"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Financial Proposal in USD*</w:t>
            </w:r>
            <w:r w:rsidRPr="00845353">
              <w:rPr>
                <w:rFonts w:asciiTheme="minorHAnsi" w:hAnsiTheme="minorHAnsi" w:cstheme="minorHAnsi"/>
                <w:color w:val="000000" w:themeColor="text1"/>
                <w:sz w:val="22"/>
                <w:szCs w:val="22"/>
              </w:rPr>
              <w:t>- Specifying a </w:t>
            </w:r>
            <w:r w:rsidRPr="00845353">
              <w:rPr>
                <w:rFonts w:asciiTheme="minorHAnsi" w:hAnsiTheme="minorHAnsi" w:cstheme="minorHAnsi"/>
                <w:color w:val="000000" w:themeColor="text1"/>
                <w:sz w:val="22"/>
                <w:szCs w:val="22"/>
                <w:bdr w:val="none" w:sz="0" w:space="0" w:color="auto" w:frame="1"/>
              </w:rPr>
              <w:t>Total Lump Sum in USD </w:t>
            </w:r>
            <w:r w:rsidRPr="00845353">
              <w:rPr>
                <w:rFonts w:asciiTheme="minorHAnsi" w:hAnsiTheme="minorHAnsi" w:cstheme="minorHAnsi"/>
                <w:color w:val="000000" w:themeColor="text1"/>
                <w:sz w:val="22"/>
                <w:szCs w:val="22"/>
              </w:rPr>
              <w:t xml:space="preserve">for the tasks specified in this announcement. Please note that the financial proposal is all-inclusive and shall </w:t>
            </w:r>
            <w:proofErr w:type="gramStart"/>
            <w:r w:rsidRPr="00845353">
              <w:rPr>
                <w:rFonts w:asciiTheme="minorHAnsi" w:hAnsiTheme="minorHAnsi" w:cstheme="minorHAnsi"/>
                <w:color w:val="000000" w:themeColor="text1"/>
                <w:sz w:val="22"/>
                <w:szCs w:val="22"/>
              </w:rPr>
              <w:t>take into account</w:t>
            </w:r>
            <w:proofErr w:type="gramEnd"/>
            <w:r w:rsidRPr="00845353">
              <w:rPr>
                <w:rFonts w:asciiTheme="minorHAnsi" w:hAnsiTheme="minorHAnsi" w:cstheme="minorHAnsi"/>
                <w:color w:val="000000" w:themeColor="text1"/>
                <w:sz w:val="22"/>
                <w:szCs w:val="22"/>
              </w:rPr>
              <w:t xml:space="preserve"> various expenses incurred by the consultant during the contract period (e.g. fee and any other relevant expenses related to the performance of services). </w:t>
            </w:r>
          </w:p>
          <w:p w14:paraId="6D47AAFE"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*Kindly note that Letter to UNDP Confirming Interest and Availability and Financial Proposal are two separate documents and should be both part of your application.</w:t>
            </w:r>
          </w:p>
          <w:p w14:paraId="7177D4DF"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How to Submit the Application</w:t>
            </w:r>
            <w:r w:rsidRPr="00845353">
              <w:rPr>
                <w:rFonts w:asciiTheme="minorHAnsi" w:hAnsiTheme="minorHAnsi" w:cstheme="minorHAnsi"/>
                <w:color w:val="000000" w:themeColor="text1"/>
                <w:sz w:val="22"/>
                <w:szCs w:val="22"/>
              </w:rPr>
              <w:t>:</w:t>
            </w:r>
          </w:p>
          <w:p w14:paraId="1D2E5FEE"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To submit your application online, please follow the steps below:</w:t>
            </w:r>
          </w:p>
          <w:p w14:paraId="1722FD1D"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Download and complete the UN Personal History Form (P11) for Service Contracts (SCs) and Individual Contracts (ICs);</w:t>
            </w:r>
          </w:p>
          <w:p w14:paraId="3454F83C"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Merge your UN Personal History Form (P11) for Service Contracts (SCs) and Individual Contracts (ICs), Financial Proposal Letter to UNDP Confirming Interest and Availability and cover letter into a single file. The system does not allow for more than one attachment to be uploaded;</w:t>
            </w:r>
          </w:p>
          <w:p w14:paraId="3AC3E034"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Click on the Job Title (job vacancy announcement);</w:t>
            </w:r>
          </w:p>
          <w:p w14:paraId="077CEC88"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Click “Apply Now” button, fill in necessary information on the first page, and then click “Submit Application;”</w:t>
            </w:r>
          </w:p>
          <w:p w14:paraId="5E8AD560"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Upload your application/single file as indicated above with the merged documents (underlined above);</w:t>
            </w:r>
          </w:p>
          <w:p w14:paraId="0F28B804"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You will receive an automatic response to your email confirming receipt of your application by the system.</w:t>
            </w:r>
          </w:p>
          <w:p w14:paraId="282839C3"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Incomplete applications will not be considered. Please make sure you have provided all requested materials </w:t>
            </w:r>
          </w:p>
          <w:p w14:paraId="2A3CAC2F"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*Please note that the financial proposal is all-inclusive and shall </w:t>
            </w:r>
            <w:proofErr w:type="gramStart"/>
            <w:r w:rsidRPr="00845353">
              <w:rPr>
                <w:rFonts w:asciiTheme="minorHAnsi" w:hAnsiTheme="minorHAnsi" w:cstheme="minorHAnsi"/>
                <w:color w:val="000000" w:themeColor="text1"/>
                <w:sz w:val="22"/>
                <w:szCs w:val="22"/>
              </w:rPr>
              <w:t>take into account</w:t>
            </w:r>
            <w:proofErr w:type="gramEnd"/>
            <w:r w:rsidRPr="00845353">
              <w:rPr>
                <w:rFonts w:asciiTheme="minorHAnsi" w:hAnsiTheme="minorHAnsi" w:cstheme="minorHAnsi"/>
                <w:color w:val="000000" w:themeColor="text1"/>
                <w:sz w:val="22"/>
                <w:szCs w:val="22"/>
              </w:rPr>
              <w:t> various expenses incurred by the consultant/contractor during the contract period (e.g. fee, health insurance, vaccination and any other relevant expenses related to the performance of services). Travel costs to and from duty station must be included in the financial proposal.  </w:t>
            </w:r>
          </w:p>
          <w:p w14:paraId="74A63F58"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Payments will be made only upon confirmation of UNDP on delivering on the contract obligations in a satisfactory manner.  </w:t>
            </w:r>
          </w:p>
          <w:p w14:paraId="28D8FC9F"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lastRenderedPageBreak/>
              <w:t>Individual Consultants are responsible for ensuring they have vaccinations/inoculations when travelling to certain countries, as designated by the UN Medical Director. Consultants are also required to comply with the UN security directives set forth under dss.un.org </w:t>
            </w:r>
          </w:p>
          <w:p w14:paraId="276017BC"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General Terms and conditions as well as other related documents can be found under: </w:t>
            </w:r>
            <w:hyperlink r:id="rId32" w:history="1">
              <w:r w:rsidRPr="00845353">
                <w:rPr>
                  <w:rFonts w:asciiTheme="minorHAnsi" w:hAnsiTheme="minorHAnsi" w:cstheme="minorHAnsi"/>
                  <w:color w:val="000000" w:themeColor="text1"/>
                  <w:sz w:val="22"/>
                  <w:szCs w:val="22"/>
                  <w:bdr w:val="none" w:sz="0" w:space="0" w:color="auto" w:frame="1"/>
                </w:rPr>
                <w:t>http://on.undp.org/t7fJs</w:t>
              </w:r>
            </w:hyperlink>
            <w:r w:rsidRPr="00845353">
              <w:rPr>
                <w:rFonts w:asciiTheme="minorHAnsi" w:hAnsiTheme="minorHAnsi" w:cstheme="minorHAnsi"/>
                <w:color w:val="000000" w:themeColor="text1"/>
                <w:sz w:val="22"/>
                <w:szCs w:val="22"/>
              </w:rPr>
              <w:t>.</w:t>
            </w:r>
          </w:p>
          <w:p w14:paraId="2C7B5513"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Due to large number of applications we receive, we are able to inform only the successful candidates about the outcome or status of the selection process.</w:t>
            </w:r>
          </w:p>
          <w:p w14:paraId="127B8236"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UNDP is committed to achieving workforce diversity in terms of gender, nationality and culture. Individuals from minority groups, indigenous groups and persons with disabilities are equally encouraged to apply. All applications will be treated with the strictest confidence.</w:t>
            </w:r>
          </w:p>
          <w:p w14:paraId="273F0FF6"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 </w:t>
            </w:r>
          </w:p>
          <w:p w14:paraId="395408A4"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bdr w:val="none" w:sz="0" w:space="0" w:color="auto" w:frame="1"/>
              </w:rPr>
              <w:t>Annexes to the TE ToR</w:t>
            </w:r>
          </w:p>
          <w:p w14:paraId="67DC3EDD"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ToR Annex A: Project Logical/Results Framework</w:t>
            </w:r>
          </w:p>
          <w:p w14:paraId="07648279"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ToR Annex B: Project Information Package to be reviewed by TE Consultant</w:t>
            </w:r>
          </w:p>
          <w:p w14:paraId="35EE1BCC"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ToR Annex C: Content of the TE report</w:t>
            </w:r>
          </w:p>
          <w:p w14:paraId="0AAD31A9"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ToR Annex D: Evaluation Criteria Matrix template</w:t>
            </w:r>
          </w:p>
          <w:p w14:paraId="3156DDFD"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ToR Annex E: UNEG Code of Conduct for Evaluators</w:t>
            </w:r>
          </w:p>
          <w:p w14:paraId="6C8EF239"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ToR Annex F: TE Rating Scales and TE Ratings Table</w:t>
            </w:r>
          </w:p>
          <w:p w14:paraId="42EF6134"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ToR Annex G: TE Report Clearance Form</w:t>
            </w:r>
          </w:p>
          <w:p w14:paraId="7470E254" w14:textId="77777777" w:rsidR="0068698D" w:rsidRPr="00845353" w:rsidRDefault="0068698D" w:rsidP="00894841">
            <w:pPr>
              <w:rPr>
                <w:rFonts w:asciiTheme="minorHAnsi" w:hAnsiTheme="minorHAnsi" w:cstheme="minorHAnsi"/>
                <w:color w:val="000000" w:themeColor="text1"/>
                <w:sz w:val="22"/>
                <w:szCs w:val="22"/>
              </w:rPr>
            </w:pPr>
            <w:r w:rsidRPr="00845353">
              <w:rPr>
                <w:rFonts w:asciiTheme="minorHAnsi" w:hAnsiTheme="minorHAnsi" w:cstheme="minorHAnsi"/>
                <w:color w:val="000000" w:themeColor="text1"/>
                <w:sz w:val="22"/>
                <w:szCs w:val="22"/>
              </w:rPr>
              <w:t>ToR Annex H: TE Audit Trail template</w:t>
            </w:r>
          </w:p>
          <w:p w14:paraId="29A79393" w14:textId="77777777" w:rsidR="0068698D" w:rsidRPr="00845353" w:rsidRDefault="0068698D" w:rsidP="00DB2DCE">
            <w:pPr>
              <w:rPr>
                <w:rFonts w:asciiTheme="minorHAnsi" w:hAnsiTheme="minorHAnsi" w:cstheme="minorHAnsi"/>
                <w:color w:val="000000" w:themeColor="text1"/>
                <w:sz w:val="22"/>
                <w:szCs w:val="22"/>
              </w:rPr>
            </w:pPr>
          </w:p>
        </w:tc>
      </w:tr>
    </w:tbl>
    <w:p w14:paraId="7B784858" w14:textId="08CF0EE7" w:rsidR="0068698D" w:rsidRPr="0068698D" w:rsidRDefault="0068698D" w:rsidP="00894841">
      <w:pPr>
        <w:sectPr w:rsidR="0068698D" w:rsidRPr="0068698D">
          <w:pgSz w:w="11906" w:h="16838"/>
          <w:pgMar w:top="1440" w:right="1440" w:bottom="1440" w:left="1440" w:header="708" w:footer="708" w:gutter="0"/>
          <w:cols w:space="720"/>
          <w:titlePg/>
        </w:sectPr>
      </w:pPr>
    </w:p>
    <w:p w14:paraId="599718F3" w14:textId="77777777" w:rsidR="000F31AD" w:rsidRDefault="00A317E5">
      <w:pPr>
        <w:pStyle w:val="Heading2"/>
      </w:pPr>
      <w:bookmarkStart w:id="70" w:name="_Toc81335886"/>
      <w:r>
        <w:lastRenderedPageBreak/>
        <w:t xml:space="preserve">Annex 2: </w:t>
      </w:r>
      <w:r>
        <w:tab/>
        <w:t>TE Mission Itinerary</w:t>
      </w:r>
      <w:bookmarkEnd w:id="70"/>
    </w:p>
    <w:p w14:paraId="1520AC5A" w14:textId="77777777" w:rsidR="00154ABB" w:rsidRDefault="00154ABB" w:rsidP="00154ABB"/>
    <w:p w14:paraId="46E7C97F" w14:textId="77777777" w:rsidR="00154ABB" w:rsidRDefault="00154ABB" w:rsidP="00154ABB"/>
    <w:p w14:paraId="2CC18DA2" w14:textId="77777777" w:rsidR="00154ABB" w:rsidRDefault="00154ABB" w:rsidP="00154ABB"/>
    <w:p w14:paraId="35D7171E" w14:textId="77777777" w:rsidR="00154ABB" w:rsidRPr="00894841" w:rsidRDefault="00154ABB" w:rsidP="00154ABB">
      <w:pPr>
        <w:jc w:val="both"/>
        <w:rPr>
          <w:rFonts w:asciiTheme="minorHAnsi" w:hAnsiTheme="minorHAnsi" w:cstheme="minorHAnsi"/>
          <w:b/>
          <w:sz w:val="22"/>
          <w:szCs w:val="22"/>
        </w:rPr>
      </w:pPr>
      <w:r w:rsidRPr="00894841">
        <w:rPr>
          <w:rFonts w:asciiTheme="minorHAnsi" w:hAnsiTheme="minorHAnsi" w:cstheme="minorHAnsi"/>
          <w:b/>
          <w:sz w:val="22"/>
          <w:szCs w:val="22"/>
        </w:rPr>
        <w:t>Mission 1</w:t>
      </w:r>
    </w:p>
    <w:p w14:paraId="1ABBA456" w14:textId="77777777" w:rsidR="00154ABB" w:rsidRDefault="00154ABB" w:rsidP="00154ABB">
      <w:pPr>
        <w:jc w:val="both"/>
        <w:rPr>
          <w:rFonts w:asciiTheme="minorHAnsi" w:hAnsiTheme="minorHAnsi" w:cstheme="minorHAnsi"/>
          <w:sz w:val="22"/>
          <w:szCs w:val="22"/>
        </w:rPr>
      </w:pPr>
    </w:p>
    <w:p w14:paraId="6DF7C174" w14:textId="77777777" w:rsidR="00154ABB" w:rsidRDefault="00154ABB" w:rsidP="00154ABB">
      <w:pPr>
        <w:jc w:val="both"/>
        <w:rPr>
          <w:rFonts w:asciiTheme="minorHAnsi" w:hAnsiTheme="minorHAnsi" w:cstheme="minorHAnsi"/>
          <w:sz w:val="22"/>
          <w:szCs w:val="22"/>
        </w:rPr>
      </w:pPr>
    </w:p>
    <w:p w14:paraId="3F321188" w14:textId="73962E89" w:rsidR="00154ABB" w:rsidRDefault="00154ABB" w:rsidP="00154ABB">
      <w:pPr>
        <w:jc w:val="both"/>
        <w:rPr>
          <w:rFonts w:asciiTheme="minorHAnsi" w:hAnsiTheme="minorHAnsi" w:cstheme="minorHAnsi"/>
          <w:sz w:val="22"/>
          <w:szCs w:val="22"/>
        </w:rPr>
      </w:pPr>
      <w:r>
        <w:rPr>
          <w:rFonts w:asciiTheme="minorHAnsi" w:hAnsiTheme="minorHAnsi" w:cstheme="minorHAnsi"/>
          <w:sz w:val="22"/>
          <w:szCs w:val="22"/>
        </w:rPr>
        <w:t>28  June 2021</w:t>
      </w:r>
      <w:r>
        <w:rPr>
          <w:rFonts w:asciiTheme="minorHAnsi" w:hAnsiTheme="minorHAnsi" w:cstheme="minorHAnsi"/>
          <w:sz w:val="22"/>
          <w:szCs w:val="22"/>
        </w:rPr>
        <w:tab/>
      </w:r>
      <w:r>
        <w:rPr>
          <w:rFonts w:asciiTheme="minorHAnsi" w:hAnsiTheme="minorHAnsi" w:cstheme="minorHAnsi"/>
          <w:sz w:val="22"/>
          <w:szCs w:val="22"/>
        </w:rPr>
        <w:tab/>
        <w:t>Travel by car from Budva (Montenegro) to Podgorica (Montenegro)</w:t>
      </w:r>
    </w:p>
    <w:p w14:paraId="646F445E" w14:textId="77777777" w:rsidR="00154ABB" w:rsidRDefault="00154ABB" w:rsidP="00154ABB">
      <w:pPr>
        <w:jc w:val="both"/>
        <w:rPr>
          <w:rFonts w:asciiTheme="minorHAnsi" w:hAnsiTheme="minorHAnsi" w:cstheme="minorHAnsi"/>
          <w:sz w:val="22"/>
          <w:szCs w:val="22"/>
        </w:rPr>
      </w:pPr>
    </w:p>
    <w:p w14:paraId="3B6E87A6" w14:textId="77777777" w:rsidR="00154ABB" w:rsidRDefault="00154ABB" w:rsidP="00154ABB">
      <w:pPr>
        <w:jc w:val="both"/>
        <w:rPr>
          <w:rFonts w:asciiTheme="minorHAnsi" w:hAnsiTheme="minorHAnsi" w:cstheme="minorHAnsi"/>
          <w:sz w:val="22"/>
          <w:szCs w:val="22"/>
        </w:rPr>
      </w:pPr>
      <w:r>
        <w:rPr>
          <w:rFonts w:asciiTheme="minorHAnsi" w:hAnsiTheme="minorHAnsi" w:cstheme="minorHAnsi"/>
          <w:sz w:val="22"/>
          <w:szCs w:val="22"/>
        </w:rPr>
        <w:t>29 June 2021</w:t>
      </w:r>
      <w:r>
        <w:rPr>
          <w:rFonts w:asciiTheme="minorHAnsi" w:hAnsiTheme="minorHAnsi" w:cstheme="minorHAnsi"/>
          <w:sz w:val="22"/>
          <w:szCs w:val="22"/>
        </w:rPr>
        <w:tab/>
      </w:r>
      <w:r>
        <w:rPr>
          <w:rFonts w:asciiTheme="minorHAnsi" w:hAnsiTheme="minorHAnsi" w:cstheme="minorHAnsi"/>
          <w:sz w:val="22"/>
          <w:szCs w:val="22"/>
        </w:rPr>
        <w:tab/>
        <w:t>Meeting with Ivana Stojanovic (Focal Point for Montenegro)</w:t>
      </w:r>
    </w:p>
    <w:p w14:paraId="4DDCF9B1" w14:textId="77777777" w:rsidR="00154ABB" w:rsidRDefault="00154ABB" w:rsidP="00154ABB">
      <w:pPr>
        <w:jc w:val="both"/>
        <w:rPr>
          <w:rFonts w:asciiTheme="minorHAnsi" w:hAnsiTheme="minorHAnsi" w:cstheme="minorHAnsi"/>
          <w:sz w:val="22"/>
          <w:szCs w:val="22"/>
        </w:rPr>
      </w:pPr>
    </w:p>
    <w:p w14:paraId="45DEFB01" w14:textId="77777777" w:rsidR="00154ABB" w:rsidRDefault="00154ABB" w:rsidP="00154ABB">
      <w:pPr>
        <w:ind w:left="2160" w:hanging="2160"/>
        <w:jc w:val="both"/>
        <w:rPr>
          <w:rFonts w:asciiTheme="minorHAnsi" w:hAnsiTheme="minorHAnsi" w:cstheme="minorHAnsi"/>
          <w:sz w:val="22"/>
          <w:szCs w:val="22"/>
        </w:rPr>
      </w:pPr>
      <w:r>
        <w:rPr>
          <w:rFonts w:asciiTheme="minorHAnsi" w:hAnsiTheme="minorHAnsi" w:cstheme="minorHAnsi"/>
          <w:sz w:val="22"/>
          <w:szCs w:val="22"/>
        </w:rPr>
        <w:t>29 June 2021</w:t>
      </w:r>
      <w:r>
        <w:rPr>
          <w:rFonts w:asciiTheme="minorHAnsi" w:hAnsiTheme="minorHAnsi" w:cstheme="minorHAnsi"/>
          <w:sz w:val="22"/>
          <w:szCs w:val="22"/>
        </w:rPr>
        <w:tab/>
        <w:t>Meeting with Novak Cadjenovic (Head of Project Office in Montenegro)</w:t>
      </w:r>
    </w:p>
    <w:p w14:paraId="5685284D" w14:textId="77777777" w:rsidR="00154ABB" w:rsidRDefault="00154ABB" w:rsidP="00154ABB">
      <w:pPr>
        <w:ind w:left="2160" w:hanging="2160"/>
        <w:jc w:val="both"/>
        <w:rPr>
          <w:rFonts w:asciiTheme="minorHAnsi" w:hAnsiTheme="minorHAnsi" w:cstheme="minorHAnsi"/>
          <w:sz w:val="22"/>
          <w:szCs w:val="22"/>
        </w:rPr>
      </w:pPr>
    </w:p>
    <w:p w14:paraId="63A7EA9C" w14:textId="7280631D" w:rsidR="00154ABB" w:rsidRDefault="00154ABB" w:rsidP="00154ABB">
      <w:pPr>
        <w:ind w:left="2160" w:hanging="2160"/>
        <w:jc w:val="both"/>
        <w:rPr>
          <w:rFonts w:asciiTheme="minorHAnsi" w:hAnsiTheme="minorHAnsi" w:cstheme="minorHAnsi"/>
          <w:sz w:val="22"/>
          <w:szCs w:val="22"/>
        </w:rPr>
      </w:pPr>
      <w:r>
        <w:rPr>
          <w:rFonts w:asciiTheme="minorHAnsi" w:hAnsiTheme="minorHAnsi" w:cstheme="minorHAnsi"/>
          <w:sz w:val="22"/>
          <w:szCs w:val="22"/>
        </w:rPr>
        <w:t>29 June  2021</w:t>
      </w:r>
      <w:r>
        <w:rPr>
          <w:rFonts w:asciiTheme="minorHAnsi" w:hAnsiTheme="minorHAnsi" w:cstheme="minorHAnsi"/>
          <w:sz w:val="22"/>
          <w:szCs w:val="22"/>
        </w:rPr>
        <w:tab/>
        <w:t xml:space="preserve">Return </w:t>
      </w:r>
      <w:r w:rsidR="00845353">
        <w:rPr>
          <w:rFonts w:asciiTheme="minorHAnsi" w:hAnsiTheme="minorHAnsi" w:cstheme="minorHAnsi"/>
          <w:sz w:val="22"/>
          <w:szCs w:val="22"/>
        </w:rPr>
        <w:t xml:space="preserve">by car </w:t>
      </w:r>
      <w:r>
        <w:rPr>
          <w:rFonts w:asciiTheme="minorHAnsi" w:hAnsiTheme="minorHAnsi" w:cstheme="minorHAnsi"/>
          <w:sz w:val="22"/>
          <w:szCs w:val="22"/>
        </w:rPr>
        <w:t>to Split</w:t>
      </w:r>
    </w:p>
    <w:p w14:paraId="27F0B78F" w14:textId="77777777" w:rsidR="00154ABB" w:rsidRDefault="00154ABB" w:rsidP="00154ABB">
      <w:pPr>
        <w:ind w:left="2160" w:hanging="2160"/>
        <w:jc w:val="both"/>
        <w:rPr>
          <w:rFonts w:asciiTheme="minorHAnsi" w:hAnsiTheme="minorHAnsi" w:cstheme="minorHAnsi"/>
          <w:sz w:val="22"/>
          <w:szCs w:val="22"/>
        </w:rPr>
      </w:pPr>
    </w:p>
    <w:p w14:paraId="460800F6" w14:textId="77777777" w:rsidR="00154ABB" w:rsidRDefault="00154ABB" w:rsidP="00154ABB">
      <w:pPr>
        <w:ind w:left="2160" w:hanging="2160"/>
        <w:jc w:val="both"/>
        <w:rPr>
          <w:rFonts w:asciiTheme="minorHAnsi" w:hAnsiTheme="minorHAnsi" w:cstheme="minorHAnsi"/>
          <w:sz w:val="22"/>
          <w:szCs w:val="22"/>
        </w:rPr>
      </w:pPr>
    </w:p>
    <w:p w14:paraId="43006DA1" w14:textId="77777777" w:rsidR="00154ABB" w:rsidRDefault="00154ABB" w:rsidP="00154ABB">
      <w:pPr>
        <w:ind w:left="2160" w:hanging="2160"/>
        <w:jc w:val="both"/>
        <w:rPr>
          <w:rFonts w:asciiTheme="minorHAnsi" w:hAnsiTheme="minorHAnsi" w:cstheme="minorHAnsi"/>
          <w:sz w:val="22"/>
          <w:szCs w:val="22"/>
        </w:rPr>
      </w:pPr>
    </w:p>
    <w:p w14:paraId="7134BF9A" w14:textId="77777777" w:rsidR="00154ABB" w:rsidRDefault="00154ABB" w:rsidP="00154ABB">
      <w:pPr>
        <w:ind w:left="2160" w:hanging="2160"/>
        <w:jc w:val="both"/>
        <w:rPr>
          <w:rFonts w:asciiTheme="minorHAnsi" w:hAnsiTheme="minorHAnsi" w:cstheme="minorHAnsi"/>
          <w:sz w:val="22"/>
          <w:szCs w:val="22"/>
        </w:rPr>
      </w:pPr>
    </w:p>
    <w:p w14:paraId="77691E66" w14:textId="77777777" w:rsidR="00154ABB" w:rsidRDefault="00154ABB" w:rsidP="00154ABB">
      <w:pPr>
        <w:ind w:left="2160" w:hanging="2160"/>
        <w:jc w:val="both"/>
        <w:rPr>
          <w:rFonts w:asciiTheme="minorHAnsi" w:hAnsiTheme="minorHAnsi" w:cstheme="minorHAnsi"/>
          <w:sz w:val="22"/>
          <w:szCs w:val="22"/>
        </w:rPr>
      </w:pPr>
      <w:r w:rsidRPr="00894841">
        <w:rPr>
          <w:rFonts w:asciiTheme="minorHAnsi" w:hAnsiTheme="minorHAnsi" w:cstheme="minorHAnsi"/>
          <w:b/>
          <w:sz w:val="22"/>
          <w:szCs w:val="22"/>
        </w:rPr>
        <w:t>Mission 2</w:t>
      </w:r>
    </w:p>
    <w:p w14:paraId="4EE0AAE3" w14:textId="77777777" w:rsidR="00154ABB" w:rsidRDefault="00154ABB" w:rsidP="00154ABB">
      <w:pPr>
        <w:ind w:left="2160" w:hanging="2160"/>
        <w:jc w:val="both"/>
        <w:rPr>
          <w:rFonts w:asciiTheme="minorHAnsi" w:hAnsiTheme="minorHAnsi" w:cstheme="minorHAnsi"/>
          <w:sz w:val="22"/>
          <w:szCs w:val="22"/>
        </w:rPr>
      </w:pPr>
    </w:p>
    <w:p w14:paraId="258E05B5" w14:textId="77777777" w:rsidR="00154ABB" w:rsidRDefault="00154ABB" w:rsidP="00154ABB">
      <w:pPr>
        <w:ind w:left="2160" w:hanging="2160"/>
        <w:jc w:val="both"/>
        <w:rPr>
          <w:rFonts w:asciiTheme="minorHAnsi" w:hAnsiTheme="minorHAnsi" w:cstheme="minorHAnsi"/>
          <w:sz w:val="22"/>
          <w:szCs w:val="22"/>
        </w:rPr>
      </w:pPr>
    </w:p>
    <w:p w14:paraId="3E08AC44" w14:textId="77777777" w:rsidR="00154ABB" w:rsidRDefault="00154ABB" w:rsidP="00154ABB">
      <w:pPr>
        <w:ind w:left="2160" w:hanging="2160"/>
        <w:jc w:val="both"/>
        <w:rPr>
          <w:rFonts w:asciiTheme="minorHAnsi" w:hAnsiTheme="minorHAnsi" w:cstheme="minorHAnsi"/>
          <w:sz w:val="22"/>
          <w:szCs w:val="22"/>
        </w:rPr>
      </w:pPr>
      <w:r>
        <w:rPr>
          <w:rFonts w:asciiTheme="minorHAnsi" w:hAnsiTheme="minorHAnsi" w:cstheme="minorHAnsi"/>
          <w:sz w:val="22"/>
          <w:szCs w:val="22"/>
        </w:rPr>
        <w:t>6 July 2021</w:t>
      </w:r>
      <w:r>
        <w:rPr>
          <w:rFonts w:asciiTheme="minorHAnsi" w:hAnsiTheme="minorHAnsi" w:cstheme="minorHAnsi"/>
          <w:sz w:val="22"/>
          <w:szCs w:val="22"/>
        </w:rPr>
        <w:tab/>
        <w:t>Travel from Split to Athens</w:t>
      </w:r>
    </w:p>
    <w:p w14:paraId="7CEA0517" w14:textId="77777777" w:rsidR="00154ABB" w:rsidRDefault="00154ABB" w:rsidP="00154ABB">
      <w:pPr>
        <w:ind w:left="2160" w:hanging="2160"/>
        <w:jc w:val="both"/>
        <w:rPr>
          <w:rFonts w:asciiTheme="minorHAnsi" w:hAnsiTheme="minorHAnsi" w:cstheme="minorHAnsi"/>
          <w:sz w:val="22"/>
          <w:szCs w:val="22"/>
        </w:rPr>
      </w:pPr>
    </w:p>
    <w:p w14:paraId="6B49D80C" w14:textId="232C26F7" w:rsidR="00154ABB" w:rsidRDefault="00154ABB" w:rsidP="00154ABB">
      <w:pPr>
        <w:ind w:left="2160" w:hanging="2160"/>
        <w:jc w:val="both"/>
        <w:rPr>
          <w:rFonts w:asciiTheme="minorHAnsi" w:hAnsiTheme="minorHAnsi" w:cstheme="minorHAnsi"/>
          <w:sz w:val="22"/>
          <w:szCs w:val="22"/>
        </w:rPr>
      </w:pPr>
      <w:r>
        <w:rPr>
          <w:rFonts w:asciiTheme="minorHAnsi" w:hAnsiTheme="minorHAnsi" w:cstheme="minorHAnsi"/>
          <w:sz w:val="22"/>
          <w:szCs w:val="22"/>
        </w:rPr>
        <w:t>7 July 2021</w:t>
      </w:r>
      <w:r>
        <w:rPr>
          <w:rFonts w:asciiTheme="minorHAnsi" w:hAnsiTheme="minorHAnsi" w:cstheme="minorHAnsi"/>
          <w:sz w:val="22"/>
          <w:szCs w:val="22"/>
        </w:rPr>
        <w:tab/>
        <w:t>Meeting with Dimitris Faloutsos</w:t>
      </w:r>
      <w:r w:rsidR="00845353">
        <w:rPr>
          <w:rFonts w:asciiTheme="minorHAnsi" w:hAnsiTheme="minorHAnsi" w:cstheme="minorHAnsi"/>
          <w:sz w:val="22"/>
          <w:szCs w:val="22"/>
        </w:rPr>
        <w:t>, GWP-Med,</w:t>
      </w:r>
      <w:r>
        <w:rPr>
          <w:rFonts w:asciiTheme="minorHAnsi" w:hAnsiTheme="minorHAnsi" w:cstheme="minorHAnsi"/>
          <w:sz w:val="22"/>
          <w:szCs w:val="22"/>
        </w:rPr>
        <w:t xml:space="preserve"> </w:t>
      </w:r>
      <w:r w:rsidR="00845353">
        <w:rPr>
          <w:rFonts w:asciiTheme="minorHAnsi" w:hAnsiTheme="minorHAnsi" w:cstheme="minorHAnsi"/>
          <w:sz w:val="22"/>
          <w:szCs w:val="22"/>
        </w:rPr>
        <w:t xml:space="preserve">Drin </w:t>
      </w:r>
      <w:r>
        <w:rPr>
          <w:rFonts w:asciiTheme="minorHAnsi" w:hAnsiTheme="minorHAnsi" w:cstheme="minorHAnsi"/>
          <w:sz w:val="22"/>
          <w:szCs w:val="22"/>
        </w:rPr>
        <w:t>Project Manager</w:t>
      </w:r>
    </w:p>
    <w:p w14:paraId="6CD3C4E3" w14:textId="77777777" w:rsidR="00154ABB" w:rsidRDefault="00154ABB" w:rsidP="00154ABB">
      <w:pPr>
        <w:ind w:left="2160" w:hanging="2160"/>
        <w:jc w:val="both"/>
        <w:rPr>
          <w:rFonts w:asciiTheme="minorHAnsi" w:hAnsiTheme="minorHAnsi" w:cstheme="minorHAnsi"/>
          <w:sz w:val="22"/>
          <w:szCs w:val="22"/>
        </w:rPr>
      </w:pPr>
    </w:p>
    <w:p w14:paraId="507C5BEB" w14:textId="64C43E4F" w:rsidR="00154ABB" w:rsidRPr="00894841" w:rsidRDefault="00154ABB" w:rsidP="00894841">
      <w:pPr>
        <w:ind w:left="2160" w:hanging="2160"/>
        <w:jc w:val="both"/>
        <w:rPr>
          <w:rFonts w:asciiTheme="minorHAnsi" w:hAnsiTheme="minorHAnsi" w:cstheme="minorHAnsi"/>
          <w:sz w:val="22"/>
          <w:szCs w:val="22"/>
        </w:rPr>
        <w:sectPr w:rsidR="00154ABB" w:rsidRPr="00894841">
          <w:pgSz w:w="11906" w:h="16838"/>
          <w:pgMar w:top="1440" w:right="1440" w:bottom="1440" w:left="1440" w:header="708" w:footer="708" w:gutter="0"/>
          <w:cols w:space="720"/>
          <w:titlePg/>
        </w:sectPr>
      </w:pPr>
      <w:r>
        <w:rPr>
          <w:rFonts w:asciiTheme="minorHAnsi" w:hAnsiTheme="minorHAnsi" w:cstheme="minorHAnsi"/>
          <w:sz w:val="22"/>
          <w:szCs w:val="22"/>
        </w:rPr>
        <w:t>8 July 2021</w:t>
      </w:r>
      <w:r>
        <w:rPr>
          <w:rFonts w:asciiTheme="minorHAnsi" w:hAnsiTheme="minorHAnsi" w:cstheme="minorHAnsi"/>
          <w:sz w:val="22"/>
          <w:szCs w:val="22"/>
        </w:rPr>
        <w:tab/>
        <w:t>Travel from Athens to Split</w:t>
      </w:r>
    </w:p>
    <w:p w14:paraId="44244B95" w14:textId="77777777" w:rsidR="000F31AD" w:rsidRDefault="00A317E5">
      <w:pPr>
        <w:pStyle w:val="Heading2"/>
      </w:pPr>
      <w:bookmarkStart w:id="71" w:name="_Toc81335887"/>
      <w:r>
        <w:lastRenderedPageBreak/>
        <w:t>Annex 3:</w:t>
      </w:r>
      <w:r>
        <w:tab/>
        <w:t>List of persons interviewed</w:t>
      </w:r>
      <w:bookmarkEnd w:id="71"/>
    </w:p>
    <w:p w14:paraId="6F9F421C" w14:textId="77777777" w:rsidR="00A0756F" w:rsidRDefault="00A0756F" w:rsidP="00A0756F"/>
    <w:p w14:paraId="0918AA0E" w14:textId="77777777" w:rsidR="00A0756F" w:rsidRDefault="00A0756F" w:rsidP="00A0756F"/>
    <w:p w14:paraId="3BDD9670" w14:textId="77777777" w:rsidR="00A0756F" w:rsidRPr="00894841" w:rsidRDefault="00A0756F" w:rsidP="00A0756F">
      <w:pPr>
        <w:rPr>
          <w:rFonts w:asciiTheme="minorHAnsi" w:hAnsiTheme="minorHAnsi" w:cstheme="minorHAnsi"/>
          <w:i/>
          <w:sz w:val="22"/>
          <w:szCs w:val="22"/>
        </w:rPr>
      </w:pPr>
      <w:r w:rsidRPr="00894841">
        <w:rPr>
          <w:rFonts w:asciiTheme="minorHAnsi" w:hAnsiTheme="minorHAnsi" w:cstheme="minorHAnsi"/>
          <w:i/>
          <w:sz w:val="22"/>
          <w:szCs w:val="22"/>
        </w:rPr>
        <w:t>Implementing Agency</w:t>
      </w:r>
    </w:p>
    <w:p w14:paraId="12DF711D" w14:textId="77777777" w:rsidR="00A0756F" w:rsidRDefault="00A0756F" w:rsidP="00A0756F">
      <w:pPr>
        <w:rPr>
          <w:rFonts w:asciiTheme="minorHAnsi" w:hAnsiTheme="minorHAnsi" w:cstheme="minorHAnsi"/>
          <w:sz w:val="22"/>
          <w:szCs w:val="22"/>
        </w:rPr>
      </w:pPr>
    </w:p>
    <w:p w14:paraId="7A895FCA" w14:textId="77777777" w:rsidR="00A0756F" w:rsidRDefault="00A0756F" w:rsidP="00A0756F">
      <w:pPr>
        <w:rPr>
          <w:rFonts w:asciiTheme="minorHAnsi" w:hAnsiTheme="minorHAnsi" w:cstheme="minorHAnsi"/>
          <w:sz w:val="22"/>
          <w:szCs w:val="22"/>
        </w:rPr>
      </w:pPr>
    </w:p>
    <w:p w14:paraId="7CAC74F1" w14:textId="0936DF21" w:rsidR="00A0756F" w:rsidRDefault="00A0756F" w:rsidP="00894841">
      <w:pPr>
        <w:contextualSpacing/>
        <w:rPr>
          <w:rFonts w:asciiTheme="minorHAnsi" w:hAnsiTheme="minorHAnsi" w:cstheme="minorHAnsi"/>
          <w:sz w:val="22"/>
          <w:szCs w:val="22"/>
        </w:rPr>
      </w:pPr>
      <w:r>
        <w:rPr>
          <w:rFonts w:asciiTheme="minorHAnsi" w:hAnsiTheme="minorHAnsi" w:cstheme="minorHAnsi"/>
          <w:sz w:val="22"/>
          <w:szCs w:val="22"/>
        </w:rPr>
        <w:t>Mr. Vladimir Mamaev, Regional Technical Advisor,  UNDP IRC</w:t>
      </w:r>
    </w:p>
    <w:p w14:paraId="31B811CE" w14:textId="77777777" w:rsidR="00A0756F" w:rsidRDefault="00A0756F" w:rsidP="00A0756F">
      <w:pPr>
        <w:contextualSpacing/>
        <w:rPr>
          <w:rFonts w:asciiTheme="minorHAnsi" w:hAnsiTheme="minorHAnsi" w:cstheme="minorHAnsi"/>
          <w:sz w:val="22"/>
          <w:szCs w:val="22"/>
        </w:rPr>
      </w:pPr>
      <w:r>
        <w:rPr>
          <w:rFonts w:asciiTheme="minorHAnsi" w:hAnsiTheme="minorHAnsi" w:cstheme="minorHAnsi"/>
          <w:sz w:val="22"/>
          <w:szCs w:val="22"/>
        </w:rPr>
        <w:t>Ms. Elvita Kabashi.   Project Director, UNDP Albania</w:t>
      </w:r>
    </w:p>
    <w:p w14:paraId="596D79EE" w14:textId="77777777" w:rsidR="00A0756F" w:rsidRDefault="00A0756F" w:rsidP="00A0756F">
      <w:pPr>
        <w:contextualSpacing/>
        <w:rPr>
          <w:rFonts w:asciiTheme="minorHAnsi" w:hAnsiTheme="minorHAnsi" w:cstheme="minorHAnsi"/>
          <w:sz w:val="22"/>
          <w:szCs w:val="22"/>
        </w:rPr>
      </w:pPr>
      <w:r>
        <w:rPr>
          <w:rFonts w:asciiTheme="minorHAnsi" w:hAnsiTheme="minorHAnsi" w:cstheme="minorHAnsi"/>
          <w:sz w:val="22"/>
          <w:szCs w:val="22"/>
        </w:rPr>
        <w:t>Ms. Xhesi Mane, Project Assistant, UNDP Albania</w:t>
      </w:r>
    </w:p>
    <w:p w14:paraId="75ABD33B" w14:textId="77777777" w:rsidR="00A0756F" w:rsidRDefault="00A0756F" w:rsidP="00A0756F">
      <w:pPr>
        <w:contextualSpacing/>
        <w:rPr>
          <w:rFonts w:asciiTheme="minorHAnsi" w:hAnsiTheme="minorHAnsi" w:cstheme="minorHAnsi"/>
          <w:sz w:val="22"/>
          <w:szCs w:val="22"/>
        </w:rPr>
      </w:pPr>
      <w:r>
        <w:rPr>
          <w:rFonts w:asciiTheme="minorHAnsi" w:hAnsiTheme="minorHAnsi" w:cstheme="minorHAnsi"/>
          <w:sz w:val="22"/>
          <w:szCs w:val="22"/>
        </w:rPr>
        <w:t>Mr. Anton Selitaj, Programme Officer, UNDP Kosovo</w:t>
      </w:r>
    </w:p>
    <w:p w14:paraId="15BFC4E1" w14:textId="77777777" w:rsidR="00A0756F" w:rsidRDefault="00A0756F" w:rsidP="00A0756F">
      <w:pPr>
        <w:contextualSpacing/>
        <w:rPr>
          <w:rFonts w:asciiTheme="minorHAnsi" w:hAnsiTheme="minorHAnsi" w:cstheme="minorHAnsi"/>
          <w:sz w:val="22"/>
          <w:szCs w:val="22"/>
        </w:rPr>
      </w:pPr>
    </w:p>
    <w:p w14:paraId="45DF76D0" w14:textId="77777777" w:rsidR="00A0756F" w:rsidRDefault="00A0756F" w:rsidP="00A0756F">
      <w:pPr>
        <w:contextualSpacing/>
        <w:rPr>
          <w:rFonts w:asciiTheme="minorHAnsi" w:hAnsiTheme="minorHAnsi" w:cstheme="minorHAnsi"/>
          <w:sz w:val="22"/>
          <w:szCs w:val="22"/>
        </w:rPr>
      </w:pPr>
    </w:p>
    <w:p w14:paraId="520A9605" w14:textId="77777777" w:rsidR="00A0756F" w:rsidRDefault="00A0756F" w:rsidP="00A0756F">
      <w:pPr>
        <w:contextualSpacing/>
        <w:rPr>
          <w:rFonts w:asciiTheme="minorHAnsi" w:hAnsiTheme="minorHAnsi" w:cstheme="minorHAnsi"/>
          <w:i/>
          <w:sz w:val="22"/>
          <w:szCs w:val="22"/>
        </w:rPr>
      </w:pPr>
      <w:r w:rsidRPr="00894841">
        <w:rPr>
          <w:rFonts w:asciiTheme="minorHAnsi" w:hAnsiTheme="minorHAnsi" w:cstheme="minorHAnsi"/>
          <w:i/>
          <w:sz w:val="22"/>
          <w:szCs w:val="22"/>
        </w:rPr>
        <w:t>Executing Agency</w:t>
      </w:r>
    </w:p>
    <w:p w14:paraId="0392261C" w14:textId="77777777" w:rsidR="00A0756F" w:rsidRDefault="00A0756F" w:rsidP="00A0756F">
      <w:pPr>
        <w:contextualSpacing/>
        <w:rPr>
          <w:rFonts w:asciiTheme="minorHAnsi" w:hAnsiTheme="minorHAnsi" w:cstheme="minorHAnsi"/>
          <w:i/>
          <w:sz w:val="22"/>
          <w:szCs w:val="22"/>
        </w:rPr>
      </w:pPr>
    </w:p>
    <w:p w14:paraId="1F3DF814" w14:textId="77777777" w:rsidR="00A0756F" w:rsidRDefault="00A0756F" w:rsidP="00A0756F">
      <w:pPr>
        <w:contextualSpacing/>
        <w:rPr>
          <w:rFonts w:asciiTheme="minorHAnsi" w:hAnsiTheme="minorHAnsi" w:cstheme="minorHAnsi"/>
          <w:i/>
          <w:sz w:val="22"/>
          <w:szCs w:val="22"/>
        </w:rPr>
      </w:pPr>
    </w:p>
    <w:p w14:paraId="65F767BE" w14:textId="77777777" w:rsidR="00A0756F" w:rsidRDefault="00A0756F" w:rsidP="00A0756F">
      <w:pPr>
        <w:contextualSpacing/>
        <w:rPr>
          <w:rFonts w:asciiTheme="minorHAnsi" w:hAnsiTheme="minorHAnsi" w:cstheme="minorHAnsi"/>
          <w:sz w:val="22"/>
          <w:szCs w:val="22"/>
        </w:rPr>
      </w:pPr>
      <w:r>
        <w:rPr>
          <w:rFonts w:asciiTheme="minorHAnsi" w:hAnsiTheme="minorHAnsi" w:cstheme="minorHAnsi"/>
          <w:sz w:val="22"/>
          <w:szCs w:val="22"/>
        </w:rPr>
        <w:t>Mr. Dimitris Faloutsos, Project Manager, GWP-Med</w:t>
      </w:r>
    </w:p>
    <w:p w14:paraId="29AAD7B9" w14:textId="77777777" w:rsidR="00A0756F" w:rsidRDefault="00A0756F" w:rsidP="00A0756F">
      <w:pPr>
        <w:contextualSpacing/>
        <w:rPr>
          <w:rFonts w:asciiTheme="minorHAnsi" w:hAnsiTheme="minorHAnsi" w:cstheme="minorHAnsi"/>
          <w:sz w:val="22"/>
          <w:szCs w:val="22"/>
        </w:rPr>
      </w:pPr>
      <w:r>
        <w:rPr>
          <w:rFonts w:asciiTheme="minorHAnsi" w:hAnsiTheme="minorHAnsi" w:cstheme="minorHAnsi"/>
          <w:sz w:val="22"/>
          <w:szCs w:val="22"/>
        </w:rPr>
        <w:t>Mr. Peter Whalley,  Consultant</w:t>
      </w:r>
    </w:p>
    <w:p w14:paraId="2BA1BEF8" w14:textId="77777777" w:rsidR="00A0756F" w:rsidRDefault="00A0756F" w:rsidP="00A0756F">
      <w:pPr>
        <w:contextualSpacing/>
        <w:rPr>
          <w:rFonts w:asciiTheme="minorHAnsi" w:hAnsiTheme="minorHAnsi" w:cstheme="minorHAnsi"/>
          <w:sz w:val="22"/>
          <w:szCs w:val="22"/>
        </w:rPr>
      </w:pPr>
      <w:r>
        <w:rPr>
          <w:rFonts w:asciiTheme="minorHAnsi" w:hAnsiTheme="minorHAnsi" w:cstheme="minorHAnsi"/>
          <w:sz w:val="22"/>
          <w:szCs w:val="22"/>
        </w:rPr>
        <w:t>Mr. Novak Cadjenovic, Project Office, Montenegro</w:t>
      </w:r>
    </w:p>
    <w:p w14:paraId="22A81632" w14:textId="77777777" w:rsidR="00A0756F" w:rsidRDefault="00A0756F" w:rsidP="00A0756F">
      <w:pPr>
        <w:contextualSpacing/>
        <w:rPr>
          <w:rFonts w:asciiTheme="minorHAnsi" w:hAnsiTheme="minorHAnsi" w:cstheme="minorHAnsi"/>
          <w:sz w:val="22"/>
          <w:szCs w:val="22"/>
        </w:rPr>
      </w:pPr>
    </w:p>
    <w:p w14:paraId="386EE2F7" w14:textId="77777777" w:rsidR="00A0756F" w:rsidRDefault="00A0756F" w:rsidP="00A0756F">
      <w:pPr>
        <w:contextualSpacing/>
        <w:rPr>
          <w:rFonts w:asciiTheme="minorHAnsi" w:hAnsiTheme="minorHAnsi" w:cstheme="minorHAnsi"/>
          <w:sz w:val="22"/>
          <w:szCs w:val="22"/>
        </w:rPr>
      </w:pPr>
    </w:p>
    <w:p w14:paraId="051A959B" w14:textId="77777777" w:rsidR="00A0756F" w:rsidRDefault="00A0756F" w:rsidP="00A0756F">
      <w:pPr>
        <w:contextualSpacing/>
        <w:rPr>
          <w:rFonts w:asciiTheme="minorHAnsi" w:hAnsiTheme="minorHAnsi" w:cstheme="minorHAnsi"/>
          <w:i/>
          <w:sz w:val="22"/>
          <w:szCs w:val="22"/>
        </w:rPr>
      </w:pPr>
      <w:r>
        <w:rPr>
          <w:rFonts w:asciiTheme="minorHAnsi" w:hAnsiTheme="minorHAnsi" w:cstheme="minorHAnsi"/>
          <w:i/>
          <w:sz w:val="22"/>
          <w:szCs w:val="22"/>
        </w:rPr>
        <w:t>Kosovo</w:t>
      </w:r>
    </w:p>
    <w:p w14:paraId="11D87EEC" w14:textId="77777777" w:rsidR="00A0756F" w:rsidRDefault="00A0756F" w:rsidP="00A0756F">
      <w:pPr>
        <w:contextualSpacing/>
        <w:rPr>
          <w:rFonts w:asciiTheme="minorHAnsi" w:hAnsiTheme="minorHAnsi" w:cstheme="minorHAnsi"/>
          <w:i/>
          <w:sz w:val="22"/>
          <w:szCs w:val="22"/>
        </w:rPr>
      </w:pPr>
    </w:p>
    <w:p w14:paraId="2E2F2190" w14:textId="77777777" w:rsidR="00A0756F" w:rsidRDefault="00A0756F" w:rsidP="00A0756F">
      <w:pPr>
        <w:contextualSpacing/>
        <w:rPr>
          <w:rFonts w:asciiTheme="minorHAnsi" w:hAnsiTheme="minorHAnsi" w:cstheme="minorHAnsi"/>
          <w:sz w:val="22"/>
          <w:szCs w:val="22"/>
        </w:rPr>
      </w:pPr>
      <w:r>
        <w:rPr>
          <w:rFonts w:asciiTheme="minorHAnsi" w:hAnsiTheme="minorHAnsi" w:cstheme="minorHAnsi"/>
          <w:sz w:val="22"/>
          <w:szCs w:val="22"/>
        </w:rPr>
        <w:t>Ms. Letafete Latifi, Head of Hydromed Institute</w:t>
      </w:r>
    </w:p>
    <w:p w14:paraId="49BB0909" w14:textId="77777777" w:rsidR="00A0756F" w:rsidRDefault="00A0756F" w:rsidP="00A0756F">
      <w:pPr>
        <w:contextualSpacing/>
        <w:rPr>
          <w:rFonts w:asciiTheme="minorHAnsi" w:hAnsiTheme="minorHAnsi" w:cstheme="minorHAnsi"/>
          <w:sz w:val="22"/>
          <w:szCs w:val="22"/>
        </w:rPr>
      </w:pPr>
      <w:r>
        <w:rPr>
          <w:rFonts w:asciiTheme="minorHAnsi" w:hAnsiTheme="minorHAnsi" w:cstheme="minorHAnsi"/>
          <w:sz w:val="22"/>
          <w:szCs w:val="22"/>
        </w:rPr>
        <w:t>Ms. Manduha  Gojani, Head of Planning Division at RBDA</w:t>
      </w:r>
    </w:p>
    <w:p w14:paraId="64BE84FE" w14:textId="1445671C" w:rsidR="00A0756F" w:rsidRDefault="00A0756F" w:rsidP="00A0756F">
      <w:pPr>
        <w:contextualSpacing/>
        <w:rPr>
          <w:rFonts w:asciiTheme="minorHAnsi" w:hAnsiTheme="minorHAnsi" w:cstheme="minorHAnsi"/>
          <w:sz w:val="22"/>
          <w:szCs w:val="22"/>
        </w:rPr>
      </w:pPr>
    </w:p>
    <w:p w14:paraId="459152E5" w14:textId="77777777" w:rsidR="009A1DB5" w:rsidRDefault="009A1DB5" w:rsidP="00A0756F">
      <w:pPr>
        <w:contextualSpacing/>
        <w:rPr>
          <w:rFonts w:asciiTheme="minorHAnsi" w:hAnsiTheme="minorHAnsi" w:cstheme="minorHAnsi"/>
          <w:sz w:val="22"/>
          <w:szCs w:val="22"/>
        </w:rPr>
      </w:pPr>
    </w:p>
    <w:p w14:paraId="47F6D8B7" w14:textId="77777777" w:rsidR="00A0756F" w:rsidRDefault="00A0756F" w:rsidP="00A0756F">
      <w:pPr>
        <w:contextualSpacing/>
        <w:rPr>
          <w:rFonts w:asciiTheme="minorHAnsi" w:hAnsiTheme="minorHAnsi" w:cstheme="minorHAnsi"/>
          <w:i/>
          <w:sz w:val="22"/>
          <w:szCs w:val="22"/>
        </w:rPr>
      </w:pPr>
      <w:r>
        <w:rPr>
          <w:rFonts w:asciiTheme="minorHAnsi" w:hAnsiTheme="minorHAnsi" w:cstheme="minorHAnsi"/>
          <w:i/>
          <w:sz w:val="22"/>
          <w:szCs w:val="22"/>
        </w:rPr>
        <w:t>Montenegro</w:t>
      </w:r>
    </w:p>
    <w:p w14:paraId="31D107A3" w14:textId="77777777" w:rsidR="00A0756F" w:rsidRDefault="00A0756F" w:rsidP="00A0756F">
      <w:pPr>
        <w:contextualSpacing/>
        <w:rPr>
          <w:rFonts w:asciiTheme="minorHAnsi" w:hAnsiTheme="minorHAnsi" w:cstheme="minorHAnsi"/>
          <w:i/>
          <w:sz w:val="22"/>
          <w:szCs w:val="22"/>
        </w:rPr>
      </w:pPr>
    </w:p>
    <w:p w14:paraId="18BF7504" w14:textId="77777777" w:rsidR="00A0756F" w:rsidRDefault="00A0756F" w:rsidP="00A0756F">
      <w:pPr>
        <w:contextualSpacing/>
        <w:rPr>
          <w:rFonts w:asciiTheme="minorHAnsi" w:hAnsiTheme="minorHAnsi" w:cstheme="minorHAnsi"/>
          <w:sz w:val="22"/>
          <w:szCs w:val="22"/>
        </w:rPr>
      </w:pPr>
      <w:r>
        <w:rPr>
          <w:rFonts w:asciiTheme="minorHAnsi" w:hAnsiTheme="minorHAnsi" w:cstheme="minorHAnsi"/>
          <w:sz w:val="22"/>
          <w:szCs w:val="22"/>
        </w:rPr>
        <w:t xml:space="preserve">Ms. Ivana Stojanovic, </w:t>
      </w:r>
      <w:r w:rsidR="009A1DB5">
        <w:rPr>
          <w:rFonts w:asciiTheme="minorHAnsi" w:hAnsiTheme="minorHAnsi" w:cstheme="minorHAnsi"/>
          <w:sz w:val="22"/>
          <w:szCs w:val="22"/>
        </w:rPr>
        <w:t>Ministry of Ecology, Spatial Planning and Urbanism</w:t>
      </w:r>
    </w:p>
    <w:p w14:paraId="7528CA81" w14:textId="77777777" w:rsidR="009A1DB5" w:rsidRDefault="009A1DB5" w:rsidP="00A0756F">
      <w:pPr>
        <w:contextualSpacing/>
        <w:rPr>
          <w:rFonts w:asciiTheme="minorHAnsi" w:hAnsiTheme="minorHAnsi" w:cstheme="minorHAnsi"/>
          <w:sz w:val="22"/>
          <w:szCs w:val="22"/>
        </w:rPr>
      </w:pPr>
      <w:r>
        <w:rPr>
          <w:rFonts w:asciiTheme="minorHAnsi" w:hAnsiTheme="minorHAnsi" w:cstheme="minorHAnsi"/>
          <w:sz w:val="22"/>
          <w:szCs w:val="22"/>
        </w:rPr>
        <w:t>Mr. Aleksandar Mijovic, National Parks of Montenegro</w:t>
      </w:r>
    </w:p>
    <w:p w14:paraId="447B86A4" w14:textId="77777777" w:rsidR="009A1DB5" w:rsidRDefault="009A1DB5" w:rsidP="00A0756F">
      <w:pPr>
        <w:contextualSpacing/>
        <w:rPr>
          <w:rFonts w:asciiTheme="minorHAnsi" w:hAnsiTheme="minorHAnsi" w:cstheme="minorHAnsi"/>
          <w:sz w:val="22"/>
          <w:szCs w:val="22"/>
        </w:rPr>
      </w:pPr>
      <w:r>
        <w:rPr>
          <w:rFonts w:asciiTheme="minorHAnsi" w:hAnsiTheme="minorHAnsi" w:cstheme="minorHAnsi"/>
          <w:sz w:val="22"/>
          <w:szCs w:val="22"/>
        </w:rPr>
        <w:t>Mr. Milo Radovic, Water Directorate</w:t>
      </w:r>
    </w:p>
    <w:p w14:paraId="0D657BC2" w14:textId="5C63AEC0" w:rsidR="009A1DB5" w:rsidRDefault="009A1DB5" w:rsidP="00A0756F">
      <w:pPr>
        <w:contextualSpacing/>
        <w:rPr>
          <w:rFonts w:asciiTheme="minorHAnsi" w:hAnsiTheme="minorHAnsi" w:cstheme="minorHAnsi"/>
          <w:sz w:val="22"/>
          <w:szCs w:val="22"/>
        </w:rPr>
      </w:pPr>
    </w:p>
    <w:p w14:paraId="7733D2F7" w14:textId="77777777" w:rsidR="009A1DB5" w:rsidRDefault="009A1DB5" w:rsidP="00A0756F">
      <w:pPr>
        <w:contextualSpacing/>
        <w:rPr>
          <w:rFonts w:asciiTheme="minorHAnsi" w:hAnsiTheme="minorHAnsi" w:cstheme="minorHAnsi"/>
          <w:sz w:val="22"/>
          <w:szCs w:val="22"/>
        </w:rPr>
      </w:pPr>
    </w:p>
    <w:p w14:paraId="36E8DBF4" w14:textId="77777777" w:rsidR="009A1DB5" w:rsidRDefault="009A1DB5" w:rsidP="00A0756F">
      <w:pPr>
        <w:contextualSpacing/>
        <w:rPr>
          <w:rFonts w:asciiTheme="minorHAnsi" w:hAnsiTheme="minorHAnsi" w:cstheme="minorHAnsi"/>
          <w:sz w:val="22"/>
          <w:szCs w:val="22"/>
        </w:rPr>
      </w:pPr>
      <w:r>
        <w:rPr>
          <w:rFonts w:asciiTheme="minorHAnsi" w:hAnsiTheme="minorHAnsi" w:cstheme="minorHAnsi"/>
          <w:i/>
          <w:sz w:val="22"/>
          <w:szCs w:val="22"/>
        </w:rPr>
        <w:t>North Macedonia</w:t>
      </w:r>
    </w:p>
    <w:p w14:paraId="1CBD7C32" w14:textId="77777777" w:rsidR="009A1DB5" w:rsidRDefault="009A1DB5" w:rsidP="00A0756F">
      <w:pPr>
        <w:contextualSpacing/>
        <w:rPr>
          <w:rFonts w:asciiTheme="minorHAnsi" w:hAnsiTheme="minorHAnsi" w:cstheme="minorHAnsi"/>
          <w:sz w:val="22"/>
          <w:szCs w:val="22"/>
        </w:rPr>
      </w:pPr>
    </w:p>
    <w:p w14:paraId="1EE18086" w14:textId="77777777" w:rsidR="009A1DB5" w:rsidRDefault="009A1DB5" w:rsidP="00A0756F">
      <w:pPr>
        <w:contextualSpacing/>
        <w:rPr>
          <w:rFonts w:asciiTheme="minorHAnsi" w:hAnsiTheme="minorHAnsi" w:cstheme="minorHAnsi"/>
          <w:sz w:val="22"/>
          <w:szCs w:val="22"/>
        </w:rPr>
      </w:pPr>
      <w:r>
        <w:rPr>
          <w:rFonts w:asciiTheme="minorHAnsi" w:hAnsiTheme="minorHAnsi" w:cstheme="minorHAnsi"/>
          <w:sz w:val="22"/>
          <w:szCs w:val="22"/>
        </w:rPr>
        <w:t>Ms. Radmila Boskovska, Head of Sector, HYDROMED</w:t>
      </w:r>
    </w:p>
    <w:p w14:paraId="4DDF1B44" w14:textId="18480FDD" w:rsidR="009A1DB5" w:rsidRPr="00894841" w:rsidRDefault="009A1DB5" w:rsidP="00894841">
      <w:pPr>
        <w:contextualSpacing/>
        <w:rPr>
          <w:rFonts w:asciiTheme="minorHAnsi" w:hAnsiTheme="minorHAnsi" w:cstheme="minorHAnsi"/>
          <w:sz w:val="22"/>
          <w:szCs w:val="22"/>
        </w:rPr>
        <w:sectPr w:rsidR="009A1DB5" w:rsidRPr="00894841">
          <w:pgSz w:w="11906" w:h="16838"/>
          <w:pgMar w:top="1440" w:right="1440" w:bottom="1440" w:left="1440" w:header="708" w:footer="708" w:gutter="0"/>
          <w:cols w:space="720"/>
          <w:titlePg/>
        </w:sectPr>
      </w:pPr>
      <w:r>
        <w:rPr>
          <w:rFonts w:asciiTheme="minorHAnsi" w:hAnsiTheme="minorHAnsi" w:cstheme="minorHAnsi"/>
          <w:sz w:val="22"/>
          <w:szCs w:val="22"/>
        </w:rPr>
        <w:t>Mr. Ylber Mirta, Head of Water Sector, Ministry of Environment</w:t>
      </w:r>
    </w:p>
    <w:p w14:paraId="70C46785" w14:textId="77777777" w:rsidR="000F31AD" w:rsidRDefault="00A317E5">
      <w:pPr>
        <w:pStyle w:val="Heading2"/>
      </w:pPr>
      <w:bookmarkStart w:id="72" w:name="_Toc81335888"/>
      <w:r>
        <w:lastRenderedPageBreak/>
        <w:t>Annex 4:</w:t>
      </w:r>
      <w:r>
        <w:tab/>
        <w:t>List of documents reviewed</w:t>
      </w:r>
      <w:bookmarkEnd w:id="72"/>
    </w:p>
    <w:p w14:paraId="724833E9" w14:textId="77777777" w:rsidR="009A1DB5" w:rsidRDefault="009A1DB5" w:rsidP="009A1DB5"/>
    <w:p w14:paraId="31068368" w14:textId="76F97C4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Project documents</w:t>
      </w:r>
    </w:p>
    <w:p w14:paraId="61EBEB1F" w14:textId="7777777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PIFs</w:t>
      </w:r>
    </w:p>
    <w:p w14:paraId="32A7E2E6" w14:textId="7777777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Project Board meetings' minutes</w:t>
      </w:r>
    </w:p>
    <w:p w14:paraId="6DB854D6" w14:textId="7777777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Stakeholder meetings' reports</w:t>
      </w:r>
    </w:p>
    <w:p w14:paraId="539B9A4A" w14:textId="7777777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PIRs</w:t>
      </w:r>
    </w:p>
    <w:p w14:paraId="137AEF2A" w14:textId="7777777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Workplans</w:t>
      </w:r>
    </w:p>
    <w:p w14:paraId="6E35CF69" w14:textId="7777777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Financial reports</w:t>
      </w:r>
    </w:p>
    <w:p w14:paraId="2162CEFB" w14:textId="7777777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Co-financing letters</w:t>
      </w:r>
    </w:p>
    <w:p w14:paraId="66AB32F2" w14:textId="7777777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MTR report</w:t>
      </w:r>
    </w:p>
    <w:p w14:paraId="50CE5DDB" w14:textId="7777777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Workshop reports</w:t>
      </w:r>
    </w:p>
    <w:p w14:paraId="17F382A3" w14:textId="77777777"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Project outputs</w:t>
      </w:r>
    </w:p>
    <w:p w14:paraId="73E76627" w14:textId="42B9256F" w:rsidR="009A1DB5" w:rsidRDefault="009A1DB5" w:rsidP="0052081C">
      <w:pPr>
        <w:numPr>
          <w:ilvl w:val="0"/>
          <w:numId w:val="2"/>
        </w:numPr>
        <w:pBdr>
          <w:top w:val="nil"/>
          <w:left w:val="nil"/>
          <w:bottom w:val="nil"/>
          <w:right w:val="nil"/>
          <w:between w:val="nil"/>
        </w:pBdr>
        <w:shd w:val="clear" w:color="auto" w:fill="FFFFFF"/>
        <w:ind w:left="426" w:hanging="426"/>
        <w:rPr>
          <w:rFonts w:ascii="Calibri" w:eastAsia="Calibri" w:hAnsi="Calibri" w:cs="Calibri"/>
          <w:color w:val="000000"/>
          <w:sz w:val="22"/>
          <w:szCs w:val="22"/>
        </w:rPr>
      </w:pPr>
      <w:r>
        <w:rPr>
          <w:rFonts w:ascii="Calibri" w:eastAsia="Calibri" w:hAnsi="Calibri" w:cs="Calibri"/>
          <w:color w:val="000000"/>
          <w:sz w:val="22"/>
          <w:szCs w:val="22"/>
        </w:rPr>
        <w:t>UNDP Social and Environmental Screening</w:t>
      </w:r>
    </w:p>
    <w:p w14:paraId="0A8B74EE" w14:textId="5AB3FC0D" w:rsidR="009A1DB5" w:rsidRPr="00894841" w:rsidRDefault="009A1DB5" w:rsidP="0052081C">
      <w:pPr>
        <w:pStyle w:val="ListParagraph"/>
        <w:numPr>
          <w:ilvl w:val="0"/>
          <w:numId w:val="2"/>
        </w:numPr>
        <w:ind w:left="426" w:hanging="426"/>
      </w:pPr>
      <w:r>
        <w:rPr>
          <w:rFonts w:ascii="Calibri" w:eastAsia="Calibri" w:hAnsi="Calibri" w:cs="Calibri"/>
          <w:color w:val="000000"/>
          <w:sz w:val="22"/>
          <w:szCs w:val="22"/>
        </w:rPr>
        <w:t>GEF IW Tracking Tool</w:t>
      </w:r>
    </w:p>
    <w:p w14:paraId="65827E78" w14:textId="0915819C" w:rsidR="009A1DB5" w:rsidRPr="00894841" w:rsidRDefault="009A1DB5" w:rsidP="0052081C">
      <w:pPr>
        <w:pStyle w:val="ListParagraph"/>
        <w:numPr>
          <w:ilvl w:val="0"/>
          <w:numId w:val="2"/>
        </w:numPr>
        <w:ind w:left="426" w:hanging="426"/>
      </w:pPr>
      <w:r>
        <w:t>Audit reports</w:t>
      </w:r>
    </w:p>
    <w:p w14:paraId="474C72F0" w14:textId="77777777" w:rsidR="009A1DB5" w:rsidRDefault="009A1DB5" w:rsidP="009A1DB5"/>
    <w:p w14:paraId="0325D1D4" w14:textId="2C2CA1EB" w:rsidR="009A1DB5" w:rsidRPr="009A1DB5" w:rsidRDefault="009A1DB5" w:rsidP="00894841">
      <w:pPr>
        <w:sectPr w:rsidR="009A1DB5" w:rsidRPr="009A1DB5">
          <w:pgSz w:w="11906" w:h="16838"/>
          <w:pgMar w:top="1440" w:right="1440" w:bottom="1440" w:left="1440" w:header="708" w:footer="708" w:gutter="0"/>
          <w:cols w:space="720"/>
          <w:titlePg/>
        </w:sectPr>
      </w:pPr>
    </w:p>
    <w:p w14:paraId="6B6DD8EA" w14:textId="77777777" w:rsidR="000F31AD" w:rsidRDefault="00A317E5">
      <w:pPr>
        <w:pStyle w:val="Heading2"/>
      </w:pPr>
      <w:bookmarkStart w:id="73" w:name="_Toc81335889"/>
      <w:r>
        <w:lastRenderedPageBreak/>
        <w:t>Annex 5:</w:t>
      </w:r>
      <w:r>
        <w:tab/>
        <w:t>Evaluation question matrix</w:t>
      </w:r>
      <w:bookmarkEnd w:id="73"/>
    </w:p>
    <w:p w14:paraId="7D11F31A" w14:textId="06F1A06D" w:rsidR="009A1DB5" w:rsidRDefault="009A1DB5" w:rsidP="009A1DB5"/>
    <w:tbl>
      <w:tblPr>
        <w:tblW w:w="13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9"/>
        <w:gridCol w:w="3499"/>
        <w:gridCol w:w="3499"/>
        <w:gridCol w:w="3499"/>
      </w:tblGrid>
      <w:tr w:rsidR="009A1DB5" w14:paraId="4FF4F9E5" w14:textId="77777777" w:rsidTr="00DB2DCE">
        <w:tc>
          <w:tcPr>
            <w:tcW w:w="3499" w:type="dxa"/>
            <w:shd w:val="clear" w:color="auto" w:fill="8EAADB"/>
          </w:tcPr>
          <w:p w14:paraId="6D723F4C" w14:textId="77777777" w:rsidR="009A1DB5" w:rsidRDefault="009A1DB5" w:rsidP="00DB2DCE">
            <w:pPr>
              <w:jc w:val="center"/>
              <w:rPr>
                <w:rFonts w:ascii="Calibri" w:eastAsia="Calibri" w:hAnsi="Calibri" w:cs="Calibri"/>
                <w:b/>
              </w:rPr>
            </w:pPr>
            <w:r>
              <w:rPr>
                <w:rFonts w:ascii="Calibri" w:eastAsia="Calibri" w:hAnsi="Calibri" w:cs="Calibri"/>
                <w:b/>
                <w:sz w:val="22"/>
                <w:szCs w:val="22"/>
              </w:rPr>
              <w:t>Evaluative Criteria Questions</w:t>
            </w:r>
          </w:p>
        </w:tc>
        <w:tc>
          <w:tcPr>
            <w:tcW w:w="3499" w:type="dxa"/>
            <w:shd w:val="clear" w:color="auto" w:fill="8EAADB"/>
          </w:tcPr>
          <w:p w14:paraId="52F32DB6" w14:textId="77777777" w:rsidR="009A1DB5" w:rsidRDefault="009A1DB5" w:rsidP="00DB2DCE">
            <w:pPr>
              <w:jc w:val="center"/>
              <w:rPr>
                <w:rFonts w:ascii="Calibri" w:eastAsia="Calibri" w:hAnsi="Calibri" w:cs="Calibri"/>
                <w:b/>
              </w:rPr>
            </w:pPr>
            <w:r>
              <w:rPr>
                <w:rFonts w:ascii="Calibri" w:eastAsia="Calibri" w:hAnsi="Calibri" w:cs="Calibri"/>
                <w:b/>
                <w:sz w:val="22"/>
                <w:szCs w:val="22"/>
              </w:rPr>
              <w:t>Indicators</w:t>
            </w:r>
          </w:p>
        </w:tc>
        <w:tc>
          <w:tcPr>
            <w:tcW w:w="3499" w:type="dxa"/>
            <w:shd w:val="clear" w:color="auto" w:fill="8EAADB"/>
          </w:tcPr>
          <w:p w14:paraId="562D768F" w14:textId="77777777" w:rsidR="009A1DB5" w:rsidRDefault="009A1DB5" w:rsidP="00DB2DCE">
            <w:pPr>
              <w:jc w:val="center"/>
              <w:rPr>
                <w:rFonts w:ascii="Calibri" w:eastAsia="Calibri" w:hAnsi="Calibri" w:cs="Calibri"/>
                <w:b/>
              </w:rPr>
            </w:pPr>
            <w:r>
              <w:rPr>
                <w:rFonts w:ascii="Calibri" w:eastAsia="Calibri" w:hAnsi="Calibri" w:cs="Calibri"/>
                <w:b/>
                <w:sz w:val="22"/>
                <w:szCs w:val="22"/>
              </w:rPr>
              <w:t>Sources</w:t>
            </w:r>
          </w:p>
        </w:tc>
        <w:tc>
          <w:tcPr>
            <w:tcW w:w="3499" w:type="dxa"/>
            <w:shd w:val="clear" w:color="auto" w:fill="8EAADB"/>
          </w:tcPr>
          <w:p w14:paraId="292A24D1" w14:textId="77777777" w:rsidR="009A1DB5" w:rsidRDefault="009A1DB5" w:rsidP="00DB2DCE">
            <w:pPr>
              <w:jc w:val="center"/>
              <w:rPr>
                <w:rFonts w:ascii="Calibri" w:eastAsia="Calibri" w:hAnsi="Calibri" w:cs="Calibri"/>
                <w:b/>
              </w:rPr>
            </w:pPr>
            <w:r>
              <w:rPr>
                <w:rFonts w:ascii="Calibri" w:eastAsia="Calibri" w:hAnsi="Calibri" w:cs="Calibri"/>
                <w:b/>
                <w:sz w:val="22"/>
                <w:szCs w:val="22"/>
              </w:rPr>
              <w:t>Methodology</w:t>
            </w:r>
          </w:p>
          <w:p w14:paraId="50D329BC" w14:textId="77777777" w:rsidR="009A1DB5" w:rsidRDefault="009A1DB5" w:rsidP="00DB2DCE">
            <w:pPr>
              <w:jc w:val="center"/>
              <w:rPr>
                <w:rFonts w:ascii="Calibri" w:eastAsia="Calibri" w:hAnsi="Calibri" w:cs="Calibri"/>
                <w:b/>
              </w:rPr>
            </w:pPr>
          </w:p>
        </w:tc>
      </w:tr>
      <w:tr w:rsidR="009A1DB5" w14:paraId="69067ED0" w14:textId="77777777" w:rsidTr="00DB2DCE">
        <w:trPr>
          <w:trHeight w:val="507"/>
        </w:trPr>
        <w:tc>
          <w:tcPr>
            <w:tcW w:w="13996" w:type="dxa"/>
            <w:gridSpan w:val="4"/>
            <w:tcBorders>
              <w:bottom w:val="single" w:sz="4" w:space="0" w:color="000000"/>
            </w:tcBorders>
            <w:shd w:val="clear" w:color="auto" w:fill="D9E2F3"/>
          </w:tcPr>
          <w:p w14:paraId="0423B5EA" w14:textId="77777777" w:rsidR="009A1DB5" w:rsidRDefault="009A1DB5" w:rsidP="00DB2DCE">
            <w:pPr>
              <w:rPr>
                <w:rFonts w:ascii="Calibri" w:eastAsia="Calibri" w:hAnsi="Calibri" w:cs="Calibri"/>
              </w:rPr>
            </w:pPr>
            <w:r>
              <w:rPr>
                <w:rFonts w:ascii="Calibri" w:eastAsia="Calibri" w:hAnsi="Calibri" w:cs="Calibri"/>
                <w:b/>
                <w:sz w:val="22"/>
                <w:szCs w:val="22"/>
              </w:rPr>
              <w:t>Relevance –</w:t>
            </w:r>
            <w:r>
              <w:rPr>
                <w:rFonts w:ascii="Calibri" w:eastAsia="Calibri" w:hAnsi="Calibri" w:cs="Calibri"/>
                <w:sz w:val="22"/>
                <w:szCs w:val="22"/>
              </w:rPr>
              <w:t xml:space="preserve"> How does the project relates to the main objectives of the GEF focal area, and to the environment and development priorities at the local, regional and national levels?</w:t>
            </w:r>
          </w:p>
        </w:tc>
      </w:tr>
      <w:tr w:rsidR="009A1DB5" w14:paraId="580BC752" w14:textId="77777777" w:rsidTr="00DB2DCE">
        <w:tc>
          <w:tcPr>
            <w:tcW w:w="3499" w:type="dxa"/>
            <w:tcBorders>
              <w:bottom w:val="single" w:sz="4" w:space="0" w:color="000000"/>
            </w:tcBorders>
            <w:shd w:val="clear" w:color="auto" w:fill="auto"/>
          </w:tcPr>
          <w:p w14:paraId="393BE33B" w14:textId="77777777" w:rsidR="009A1DB5" w:rsidRDefault="009A1DB5" w:rsidP="0052081C">
            <w:pPr>
              <w:numPr>
                <w:ilvl w:val="0"/>
                <w:numId w:val="25"/>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To what extent are the projects’ objectives aligned with international and national priorities in transboundary water governance?</w:t>
            </w:r>
          </w:p>
          <w:p w14:paraId="498916F7" w14:textId="77777777" w:rsidR="009A1DB5" w:rsidRDefault="009A1DB5" w:rsidP="0052081C">
            <w:pPr>
              <w:numPr>
                <w:ilvl w:val="0"/>
                <w:numId w:val="25"/>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Do the projects’ objectives fit GEF IW and UNDP strategic priorities and how do they support the GEF IW focal area?</w:t>
            </w:r>
          </w:p>
          <w:p w14:paraId="2B42D4FA" w14:textId="77777777" w:rsidR="009A1DB5" w:rsidRDefault="009A1DB5" w:rsidP="0052081C">
            <w:pPr>
              <w:numPr>
                <w:ilvl w:val="0"/>
                <w:numId w:val="25"/>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Were project partners adequately identified and were they involved in the project design and inception phase?</w:t>
            </w:r>
          </w:p>
          <w:p w14:paraId="3DF14D18" w14:textId="77777777" w:rsidR="009A1DB5" w:rsidRDefault="009A1DB5" w:rsidP="0052081C">
            <w:pPr>
              <w:numPr>
                <w:ilvl w:val="0"/>
                <w:numId w:val="25"/>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To what extent are the projects’ designs, objectives and outcomes aligned with the needs and requirements of key partners and stakeholders?</w:t>
            </w:r>
          </w:p>
          <w:p w14:paraId="6D275620" w14:textId="77777777" w:rsidR="009A1DB5" w:rsidRDefault="009A1DB5" w:rsidP="0052081C">
            <w:pPr>
              <w:numPr>
                <w:ilvl w:val="0"/>
                <w:numId w:val="25"/>
              </w:numPr>
              <w:pBdr>
                <w:top w:val="nil"/>
                <w:left w:val="nil"/>
                <w:bottom w:val="nil"/>
                <w:right w:val="nil"/>
                <w:between w:val="nil"/>
              </w:pBdr>
              <w:ind w:left="315"/>
              <w:rPr>
                <w:rFonts w:ascii="Calibri" w:eastAsia="Calibri" w:hAnsi="Calibri" w:cs="Calibri"/>
                <w:color w:val="000000"/>
                <w:sz w:val="20"/>
                <w:szCs w:val="20"/>
              </w:rPr>
            </w:pPr>
            <w:r>
              <w:rPr>
                <w:rFonts w:ascii="Calibri" w:eastAsia="Calibri" w:hAnsi="Calibri" w:cs="Calibri"/>
                <w:color w:val="000000"/>
                <w:sz w:val="20"/>
                <w:szCs w:val="20"/>
              </w:rPr>
              <w:t>To what extent have the projects contributed to gender equality, empowerment of women and human rights of target groups, including in relation to sustainable development?</w:t>
            </w:r>
          </w:p>
        </w:tc>
        <w:tc>
          <w:tcPr>
            <w:tcW w:w="3499" w:type="dxa"/>
            <w:tcBorders>
              <w:bottom w:val="single" w:sz="4" w:space="0" w:color="000000"/>
            </w:tcBorders>
            <w:shd w:val="clear" w:color="auto" w:fill="auto"/>
          </w:tcPr>
          <w:p w14:paraId="1920039C" w14:textId="77777777" w:rsidR="009A1DB5" w:rsidRDefault="009A1DB5" w:rsidP="0052081C">
            <w:pPr>
              <w:numPr>
                <w:ilvl w:val="0"/>
                <w:numId w:val="25"/>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Alignment with international and national priorities</w:t>
            </w:r>
          </w:p>
          <w:p w14:paraId="7C37466B" w14:textId="77777777" w:rsidR="009A1DB5" w:rsidRDefault="009A1DB5" w:rsidP="0052081C">
            <w:pPr>
              <w:numPr>
                <w:ilvl w:val="0"/>
                <w:numId w:val="25"/>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Alignment with GEF IW and UNDP strategic priorities</w:t>
            </w:r>
          </w:p>
          <w:p w14:paraId="6F957366" w14:textId="77777777" w:rsidR="009A1DB5" w:rsidRDefault="009A1DB5" w:rsidP="0052081C">
            <w:pPr>
              <w:numPr>
                <w:ilvl w:val="0"/>
                <w:numId w:val="25"/>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Evidence of partner identification process and of partner involvement in project design and implementation</w:t>
            </w:r>
          </w:p>
          <w:p w14:paraId="53790C0F" w14:textId="77777777" w:rsidR="009A1DB5" w:rsidRDefault="009A1DB5" w:rsidP="0052081C">
            <w:pPr>
              <w:numPr>
                <w:ilvl w:val="0"/>
                <w:numId w:val="25"/>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Evidence that partners’ and stakeholders’ needs and requirements were taken into consideration</w:t>
            </w:r>
          </w:p>
          <w:p w14:paraId="65D08CF7" w14:textId="77777777" w:rsidR="009A1DB5" w:rsidRDefault="009A1DB5" w:rsidP="0052081C">
            <w:pPr>
              <w:numPr>
                <w:ilvl w:val="0"/>
                <w:numId w:val="25"/>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Evidence that gender equality, human rights and sustainable development were taken into consideration in project design and implementation</w:t>
            </w:r>
          </w:p>
          <w:p w14:paraId="0CBCC0B1" w14:textId="77777777" w:rsidR="009A1DB5" w:rsidRDefault="009A1DB5" w:rsidP="0052081C">
            <w:pPr>
              <w:numPr>
                <w:ilvl w:val="0"/>
                <w:numId w:val="25"/>
              </w:numPr>
              <w:pBdr>
                <w:top w:val="nil"/>
                <w:left w:val="nil"/>
                <w:bottom w:val="nil"/>
                <w:right w:val="nil"/>
                <w:between w:val="nil"/>
              </w:pBdr>
              <w:ind w:left="359"/>
              <w:rPr>
                <w:rFonts w:ascii="Calibri" w:eastAsia="Calibri" w:hAnsi="Calibri" w:cs="Calibri"/>
                <w:color w:val="000000"/>
                <w:sz w:val="20"/>
                <w:szCs w:val="20"/>
              </w:rPr>
            </w:pPr>
            <w:r>
              <w:rPr>
                <w:rFonts w:ascii="Calibri" w:eastAsia="Calibri" w:hAnsi="Calibri" w:cs="Calibri"/>
                <w:color w:val="000000"/>
                <w:sz w:val="20"/>
                <w:szCs w:val="20"/>
              </w:rPr>
              <w:t>Quantity and quality of references to gender equality, human rights and sustainable development in project activities and outputs</w:t>
            </w:r>
          </w:p>
        </w:tc>
        <w:tc>
          <w:tcPr>
            <w:tcW w:w="3499" w:type="dxa"/>
            <w:tcBorders>
              <w:bottom w:val="single" w:sz="4" w:space="0" w:color="000000"/>
            </w:tcBorders>
            <w:shd w:val="clear" w:color="auto" w:fill="auto"/>
          </w:tcPr>
          <w:p w14:paraId="4038FB6D" w14:textId="77777777" w:rsidR="009A1DB5" w:rsidRDefault="009A1DB5" w:rsidP="0052081C">
            <w:pPr>
              <w:numPr>
                <w:ilvl w:val="0"/>
                <w:numId w:val="25"/>
              </w:numPr>
              <w:pBdr>
                <w:top w:val="nil"/>
                <w:left w:val="nil"/>
                <w:bottom w:val="nil"/>
                <w:right w:val="nil"/>
                <w:between w:val="nil"/>
              </w:pBdr>
              <w:spacing w:after="60"/>
              <w:ind w:left="402"/>
              <w:rPr>
                <w:rFonts w:ascii="Calibri" w:eastAsia="Calibri" w:hAnsi="Calibri" w:cs="Calibri"/>
                <w:color w:val="000000"/>
                <w:sz w:val="20"/>
                <w:szCs w:val="20"/>
              </w:rPr>
            </w:pPr>
            <w:r>
              <w:rPr>
                <w:rFonts w:ascii="Calibri" w:eastAsia="Calibri" w:hAnsi="Calibri" w:cs="Calibri"/>
                <w:color w:val="000000"/>
                <w:sz w:val="20"/>
                <w:szCs w:val="20"/>
              </w:rPr>
              <w:t>ProDoc, PPG, PIF, CEO endorsement</w:t>
            </w:r>
          </w:p>
          <w:p w14:paraId="6512561E" w14:textId="77777777" w:rsidR="009A1DB5" w:rsidRDefault="009A1DB5" w:rsidP="0052081C">
            <w:pPr>
              <w:numPr>
                <w:ilvl w:val="0"/>
                <w:numId w:val="25"/>
              </w:numPr>
              <w:pBdr>
                <w:top w:val="nil"/>
                <w:left w:val="nil"/>
                <w:bottom w:val="nil"/>
                <w:right w:val="nil"/>
                <w:between w:val="nil"/>
              </w:pBdr>
              <w:spacing w:after="60"/>
              <w:ind w:left="402"/>
              <w:rPr>
                <w:rFonts w:ascii="Calibri" w:eastAsia="Calibri" w:hAnsi="Calibri" w:cs="Calibri"/>
                <w:color w:val="000000"/>
                <w:sz w:val="20"/>
                <w:szCs w:val="20"/>
              </w:rPr>
            </w:pPr>
            <w:r>
              <w:rPr>
                <w:rFonts w:ascii="Calibri" w:eastAsia="Calibri" w:hAnsi="Calibri" w:cs="Calibri"/>
                <w:color w:val="000000"/>
                <w:sz w:val="20"/>
                <w:szCs w:val="20"/>
              </w:rPr>
              <w:t>Project Inception Report</w:t>
            </w:r>
          </w:p>
          <w:p w14:paraId="0B7EAEB8" w14:textId="77777777" w:rsidR="009A1DB5" w:rsidRDefault="009A1DB5" w:rsidP="0052081C">
            <w:pPr>
              <w:numPr>
                <w:ilvl w:val="0"/>
                <w:numId w:val="25"/>
              </w:numPr>
              <w:pBdr>
                <w:top w:val="nil"/>
                <w:left w:val="nil"/>
                <w:bottom w:val="nil"/>
                <w:right w:val="nil"/>
                <w:between w:val="nil"/>
              </w:pBdr>
              <w:spacing w:after="60"/>
              <w:ind w:left="402"/>
              <w:rPr>
                <w:rFonts w:ascii="Calibri" w:eastAsia="Calibri" w:hAnsi="Calibri" w:cs="Calibri"/>
                <w:color w:val="000000"/>
                <w:sz w:val="20"/>
                <w:szCs w:val="20"/>
              </w:rPr>
            </w:pPr>
            <w:r>
              <w:rPr>
                <w:rFonts w:ascii="Calibri" w:eastAsia="Calibri" w:hAnsi="Calibri" w:cs="Calibri"/>
                <w:color w:val="000000"/>
                <w:sz w:val="20"/>
                <w:szCs w:val="20"/>
              </w:rPr>
              <w:t>PIRs, AWPs, PSC minutes</w:t>
            </w:r>
          </w:p>
          <w:p w14:paraId="160178F3" w14:textId="77777777" w:rsidR="009A1DB5" w:rsidRDefault="009A1DB5" w:rsidP="0052081C">
            <w:pPr>
              <w:numPr>
                <w:ilvl w:val="0"/>
                <w:numId w:val="25"/>
              </w:numPr>
              <w:pBdr>
                <w:top w:val="nil"/>
                <w:left w:val="nil"/>
                <w:bottom w:val="nil"/>
                <w:right w:val="nil"/>
                <w:between w:val="nil"/>
              </w:pBdr>
              <w:spacing w:after="60"/>
              <w:ind w:left="402"/>
              <w:rPr>
                <w:rFonts w:ascii="Calibri" w:eastAsia="Calibri" w:hAnsi="Calibri" w:cs="Calibri"/>
                <w:color w:val="000000"/>
                <w:sz w:val="20"/>
                <w:szCs w:val="20"/>
              </w:rPr>
            </w:pPr>
            <w:r>
              <w:rPr>
                <w:rFonts w:ascii="Calibri" w:eastAsia="Calibri" w:hAnsi="Calibri" w:cs="Calibri"/>
                <w:color w:val="000000"/>
                <w:sz w:val="20"/>
                <w:szCs w:val="20"/>
              </w:rPr>
              <w:t>SESP documents</w:t>
            </w:r>
          </w:p>
          <w:p w14:paraId="5189CD48" w14:textId="77777777" w:rsidR="009A1DB5" w:rsidRDefault="009A1DB5" w:rsidP="0052081C">
            <w:pPr>
              <w:numPr>
                <w:ilvl w:val="0"/>
                <w:numId w:val="25"/>
              </w:numPr>
              <w:pBdr>
                <w:top w:val="nil"/>
                <w:left w:val="nil"/>
                <w:bottom w:val="nil"/>
                <w:right w:val="nil"/>
                <w:between w:val="nil"/>
              </w:pBdr>
              <w:spacing w:after="60"/>
              <w:ind w:left="402"/>
              <w:rPr>
                <w:rFonts w:ascii="Calibri" w:eastAsia="Calibri" w:hAnsi="Calibri" w:cs="Calibri"/>
                <w:color w:val="000000"/>
                <w:sz w:val="20"/>
                <w:szCs w:val="20"/>
              </w:rPr>
            </w:pPr>
            <w:r>
              <w:rPr>
                <w:rFonts w:ascii="Calibri" w:eastAsia="Calibri" w:hAnsi="Calibri" w:cs="Calibri"/>
                <w:color w:val="000000"/>
                <w:sz w:val="20"/>
                <w:szCs w:val="20"/>
              </w:rPr>
              <w:t>Project output reports</w:t>
            </w:r>
          </w:p>
          <w:p w14:paraId="2E95162E" w14:textId="77777777" w:rsidR="009A1DB5" w:rsidRDefault="009A1DB5" w:rsidP="0052081C">
            <w:pPr>
              <w:numPr>
                <w:ilvl w:val="0"/>
                <w:numId w:val="25"/>
              </w:numPr>
              <w:pBdr>
                <w:top w:val="nil"/>
                <w:left w:val="nil"/>
                <w:bottom w:val="nil"/>
                <w:right w:val="nil"/>
                <w:between w:val="nil"/>
              </w:pBdr>
              <w:spacing w:after="60"/>
              <w:ind w:left="402"/>
              <w:rPr>
                <w:rFonts w:ascii="Calibri" w:eastAsia="Calibri" w:hAnsi="Calibri" w:cs="Calibri"/>
                <w:color w:val="000000"/>
                <w:sz w:val="20"/>
                <w:szCs w:val="20"/>
              </w:rPr>
            </w:pPr>
            <w:r>
              <w:rPr>
                <w:rFonts w:ascii="Calibri" w:eastAsia="Calibri" w:hAnsi="Calibri" w:cs="Calibri"/>
                <w:color w:val="000000"/>
                <w:sz w:val="20"/>
                <w:szCs w:val="20"/>
              </w:rPr>
              <w:t>PCU team</w:t>
            </w:r>
          </w:p>
          <w:p w14:paraId="2880A014" w14:textId="77777777" w:rsidR="009A1DB5" w:rsidRDefault="009A1DB5" w:rsidP="0052081C">
            <w:pPr>
              <w:numPr>
                <w:ilvl w:val="0"/>
                <w:numId w:val="25"/>
              </w:numPr>
              <w:pBdr>
                <w:top w:val="nil"/>
                <w:left w:val="nil"/>
                <w:bottom w:val="nil"/>
                <w:right w:val="nil"/>
                <w:between w:val="nil"/>
              </w:pBdr>
              <w:spacing w:after="60"/>
              <w:ind w:left="402"/>
              <w:rPr>
                <w:rFonts w:ascii="Calibri" w:eastAsia="Calibri" w:hAnsi="Calibri" w:cs="Calibri"/>
                <w:color w:val="000000"/>
                <w:sz w:val="20"/>
                <w:szCs w:val="20"/>
              </w:rPr>
            </w:pPr>
            <w:r>
              <w:rPr>
                <w:rFonts w:ascii="Calibri" w:eastAsia="Calibri" w:hAnsi="Calibri" w:cs="Calibri"/>
                <w:color w:val="000000"/>
                <w:sz w:val="20"/>
                <w:szCs w:val="20"/>
              </w:rPr>
              <w:t>UNDP, GEF</w:t>
            </w:r>
          </w:p>
          <w:p w14:paraId="6989F009" w14:textId="77777777" w:rsidR="009A1DB5" w:rsidRDefault="009A1DB5" w:rsidP="0052081C">
            <w:pPr>
              <w:numPr>
                <w:ilvl w:val="0"/>
                <w:numId w:val="25"/>
              </w:numPr>
              <w:pBdr>
                <w:top w:val="nil"/>
                <w:left w:val="nil"/>
                <w:bottom w:val="nil"/>
                <w:right w:val="nil"/>
                <w:between w:val="nil"/>
              </w:pBdr>
              <w:ind w:left="402"/>
              <w:rPr>
                <w:rFonts w:ascii="Calibri" w:eastAsia="Calibri" w:hAnsi="Calibri" w:cs="Calibri"/>
                <w:color w:val="000000"/>
                <w:sz w:val="20"/>
                <w:szCs w:val="20"/>
              </w:rPr>
            </w:pPr>
            <w:r>
              <w:rPr>
                <w:rFonts w:ascii="Calibri" w:eastAsia="Calibri" w:hAnsi="Calibri" w:cs="Calibri"/>
                <w:color w:val="000000"/>
                <w:sz w:val="20"/>
                <w:szCs w:val="20"/>
              </w:rPr>
              <w:t>Project partners</w:t>
            </w:r>
          </w:p>
        </w:tc>
        <w:tc>
          <w:tcPr>
            <w:tcW w:w="3499" w:type="dxa"/>
            <w:tcBorders>
              <w:bottom w:val="single" w:sz="4" w:space="0" w:color="000000"/>
            </w:tcBorders>
            <w:shd w:val="clear" w:color="auto" w:fill="auto"/>
          </w:tcPr>
          <w:p w14:paraId="6BCA8220" w14:textId="77777777" w:rsidR="009A1DB5" w:rsidRDefault="009A1DB5" w:rsidP="0052081C">
            <w:pPr>
              <w:numPr>
                <w:ilvl w:val="0"/>
                <w:numId w:val="25"/>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Document review</w:t>
            </w:r>
          </w:p>
          <w:p w14:paraId="52EF054D" w14:textId="77777777" w:rsidR="009A1DB5" w:rsidRDefault="009A1DB5" w:rsidP="0052081C">
            <w:pPr>
              <w:keepLines/>
              <w:widowControl w:val="0"/>
              <w:numPr>
                <w:ilvl w:val="0"/>
                <w:numId w:val="25"/>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36AB4898" w14:textId="77777777" w:rsidR="009A1DB5" w:rsidRDefault="009A1DB5" w:rsidP="0052081C">
            <w:pPr>
              <w:keepLines/>
              <w:widowControl w:val="0"/>
              <w:numPr>
                <w:ilvl w:val="0"/>
                <w:numId w:val="25"/>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Email</w:t>
            </w:r>
          </w:p>
          <w:p w14:paraId="640CBF17" w14:textId="77777777" w:rsidR="009A1DB5" w:rsidRDefault="009A1DB5" w:rsidP="00DB2DCE">
            <w:pPr>
              <w:rPr>
                <w:rFonts w:ascii="Calibri" w:eastAsia="Calibri" w:hAnsi="Calibri" w:cs="Calibri"/>
                <w:sz w:val="20"/>
                <w:szCs w:val="20"/>
              </w:rPr>
            </w:pPr>
          </w:p>
        </w:tc>
      </w:tr>
      <w:tr w:rsidR="009A1DB5" w14:paraId="7C3835EC" w14:textId="77777777" w:rsidTr="00DB2DCE">
        <w:tc>
          <w:tcPr>
            <w:tcW w:w="13996" w:type="dxa"/>
            <w:gridSpan w:val="4"/>
            <w:shd w:val="clear" w:color="auto" w:fill="D9E2F3"/>
          </w:tcPr>
          <w:p w14:paraId="56EA7931" w14:textId="77777777" w:rsidR="009A1DB5" w:rsidRDefault="009A1DB5" w:rsidP="00DB2DCE">
            <w:pPr>
              <w:rPr>
                <w:rFonts w:ascii="Calibri" w:eastAsia="Calibri" w:hAnsi="Calibri" w:cs="Calibri"/>
              </w:rPr>
            </w:pPr>
            <w:r>
              <w:rPr>
                <w:rFonts w:ascii="Calibri" w:eastAsia="Calibri" w:hAnsi="Calibri" w:cs="Calibri"/>
                <w:b/>
                <w:sz w:val="22"/>
                <w:szCs w:val="22"/>
              </w:rPr>
              <w:t>Effectiveness –</w:t>
            </w:r>
            <w:r>
              <w:rPr>
                <w:rFonts w:ascii="Calibri" w:eastAsia="Calibri" w:hAnsi="Calibri" w:cs="Calibri"/>
                <w:sz w:val="22"/>
                <w:szCs w:val="22"/>
              </w:rPr>
              <w:t xml:space="preserve"> To what extent have the expected outcomes and objectives of the project been achieved</w:t>
            </w:r>
          </w:p>
        </w:tc>
      </w:tr>
      <w:tr w:rsidR="009A1DB5" w14:paraId="13B4795D" w14:textId="77777777" w:rsidTr="00DB2DCE">
        <w:tc>
          <w:tcPr>
            <w:tcW w:w="3499" w:type="dxa"/>
            <w:tcBorders>
              <w:bottom w:val="single" w:sz="4" w:space="0" w:color="000000"/>
            </w:tcBorders>
            <w:shd w:val="clear" w:color="auto" w:fill="auto"/>
          </w:tcPr>
          <w:p w14:paraId="137998DF" w14:textId="77777777" w:rsidR="009A1DB5" w:rsidRDefault="009A1DB5" w:rsidP="0052081C">
            <w:pPr>
              <w:keepLines/>
              <w:widowControl w:val="0"/>
              <w:numPr>
                <w:ilvl w:val="0"/>
                <w:numId w:val="26"/>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lastRenderedPageBreak/>
              <w:t>Have the changes to the Results Frameworks’ indicators and targets recommended in the Mid Term Review been adopted and implemented?</w:t>
            </w:r>
          </w:p>
          <w:p w14:paraId="3AEA597C" w14:textId="77777777" w:rsidR="009A1DB5" w:rsidRDefault="009A1DB5" w:rsidP="0052081C">
            <w:pPr>
              <w:numPr>
                <w:ilvl w:val="0"/>
                <w:numId w:val="26"/>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Have there been any changes to planned activities and outputs since the Mid Term Review, and if so, how was the implementation schedule and budget adapted to accommodate the changes?</w:t>
            </w:r>
          </w:p>
          <w:p w14:paraId="4B77C5E9" w14:textId="77777777" w:rsidR="009A1DB5" w:rsidRDefault="009A1DB5" w:rsidP="0052081C">
            <w:pPr>
              <w:keepLines/>
              <w:widowControl w:val="0"/>
              <w:numPr>
                <w:ilvl w:val="0"/>
                <w:numId w:val="26"/>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Has the project delivered their outputs and outcomes against the indicators and targets provided in the Results Framework?</w:t>
            </w:r>
          </w:p>
          <w:p w14:paraId="4CF049A5" w14:textId="77777777" w:rsidR="009A1DB5" w:rsidRDefault="009A1DB5" w:rsidP="0052081C">
            <w:pPr>
              <w:keepLines/>
              <w:widowControl w:val="0"/>
              <w:numPr>
                <w:ilvl w:val="0"/>
                <w:numId w:val="26"/>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What are the main factors that have contributed to achieving (or not achieving) the intended objectives, outcomes and outputs?</w:t>
            </w:r>
          </w:p>
          <w:p w14:paraId="39461C27" w14:textId="77777777" w:rsidR="009A1DB5" w:rsidRDefault="009A1DB5" w:rsidP="0052081C">
            <w:pPr>
              <w:keepLines/>
              <w:widowControl w:val="0"/>
              <w:numPr>
                <w:ilvl w:val="0"/>
                <w:numId w:val="26"/>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What are the positive or negative, intended or unintended changes brought about by the projects’ interventions?</w:t>
            </w:r>
          </w:p>
          <w:p w14:paraId="51B2DC82" w14:textId="77777777" w:rsidR="009A1DB5" w:rsidRDefault="009A1DB5" w:rsidP="0052081C">
            <w:pPr>
              <w:numPr>
                <w:ilvl w:val="0"/>
                <w:numId w:val="26"/>
              </w:numPr>
              <w:pBdr>
                <w:top w:val="nil"/>
                <w:left w:val="nil"/>
                <w:bottom w:val="nil"/>
                <w:right w:val="nil"/>
                <w:between w:val="nil"/>
              </w:pBdr>
              <w:ind w:left="315"/>
              <w:rPr>
                <w:rFonts w:ascii="Calibri" w:eastAsia="Calibri" w:hAnsi="Calibri" w:cs="Calibri"/>
                <w:color w:val="000000"/>
                <w:sz w:val="20"/>
                <w:szCs w:val="20"/>
              </w:rPr>
            </w:pPr>
            <w:r>
              <w:rPr>
                <w:rFonts w:ascii="Calibri" w:eastAsia="Calibri" w:hAnsi="Calibri" w:cs="Calibri"/>
                <w:color w:val="000000"/>
                <w:sz w:val="20"/>
                <w:szCs w:val="20"/>
              </w:rPr>
              <w:t>To what extent has the project increased knowledge and understanding of partners and beneficiaries on transboundary water ecosystems?</w:t>
            </w:r>
          </w:p>
        </w:tc>
        <w:tc>
          <w:tcPr>
            <w:tcW w:w="3499" w:type="dxa"/>
            <w:tcBorders>
              <w:bottom w:val="single" w:sz="4" w:space="0" w:color="000000"/>
            </w:tcBorders>
            <w:shd w:val="clear" w:color="auto" w:fill="auto"/>
          </w:tcPr>
          <w:p w14:paraId="55C246FC" w14:textId="77777777" w:rsidR="009A1DB5" w:rsidRDefault="009A1DB5" w:rsidP="0052081C">
            <w:pPr>
              <w:keepLines/>
              <w:widowControl w:val="0"/>
              <w:numPr>
                <w:ilvl w:val="0"/>
                <w:numId w:val="26"/>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Confirmation that changes recommended by MTR adopted and implemented</w:t>
            </w:r>
          </w:p>
          <w:p w14:paraId="192A10A2" w14:textId="77777777" w:rsidR="009A1DB5" w:rsidRDefault="009A1DB5" w:rsidP="0052081C">
            <w:pPr>
              <w:keepLines/>
              <w:widowControl w:val="0"/>
              <w:numPr>
                <w:ilvl w:val="0"/>
                <w:numId w:val="26"/>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Changes to Results Framework since MTR</w:t>
            </w:r>
          </w:p>
          <w:p w14:paraId="7DCCDD95" w14:textId="77777777" w:rsidR="009A1DB5" w:rsidRDefault="009A1DB5" w:rsidP="0052081C">
            <w:pPr>
              <w:keepLines/>
              <w:widowControl w:val="0"/>
              <w:numPr>
                <w:ilvl w:val="0"/>
                <w:numId w:val="26"/>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Status of outputs and outcomes achievement</w:t>
            </w:r>
          </w:p>
          <w:p w14:paraId="375D88F4" w14:textId="77777777" w:rsidR="009A1DB5" w:rsidRDefault="009A1DB5" w:rsidP="0052081C">
            <w:pPr>
              <w:keepLines/>
              <w:widowControl w:val="0"/>
              <w:numPr>
                <w:ilvl w:val="0"/>
                <w:numId w:val="26"/>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PIR narrative analysis</w:t>
            </w:r>
          </w:p>
          <w:p w14:paraId="1A5BBACE" w14:textId="77777777" w:rsidR="009A1DB5" w:rsidRDefault="009A1DB5" w:rsidP="0052081C">
            <w:pPr>
              <w:keepLines/>
              <w:widowControl w:val="0"/>
              <w:numPr>
                <w:ilvl w:val="0"/>
                <w:numId w:val="26"/>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Evidence that beneficial development effects are being generated</w:t>
            </w:r>
          </w:p>
          <w:p w14:paraId="4C1A3339" w14:textId="77777777" w:rsidR="009A1DB5" w:rsidRDefault="009A1DB5" w:rsidP="0052081C">
            <w:pPr>
              <w:keepLines/>
              <w:widowControl w:val="0"/>
              <w:numPr>
                <w:ilvl w:val="0"/>
                <w:numId w:val="26"/>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Perspectives of PCU, partners and stakeholders</w:t>
            </w:r>
          </w:p>
          <w:p w14:paraId="242BE900" w14:textId="77777777" w:rsidR="009A1DB5" w:rsidRDefault="009A1DB5" w:rsidP="00DB2DCE">
            <w:pPr>
              <w:rPr>
                <w:rFonts w:ascii="Calibri" w:eastAsia="Calibri" w:hAnsi="Calibri" w:cs="Calibri"/>
                <w:sz w:val="20"/>
                <w:szCs w:val="20"/>
              </w:rPr>
            </w:pPr>
          </w:p>
        </w:tc>
        <w:tc>
          <w:tcPr>
            <w:tcW w:w="3499" w:type="dxa"/>
            <w:tcBorders>
              <w:bottom w:val="single" w:sz="4" w:space="0" w:color="000000"/>
            </w:tcBorders>
            <w:shd w:val="clear" w:color="auto" w:fill="auto"/>
          </w:tcPr>
          <w:p w14:paraId="43966FEE" w14:textId="77777777" w:rsidR="009A1DB5" w:rsidRDefault="009A1DB5" w:rsidP="0052081C">
            <w:pPr>
              <w:keepLines/>
              <w:widowControl w:val="0"/>
              <w:numPr>
                <w:ilvl w:val="0"/>
                <w:numId w:val="31"/>
              </w:numPr>
              <w:pBdr>
                <w:top w:val="nil"/>
                <w:left w:val="nil"/>
                <w:bottom w:val="nil"/>
                <w:right w:val="nil"/>
                <w:between w:val="nil"/>
              </w:pBdr>
              <w:spacing w:after="60"/>
              <w:ind w:left="274" w:hanging="283"/>
              <w:rPr>
                <w:rFonts w:ascii="Calibri" w:eastAsia="Calibri" w:hAnsi="Calibri" w:cs="Calibri"/>
                <w:color w:val="000000"/>
                <w:sz w:val="20"/>
                <w:szCs w:val="20"/>
              </w:rPr>
            </w:pPr>
            <w:r>
              <w:rPr>
                <w:rFonts w:ascii="Calibri" w:eastAsia="Calibri" w:hAnsi="Calibri" w:cs="Calibri"/>
                <w:color w:val="000000"/>
                <w:sz w:val="20"/>
                <w:szCs w:val="20"/>
              </w:rPr>
              <w:t>Results Frameworks, PIRs, AWPs, PSC meeting minutes</w:t>
            </w:r>
          </w:p>
          <w:p w14:paraId="7D50C982" w14:textId="77777777" w:rsidR="009A1DB5" w:rsidRDefault="009A1DB5" w:rsidP="0052081C">
            <w:pPr>
              <w:keepLines/>
              <w:widowControl w:val="0"/>
              <w:numPr>
                <w:ilvl w:val="0"/>
                <w:numId w:val="31"/>
              </w:numPr>
              <w:pBdr>
                <w:top w:val="nil"/>
                <w:left w:val="nil"/>
                <w:bottom w:val="nil"/>
                <w:right w:val="nil"/>
                <w:between w:val="nil"/>
              </w:pBdr>
              <w:spacing w:after="60"/>
              <w:ind w:left="274" w:hanging="283"/>
              <w:rPr>
                <w:rFonts w:ascii="Calibri" w:eastAsia="Calibri" w:hAnsi="Calibri" w:cs="Calibri"/>
                <w:color w:val="000000"/>
                <w:sz w:val="20"/>
                <w:szCs w:val="20"/>
              </w:rPr>
            </w:pPr>
            <w:r>
              <w:rPr>
                <w:rFonts w:ascii="Calibri" w:eastAsia="Calibri" w:hAnsi="Calibri" w:cs="Calibri"/>
                <w:color w:val="000000"/>
                <w:sz w:val="20"/>
                <w:szCs w:val="20"/>
              </w:rPr>
              <w:t>Mid Term Review</w:t>
            </w:r>
          </w:p>
          <w:p w14:paraId="1F4F8E71" w14:textId="77777777" w:rsidR="009A1DB5" w:rsidRDefault="009A1DB5" w:rsidP="0052081C">
            <w:pPr>
              <w:numPr>
                <w:ilvl w:val="0"/>
                <w:numId w:val="30"/>
              </w:numPr>
              <w:pBdr>
                <w:top w:val="nil"/>
                <w:left w:val="nil"/>
                <w:bottom w:val="nil"/>
                <w:right w:val="nil"/>
                <w:between w:val="nil"/>
              </w:pBdr>
              <w:spacing w:after="60"/>
              <w:ind w:left="272" w:hanging="272"/>
              <w:rPr>
                <w:rFonts w:ascii="Calibri" w:eastAsia="Calibri" w:hAnsi="Calibri" w:cs="Calibri"/>
                <w:color w:val="000000"/>
                <w:sz w:val="20"/>
                <w:szCs w:val="20"/>
              </w:rPr>
            </w:pPr>
            <w:r>
              <w:rPr>
                <w:rFonts w:ascii="Calibri" w:eastAsia="Calibri" w:hAnsi="Calibri" w:cs="Calibri"/>
                <w:color w:val="000000"/>
                <w:sz w:val="20"/>
                <w:szCs w:val="20"/>
              </w:rPr>
              <w:t>PCU team</w:t>
            </w:r>
          </w:p>
          <w:p w14:paraId="4A185599" w14:textId="77777777" w:rsidR="009A1DB5" w:rsidRDefault="009A1DB5" w:rsidP="0052081C">
            <w:pPr>
              <w:numPr>
                <w:ilvl w:val="0"/>
                <w:numId w:val="30"/>
              </w:numPr>
              <w:pBdr>
                <w:top w:val="nil"/>
                <w:left w:val="nil"/>
                <w:bottom w:val="nil"/>
                <w:right w:val="nil"/>
                <w:between w:val="nil"/>
              </w:pBdr>
              <w:spacing w:after="60"/>
              <w:ind w:left="272" w:hanging="272"/>
              <w:rPr>
                <w:rFonts w:ascii="Calibri" w:eastAsia="Calibri" w:hAnsi="Calibri" w:cs="Calibri"/>
                <w:color w:val="000000"/>
                <w:sz w:val="20"/>
                <w:szCs w:val="20"/>
              </w:rPr>
            </w:pPr>
            <w:r>
              <w:rPr>
                <w:rFonts w:ascii="Calibri" w:eastAsia="Calibri" w:hAnsi="Calibri" w:cs="Calibri"/>
                <w:color w:val="000000"/>
                <w:sz w:val="20"/>
                <w:szCs w:val="20"/>
              </w:rPr>
              <w:t>UNDP, GEF</w:t>
            </w:r>
          </w:p>
          <w:p w14:paraId="2298B28A" w14:textId="77777777" w:rsidR="009A1DB5" w:rsidRDefault="009A1DB5" w:rsidP="0052081C">
            <w:pPr>
              <w:keepLines/>
              <w:widowControl w:val="0"/>
              <w:numPr>
                <w:ilvl w:val="0"/>
                <w:numId w:val="30"/>
              </w:numPr>
              <w:pBdr>
                <w:top w:val="nil"/>
                <w:left w:val="nil"/>
                <w:bottom w:val="nil"/>
                <w:right w:val="nil"/>
                <w:between w:val="nil"/>
              </w:pBdr>
              <w:spacing w:after="60"/>
              <w:ind w:left="274" w:hanging="274"/>
              <w:rPr>
                <w:rFonts w:ascii="Calibri" w:eastAsia="Calibri" w:hAnsi="Calibri" w:cs="Calibri"/>
                <w:color w:val="000000"/>
                <w:sz w:val="20"/>
                <w:szCs w:val="20"/>
              </w:rPr>
            </w:pPr>
            <w:r>
              <w:rPr>
                <w:rFonts w:ascii="Calibri" w:eastAsia="Calibri" w:hAnsi="Calibri" w:cs="Calibri"/>
                <w:color w:val="000000"/>
                <w:sz w:val="20"/>
                <w:szCs w:val="20"/>
              </w:rPr>
              <w:t>Project partners</w:t>
            </w:r>
          </w:p>
          <w:p w14:paraId="57061772" w14:textId="77777777" w:rsidR="009A1DB5" w:rsidRDefault="009A1DB5" w:rsidP="00DB2DCE">
            <w:pPr>
              <w:rPr>
                <w:rFonts w:ascii="Calibri" w:eastAsia="Calibri" w:hAnsi="Calibri" w:cs="Calibri"/>
                <w:sz w:val="20"/>
                <w:szCs w:val="20"/>
              </w:rPr>
            </w:pPr>
          </w:p>
        </w:tc>
        <w:tc>
          <w:tcPr>
            <w:tcW w:w="3499" w:type="dxa"/>
            <w:tcBorders>
              <w:bottom w:val="single" w:sz="4" w:space="0" w:color="000000"/>
            </w:tcBorders>
            <w:shd w:val="clear" w:color="auto" w:fill="auto"/>
          </w:tcPr>
          <w:p w14:paraId="1FBE5CEA" w14:textId="77777777" w:rsidR="009A1DB5" w:rsidRDefault="009A1DB5" w:rsidP="0052081C">
            <w:pPr>
              <w:numPr>
                <w:ilvl w:val="0"/>
                <w:numId w:val="27"/>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Document review</w:t>
            </w:r>
          </w:p>
          <w:p w14:paraId="64FF3115" w14:textId="77777777" w:rsidR="009A1DB5" w:rsidRDefault="009A1DB5" w:rsidP="0052081C">
            <w:pPr>
              <w:keepLines/>
              <w:widowControl w:val="0"/>
              <w:numPr>
                <w:ilvl w:val="0"/>
                <w:numId w:val="27"/>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2D0AD5B0" w14:textId="77777777" w:rsidR="009A1DB5" w:rsidRDefault="009A1DB5" w:rsidP="0052081C">
            <w:pPr>
              <w:numPr>
                <w:ilvl w:val="0"/>
                <w:numId w:val="27"/>
              </w:numPr>
              <w:pBdr>
                <w:top w:val="nil"/>
                <w:left w:val="nil"/>
                <w:bottom w:val="nil"/>
                <w:right w:val="nil"/>
                <w:between w:val="nil"/>
              </w:pBdr>
              <w:ind w:left="304"/>
              <w:rPr>
                <w:rFonts w:ascii="Calibri" w:eastAsia="Calibri" w:hAnsi="Calibri" w:cs="Calibri"/>
                <w:color w:val="000000"/>
                <w:sz w:val="20"/>
                <w:szCs w:val="20"/>
              </w:rPr>
            </w:pPr>
            <w:r>
              <w:rPr>
                <w:rFonts w:ascii="Calibri" w:eastAsia="Calibri" w:hAnsi="Calibri" w:cs="Calibri"/>
                <w:color w:val="000000"/>
                <w:sz w:val="20"/>
                <w:szCs w:val="20"/>
              </w:rPr>
              <w:t>Email</w:t>
            </w:r>
          </w:p>
        </w:tc>
      </w:tr>
      <w:tr w:rsidR="009A1DB5" w14:paraId="63B382E2" w14:textId="77777777" w:rsidTr="00DB2DCE">
        <w:tc>
          <w:tcPr>
            <w:tcW w:w="13996" w:type="dxa"/>
            <w:gridSpan w:val="4"/>
            <w:shd w:val="clear" w:color="auto" w:fill="D9E2F3"/>
          </w:tcPr>
          <w:p w14:paraId="0DA08FA6" w14:textId="77777777" w:rsidR="009A1DB5" w:rsidRDefault="009A1DB5" w:rsidP="00DB2DCE">
            <w:pPr>
              <w:rPr>
                <w:rFonts w:ascii="Calibri" w:eastAsia="Calibri" w:hAnsi="Calibri" w:cs="Calibri"/>
              </w:rPr>
            </w:pPr>
            <w:r>
              <w:rPr>
                <w:rFonts w:ascii="Calibri" w:eastAsia="Calibri" w:hAnsi="Calibri" w:cs="Calibri"/>
                <w:b/>
                <w:sz w:val="22"/>
                <w:szCs w:val="22"/>
              </w:rPr>
              <w:t>Efficiency –</w:t>
            </w:r>
            <w:r>
              <w:rPr>
                <w:rFonts w:ascii="Calibri" w:eastAsia="Calibri" w:hAnsi="Calibri" w:cs="Calibri"/>
                <w:sz w:val="22"/>
                <w:szCs w:val="22"/>
              </w:rPr>
              <w:t xml:space="preserve"> Was the project implemented efficiently, in-line with international and national norms and standards?</w:t>
            </w:r>
          </w:p>
        </w:tc>
      </w:tr>
      <w:tr w:rsidR="009A1DB5" w14:paraId="2FFF9DA4" w14:textId="77777777" w:rsidTr="00DB2DCE">
        <w:tc>
          <w:tcPr>
            <w:tcW w:w="3499" w:type="dxa"/>
            <w:shd w:val="clear" w:color="auto" w:fill="auto"/>
          </w:tcPr>
          <w:p w14:paraId="78B0FF0D" w14:textId="77777777" w:rsidR="009A1DB5" w:rsidRDefault="009A1DB5" w:rsidP="0052081C">
            <w:pPr>
              <w:numPr>
                <w:ilvl w:val="0"/>
                <w:numId w:val="20"/>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Was the Project Document sufficiently clear and realistic to enable effective and efficient implementation?</w:t>
            </w:r>
          </w:p>
          <w:p w14:paraId="39358597" w14:textId="77777777" w:rsidR="009A1DB5" w:rsidRDefault="009A1DB5" w:rsidP="0052081C">
            <w:pPr>
              <w:numPr>
                <w:ilvl w:val="0"/>
                <w:numId w:val="20"/>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 xml:space="preserve">Were any delays encountered in project start up and </w:t>
            </w:r>
            <w:r>
              <w:rPr>
                <w:rFonts w:ascii="Calibri" w:eastAsia="Calibri" w:hAnsi="Calibri" w:cs="Calibri"/>
                <w:color w:val="000000"/>
                <w:sz w:val="20"/>
                <w:szCs w:val="20"/>
              </w:rPr>
              <w:lastRenderedPageBreak/>
              <w:t>implementation?  What were the causes of the delays, if any, and how have these been resolved?</w:t>
            </w:r>
          </w:p>
          <w:p w14:paraId="5552D309" w14:textId="77777777" w:rsidR="009A1DB5" w:rsidRDefault="009A1DB5" w:rsidP="0052081C">
            <w:pPr>
              <w:numPr>
                <w:ilvl w:val="0"/>
                <w:numId w:val="20"/>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 xml:space="preserve">Have work-planning processes been based on results-based management and has the Results Framework been used as a management tool? </w:t>
            </w:r>
          </w:p>
          <w:p w14:paraId="6576F0A9" w14:textId="77777777" w:rsidR="009A1DB5" w:rsidRDefault="009A1DB5" w:rsidP="0052081C">
            <w:pPr>
              <w:numPr>
                <w:ilvl w:val="0"/>
                <w:numId w:val="20"/>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Has the project management structure operated effectively, producing efficient results and synergies?</w:t>
            </w:r>
          </w:p>
          <w:p w14:paraId="1EFB6EEB" w14:textId="77777777" w:rsidR="009A1DB5" w:rsidRDefault="009A1DB5" w:rsidP="0052081C">
            <w:pPr>
              <w:numPr>
                <w:ilvl w:val="0"/>
                <w:numId w:val="20"/>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Was the PCU effective in providing leadership towards achieving the project results?</w:t>
            </w:r>
          </w:p>
          <w:p w14:paraId="2EDAF9F3" w14:textId="77777777" w:rsidR="009A1DB5" w:rsidRDefault="009A1DB5" w:rsidP="0052081C">
            <w:pPr>
              <w:numPr>
                <w:ilvl w:val="0"/>
                <w:numId w:val="20"/>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Was the PCU able to adapt to changing circumstances and solve problems as they arose?</w:t>
            </w:r>
          </w:p>
          <w:p w14:paraId="21B3AB2F" w14:textId="77777777" w:rsidR="009A1DB5" w:rsidRDefault="009A1DB5" w:rsidP="0052081C">
            <w:pPr>
              <w:numPr>
                <w:ilvl w:val="0"/>
                <w:numId w:val="20"/>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Were adaptive management changes reported by the PCU and shared with the PSC and other key stakeholders?</w:t>
            </w:r>
          </w:p>
          <w:p w14:paraId="04BADDA1" w14:textId="77777777" w:rsidR="009A1DB5" w:rsidRDefault="009A1DB5" w:rsidP="0052081C">
            <w:pPr>
              <w:numPr>
                <w:ilvl w:val="0"/>
                <w:numId w:val="20"/>
              </w:numPr>
              <w:pBdr>
                <w:top w:val="nil"/>
                <w:left w:val="nil"/>
                <w:bottom w:val="nil"/>
                <w:right w:val="nil"/>
                <w:between w:val="nil"/>
              </w:pBdr>
              <w:ind w:left="315"/>
              <w:rPr>
                <w:rFonts w:ascii="Calibri" w:eastAsia="Calibri" w:hAnsi="Calibri" w:cs="Calibri"/>
                <w:color w:val="000000"/>
                <w:sz w:val="20"/>
                <w:szCs w:val="20"/>
              </w:rPr>
            </w:pPr>
            <w:r>
              <w:rPr>
                <w:rFonts w:ascii="Calibri" w:eastAsia="Calibri" w:hAnsi="Calibri" w:cs="Calibri"/>
                <w:color w:val="000000"/>
                <w:sz w:val="20"/>
                <w:szCs w:val="20"/>
              </w:rPr>
              <w:t>Were progress reports produced accurately, timely and in accordance with reporting requirements?</w:t>
            </w:r>
          </w:p>
        </w:tc>
        <w:tc>
          <w:tcPr>
            <w:tcW w:w="3499" w:type="dxa"/>
            <w:shd w:val="clear" w:color="auto" w:fill="auto"/>
          </w:tcPr>
          <w:p w14:paraId="0FD51BC5" w14:textId="77777777" w:rsidR="009A1DB5" w:rsidRDefault="009A1DB5" w:rsidP="0052081C">
            <w:pPr>
              <w:numPr>
                <w:ilvl w:val="0"/>
                <w:numId w:val="20"/>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lastRenderedPageBreak/>
              <w:t>Quality of project design</w:t>
            </w:r>
          </w:p>
          <w:p w14:paraId="7D970378" w14:textId="77777777" w:rsidR="009A1DB5" w:rsidRDefault="009A1DB5" w:rsidP="0052081C">
            <w:pPr>
              <w:numPr>
                <w:ilvl w:val="0"/>
                <w:numId w:val="20"/>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Evidence of delays and their impact on project implementation</w:t>
            </w:r>
          </w:p>
          <w:p w14:paraId="256D078F" w14:textId="77777777" w:rsidR="009A1DB5" w:rsidRDefault="009A1DB5" w:rsidP="0052081C">
            <w:pPr>
              <w:numPr>
                <w:ilvl w:val="0"/>
                <w:numId w:val="20"/>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Clarity of project management structure</w:t>
            </w:r>
          </w:p>
          <w:p w14:paraId="62C7C141" w14:textId="77777777" w:rsidR="009A1DB5" w:rsidRDefault="009A1DB5" w:rsidP="0052081C">
            <w:pPr>
              <w:numPr>
                <w:ilvl w:val="0"/>
                <w:numId w:val="20"/>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lastRenderedPageBreak/>
              <w:t>Evidence of adaptive management, problem solving and reporting</w:t>
            </w:r>
          </w:p>
          <w:p w14:paraId="244DBF52" w14:textId="77777777" w:rsidR="009A1DB5" w:rsidRDefault="009A1DB5" w:rsidP="0052081C">
            <w:pPr>
              <w:numPr>
                <w:ilvl w:val="0"/>
                <w:numId w:val="20"/>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Evidence that project management decisions have delivered efficient results</w:t>
            </w:r>
          </w:p>
          <w:p w14:paraId="55B1650F" w14:textId="77777777" w:rsidR="009A1DB5" w:rsidRDefault="009A1DB5" w:rsidP="0052081C">
            <w:pPr>
              <w:numPr>
                <w:ilvl w:val="0"/>
                <w:numId w:val="20"/>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Quality and timeliness of progress reports</w:t>
            </w:r>
          </w:p>
          <w:p w14:paraId="117EDA1A" w14:textId="77777777" w:rsidR="009A1DB5" w:rsidRDefault="009A1DB5" w:rsidP="00DB2DCE">
            <w:pPr>
              <w:rPr>
                <w:rFonts w:ascii="Calibri" w:eastAsia="Calibri" w:hAnsi="Calibri" w:cs="Calibri"/>
                <w:sz w:val="20"/>
                <w:szCs w:val="20"/>
              </w:rPr>
            </w:pPr>
          </w:p>
        </w:tc>
        <w:tc>
          <w:tcPr>
            <w:tcW w:w="3499" w:type="dxa"/>
            <w:shd w:val="clear" w:color="auto" w:fill="auto"/>
          </w:tcPr>
          <w:p w14:paraId="4A81CF44" w14:textId="77777777" w:rsidR="009A1DB5" w:rsidRDefault="009A1DB5" w:rsidP="0052081C">
            <w:pPr>
              <w:keepLines/>
              <w:widowControl w:val="0"/>
              <w:numPr>
                <w:ilvl w:val="0"/>
                <w:numId w:val="31"/>
              </w:numPr>
              <w:pBdr>
                <w:top w:val="nil"/>
                <w:left w:val="nil"/>
                <w:bottom w:val="nil"/>
                <w:right w:val="nil"/>
                <w:between w:val="nil"/>
              </w:pBdr>
              <w:spacing w:after="60"/>
              <w:ind w:left="274" w:hanging="283"/>
              <w:rPr>
                <w:rFonts w:ascii="Calibri" w:eastAsia="Calibri" w:hAnsi="Calibri" w:cs="Calibri"/>
                <w:color w:val="000000"/>
                <w:sz w:val="20"/>
                <w:szCs w:val="20"/>
              </w:rPr>
            </w:pPr>
            <w:r>
              <w:rPr>
                <w:rFonts w:ascii="Calibri" w:eastAsia="Calibri" w:hAnsi="Calibri" w:cs="Calibri"/>
                <w:color w:val="000000"/>
                <w:sz w:val="20"/>
                <w:szCs w:val="20"/>
              </w:rPr>
              <w:lastRenderedPageBreak/>
              <w:t>Results Frameworks, PIRs, AWPs, PSC meeting minutes</w:t>
            </w:r>
          </w:p>
          <w:p w14:paraId="70F949E7" w14:textId="77777777" w:rsidR="009A1DB5" w:rsidRDefault="009A1DB5" w:rsidP="0052081C">
            <w:pPr>
              <w:keepLines/>
              <w:widowControl w:val="0"/>
              <w:numPr>
                <w:ilvl w:val="0"/>
                <w:numId w:val="31"/>
              </w:numPr>
              <w:pBdr>
                <w:top w:val="nil"/>
                <w:left w:val="nil"/>
                <w:bottom w:val="nil"/>
                <w:right w:val="nil"/>
                <w:between w:val="nil"/>
              </w:pBdr>
              <w:spacing w:after="60"/>
              <w:ind w:left="274" w:hanging="283"/>
              <w:rPr>
                <w:rFonts w:ascii="Calibri" w:eastAsia="Calibri" w:hAnsi="Calibri" w:cs="Calibri"/>
                <w:color w:val="000000"/>
                <w:sz w:val="20"/>
                <w:szCs w:val="20"/>
              </w:rPr>
            </w:pPr>
            <w:r>
              <w:rPr>
                <w:rFonts w:ascii="Calibri" w:eastAsia="Calibri" w:hAnsi="Calibri" w:cs="Calibri"/>
                <w:color w:val="000000"/>
                <w:sz w:val="20"/>
                <w:szCs w:val="20"/>
              </w:rPr>
              <w:t>Mid Term Review</w:t>
            </w:r>
          </w:p>
          <w:p w14:paraId="269519D5" w14:textId="77777777" w:rsidR="009A1DB5" w:rsidRDefault="009A1DB5" w:rsidP="0052081C">
            <w:pPr>
              <w:numPr>
                <w:ilvl w:val="0"/>
                <w:numId w:val="30"/>
              </w:numPr>
              <w:pBdr>
                <w:top w:val="nil"/>
                <w:left w:val="nil"/>
                <w:bottom w:val="nil"/>
                <w:right w:val="nil"/>
                <w:between w:val="nil"/>
              </w:pBdr>
              <w:spacing w:after="60"/>
              <w:ind w:left="272" w:hanging="272"/>
              <w:rPr>
                <w:rFonts w:ascii="Calibri" w:eastAsia="Calibri" w:hAnsi="Calibri" w:cs="Calibri"/>
                <w:color w:val="000000"/>
                <w:sz w:val="20"/>
                <w:szCs w:val="20"/>
              </w:rPr>
            </w:pPr>
            <w:r>
              <w:rPr>
                <w:rFonts w:ascii="Calibri" w:eastAsia="Calibri" w:hAnsi="Calibri" w:cs="Calibri"/>
                <w:color w:val="000000"/>
                <w:sz w:val="20"/>
                <w:szCs w:val="20"/>
              </w:rPr>
              <w:t>PCU team</w:t>
            </w:r>
          </w:p>
          <w:p w14:paraId="410CBE0C" w14:textId="77777777" w:rsidR="009A1DB5" w:rsidRDefault="009A1DB5" w:rsidP="0052081C">
            <w:pPr>
              <w:numPr>
                <w:ilvl w:val="0"/>
                <w:numId w:val="30"/>
              </w:numPr>
              <w:pBdr>
                <w:top w:val="nil"/>
                <w:left w:val="nil"/>
                <w:bottom w:val="nil"/>
                <w:right w:val="nil"/>
                <w:between w:val="nil"/>
              </w:pBdr>
              <w:spacing w:after="60"/>
              <w:ind w:left="272" w:hanging="272"/>
              <w:rPr>
                <w:rFonts w:ascii="Calibri" w:eastAsia="Calibri" w:hAnsi="Calibri" w:cs="Calibri"/>
                <w:color w:val="000000"/>
                <w:sz w:val="20"/>
                <w:szCs w:val="20"/>
              </w:rPr>
            </w:pPr>
            <w:r>
              <w:rPr>
                <w:rFonts w:ascii="Calibri" w:eastAsia="Calibri" w:hAnsi="Calibri" w:cs="Calibri"/>
                <w:color w:val="000000"/>
                <w:sz w:val="20"/>
                <w:szCs w:val="20"/>
              </w:rPr>
              <w:t>UNDP, GEF</w:t>
            </w:r>
          </w:p>
          <w:p w14:paraId="20E398A5" w14:textId="77777777" w:rsidR="009A1DB5" w:rsidRDefault="009A1DB5" w:rsidP="0052081C">
            <w:pPr>
              <w:keepLines/>
              <w:widowControl w:val="0"/>
              <w:numPr>
                <w:ilvl w:val="0"/>
                <w:numId w:val="30"/>
              </w:numPr>
              <w:pBdr>
                <w:top w:val="nil"/>
                <w:left w:val="nil"/>
                <w:bottom w:val="nil"/>
                <w:right w:val="nil"/>
                <w:between w:val="nil"/>
              </w:pBdr>
              <w:spacing w:after="60"/>
              <w:ind w:left="274" w:hanging="274"/>
              <w:rPr>
                <w:rFonts w:ascii="Calibri" w:eastAsia="Calibri" w:hAnsi="Calibri" w:cs="Calibri"/>
                <w:color w:val="000000"/>
                <w:sz w:val="20"/>
                <w:szCs w:val="20"/>
              </w:rPr>
            </w:pPr>
            <w:r>
              <w:rPr>
                <w:rFonts w:ascii="Calibri" w:eastAsia="Calibri" w:hAnsi="Calibri" w:cs="Calibri"/>
                <w:color w:val="000000"/>
                <w:sz w:val="20"/>
                <w:szCs w:val="20"/>
              </w:rPr>
              <w:lastRenderedPageBreak/>
              <w:t>Project partners</w:t>
            </w:r>
          </w:p>
          <w:p w14:paraId="5663B3F4" w14:textId="77777777" w:rsidR="009A1DB5" w:rsidRDefault="009A1DB5" w:rsidP="00DB2DCE">
            <w:pPr>
              <w:rPr>
                <w:rFonts w:ascii="Calibri" w:eastAsia="Calibri" w:hAnsi="Calibri" w:cs="Calibri"/>
                <w:sz w:val="20"/>
                <w:szCs w:val="20"/>
              </w:rPr>
            </w:pPr>
          </w:p>
        </w:tc>
        <w:tc>
          <w:tcPr>
            <w:tcW w:w="3499" w:type="dxa"/>
            <w:shd w:val="clear" w:color="auto" w:fill="auto"/>
          </w:tcPr>
          <w:p w14:paraId="49FB7274" w14:textId="77777777" w:rsidR="009A1DB5" w:rsidRDefault="009A1DB5" w:rsidP="0052081C">
            <w:pPr>
              <w:numPr>
                <w:ilvl w:val="0"/>
                <w:numId w:val="27"/>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lastRenderedPageBreak/>
              <w:t>Document review</w:t>
            </w:r>
          </w:p>
          <w:p w14:paraId="4E62ABAC" w14:textId="77777777" w:rsidR="009A1DB5" w:rsidRDefault="009A1DB5" w:rsidP="0052081C">
            <w:pPr>
              <w:keepLines/>
              <w:widowControl w:val="0"/>
              <w:numPr>
                <w:ilvl w:val="0"/>
                <w:numId w:val="27"/>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3A60D607" w14:textId="77777777" w:rsidR="009A1DB5" w:rsidRDefault="009A1DB5" w:rsidP="0052081C">
            <w:pPr>
              <w:numPr>
                <w:ilvl w:val="0"/>
                <w:numId w:val="27"/>
              </w:numPr>
              <w:pBdr>
                <w:top w:val="nil"/>
                <w:left w:val="nil"/>
                <w:bottom w:val="nil"/>
                <w:right w:val="nil"/>
                <w:between w:val="nil"/>
              </w:pBdr>
              <w:ind w:left="304"/>
              <w:rPr>
                <w:rFonts w:ascii="Calibri" w:eastAsia="Calibri" w:hAnsi="Calibri" w:cs="Calibri"/>
                <w:color w:val="000000"/>
                <w:sz w:val="20"/>
                <w:szCs w:val="20"/>
              </w:rPr>
            </w:pPr>
            <w:r>
              <w:rPr>
                <w:rFonts w:ascii="Calibri" w:eastAsia="Calibri" w:hAnsi="Calibri" w:cs="Calibri"/>
                <w:color w:val="000000"/>
                <w:sz w:val="20"/>
                <w:szCs w:val="20"/>
              </w:rPr>
              <w:t>Email</w:t>
            </w:r>
          </w:p>
        </w:tc>
      </w:tr>
      <w:tr w:rsidR="009A1DB5" w14:paraId="177B0BFB" w14:textId="77777777" w:rsidTr="00DB2DCE">
        <w:tc>
          <w:tcPr>
            <w:tcW w:w="3499" w:type="dxa"/>
            <w:shd w:val="clear" w:color="auto" w:fill="auto"/>
          </w:tcPr>
          <w:p w14:paraId="7C4F60E9" w14:textId="77777777" w:rsidR="009A1DB5" w:rsidRDefault="009A1DB5" w:rsidP="0052081C">
            <w:pPr>
              <w:numPr>
                <w:ilvl w:val="0"/>
                <w:numId w:val="27"/>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Did the PCU maintain productive relationships and communications with the partners and other key stakeholders throughout implementation?</w:t>
            </w:r>
          </w:p>
          <w:p w14:paraId="0C45BDAA" w14:textId="77777777" w:rsidR="009A1DB5" w:rsidRDefault="009A1DB5" w:rsidP="0052081C">
            <w:pPr>
              <w:numPr>
                <w:ilvl w:val="0"/>
                <w:numId w:val="27"/>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Has communication between the PCU, UNDP, GEF and the stakeholders been clear, effective and timely?</w:t>
            </w:r>
          </w:p>
          <w:p w14:paraId="6A89CF56" w14:textId="77777777" w:rsidR="009A1DB5" w:rsidRDefault="009A1DB5" w:rsidP="0052081C">
            <w:pPr>
              <w:numPr>
                <w:ilvl w:val="0"/>
                <w:numId w:val="27"/>
              </w:numPr>
              <w:pBdr>
                <w:top w:val="nil"/>
                <w:left w:val="nil"/>
                <w:bottom w:val="nil"/>
                <w:right w:val="nil"/>
                <w:between w:val="nil"/>
              </w:pBdr>
              <w:ind w:left="315"/>
              <w:rPr>
                <w:rFonts w:ascii="Calibri" w:eastAsia="Calibri" w:hAnsi="Calibri" w:cs="Calibri"/>
                <w:color w:val="000000"/>
                <w:sz w:val="20"/>
                <w:szCs w:val="20"/>
              </w:rPr>
            </w:pPr>
            <w:r>
              <w:rPr>
                <w:rFonts w:ascii="Calibri" w:eastAsia="Calibri" w:hAnsi="Calibri" w:cs="Calibri"/>
                <w:color w:val="000000"/>
                <w:sz w:val="20"/>
                <w:szCs w:val="20"/>
              </w:rPr>
              <w:lastRenderedPageBreak/>
              <w:t>Has the coordination between UNDP and GWP-Med administrative systems been efficient allowing for the timely transfer of funds?  Have there been any problems or delays and if so, what impact did these have on implementation and how were they resolved?</w:t>
            </w:r>
          </w:p>
        </w:tc>
        <w:tc>
          <w:tcPr>
            <w:tcW w:w="3499" w:type="dxa"/>
            <w:shd w:val="clear" w:color="auto" w:fill="auto"/>
          </w:tcPr>
          <w:p w14:paraId="43E4195E" w14:textId="77777777" w:rsidR="009A1DB5" w:rsidRDefault="009A1DB5" w:rsidP="0052081C">
            <w:pPr>
              <w:numPr>
                <w:ilvl w:val="0"/>
                <w:numId w:val="27"/>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lastRenderedPageBreak/>
              <w:t>Quality and timeliness of communications between PCU, partners and other stakeholders</w:t>
            </w:r>
          </w:p>
          <w:p w14:paraId="20AE000B" w14:textId="77777777" w:rsidR="009A1DB5" w:rsidRDefault="009A1DB5" w:rsidP="0052081C">
            <w:pPr>
              <w:numPr>
                <w:ilvl w:val="0"/>
                <w:numId w:val="27"/>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Perspectives of partners and stakeholders</w:t>
            </w:r>
          </w:p>
          <w:p w14:paraId="4E44781E" w14:textId="77777777" w:rsidR="009A1DB5" w:rsidRDefault="009A1DB5" w:rsidP="0052081C">
            <w:pPr>
              <w:numPr>
                <w:ilvl w:val="0"/>
                <w:numId w:val="27"/>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Quality and timeliness of communication between GWP-Med and UNDP administrative units.</w:t>
            </w:r>
          </w:p>
          <w:p w14:paraId="33C0F3BC" w14:textId="77777777" w:rsidR="009A1DB5" w:rsidRDefault="009A1DB5" w:rsidP="0052081C">
            <w:pPr>
              <w:numPr>
                <w:ilvl w:val="0"/>
                <w:numId w:val="27"/>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lastRenderedPageBreak/>
              <w:t>Timeliness of transfer of funds against project budget requirements and allocation to budget lines</w:t>
            </w:r>
          </w:p>
          <w:p w14:paraId="0C534F2A" w14:textId="77777777" w:rsidR="009A1DB5" w:rsidRDefault="009A1DB5" w:rsidP="0052081C">
            <w:pPr>
              <w:numPr>
                <w:ilvl w:val="0"/>
                <w:numId w:val="27"/>
              </w:numPr>
              <w:pBdr>
                <w:top w:val="nil"/>
                <w:left w:val="nil"/>
                <w:bottom w:val="nil"/>
                <w:right w:val="nil"/>
                <w:between w:val="nil"/>
              </w:pBdr>
              <w:ind w:left="359"/>
              <w:rPr>
                <w:rFonts w:ascii="Calibri" w:eastAsia="Calibri" w:hAnsi="Calibri" w:cs="Calibri"/>
                <w:color w:val="000000"/>
                <w:sz w:val="20"/>
                <w:szCs w:val="20"/>
              </w:rPr>
            </w:pPr>
            <w:r>
              <w:rPr>
                <w:rFonts w:ascii="Calibri" w:eastAsia="Calibri" w:hAnsi="Calibri" w:cs="Calibri"/>
                <w:color w:val="000000"/>
                <w:sz w:val="20"/>
                <w:szCs w:val="20"/>
              </w:rPr>
              <w:t>Impact of delays in funds transfers on implementation</w:t>
            </w:r>
          </w:p>
        </w:tc>
        <w:tc>
          <w:tcPr>
            <w:tcW w:w="3499" w:type="dxa"/>
            <w:shd w:val="clear" w:color="auto" w:fill="auto"/>
          </w:tcPr>
          <w:p w14:paraId="7310A5E4" w14:textId="77777777" w:rsidR="009A1DB5" w:rsidRDefault="009A1DB5" w:rsidP="0052081C">
            <w:pPr>
              <w:numPr>
                <w:ilvl w:val="0"/>
                <w:numId w:val="27"/>
              </w:numPr>
              <w:pBdr>
                <w:top w:val="nil"/>
                <w:left w:val="nil"/>
                <w:bottom w:val="nil"/>
                <w:right w:val="nil"/>
                <w:between w:val="nil"/>
              </w:pBdr>
              <w:spacing w:after="60"/>
              <w:ind w:left="402"/>
              <w:rPr>
                <w:rFonts w:ascii="Calibri" w:eastAsia="Calibri" w:hAnsi="Calibri" w:cs="Calibri"/>
                <w:color w:val="000000"/>
                <w:sz w:val="20"/>
                <w:szCs w:val="20"/>
              </w:rPr>
            </w:pPr>
            <w:r>
              <w:rPr>
                <w:rFonts w:ascii="Calibri" w:eastAsia="Calibri" w:hAnsi="Calibri" w:cs="Calibri"/>
                <w:color w:val="000000"/>
                <w:sz w:val="20"/>
                <w:szCs w:val="20"/>
              </w:rPr>
              <w:lastRenderedPageBreak/>
              <w:t>PIRs, PSC meeting minutes, project correspondence (as available)</w:t>
            </w:r>
          </w:p>
          <w:p w14:paraId="60B91F67" w14:textId="77777777" w:rsidR="009A1DB5" w:rsidRDefault="009A1DB5" w:rsidP="0052081C">
            <w:pPr>
              <w:numPr>
                <w:ilvl w:val="0"/>
                <w:numId w:val="27"/>
              </w:numPr>
              <w:pBdr>
                <w:top w:val="nil"/>
                <w:left w:val="nil"/>
                <w:bottom w:val="nil"/>
                <w:right w:val="nil"/>
                <w:between w:val="nil"/>
              </w:pBdr>
              <w:spacing w:after="60"/>
              <w:ind w:left="402"/>
              <w:rPr>
                <w:rFonts w:ascii="Calibri" w:eastAsia="Calibri" w:hAnsi="Calibri" w:cs="Calibri"/>
                <w:color w:val="000000"/>
                <w:sz w:val="20"/>
                <w:szCs w:val="20"/>
              </w:rPr>
            </w:pPr>
            <w:r>
              <w:rPr>
                <w:rFonts w:ascii="Calibri" w:eastAsia="Calibri" w:hAnsi="Calibri" w:cs="Calibri"/>
                <w:color w:val="000000"/>
                <w:sz w:val="20"/>
                <w:szCs w:val="20"/>
              </w:rPr>
              <w:t>Project partners</w:t>
            </w:r>
          </w:p>
          <w:p w14:paraId="38F68AC2" w14:textId="77777777" w:rsidR="009A1DB5" w:rsidRDefault="009A1DB5" w:rsidP="0052081C">
            <w:pPr>
              <w:numPr>
                <w:ilvl w:val="0"/>
                <w:numId w:val="27"/>
              </w:numPr>
              <w:pBdr>
                <w:top w:val="nil"/>
                <w:left w:val="nil"/>
                <w:bottom w:val="nil"/>
                <w:right w:val="nil"/>
                <w:between w:val="nil"/>
              </w:pBdr>
              <w:spacing w:after="60"/>
              <w:ind w:left="402"/>
              <w:rPr>
                <w:rFonts w:ascii="Calibri" w:eastAsia="Calibri" w:hAnsi="Calibri" w:cs="Calibri"/>
                <w:color w:val="000000"/>
                <w:sz w:val="20"/>
                <w:szCs w:val="20"/>
              </w:rPr>
            </w:pPr>
            <w:r>
              <w:rPr>
                <w:rFonts w:ascii="Calibri" w:eastAsia="Calibri" w:hAnsi="Calibri" w:cs="Calibri"/>
                <w:color w:val="000000"/>
                <w:sz w:val="20"/>
                <w:szCs w:val="20"/>
              </w:rPr>
              <w:t>PCU team, GWP-Med administration, UNDP</w:t>
            </w:r>
          </w:p>
          <w:p w14:paraId="6536143C" w14:textId="77777777" w:rsidR="009A1DB5" w:rsidRDefault="009A1DB5" w:rsidP="00DB2DCE">
            <w:pPr>
              <w:rPr>
                <w:rFonts w:ascii="Calibri" w:eastAsia="Calibri" w:hAnsi="Calibri" w:cs="Calibri"/>
                <w:sz w:val="20"/>
                <w:szCs w:val="20"/>
              </w:rPr>
            </w:pPr>
          </w:p>
        </w:tc>
        <w:tc>
          <w:tcPr>
            <w:tcW w:w="3499" w:type="dxa"/>
            <w:shd w:val="clear" w:color="auto" w:fill="auto"/>
          </w:tcPr>
          <w:p w14:paraId="66B320E1" w14:textId="77777777" w:rsidR="009A1DB5" w:rsidRDefault="009A1DB5" w:rsidP="0052081C">
            <w:pPr>
              <w:numPr>
                <w:ilvl w:val="0"/>
                <w:numId w:val="27"/>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Document review</w:t>
            </w:r>
          </w:p>
          <w:p w14:paraId="010144D7" w14:textId="77777777" w:rsidR="009A1DB5" w:rsidRDefault="009A1DB5" w:rsidP="0052081C">
            <w:pPr>
              <w:keepLines/>
              <w:widowControl w:val="0"/>
              <w:numPr>
                <w:ilvl w:val="0"/>
                <w:numId w:val="27"/>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28BA8B34" w14:textId="77777777" w:rsidR="009A1DB5" w:rsidRDefault="009A1DB5" w:rsidP="0052081C">
            <w:pPr>
              <w:numPr>
                <w:ilvl w:val="0"/>
                <w:numId w:val="27"/>
              </w:numPr>
              <w:pBdr>
                <w:top w:val="nil"/>
                <w:left w:val="nil"/>
                <w:bottom w:val="nil"/>
                <w:right w:val="nil"/>
                <w:between w:val="nil"/>
              </w:pBdr>
              <w:ind w:left="304"/>
              <w:rPr>
                <w:rFonts w:ascii="Calibri" w:eastAsia="Calibri" w:hAnsi="Calibri" w:cs="Calibri"/>
                <w:color w:val="000000"/>
                <w:sz w:val="20"/>
                <w:szCs w:val="20"/>
              </w:rPr>
            </w:pPr>
            <w:r>
              <w:rPr>
                <w:rFonts w:ascii="Calibri" w:eastAsia="Calibri" w:hAnsi="Calibri" w:cs="Calibri"/>
                <w:color w:val="000000"/>
                <w:sz w:val="20"/>
                <w:szCs w:val="20"/>
              </w:rPr>
              <w:t>Email</w:t>
            </w:r>
          </w:p>
        </w:tc>
      </w:tr>
      <w:tr w:rsidR="009A1DB5" w14:paraId="71FEBCA9" w14:textId="77777777" w:rsidTr="00DB2DCE">
        <w:tc>
          <w:tcPr>
            <w:tcW w:w="3499" w:type="dxa"/>
            <w:shd w:val="clear" w:color="auto" w:fill="auto"/>
          </w:tcPr>
          <w:p w14:paraId="6687631A" w14:textId="77777777" w:rsidR="009A1DB5" w:rsidRDefault="009A1DB5" w:rsidP="0052081C">
            <w:pPr>
              <w:numPr>
                <w:ilvl w:val="0"/>
                <w:numId w:val="21"/>
              </w:numPr>
              <w:pBdr>
                <w:top w:val="nil"/>
                <w:left w:val="nil"/>
                <w:bottom w:val="nil"/>
                <w:right w:val="nil"/>
                <w:between w:val="nil"/>
              </w:pBdr>
              <w:spacing w:before="120"/>
              <w:ind w:left="315"/>
              <w:rPr>
                <w:rFonts w:ascii="Calibri" w:eastAsia="Calibri" w:hAnsi="Calibri" w:cs="Calibri"/>
                <w:color w:val="000000"/>
                <w:sz w:val="20"/>
                <w:szCs w:val="20"/>
              </w:rPr>
            </w:pPr>
            <w:r>
              <w:rPr>
                <w:rFonts w:ascii="Calibri" w:eastAsia="Calibri" w:hAnsi="Calibri" w:cs="Calibri"/>
                <w:color w:val="000000"/>
                <w:sz w:val="20"/>
                <w:szCs w:val="20"/>
              </w:rPr>
              <w:t>Have financial, human and technical resources been allocated strategically to achieve project results?</w:t>
            </w:r>
          </w:p>
          <w:p w14:paraId="72F1C681" w14:textId="77777777" w:rsidR="009A1DB5" w:rsidRDefault="009A1DB5" w:rsidP="0052081C">
            <w:pPr>
              <w:numPr>
                <w:ilvl w:val="0"/>
                <w:numId w:val="21"/>
              </w:numPr>
              <w:pBdr>
                <w:top w:val="nil"/>
                <w:left w:val="nil"/>
                <w:bottom w:val="nil"/>
                <w:right w:val="nil"/>
                <w:between w:val="nil"/>
              </w:pBdr>
              <w:ind w:left="315"/>
              <w:rPr>
                <w:rFonts w:ascii="Calibri" w:eastAsia="Calibri" w:hAnsi="Calibri" w:cs="Calibri"/>
                <w:color w:val="000000"/>
                <w:sz w:val="20"/>
                <w:szCs w:val="20"/>
              </w:rPr>
            </w:pPr>
            <w:r>
              <w:rPr>
                <w:rFonts w:ascii="Calibri" w:eastAsia="Calibri" w:hAnsi="Calibri" w:cs="Calibri"/>
                <w:color w:val="000000"/>
                <w:sz w:val="20"/>
                <w:szCs w:val="20"/>
              </w:rPr>
              <w:t>Were the accounting and financial systems in place adequate for project management and for producing accurate and timely financial information?</w:t>
            </w:r>
          </w:p>
          <w:p w14:paraId="40593428" w14:textId="77777777" w:rsidR="009A1DB5" w:rsidRDefault="009A1DB5" w:rsidP="0052081C">
            <w:pPr>
              <w:numPr>
                <w:ilvl w:val="0"/>
                <w:numId w:val="21"/>
              </w:numPr>
              <w:pBdr>
                <w:top w:val="nil"/>
                <w:left w:val="nil"/>
                <w:bottom w:val="nil"/>
                <w:right w:val="nil"/>
                <w:between w:val="nil"/>
              </w:pBdr>
              <w:spacing w:after="120"/>
              <w:ind w:left="315"/>
              <w:rPr>
                <w:rFonts w:ascii="Calibri" w:eastAsia="Calibri" w:hAnsi="Calibri" w:cs="Calibri"/>
                <w:color w:val="000000"/>
                <w:sz w:val="20"/>
                <w:szCs w:val="20"/>
              </w:rPr>
            </w:pPr>
            <w:r>
              <w:rPr>
                <w:rFonts w:ascii="Calibri" w:eastAsia="Calibri" w:hAnsi="Calibri" w:cs="Calibri"/>
                <w:color w:val="000000"/>
                <w:sz w:val="20"/>
                <w:szCs w:val="20"/>
              </w:rPr>
              <w:t>Were the project’s implementations as cost effective as originally proposed (planned vs actual)?</w:t>
            </w:r>
          </w:p>
          <w:p w14:paraId="3932AE96" w14:textId="77777777" w:rsidR="009A1DB5" w:rsidRDefault="009A1DB5" w:rsidP="0052081C">
            <w:pPr>
              <w:numPr>
                <w:ilvl w:val="0"/>
                <w:numId w:val="21"/>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Did the leveraging of funds (co-financing) happen as planned?</w:t>
            </w:r>
          </w:p>
        </w:tc>
        <w:tc>
          <w:tcPr>
            <w:tcW w:w="3499" w:type="dxa"/>
            <w:shd w:val="clear" w:color="auto" w:fill="auto"/>
          </w:tcPr>
          <w:p w14:paraId="686071FA" w14:textId="77777777" w:rsidR="009A1DB5" w:rsidRDefault="009A1DB5" w:rsidP="0052081C">
            <w:pPr>
              <w:numPr>
                <w:ilvl w:val="0"/>
                <w:numId w:val="21"/>
              </w:numPr>
              <w:pBdr>
                <w:top w:val="nil"/>
                <w:left w:val="nil"/>
                <w:bottom w:val="nil"/>
                <w:right w:val="nil"/>
                <w:between w:val="nil"/>
              </w:pBdr>
              <w:spacing w:before="120" w:after="120"/>
              <w:ind w:left="359" w:hanging="359"/>
              <w:rPr>
                <w:rFonts w:ascii="Calibri" w:eastAsia="Calibri" w:hAnsi="Calibri" w:cs="Calibri"/>
                <w:color w:val="000000"/>
                <w:sz w:val="20"/>
                <w:szCs w:val="20"/>
              </w:rPr>
            </w:pPr>
            <w:r>
              <w:rPr>
                <w:rFonts w:ascii="Calibri" w:eastAsia="Calibri" w:hAnsi="Calibri" w:cs="Calibri"/>
                <w:color w:val="000000"/>
                <w:sz w:val="20"/>
                <w:szCs w:val="20"/>
              </w:rPr>
              <w:t>Extent to which funds were used to deliver results in accordance with the expectations of the ProDoc</w:t>
            </w:r>
          </w:p>
          <w:p w14:paraId="57017A95" w14:textId="77777777" w:rsidR="009A1DB5" w:rsidRDefault="009A1DB5" w:rsidP="0052081C">
            <w:pPr>
              <w:numPr>
                <w:ilvl w:val="0"/>
                <w:numId w:val="21"/>
              </w:numPr>
              <w:pBdr>
                <w:top w:val="nil"/>
                <w:left w:val="nil"/>
                <w:bottom w:val="nil"/>
                <w:right w:val="nil"/>
                <w:between w:val="nil"/>
              </w:pBdr>
              <w:spacing w:before="120" w:after="120"/>
              <w:ind w:left="359" w:hanging="359"/>
              <w:rPr>
                <w:rFonts w:ascii="Calibri" w:eastAsia="Calibri" w:hAnsi="Calibri" w:cs="Calibri"/>
                <w:color w:val="000000"/>
                <w:sz w:val="20"/>
                <w:szCs w:val="20"/>
              </w:rPr>
            </w:pPr>
            <w:r>
              <w:rPr>
                <w:rFonts w:ascii="Calibri" w:eastAsia="Calibri" w:hAnsi="Calibri" w:cs="Calibri"/>
                <w:color w:val="000000"/>
                <w:sz w:val="20"/>
                <w:szCs w:val="20"/>
              </w:rPr>
              <w:t>Demonstrable financial control and due diligence</w:t>
            </w:r>
          </w:p>
          <w:p w14:paraId="6EC87C25" w14:textId="77777777" w:rsidR="009A1DB5" w:rsidRDefault="009A1DB5" w:rsidP="0052081C">
            <w:pPr>
              <w:numPr>
                <w:ilvl w:val="0"/>
                <w:numId w:val="21"/>
              </w:numPr>
              <w:pBdr>
                <w:top w:val="nil"/>
                <w:left w:val="nil"/>
                <w:bottom w:val="nil"/>
                <w:right w:val="nil"/>
                <w:between w:val="nil"/>
              </w:pBdr>
              <w:spacing w:before="120" w:after="120"/>
              <w:ind w:left="359" w:hanging="359"/>
              <w:rPr>
                <w:rFonts w:ascii="Calibri" w:eastAsia="Calibri" w:hAnsi="Calibri" w:cs="Calibri"/>
                <w:color w:val="000000"/>
                <w:sz w:val="20"/>
                <w:szCs w:val="20"/>
              </w:rPr>
            </w:pPr>
            <w:r>
              <w:rPr>
                <w:rFonts w:ascii="Calibri" w:eastAsia="Calibri" w:hAnsi="Calibri" w:cs="Calibri"/>
                <w:color w:val="000000"/>
                <w:sz w:val="20"/>
                <w:szCs w:val="20"/>
              </w:rPr>
              <w:t>Evidence of communication between project management and financial management teams</w:t>
            </w:r>
          </w:p>
          <w:p w14:paraId="1C4F855D" w14:textId="77777777" w:rsidR="009A1DB5" w:rsidRDefault="009A1DB5" w:rsidP="0052081C">
            <w:pPr>
              <w:numPr>
                <w:ilvl w:val="0"/>
                <w:numId w:val="21"/>
              </w:numPr>
              <w:pBdr>
                <w:top w:val="nil"/>
                <w:left w:val="nil"/>
                <w:bottom w:val="nil"/>
                <w:right w:val="nil"/>
                <w:between w:val="nil"/>
              </w:pBdr>
              <w:spacing w:after="60"/>
              <w:ind w:left="359" w:hanging="359"/>
              <w:rPr>
                <w:rFonts w:ascii="Calibri" w:eastAsia="Calibri" w:hAnsi="Calibri" w:cs="Calibri"/>
                <w:color w:val="000000"/>
                <w:sz w:val="20"/>
                <w:szCs w:val="20"/>
              </w:rPr>
            </w:pPr>
            <w:r>
              <w:rPr>
                <w:rFonts w:ascii="Calibri" w:eastAsia="Calibri" w:hAnsi="Calibri" w:cs="Calibri"/>
                <w:color w:val="000000"/>
                <w:sz w:val="20"/>
                <w:szCs w:val="20"/>
              </w:rPr>
              <w:t>Details of co-financing received against co-financing pledged</w:t>
            </w:r>
          </w:p>
          <w:p w14:paraId="31BC063F" w14:textId="77777777" w:rsidR="009A1DB5" w:rsidRDefault="009A1DB5" w:rsidP="00DB2DCE">
            <w:pPr>
              <w:spacing w:after="60"/>
              <w:rPr>
                <w:rFonts w:ascii="Calibri" w:eastAsia="Calibri" w:hAnsi="Calibri" w:cs="Calibri"/>
                <w:sz w:val="20"/>
                <w:szCs w:val="20"/>
              </w:rPr>
            </w:pPr>
          </w:p>
        </w:tc>
        <w:tc>
          <w:tcPr>
            <w:tcW w:w="3499" w:type="dxa"/>
            <w:shd w:val="clear" w:color="auto" w:fill="auto"/>
          </w:tcPr>
          <w:p w14:paraId="154860FA" w14:textId="77777777" w:rsidR="009A1DB5" w:rsidRDefault="009A1DB5" w:rsidP="0052081C">
            <w:pPr>
              <w:numPr>
                <w:ilvl w:val="0"/>
                <w:numId w:val="24"/>
              </w:numPr>
              <w:pBdr>
                <w:top w:val="nil"/>
                <w:left w:val="nil"/>
                <w:bottom w:val="nil"/>
                <w:right w:val="nil"/>
                <w:between w:val="nil"/>
              </w:pBdr>
              <w:spacing w:after="60"/>
              <w:ind w:left="274" w:hanging="274"/>
              <w:rPr>
                <w:rFonts w:ascii="Calibri" w:eastAsia="Calibri" w:hAnsi="Calibri" w:cs="Calibri"/>
                <w:color w:val="000000"/>
                <w:sz w:val="20"/>
                <w:szCs w:val="20"/>
              </w:rPr>
            </w:pPr>
            <w:r>
              <w:rPr>
                <w:rFonts w:ascii="Calibri" w:eastAsia="Calibri" w:hAnsi="Calibri" w:cs="Calibri"/>
                <w:color w:val="000000"/>
                <w:sz w:val="20"/>
                <w:szCs w:val="20"/>
              </w:rPr>
              <w:t xml:space="preserve">PIRs, PSC meeting minutes, project correspondence (as available) </w:t>
            </w:r>
          </w:p>
          <w:p w14:paraId="14BD123E" w14:textId="77777777" w:rsidR="009A1DB5" w:rsidRDefault="009A1DB5" w:rsidP="0052081C">
            <w:pPr>
              <w:numPr>
                <w:ilvl w:val="0"/>
                <w:numId w:val="24"/>
              </w:numPr>
              <w:pBdr>
                <w:top w:val="nil"/>
                <w:left w:val="nil"/>
                <w:bottom w:val="nil"/>
                <w:right w:val="nil"/>
                <w:between w:val="nil"/>
              </w:pBdr>
              <w:spacing w:after="60"/>
              <w:ind w:left="274" w:hanging="274"/>
              <w:rPr>
                <w:rFonts w:ascii="Calibri" w:eastAsia="Calibri" w:hAnsi="Calibri" w:cs="Calibri"/>
                <w:color w:val="000000"/>
                <w:sz w:val="20"/>
                <w:szCs w:val="20"/>
              </w:rPr>
            </w:pPr>
            <w:r>
              <w:rPr>
                <w:rFonts w:ascii="Calibri" w:eastAsia="Calibri" w:hAnsi="Calibri" w:cs="Calibri"/>
                <w:color w:val="000000"/>
                <w:sz w:val="20"/>
                <w:szCs w:val="20"/>
              </w:rPr>
              <w:t>Budget reports</w:t>
            </w:r>
          </w:p>
          <w:p w14:paraId="34718993" w14:textId="77777777" w:rsidR="009A1DB5" w:rsidRDefault="009A1DB5" w:rsidP="0052081C">
            <w:pPr>
              <w:numPr>
                <w:ilvl w:val="0"/>
                <w:numId w:val="24"/>
              </w:numPr>
              <w:pBdr>
                <w:top w:val="nil"/>
                <w:left w:val="nil"/>
                <w:bottom w:val="nil"/>
                <w:right w:val="nil"/>
                <w:between w:val="nil"/>
              </w:pBdr>
              <w:spacing w:after="60"/>
              <w:ind w:left="274" w:hanging="274"/>
              <w:rPr>
                <w:rFonts w:ascii="Calibri" w:eastAsia="Calibri" w:hAnsi="Calibri" w:cs="Calibri"/>
                <w:color w:val="000000"/>
                <w:sz w:val="20"/>
                <w:szCs w:val="20"/>
              </w:rPr>
            </w:pPr>
            <w:r>
              <w:rPr>
                <w:rFonts w:ascii="Calibri" w:eastAsia="Calibri" w:hAnsi="Calibri" w:cs="Calibri"/>
                <w:color w:val="000000"/>
                <w:sz w:val="20"/>
                <w:szCs w:val="20"/>
              </w:rPr>
              <w:t>Co-financing pledge letters</w:t>
            </w:r>
          </w:p>
          <w:p w14:paraId="02B796F6" w14:textId="77777777" w:rsidR="009A1DB5" w:rsidRDefault="009A1DB5" w:rsidP="0052081C">
            <w:pPr>
              <w:numPr>
                <w:ilvl w:val="0"/>
                <w:numId w:val="24"/>
              </w:numPr>
              <w:pBdr>
                <w:top w:val="nil"/>
                <w:left w:val="nil"/>
                <w:bottom w:val="nil"/>
                <w:right w:val="nil"/>
                <w:between w:val="nil"/>
              </w:pBdr>
              <w:spacing w:after="60"/>
              <w:ind w:left="274" w:hanging="274"/>
              <w:rPr>
                <w:rFonts w:ascii="Calibri" w:eastAsia="Calibri" w:hAnsi="Calibri" w:cs="Calibri"/>
                <w:color w:val="000000"/>
                <w:sz w:val="20"/>
                <w:szCs w:val="20"/>
              </w:rPr>
            </w:pPr>
            <w:r>
              <w:rPr>
                <w:rFonts w:ascii="Calibri" w:eastAsia="Calibri" w:hAnsi="Calibri" w:cs="Calibri"/>
                <w:color w:val="000000"/>
                <w:sz w:val="20"/>
                <w:szCs w:val="20"/>
              </w:rPr>
              <w:t>Co-financing tables</w:t>
            </w:r>
          </w:p>
          <w:p w14:paraId="58270494" w14:textId="77777777" w:rsidR="009A1DB5" w:rsidRDefault="009A1DB5" w:rsidP="0052081C">
            <w:pPr>
              <w:numPr>
                <w:ilvl w:val="0"/>
                <w:numId w:val="24"/>
              </w:numPr>
              <w:pBdr>
                <w:top w:val="nil"/>
                <w:left w:val="nil"/>
                <w:bottom w:val="nil"/>
                <w:right w:val="nil"/>
                <w:between w:val="nil"/>
              </w:pBdr>
              <w:spacing w:after="60"/>
              <w:ind w:left="274" w:hanging="274"/>
              <w:rPr>
                <w:rFonts w:ascii="Calibri" w:eastAsia="Calibri" w:hAnsi="Calibri" w:cs="Calibri"/>
                <w:color w:val="000000"/>
                <w:sz w:val="20"/>
                <w:szCs w:val="20"/>
              </w:rPr>
            </w:pPr>
            <w:r>
              <w:rPr>
                <w:rFonts w:ascii="Calibri" w:eastAsia="Calibri" w:hAnsi="Calibri" w:cs="Calibri"/>
                <w:color w:val="000000"/>
                <w:sz w:val="20"/>
                <w:szCs w:val="20"/>
              </w:rPr>
              <w:t>PCU team, GWP-Med administration, UNDP</w:t>
            </w:r>
          </w:p>
          <w:p w14:paraId="6BE777DC" w14:textId="77777777" w:rsidR="009A1DB5" w:rsidRDefault="009A1DB5" w:rsidP="00DB2DCE">
            <w:pPr>
              <w:spacing w:after="60"/>
              <w:ind w:left="42"/>
              <w:rPr>
                <w:rFonts w:ascii="Calibri" w:eastAsia="Calibri" w:hAnsi="Calibri" w:cs="Calibri"/>
                <w:sz w:val="20"/>
                <w:szCs w:val="20"/>
              </w:rPr>
            </w:pPr>
          </w:p>
        </w:tc>
        <w:tc>
          <w:tcPr>
            <w:tcW w:w="3499" w:type="dxa"/>
            <w:shd w:val="clear" w:color="auto" w:fill="auto"/>
          </w:tcPr>
          <w:p w14:paraId="29EE1874"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Document review</w:t>
            </w:r>
          </w:p>
          <w:p w14:paraId="2E2CD26A"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Review of budget reports</w:t>
            </w:r>
          </w:p>
          <w:p w14:paraId="0890EFCC" w14:textId="77777777" w:rsidR="009A1DB5" w:rsidRDefault="009A1DB5" w:rsidP="0052081C">
            <w:pPr>
              <w:keepLines/>
              <w:widowControl w:val="0"/>
              <w:numPr>
                <w:ilvl w:val="0"/>
                <w:numId w:val="24"/>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3B4C1CEE"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 xml:space="preserve">Email </w:t>
            </w:r>
          </w:p>
        </w:tc>
      </w:tr>
      <w:tr w:rsidR="009A1DB5" w14:paraId="36151F2A" w14:textId="77777777" w:rsidTr="00DB2DCE">
        <w:tc>
          <w:tcPr>
            <w:tcW w:w="3499" w:type="dxa"/>
            <w:tcBorders>
              <w:bottom w:val="single" w:sz="4" w:space="0" w:color="000000"/>
            </w:tcBorders>
            <w:shd w:val="clear" w:color="auto" w:fill="auto"/>
          </w:tcPr>
          <w:p w14:paraId="5498964E" w14:textId="77777777" w:rsidR="009A1DB5" w:rsidRDefault="009A1DB5" w:rsidP="0052081C">
            <w:pPr>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To what extent were partnerships/linkages between institutions/ organizations encouraged and supported and how efficient were the cooperation and collaboration arrangements?</w:t>
            </w:r>
            <w:r>
              <w:rPr>
                <w:rFonts w:ascii="Calibri" w:eastAsia="Calibri" w:hAnsi="Calibri" w:cs="Calibri"/>
                <w:color w:val="000000"/>
              </w:rPr>
              <w:t xml:space="preserve"> </w:t>
            </w:r>
          </w:p>
          <w:p w14:paraId="7CCB125D" w14:textId="77777777" w:rsidR="009A1DB5" w:rsidRDefault="009A1DB5" w:rsidP="0052081C">
            <w:pPr>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To what extent have project-level monitoring and evaluation systems, reporting and project communications supported the project’s implementation?</w:t>
            </w:r>
          </w:p>
          <w:p w14:paraId="158C666F" w14:textId="77777777" w:rsidR="009A1DB5" w:rsidRDefault="009A1DB5" w:rsidP="0052081C">
            <w:pPr>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lastRenderedPageBreak/>
              <w:t>Are there sufficient resources allocated for monitoring and evaluation and are these being used effectively?</w:t>
            </w:r>
          </w:p>
        </w:tc>
        <w:tc>
          <w:tcPr>
            <w:tcW w:w="3499" w:type="dxa"/>
            <w:tcBorders>
              <w:bottom w:val="single" w:sz="4" w:space="0" w:color="000000"/>
            </w:tcBorders>
            <w:shd w:val="clear" w:color="auto" w:fill="auto"/>
          </w:tcPr>
          <w:p w14:paraId="4642727C" w14:textId="77777777" w:rsidR="009A1DB5" w:rsidRDefault="009A1DB5" w:rsidP="0052081C">
            <w:pPr>
              <w:numPr>
                <w:ilvl w:val="0"/>
                <w:numId w:val="24"/>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lastRenderedPageBreak/>
              <w:t>Documentary and verbal evidence of cooperation and collaboration arrangements</w:t>
            </w:r>
            <w:r>
              <w:rPr>
                <w:rFonts w:ascii="Calibri" w:eastAsia="Calibri" w:hAnsi="Calibri" w:cs="Calibri"/>
                <w:color w:val="000000"/>
              </w:rPr>
              <w:t xml:space="preserve"> </w:t>
            </w:r>
          </w:p>
          <w:p w14:paraId="7E2EE7CB" w14:textId="77777777" w:rsidR="009A1DB5" w:rsidRDefault="009A1DB5" w:rsidP="0052081C">
            <w:pPr>
              <w:numPr>
                <w:ilvl w:val="0"/>
                <w:numId w:val="24"/>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 xml:space="preserve">Timely and meaningful monitoring and evaluation of project activities </w:t>
            </w:r>
          </w:p>
          <w:p w14:paraId="687F5466" w14:textId="77777777" w:rsidR="009A1DB5" w:rsidRDefault="009A1DB5" w:rsidP="0052081C">
            <w:pPr>
              <w:numPr>
                <w:ilvl w:val="0"/>
                <w:numId w:val="24"/>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Funding and resource allocation for M&amp;E</w:t>
            </w:r>
          </w:p>
        </w:tc>
        <w:tc>
          <w:tcPr>
            <w:tcW w:w="3499" w:type="dxa"/>
            <w:tcBorders>
              <w:bottom w:val="single" w:sz="4" w:space="0" w:color="000000"/>
            </w:tcBorders>
            <w:shd w:val="clear" w:color="auto" w:fill="auto"/>
          </w:tcPr>
          <w:p w14:paraId="77D5BE6B" w14:textId="77777777" w:rsidR="009A1DB5" w:rsidRDefault="009A1DB5" w:rsidP="0052081C">
            <w:pPr>
              <w:numPr>
                <w:ilvl w:val="0"/>
                <w:numId w:val="24"/>
              </w:numPr>
              <w:pBdr>
                <w:top w:val="nil"/>
                <w:left w:val="nil"/>
                <w:bottom w:val="nil"/>
                <w:right w:val="nil"/>
                <w:between w:val="nil"/>
              </w:pBdr>
              <w:spacing w:after="60"/>
              <w:ind w:left="260"/>
              <w:rPr>
                <w:rFonts w:ascii="Calibri" w:eastAsia="Calibri" w:hAnsi="Calibri" w:cs="Calibri"/>
                <w:color w:val="000000"/>
                <w:sz w:val="20"/>
                <w:szCs w:val="20"/>
              </w:rPr>
            </w:pPr>
            <w:r>
              <w:rPr>
                <w:rFonts w:ascii="Calibri" w:eastAsia="Calibri" w:hAnsi="Calibri" w:cs="Calibri"/>
                <w:color w:val="000000"/>
                <w:sz w:val="20"/>
                <w:szCs w:val="20"/>
              </w:rPr>
              <w:t>PIRs, PSC meeting minutes, project correspondence</w:t>
            </w:r>
          </w:p>
          <w:p w14:paraId="5DF70841" w14:textId="77777777" w:rsidR="009A1DB5" w:rsidRDefault="009A1DB5" w:rsidP="0052081C">
            <w:pPr>
              <w:numPr>
                <w:ilvl w:val="0"/>
                <w:numId w:val="24"/>
              </w:numPr>
              <w:pBdr>
                <w:top w:val="nil"/>
                <w:left w:val="nil"/>
                <w:bottom w:val="nil"/>
                <w:right w:val="nil"/>
                <w:between w:val="nil"/>
              </w:pBdr>
              <w:spacing w:after="60"/>
              <w:ind w:left="260"/>
              <w:rPr>
                <w:rFonts w:ascii="Calibri" w:eastAsia="Calibri" w:hAnsi="Calibri" w:cs="Calibri"/>
                <w:color w:val="000000"/>
                <w:sz w:val="20"/>
                <w:szCs w:val="20"/>
              </w:rPr>
            </w:pPr>
            <w:r>
              <w:rPr>
                <w:rFonts w:ascii="Calibri" w:eastAsia="Calibri" w:hAnsi="Calibri" w:cs="Calibri"/>
                <w:color w:val="000000"/>
                <w:sz w:val="20"/>
                <w:szCs w:val="20"/>
              </w:rPr>
              <w:t>PCU team, UNDP, GEF</w:t>
            </w:r>
          </w:p>
          <w:p w14:paraId="69048957" w14:textId="77777777" w:rsidR="009A1DB5" w:rsidRDefault="009A1DB5" w:rsidP="0052081C">
            <w:pPr>
              <w:numPr>
                <w:ilvl w:val="0"/>
                <w:numId w:val="28"/>
              </w:numPr>
              <w:pBdr>
                <w:top w:val="nil"/>
                <w:left w:val="nil"/>
                <w:bottom w:val="nil"/>
                <w:right w:val="nil"/>
                <w:between w:val="nil"/>
              </w:pBdr>
              <w:spacing w:after="60"/>
              <w:ind w:left="260" w:hanging="274"/>
              <w:rPr>
                <w:rFonts w:ascii="Calibri" w:eastAsia="Calibri" w:hAnsi="Calibri" w:cs="Calibri"/>
                <w:color w:val="000000"/>
                <w:sz w:val="20"/>
                <w:szCs w:val="20"/>
              </w:rPr>
            </w:pPr>
            <w:r>
              <w:rPr>
                <w:rFonts w:ascii="Calibri" w:eastAsia="Calibri" w:hAnsi="Calibri" w:cs="Calibri"/>
                <w:color w:val="000000"/>
                <w:sz w:val="20"/>
                <w:szCs w:val="20"/>
              </w:rPr>
              <w:t>Project partners</w:t>
            </w:r>
            <w:r>
              <w:rPr>
                <w:rFonts w:ascii="Calibri" w:eastAsia="Calibri" w:hAnsi="Calibri" w:cs="Calibri"/>
                <w:color w:val="000000"/>
              </w:rPr>
              <w:t xml:space="preserve"> </w:t>
            </w:r>
            <w:r>
              <w:rPr>
                <w:rFonts w:ascii="Calibri" w:eastAsia="Calibri" w:hAnsi="Calibri" w:cs="Calibri"/>
                <w:color w:val="000000"/>
                <w:sz w:val="20"/>
                <w:szCs w:val="20"/>
              </w:rPr>
              <w:t>ProDoc, PIRs, AWPs, PSC meeting minutes</w:t>
            </w:r>
          </w:p>
          <w:p w14:paraId="6E15C5BD" w14:textId="77777777" w:rsidR="009A1DB5" w:rsidRDefault="009A1DB5" w:rsidP="0052081C">
            <w:pPr>
              <w:numPr>
                <w:ilvl w:val="0"/>
                <w:numId w:val="28"/>
              </w:numPr>
              <w:pBdr>
                <w:top w:val="nil"/>
                <w:left w:val="nil"/>
                <w:bottom w:val="nil"/>
                <w:right w:val="nil"/>
                <w:between w:val="nil"/>
              </w:pBdr>
              <w:spacing w:after="60"/>
              <w:ind w:left="260" w:hanging="274"/>
              <w:rPr>
                <w:rFonts w:ascii="Calibri" w:eastAsia="Calibri" w:hAnsi="Calibri" w:cs="Calibri"/>
                <w:color w:val="000000"/>
                <w:sz w:val="20"/>
                <w:szCs w:val="20"/>
              </w:rPr>
            </w:pPr>
            <w:r>
              <w:rPr>
                <w:rFonts w:ascii="Calibri" w:eastAsia="Calibri" w:hAnsi="Calibri" w:cs="Calibri"/>
                <w:color w:val="000000"/>
                <w:sz w:val="20"/>
                <w:szCs w:val="20"/>
              </w:rPr>
              <w:t xml:space="preserve">PCU team, UNDP, GEF </w:t>
            </w:r>
          </w:p>
          <w:p w14:paraId="544FDC85" w14:textId="77777777" w:rsidR="009A1DB5" w:rsidRDefault="009A1DB5" w:rsidP="00DB2DCE">
            <w:pPr>
              <w:spacing w:after="60"/>
              <w:ind w:left="42"/>
              <w:rPr>
                <w:rFonts w:ascii="Calibri" w:eastAsia="Calibri" w:hAnsi="Calibri" w:cs="Calibri"/>
                <w:sz w:val="20"/>
                <w:szCs w:val="20"/>
              </w:rPr>
            </w:pPr>
          </w:p>
        </w:tc>
        <w:tc>
          <w:tcPr>
            <w:tcW w:w="3499" w:type="dxa"/>
            <w:tcBorders>
              <w:bottom w:val="single" w:sz="4" w:space="0" w:color="000000"/>
            </w:tcBorders>
            <w:shd w:val="clear" w:color="auto" w:fill="auto"/>
          </w:tcPr>
          <w:p w14:paraId="16CBB3B5"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Document review</w:t>
            </w:r>
          </w:p>
          <w:p w14:paraId="1FB9F4FB" w14:textId="77777777" w:rsidR="009A1DB5" w:rsidRDefault="009A1DB5" w:rsidP="0052081C">
            <w:pPr>
              <w:keepLines/>
              <w:widowControl w:val="0"/>
              <w:numPr>
                <w:ilvl w:val="0"/>
                <w:numId w:val="24"/>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3BF80CF0"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Email</w:t>
            </w:r>
          </w:p>
        </w:tc>
      </w:tr>
      <w:tr w:rsidR="009A1DB5" w14:paraId="79098C98" w14:textId="77777777" w:rsidTr="00DB2DCE">
        <w:tc>
          <w:tcPr>
            <w:tcW w:w="13996" w:type="dxa"/>
            <w:gridSpan w:val="4"/>
            <w:shd w:val="clear" w:color="auto" w:fill="D9E2F3"/>
          </w:tcPr>
          <w:p w14:paraId="63596F23" w14:textId="77777777" w:rsidR="009A1DB5" w:rsidRDefault="009A1DB5" w:rsidP="00DB2DCE">
            <w:pPr>
              <w:spacing w:after="60"/>
              <w:ind w:left="-56"/>
              <w:rPr>
                <w:rFonts w:ascii="Calibri" w:eastAsia="Calibri" w:hAnsi="Calibri" w:cs="Calibri"/>
              </w:rPr>
            </w:pPr>
            <w:r>
              <w:rPr>
                <w:rFonts w:ascii="Calibri" w:eastAsia="Calibri" w:hAnsi="Calibri" w:cs="Calibri"/>
                <w:b/>
                <w:sz w:val="22"/>
                <w:szCs w:val="22"/>
              </w:rPr>
              <w:t>Sustainability –</w:t>
            </w:r>
            <w:r>
              <w:rPr>
                <w:rFonts w:ascii="Calibri" w:eastAsia="Calibri" w:hAnsi="Calibri" w:cs="Calibri"/>
                <w:sz w:val="22"/>
                <w:szCs w:val="22"/>
              </w:rPr>
              <w:t xml:space="preserve"> To what extent are there financial, institutional, social-economic, and/or environmental risks to sustaining long-term project results?</w:t>
            </w:r>
          </w:p>
        </w:tc>
      </w:tr>
      <w:tr w:rsidR="009A1DB5" w14:paraId="45084D0B" w14:textId="77777777" w:rsidTr="00DB2DCE">
        <w:tc>
          <w:tcPr>
            <w:tcW w:w="3499" w:type="dxa"/>
            <w:shd w:val="clear" w:color="auto" w:fill="auto"/>
          </w:tcPr>
          <w:p w14:paraId="7E639F39" w14:textId="77777777" w:rsidR="009A1DB5" w:rsidRDefault="009A1DB5" w:rsidP="00DB2DCE">
            <w:pPr>
              <w:keepLines/>
              <w:widowControl w:val="0"/>
              <w:spacing w:after="60"/>
              <w:rPr>
                <w:rFonts w:ascii="Calibri" w:eastAsia="Calibri" w:hAnsi="Calibri" w:cs="Calibri"/>
                <w:b/>
                <w:sz w:val="20"/>
                <w:szCs w:val="20"/>
                <w:u w:val="single"/>
              </w:rPr>
            </w:pPr>
            <w:r>
              <w:rPr>
                <w:rFonts w:ascii="Calibri" w:eastAsia="Calibri" w:hAnsi="Calibri" w:cs="Calibri"/>
                <w:b/>
                <w:sz w:val="20"/>
                <w:szCs w:val="20"/>
                <w:u w:val="single"/>
              </w:rPr>
              <w:t>Financial Risks to Sustainability</w:t>
            </w:r>
          </w:p>
          <w:p w14:paraId="4EE03F39" w14:textId="77777777" w:rsidR="009A1DB5" w:rsidRDefault="009A1DB5" w:rsidP="0052081C">
            <w:pPr>
              <w:keepLines/>
              <w:widowControl w:val="0"/>
              <w:numPr>
                <w:ilvl w:val="0"/>
                <w:numId w:val="22"/>
              </w:numPr>
              <w:pBdr>
                <w:top w:val="nil"/>
                <w:left w:val="nil"/>
                <w:bottom w:val="nil"/>
                <w:right w:val="nil"/>
                <w:between w:val="nil"/>
              </w:pBdr>
              <w:ind w:left="315" w:hanging="284"/>
              <w:rPr>
                <w:rFonts w:ascii="Calibri" w:eastAsia="Calibri" w:hAnsi="Calibri" w:cs="Calibri"/>
                <w:color w:val="000000"/>
                <w:sz w:val="20"/>
                <w:szCs w:val="20"/>
              </w:rPr>
            </w:pPr>
            <w:r>
              <w:rPr>
                <w:rFonts w:ascii="Calibri" w:eastAsia="Calibri" w:hAnsi="Calibri" w:cs="Calibri"/>
                <w:color w:val="000000"/>
                <w:sz w:val="20"/>
                <w:szCs w:val="20"/>
              </w:rPr>
              <w:t>To what extent is the sustainability of projects’ results likely to depend on continued financial support?</w:t>
            </w:r>
          </w:p>
          <w:p w14:paraId="0BE64EBE" w14:textId="77777777" w:rsidR="009A1DB5" w:rsidRDefault="009A1DB5" w:rsidP="0052081C">
            <w:pPr>
              <w:numPr>
                <w:ilvl w:val="0"/>
                <w:numId w:val="22"/>
              </w:numPr>
              <w:pBdr>
                <w:top w:val="nil"/>
                <w:left w:val="nil"/>
                <w:bottom w:val="nil"/>
                <w:right w:val="nil"/>
                <w:between w:val="nil"/>
              </w:pBdr>
              <w:spacing w:after="60"/>
              <w:ind w:left="315" w:hanging="284"/>
              <w:rPr>
                <w:rFonts w:ascii="Calibri" w:eastAsia="Calibri" w:hAnsi="Calibri" w:cs="Calibri"/>
                <w:color w:val="000000"/>
                <w:sz w:val="20"/>
                <w:szCs w:val="20"/>
              </w:rPr>
            </w:pPr>
            <w:r>
              <w:rPr>
                <w:rFonts w:ascii="Calibri" w:eastAsia="Calibri" w:hAnsi="Calibri" w:cs="Calibri"/>
                <w:color w:val="000000"/>
                <w:sz w:val="20"/>
                <w:szCs w:val="20"/>
              </w:rPr>
              <w:t>What is the likelihood that any additional financial resources will be available to sustain the projects’ results once the GEF assistance ends?</w:t>
            </w:r>
          </w:p>
        </w:tc>
        <w:tc>
          <w:tcPr>
            <w:tcW w:w="3499" w:type="dxa"/>
            <w:shd w:val="clear" w:color="auto" w:fill="auto"/>
          </w:tcPr>
          <w:p w14:paraId="1D678B1E" w14:textId="77777777" w:rsidR="009A1DB5" w:rsidRDefault="009A1DB5" w:rsidP="0052081C">
            <w:pPr>
              <w:keepLines/>
              <w:widowControl w:val="0"/>
              <w:numPr>
                <w:ilvl w:val="0"/>
                <w:numId w:val="22"/>
              </w:numPr>
              <w:pBdr>
                <w:top w:val="nil"/>
                <w:left w:val="nil"/>
                <w:bottom w:val="nil"/>
                <w:right w:val="nil"/>
                <w:between w:val="nil"/>
              </w:pBdr>
              <w:ind w:left="315" w:hanging="284"/>
              <w:rPr>
                <w:rFonts w:ascii="Calibri" w:eastAsia="Calibri" w:hAnsi="Calibri" w:cs="Calibri"/>
                <w:color w:val="000000"/>
                <w:sz w:val="20"/>
                <w:szCs w:val="20"/>
              </w:rPr>
            </w:pPr>
            <w:r>
              <w:rPr>
                <w:rFonts w:ascii="Calibri" w:eastAsia="Calibri" w:hAnsi="Calibri" w:cs="Calibri"/>
                <w:color w:val="000000"/>
                <w:sz w:val="20"/>
                <w:szCs w:val="20"/>
              </w:rPr>
              <w:t xml:space="preserve">Estimates of financial and human resource requirements to sustain project results </w:t>
            </w:r>
          </w:p>
          <w:p w14:paraId="2850CB4D" w14:textId="77777777" w:rsidR="009A1DB5" w:rsidRDefault="009A1DB5" w:rsidP="0052081C">
            <w:pPr>
              <w:keepLines/>
              <w:widowControl w:val="0"/>
              <w:numPr>
                <w:ilvl w:val="0"/>
                <w:numId w:val="22"/>
              </w:numPr>
              <w:pBdr>
                <w:top w:val="nil"/>
                <w:left w:val="nil"/>
                <w:bottom w:val="nil"/>
                <w:right w:val="nil"/>
                <w:between w:val="nil"/>
              </w:pBdr>
              <w:ind w:left="315" w:hanging="284"/>
              <w:rPr>
                <w:rFonts w:ascii="Calibri" w:eastAsia="Calibri" w:hAnsi="Calibri" w:cs="Calibri"/>
                <w:color w:val="000000"/>
                <w:sz w:val="20"/>
                <w:szCs w:val="20"/>
              </w:rPr>
            </w:pPr>
            <w:r>
              <w:rPr>
                <w:rFonts w:ascii="Calibri" w:eastAsia="Calibri" w:hAnsi="Calibri" w:cs="Calibri"/>
                <w:color w:val="000000"/>
                <w:sz w:val="20"/>
                <w:szCs w:val="20"/>
              </w:rPr>
              <w:t>Evidence of financial and human resource commitments to sustain project results</w:t>
            </w:r>
          </w:p>
          <w:p w14:paraId="3E9414CD" w14:textId="77777777" w:rsidR="009A1DB5" w:rsidRDefault="009A1DB5" w:rsidP="0052081C">
            <w:pPr>
              <w:keepLines/>
              <w:widowControl w:val="0"/>
              <w:numPr>
                <w:ilvl w:val="0"/>
                <w:numId w:val="22"/>
              </w:numPr>
              <w:pBdr>
                <w:top w:val="nil"/>
                <w:left w:val="nil"/>
                <w:bottom w:val="nil"/>
                <w:right w:val="nil"/>
                <w:between w:val="nil"/>
              </w:pBdr>
              <w:ind w:left="315" w:hanging="284"/>
              <w:rPr>
                <w:rFonts w:ascii="Calibri" w:eastAsia="Calibri" w:hAnsi="Calibri" w:cs="Calibri"/>
                <w:color w:val="000000"/>
                <w:sz w:val="20"/>
                <w:szCs w:val="20"/>
              </w:rPr>
            </w:pPr>
            <w:r>
              <w:rPr>
                <w:rFonts w:ascii="Calibri" w:eastAsia="Calibri" w:hAnsi="Calibri" w:cs="Calibri"/>
                <w:color w:val="000000"/>
                <w:sz w:val="20"/>
                <w:szCs w:val="20"/>
              </w:rPr>
              <w:t>Evidence of project exit strategy</w:t>
            </w:r>
          </w:p>
          <w:p w14:paraId="51EECF6B" w14:textId="77777777" w:rsidR="009A1DB5" w:rsidRDefault="009A1DB5" w:rsidP="0052081C">
            <w:pPr>
              <w:numPr>
                <w:ilvl w:val="0"/>
                <w:numId w:val="22"/>
              </w:numPr>
              <w:pBdr>
                <w:top w:val="nil"/>
                <w:left w:val="nil"/>
                <w:bottom w:val="nil"/>
                <w:right w:val="nil"/>
                <w:between w:val="nil"/>
              </w:pBdr>
              <w:spacing w:after="60"/>
              <w:ind w:left="315" w:hanging="284"/>
              <w:rPr>
                <w:rFonts w:ascii="Calibri" w:eastAsia="Calibri" w:hAnsi="Calibri" w:cs="Calibri"/>
                <w:color w:val="000000"/>
                <w:sz w:val="20"/>
                <w:szCs w:val="20"/>
              </w:rPr>
            </w:pPr>
            <w:r>
              <w:rPr>
                <w:rFonts w:ascii="Calibri" w:eastAsia="Calibri" w:hAnsi="Calibri" w:cs="Calibri"/>
                <w:color w:val="000000"/>
                <w:sz w:val="20"/>
                <w:szCs w:val="20"/>
              </w:rPr>
              <w:t>Perception of PCU, UNDP, GEF and other key partners and stakeholders</w:t>
            </w:r>
          </w:p>
        </w:tc>
        <w:tc>
          <w:tcPr>
            <w:tcW w:w="3499" w:type="dxa"/>
            <w:shd w:val="clear" w:color="auto" w:fill="auto"/>
          </w:tcPr>
          <w:p w14:paraId="519818A2" w14:textId="77777777" w:rsidR="009A1DB5" w:rsidRDefault="009A1DB5" w:rsidP="0052081C">
            <w:pPr>
              <w:keepLines/>
              <w:widowControl w:val="0"/>
              <w:numPr>
                <w:ilvl w:val="0"/>
                <w:numId w:val="22"/>
              </w:numPr>
              <w:pBdr>
                <w:top w:val="nil"/>
                <w:left w:val="nil"/>
                <w:bottom w:val="nil"/>
                <w:right w:val="nil"/>
                <w:between w:val="nil"/>
              </w:pBdr>
              <w:ind w:left="315" w:hanging="284"/>
              <w:rPr>
                <w:rFonts w:ascii="Calibri" w:eastAsia="Calibri" w:hAnsi="Calibri" w:cs="Calibri"/>
                <w:color w:val="000000"/>
                <w:sz w:val="20"/>
                <w:szCs w:val="20"/>
              </w:rPr>
            </w:pPr>
            <w:r>
              <w:rPr>
                <w:rFonts w:ascii="Calibri" w:eastAsia="Calibri" w:hAnsi="Calibri" w:cs="Calibri"/>
                <w:color w:val="000000"/>
                <w:sz w:val="20"/>
                <w:szCs w:val="20"/>
              </w:rPr>
              <w:t>ProDoc, PIRs, PSC meeting minutes, Mid Term Review</w:t>
            </w:r>
          </w:p>
          <w:p w14:paraId="52F5D3BF" w14:textId="77777777" w:rsidR="009A1DB5" w:rsidRDefault="009A1DB5" w:rsidP="0052081C">
            <w:pPr>
              <w:keepLines/>
              <w:widowControl w:val="0"/>
              <w:numPr>
                <w:ilvl w:val="0"/>
                <w:numId w:val="22"/>
              </w:numPr>
              <w:pBdr>
                <w:top w:val="nil"/>
                <w:left w:val="nil"/>
                <w:bottom w:val="nil"/>
                <w:right w:val="nil"/>
                <w:between w:val="nil"/>
              </w:pBdr>
              <w:ind w:left="315" w:hanging="284"/>
              <w:rPr>
                <w:rFonts w:ascii="Calibri" w:eastAsia="Calibri" w:hAnsi="Calibri" w:cs="Calibri"/>
                <w:color w:val="000000"/>
                <w:sz w:val="20"/>
                <w:szCs w:val="20"/>
              </w:rPr>
            </w:pPr>
            <w:r>
              <w:rPr>
                <w:rFonts w:ascii="Calibri" w:eastAsia="Calibri" w:hAnsi="Calibri" w:cs="Calibri"/>
                <w:color w:val="000000"/>
                <w:sz w:val="20"/>
                <w:szCs w:val="20"/>
              </w:rPr>
              <w:t>PCU team, UNDP, GEF</w:t>
            </w:r>
          </w:p>
          <w:p w14:paraId="3BC91882" w14:textId="77777777" w:rsidR="009A1DB5" w:rsidRDefault="009A1DB5" w:rsidP="0052081C">
            <w:pPr>
              <w:numPr>
                <w:ilvl w:val="0"/>
                <w:numId w:val="22"/>
              </w:numPr>
              <w:pBdr>
                <w:top w:val="nil"/>
                <w:left w:val="nil"/>
                <w:bottom w:val="nil"/>
                <w:right w:val="nil"/>
                <w:between w:val="nil"/>
              </w:pBdr>
              <w:spacing w:after="60"/>
              <w:ind w:left="315" w:hanging="284"/>
              <w:rPr>
                <w:rFonts w:ascii="Calibri" w:eastAsia="Calibri" w:hAnsi="Calibri" w:cs="Calibri"/>
                <w:color w:val="000000"/>
                <w:sz w:val="20"/>
                <w:szCs w:val="20"/>
              </w:rPr>
            </w:pPr>
            <w:r>
              <w:rPr>
                <w:rFonts w:ascii="Calibri" w:eastAsia="Calibri" w:hAnsi="Calibri" w:cs="Calibri"/>
                <w:color w:val="000000"/>
                <w:sz w:val="20"/>
                <w:szCs w:val="20"/>
              </w:rPr>
              <w:t>Project partners and other stakeholders</w:t>
            </w:r>
          </w:p>
        </w:tc>
        <w:tc>
          <w:tcPr>
            <w:tcW w:w="3499" w:type="dxa"/>
            <w:shd w:val="clear" w:color="auto" w:fill="auto"/>
          </w:tcPr>
          <w:p w14:paraId="2CBE1010"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Document review</w:t>
            </w:r>
          </w:p>
          <w:p w14:paraId="127B11AD" w14:textId="77777777" w:rsidR="009A1DB5" w:rsidRDefault="009A1DB5" w:rsidP="0052081C">
            <w:pPr>
              <w:keepLines/>
              <w:widowControl w:val="0"/>
              <w:numPr>
                <w:ilvl w:val="0"/>
                <w:numId w:val="24"/>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1661E7DA"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 xml:space="preserve">Email </w:t>
            </w:r>
          </w:p>
        </w:tc>
      </w:tr>
      <w:tr w:rsidR="009A1DB5" w14:paraId="7A883F1A" w14:textId="77777777" w:rsidTr="00DB2DCE">
        <w:tc>
          <w:tcPr>
            <w:tcW w:w="3499" w:type="dxa"/>
            <w:shd w:val="clear" w:color="auto" w:fill="auto"/>
          </w:tcPr>
          <w:p w14:paraId="6A807756" w14:textId="77777777" w:rsidR="009A1DB5" w:rsidRDefault="009A1DB5" w:rsidP="00DB2DCE">
            <w:pPr>
              <w:keepLines/>
              <w:widowControl w:val="0"/>
              <w:ind w:left="-45"/>
              <w:rPr>
                <w:rFonts w:ascii="Calibri" w:eastAsia="Calibri" w:hAnsi="Calibri" w:cs="Calibri"/>
                <w:b/>
                <w:sz w:val="20"/>
                <w:szCs w:val="20"/>
                <w:u w:val="single"/>
              </w:rPr>
            </w:pPr>
            <w:r>
              <w:rPr>
                <w:rFonts w:ascii="Calibri" w:eastAsia="Calibri" w:hAnsi="Calibri" w:cs="Calibri"/>
                <w:b/>
                <w:sz w:val="20"/>
                <w:szCs w:val="20"/>
                <w:u w:val="single"/>
              </w:rPr>
              <w:t>Socio-economic Risk to Sustainability</w:t>
            </w:r>
          </w:p>
          <w:p w14:paraId="5D6EFE00"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To what extent have the projects’ intervention strategies created ownership of the key international and national stakeholders?</w:t>
            </w:r>
          </w:p>
          <w:p w14:paraId="06132516"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What is the risk that that the level of stakeholder ownership will be insufficient to sustain the project outcomes/benefits?</w:t>
            </w:r>
          </w:p>
          <w:p w14:paraId="278283BA" w14:textId="77777777" w:rsidR="009A1DB5" w:rsidRDefault="009A1DB5" w:rsidP="0052081C">
            <w:pPr>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Has the project achieved stakeholders’ consensus regarding courses of action on project activities after the project’s closure date?</w:t>
            </w:r>
          </w:p>
        </w:tc>
        <w:tc>
          <w:tcPr>
            <w:tcW w:w="3499" w:type="dxa"/>
            <w:shd w:val="clear" w:color="auto" w:fill="auto"/>
          </w:tcPr>
          <w:p w14:paraId="55043C07"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Evidence of ownership of project outcomes by key partners and stakeholders</w:t>
            </w:r>
          </w:p>
          <w:p w14:paraId="1E7FC0FF"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Exit strategies for the projects have been reviewed by the PSC and a plan agreed</w:t>
            </w:r>
          </w:p>
          <w:p w14:paraId="261BB20F" w14:textId="77777777" w:rsidR="009A1DB5" w:rsidRDefault="009A1DB5" w:rsidP="0052081C">
            <w:pPr>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Course of action on project activities after the project’s closure agreed by stakeholders</w:t>
            </w:r>
          </w:p>
        </w:tc>
        <w:tc>
          <w:tcPr>
            <w:tcW w:w="3499" w:type="dxa"/>
            <w:shd w:val="clear" w:color="auto" w:fill="auto"/>
          </w:tcPr>
          <w:p w14:paraId="0F8A9E80"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ProDoc, PIRs, PSC meeting minutes, Mid Term Review</w:t>
            </w:r>
          </w:p>
          <w:p w14:paraId="53EF5F0E"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PCU team, UNDP, GEF</w:t>
            </w:r>
          </w:p>
          <w:p w14:paraId="211E6BA9"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Project partners and other stakeholders</w:t>
            </w:r>
          </w:p>
          <w:p w14:paraId="2715087D" w14:textId="77777777" w:rsidR="009A1DB5" w:rsidRDefault="009A1DB5" w:rsidP="00DB2DCE">
            <w:pPr>
              <w:spacing w:after="60"/>
              <w:ind w:left="315"/>
              <w:rPr>
                <w:rFonts w:ascii="Calibri" w:eastAsia="Calibri" w:hAnsi="Calibri" w:cs="Calibri"/>
                <w:sz w:val="20"/>
                <w:szCs w:val="20"/>
              </w:rPr>
            </w:pPr>
          </w:p>
        </w:tc>
        <w:tc>
          <w:tcPr>
            <w:tcW w:w="3499" w:type="dxa"/>
            <w:shd w:val="clear" w:color="auto" w:fill="auto"/>
          </w:tcPr>
          <w:p w14:paraId="6CF371EF"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Document review</w:t>
            </w:r>
          </w:p>
          <w:p w14:paraId="5266C573" w14:textId="77777777" w:rsidR="009A1DB5" w:rsidRDefault="009A1DB5" w:rsidP="0052081C">
            <w:pPr>
              <w:keepLines/>
              <w:widowControl w:val="0"/>
              <w:numPr>
                <w:ilvl w:val="0"/>
                <w:numId w:val="24"/>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4BB1AEB5"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Email</w:t>
            </w:r>
          </w:p>
        </w:tc>
      </w:tr>
      <w:tr w:rsidR="009A1DB5" w14:paraId="16B0BFD8" w14:textId="77777777" w:rsidTr="00DB2DCE">
        <w:tc>
          <w:tcPr>
            <w:tcW w:w="3499" w:type="dxa"/>
            <w:shd w:val="clear" w:color="auto" w:fill="auto"/>
          </w:tcPr>
          <w:p w14:paraId="57E9B11E" w14:textId="77777777" w:rsidR="009A1DB5" w:rsidRDefault="009A1DB5" w:rsidP="00DB2DCE">
            <w:pPr>
              <w:ind w:left="-45"/>
              <w:rPr>
                <w:rFonts w:ascii="Calibri" w:eastAsia="Calibri" w:hAnsi="Calibri" w:cs="Calibri"/>
                <w:b/>
                <w:sz w:val="20"/>
                <w:szCs w:val="20"/>
                <w:u w:val="single"/>
              </w:rPr>
            </w:pPr>
            <w:r>
              <w:rPr>
                <w:rFonts w:ascii="Calibri" w:eastAsia="Calibri" w:hAnsi="Calibri" w:cs="Calibri"/>
                <w:b/>
                <w:sz w:val="20"/>
                <w:szCs w:val="20"/>
                <w:u w:val="single"/>
              </w:rPr>
              <w:t>Institutional Risk to Sustainability</w:t>
            </w:r>
          </w:p>
          <w:p w14:paraId="3B3CC2A9" w14:textId="77777777" w:rsidR="009A1DB5" w:rsidRDefault="009A1DB5" w:rsidP="0052081C">
            <w:pPr>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Has the project developed sufficient institutional capacity (systems, structures, staff, expertise, etc.) to ensure sustainability of results achieved by the project?</w:t>
            </w:r>
          </w:p>
          <w:p w14:paraId="2504A36A" w14:textId="77777777" w:rsidR="009A1DB5" w:rsidRDefault="009A1DB5" w:rsidP="0052081C">
            <w:pPr>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lastRenderedPageBreak/>
              <w:t>What are the projects’ potentials for scaling-up and replication in terms of the needs expressed by institutional partners and stakeholders?</w:t>
            </w:r>
          </w:p>
        </w:tc>
        <w:tc>
          <w:tcPr>
            <w:tcW w:w="3499" w:type="dxa"/>
            <w:shd w:val="clear" w:color="auto" w:fill="auto"/>
          </w:tcPr>
          <w:p w14:paraId="3DFDE111" w14:textId="77777777" w:rsidR="009A1DB5" w:rsidRDefault="009A1DB5" w:rsidP="0052081C">
            <w:pPr>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Systems, structures, staff and expertise to ensure sustainability of project results established </w:t>
            </w:r>
          </w:p>
          <w:p w14:paraId="4FB00E8F" w14:textId="77777777" w:rsidR="009A1DB5" w:rsidRDefault="009A1DB5" w:rsidP="0052081C">
            <w:pPr>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Capacity of institutions and programmes to sustain and build on project outcomes developed</w:t>
            </w:r>
          </w:p>
          <w:p w14:paraId="302B656F" w14:textId="77777777" w:rsidR="009A1DB5" w:rsidRDefault="009A1DB5" w:rsidP="0052081C">
            <w:pPr>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lastRenderedPageBreak/>
              <w:t>Institutional partners and stakeholders’ needs for scaling-up and replication of specific aspects of the projects have been reviewed by the PSC</w:t>
            </w:r>
          </w:p>
        </w:tc>
        <w:tc>
          <w:tcPr>
            <w:tcW w:w="3499" w:type="dxa"/>
            <w:shd w:val="clear" w:color="auto" w:fill="auto"/>
          </w:tcPr>
          <w:p w14:paraId="0BDF12DE"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lastRenderedPageBreak/>
              <w:t>ProDoc, PIRs, PSC meeting minutes, Mid Term Review</w:t>
            </w:r>
          </w:p>
          <w:p w14:paraId="07E38354"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PCU team, UNDP, GEF</w:t>
            </w:r>
          </w:p>
          <w:p w14:paraId="3E31D53A"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Project partners and other stakeholders</w:t>
            </w:r>
          </w:p>
          <w:p w14:paraId="18CDF641" w14:textId="77777777" w:rsidR="009A1DB5" w:rsidRDefault="009A1DB5" w:rsidP="00DB2DCE">
            <w:pPr>
              <w:spacing w:after="60"/>
              <w:ind w:left="315"/>
              <w:rPr>
                <w:rFonts w:ascii="Calibri" w:eastAsia="Calibri" w:hAnsi="Calibri" w:cs="Calibri"/>
                <w:sz w:val="20"/>
                <w:szCs w:val="20"/>
              </w:rPr>
            </w:pPr>
          </w:p>
        </w:tc>
        <w:tc>
          <w:tcPr>
            <w:tcW w:w="3499" w:type="dxa"/>
            <w:shd w:val="clear" w:color="auto" w:fill="auto"/>
          </w:tcPr>
          <w:p w14:paraId="306CC978"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lastRenderedPageBreak/>
              <w:t>Document review</w:t>
            </w:r>
          </w:p>
          <w:p w14:paraId="5879E0BA" w14:textId="77777777" w:rsidR="009A1DB5" w:rsidRDefault="009A1DB5" w:rsidP="0052081C">
            <w:pPr>
              <w:keepLines/>
              <w:widowControl w:val="0"/>
              <w:numPr>
                <w:ilvl w:val="0"/>
                <w:numId w:val="24"/>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56AF1B22" w14:textId="77777777" w:rsidR="009A1DB5" w:rsidRDefault="009A1DB5" w:rsidP="0052081C">
            <w:pPr>
              <w:numPr>
                <w:ilvl w:val="0"/>
                <w:numId w:val="24"/>
              </w:numPr>
              <w:pBdr>
                <w:top w:val="nil"/>
                <w:left w:val="nil"/>
                <w:bottom w:val="nil"/>
                <w:right w:val="nil"/>
                <w:between w:val="nil"/>
              </w:pBdr>
              <w:spacing w:after="60"/>
              <w:ind w:left="304" w:hanging="304"/>
              <w:rPr>
                <w:rFonts w:ascii="Calibri" w:eastAsia="Calibri" w:hAnsi="Calibri" w:cs="Calibri"/>
                <w:color w:val="000000"/>
                <w:sz w:val="20"/>
                <w:szCs w:val="20"/>
              </w:rPr>
            </w:pPr>
            <w:r>
              <w:rPr>
                <w:rFonts w:ascii="Calibri" w:eastAsia="Calibri" w:hAnsi="Calibri" w:cs="Calibri"/>
                <w:color w:val="000000"/>
                <w:sz w:val="20"/>
                <w:szCs w:val="20"/>
              </w:rPr>
              <w:t>Email</w:t>
            </w:r>
          </w:p>
        </w:tc>
      </w:tr>
      <w:tr w:rsidR="009A1DB5" w14:paraId="632C2900" w14:textId="77777777" w:rsidTr="00DB2DCE">
        <w:tc>
          <w:tcPr>
            <w:tcW w:w="3499" w:type="dxa"/>
            <w:tcBorders>
              <w:bottom w:val="single" w:sz="4" w:space="0" w:color="000000"/>
            </w:tcBorders>
            <w:shd w:val="clear" w:color="auto" w:fill="auto"/>
          </w:tcPr>
          <w:p w14:paraId="15BC88CE" w14:textId="77777777" w:rsidR="009A1DB5" w:rsidRDefault="009A1DB5" w:rsidP="00DB2DCE">
            <w:pPr>
              <w:ind w:left="-45"/>
              <w:rPr>
                <w:rFonts w:ascii="Calibri" w:eastAsia="Calibri" w:hAnsi="Calibri" w:cs="Calibri"/>
                <w:b/>
                <w:sz w:val="20"/>
                <w:szCs w:val="20"/>
                <w:u w:val="single"/>
              </w:rPr>
            </w:pPr>
            <w:r>
              <w:rPr>
                <w:rFonts w:ascii="Calibri" w:eastAsia="Calibri" w:hAnsi="Calibri" w:cs="Calibri"/>
                <w:b/>
                <w:sz w:val="20"/>
                <w:szCs w:val="20"/>
                <w:u w:val="single"/>
              </w:rPr>
              <w:t>Environmental Risks to Sustainability</w:t>
            </w:r>
          </w:p>
          <w:p w14:paraId="7CD8F750" w14:textId="77777777" w:rsidR="009A1DB5" w:rsidRDefault="009A1DB5" w:rsidP="0052081C">
            <w:pPr>
              <w:numPr>
                <w:ilvl w:val="0"/>
                <w:numId w:val="24"/>
              </w:numPr>
              <w:pBdr>
                <w:top w:val="nil"/>
                <w:left w:val="nil"/>
                <w:bottom w:val="nil"/>
                <w:right w:val="nil"/>
                <w:between w:val="nil"/>
              </w:pBdr>
              <w:ind w:left="315"/>
              <w:rPr>
                <w:rFonts w:ascii="Calibri" w:eastAsia="Calibri" w:hAnsi="Calibri" w:cs="Calibri"/>
                <w:b/>
                <w:color w:val="000000"/>
                <w:sz w:val="20"/>
                <w:szCs w:val="20"/>
                <w:u w:val="single"/>
              </w:rPr>
            </w:pPr>
            <w:r>
              <w:rPr>
                <w:rFonts w:ascii="Calibri" w:eastAsia="Calibri" w:hAnsi="Calibri" w:cs="Calibri"/>
                <w:color w:val="000000"/>
                <w:sz w:val="20"/>
                <w:szCs w:val="20"/>
              </w:rPr>
              <w:t>Are there environmental factors that could undermine the project’s results, including factors that have been identified by project stakeholders?</w:t>
            </w:r>
          </w:p>
        </w:tc>
        <w:tc>
          <w:tcPr>
            <w:tcW w:w="3499" w:type="dxa"/>
            <w:tcBorders>
              <w:bottom w:val="single" w:sz="4" w:space="0" w:color="000000"/>
            </w:tcBorders>
            <w:shd w:val="clear" w:color="auto" w:fill="auto"/>
          </w:tcPr>
          <w:p w14:paraId="2A94A5E9" w14:textId="77777777" w:rsidR="009A1DB5" w:rsidRDefault="009A1DB5" w:rsidP="0052081C">
            <w:pPr>
              <w:numPr>
                <w:ilvl w:val="0"/>
                <w:numId w:val="24"/>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Risk assessment of environmental factors that could undermine the project’s results conducted and updated</w:t>
            </w:r>
          </w:p>
        </w:tc>
        <w:tc>
          <w:tcPr>
            <w:tcW w:w="3499" w:type="dxa"/>
            <w:tcBorders>
              <w:bottom w:val="single" w:sz="4" w:space="0" w:color="000000"/>
            </w:tcBorders>
            <w:shd w:val="clear" w:color="auto" w:fill="auto"/>
          </w:tcPr>
          <w:p w14:paraId="23AD9A36"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 xml:space="preserve">ProDoc, SESP reports, PIRs, PSC meeting minutes, Mid Term Review, </w:t>
            </w:r>
          </w:p>
          <w:p w14:paraId="5601D6CB"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PCU team, UNDP, GEF</w:t>
            </w:r>
          </w:p>
          <w:p w14:paraId="1F9A0709" w14:textId="77777777" w:rsidR="009A1DB5" w:rsidRDefault="009A1DB5" w:rsidP="0052081C">
            <w:pPr>
              <w:keepLines/>
              <w:widowControl w:val="0"/>
              <w:numPr>
                <w:ilvl w:val="0"/>
                <w:numId w:val="24"/>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Project partners and other stakeholders</w:t>
            </w:r>
          </w:p>
        </w:tc>
        <w:tc>
          <w:tcPr>
            <w:tcW w:w="3499" w:type="dxa"/>
            <w:tcBorders>
              <w:bottom w:val="single" w:sz="4" w:space="0" w:color="000000"/>
            </w:tcBorders>
            <w:shd w:val="clear" w:color="auto" w:fill="auto"/>
          </w:tcPr>
          <w:p w14:paraId="730C9D36"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Document review</w:t>
            </w:r>
          </w:p>
          <w:p w14:paraId="45F8229E" w14:textId="77777777" w:rsidR="009A1DB5" w:rsidRDefault="009A1DB5" w:rsidP="0052081C">
            <w:pPr>
              <w:keepLines/>
              <w:widowControl w:val="0"/>
              <w:numPr>
                <w:ilvl w:val="0"/>
                <w:numId w:val="24"/>
              </w:numPr>
              <w:pBdr>
                <w:top w:val="nil"/>
                <w:left w:val="nil"/>
                <w:bottom w:val="nil"/>
                <w:right w:val="nil"/>
                <w:between w:val="nil"/>
              </w:pBdr>
              <w:spacing w:before="120" w:after="120"/>
              <w:ind w:left="304"/>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5B54E6EE" w14:textId="77777777" w:rsidR="009A1DB5" w:rsidRDefault="009A1DB5" w:rsidP="0052081C">
            <w:pPr>
              <w:numPr>
                <w:ilvl w:val="0"/>
                <w:numId w:val="24"/>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Email</w:t>
            </w:r>
          </w:p>
        </w:tc>
      </w:tr>
      <w:tr w:rsidR="009A1DB5" w14:paraId="6ABC1933" w14:textId="77777777" w:rsidTr="00DB2DCE">
        <w:tc>
          <w:tcPr>
            <w:tcW w:w="13996" w:type="dxa"/>
            <w:gridSpan w:val="4"/>
            <w:shd w:val="clear" w:color="auto" w:fill="D9E2F3"/>
          </w:tcPr>
          <w:p w14:paraId="302DDE76" w14:textId="77777777" w:rsidR="009A1DB5" w:rsidRDefault="009A1DB5" w:rsidP="00DB2DCE">
            <w:pPr>
              <w:spacing w:after="60"/>
              <w:ind w:left="-56"/>
              <w:rPr>
                <w:rFonts w:ascii="Calibri" w:eastAsia="Calibri" w:hAnsi="Calibri" w:cs="Calibri"/>
                <w:sz w:val="20"/>
                <w:szCs w:val="20"/>
              </w:rPr>
            </w:pPr>
            <w:r>
              <w:rPr>
                <w:rFonts w:ascii="Calibri" w:eastAsia="Calibri" w:hAnsi="Calibri" w:cs="Calibri"/>
                <w:b/>
                <w:color w:val="000000"/>
                <w:sz w:val="22"/>
                <w:szCs w:val="22"/>
              </w:rPr>
              <w:t xml:space="preserve">Gender equality and women’s empowerment - </w:t>
            </w:r>
            <w:r>
              <w:rPr>
                <w:rFonts w:ascii="Calibri" w:eastAsia="Calibri" w:hAnsi="Calibri" w:cs="Calibri"/>
                <w:color w:val="000000"/>
                <w:sz w:val="22"/>
                <w:szCs w:val="22"/>
              </w:rPr>
              <w:t>How did the project contribute to gender equality and women’s empowerment?</w:t>
            </w:r>
          </w:p>
        </w:tc>
      </w:tr>
      <w:tr w:rsidR="009A1DB5" w14:paraId="2AD9759E" w14:textId="77777777" w:rsidTr="00DB2DCE">
        <w:tc>
          <w:tcPr>
            <w:tcW w:w="3499" w:type="dxa"/>
            <w:shd w:val="clear" w:color="auto" w:fill="auto"/>
          </w:tcPr>
          <w:p w14:paraId="4D1FAC8B" w14:textId="77777777" w:rsidR="009A1DB5" w:rsidRDefault="009A1DB5" w:rsidP="0052081C">
            <w:pPr>
              <w:numPr>
                <w:ilvl w:val="0"/>
                <w:numId w:val="23"/>
              </w:numPr>
              <w:pBdr>
                <w:top w:val="nil"/>
                <w:left w:val="nil"/>
                <w:bottom w:val="nil"/>
                <w:right w:val="nil"/>
                <w:between w:val="nil"/>
              </w:pBdr>
              <w:ind w:left="315"/>
              <w:rPr>
                <w:rFonts w:ascii="Calibri" w:eastAsia="Calibri" w:hAnsi="Calibri" w:cs="Calibri"/>
                <w:color w:val="000000"/>
                <w:sz w:val="20"/>
                <w:szCs w:val="20"/>
              </w:rPr>
            </w:pPr>
            <w:r>
              <w:rPr>
                <w:rFonts w:ascii="Calibri" w:eastAsia="Calibri" w:hAnsi="Calibri" w:cs="Calibri"/>
                <w:color w:val="000000"/>
                <w:sz w:val="20"/>
                <w:szCs w:val="20"/>
              </w:rPr>
              <w:t>How did the project contribute to gender equality and women’s empowerment?</w:t>
            </w:r>
          </w:p>
        </w:tc>
        <w:tc>
          <w:tcPr>
            <w:tcW w:w="3499" w:type="dxa"/>
            <w:shd w:val="clear" w:color="auto" w:fill="auto"/>
          </w:tcPr>
          <w:p w14:paraId="532B235E" w14:textId="77777777" w:rsidR="009A1DB5" w:rsidRDefault="009A1DB5" w:rsidP="0052081C">
            <w:pPr>
              <w:numPr>
                <w:ilvl w:val="0"/>
                <w:numId w:val="23"/>
              </w:numPr>
              <w:pBdr>
                <w:top w:val="nil"/>
                <w:left w:val="nil"/>
                <w:bottom w:val="nil"/>
                <w:right w:val="nil"/>
                <w:between w:val="nil"/>
              </w:pBdr>
              <w:ind w:left="359"/>
              <w:rPr>
                <w:rFonts w:ascii="Calibri" w:eastAsia="Calibri" w:hAnsi="Calibri" w:cs="Calibri"/>
                <w:color w:val="000000"/>
                <w:sz w:val="20"/>
                <w:szCs w:val="20"/>
              </w:rPr>
            </w:pPr>
            <w:r>
              <w:rPr>
                <w:rFonts w:ascii="Calibri" w:eastAsia="Calibri" w:hAnsi="Calibri" w:cs="Calibri"/>
                <w:color w:val="000000"/>
                <w:sz w:val="20"/>
                <w:szCs w:val="20"/>
              </w:rPr>
              <w:t>Level of progress of gender action plan and gender indicators in results framework</w:t>
            </w:r>
          </w:p>
        </w:tc>
        <w:tc>
          <w:tcPr>
            <w:tcW w:w="3499" w:type="dxa"/>
            <w:shd w:val="clear" w:color="auto" w:fill="auto"/>
          </w:tcPr>
          <w:p w14:paraId="38F8A2F1" w14:textId="77777777" w:rsidR="009A1DB5" w:rsidRDefault="009A1DB5" w:rsidP="0052081C">
            <w:pPr>
              <w:keepLines/>
              <w:widowControl w:val="0"/>
              <w:numPr>
                <w:ilvl w:val="0"/>
                <w:numId w:val="23"/>
              </w:numPr>
              <w:pBdr>
                <w:top w:val="nil"/>
                <w:left w:val="nil"/>
                <w:bottom w:val="nil"/>
                <w:right w:val="nil"/>
                <w:between w:val="nil"/>
              </w:pBdr>
              <w:ind w:left="260" w:hanging="283"/>
              <w:rPr>
                <w:rFonts w:ascii="Calibri" w:eastAsia="Calibri" w:hAnsi="Calibri" w:cs="Calibri"/>
                <w:color w:val="000000"/>
                <w:sz w:val="20"/>
                <w:szCs w:val="20"/>
              </w:rPr>
            </w:pPr>
            <w:r>
              <w:rPr>
                <w:rFonts w:ascii="Calibri" w:eastAsia="Calibri" w:hAnsi="Calibri" w:cs="Calibri"/>
                <w:color w:val="000000"/>
                <w:sz w:val="20"/>
                <w:szCs w:val="20"/>
              </w:rPr>
              <w:t>Project documents</w:t>
            </w:r>
          </w:p>
          <w:p w14:paraId="358FD091" w14:textId="77777777" w:rsidR="009A1DB5" w:rsidRDefault="009A1DB5" w:rsidP="0052081C">
            <w:pPr>
              <w:keepLines/>
              <w:widowControl w:val="0"/>
              <w:numPr>
                <w:ilvl w:val="0"/>
                <w:numId w:val="23"/>
              </w:numPr>
              <w:pBdr>
                <w:top w:val="nil"/>
                <w:left w:val="nil"/>
                <w:bottom w:val="nil"/>
                <w:right w:val="nil"/>
                <w:between w:val="nil"/>
              </w:pBdr>
              <w:spacing w:after="60"/>
              <w:ind w:left="260" w:hanging="283"/>
              <w:rPr>
                <w:rFonts w:ascii="Calibri" w:eastAsia="Calibri" w:hAnsi="Calibri" w:cs="Calibri"/>
                <w:color w:val="000000"/>
                <w:sz w:val="20"/>
                <w:szCs w:val="20"/>
              </w:rPr>
            </w:pPr>
            <w:r>
              <w:rPr>
                <w:rFonts w:ascii="Calibri" w:eastAsia="Calibri" w:hAnsi="Calibri" w:cs="Calibri"/>
                <w:color w:val="000000"/>
                <w:sz w:val="20"/>
                <w:szCs w:val="20"/>
              </w:rPr>
              <w:t>PCU team</w:t>
            </w:r>
          </w:p>
          <w:p w14:paraId="69411C6C" w14:textId="77777777" w:rsidR="009A1DB5" w:rsidRDefault="009A1DB5" w:rsidP="0052081C">
            <w:pPr>
              <w:keepLines/>
              <w:widowControl w:val="0"/>
              <w:numPr>
                <w:ilvl w:val="0"/>
                <w:numId w:val="23"/>
              </w:numPr>
              <w:pBdr>
                <w:top w:val="nil"/>
                <w:left w:val="nil"/>
                <w:bottom w:val="nil"/>
                <w:right w:val="nil"/>
                <w:between w:val="nil"/>
              </w:pBdr>
              <w:spacing w:after="60"/>
              <w:ind w:left="260" w:hanging="283"/>
              <w:rPr>
                <w:rFonts w:ascii="Calibri" w:eastAsia="Calibri" w:hAnsi="Calibri" w:cs="Calibri"/>
                <w:color w:val="000000"/>
                <w:sz w:val="20"/>
                <w:szCs w:val="20"/>
              </w:rPr>
            </w:pPr>
            <w:r>
              <w:rPr>
                <w:rFonts w:ascii="Calibri" w:eastAsia="Calibri" w:hAnsi="Calibri" w:cs="Calibri"/>
                <w:color w:val="000000"/>
                <w:sz w:val="20"/>
                <w:szCs w:val="20"/>
              </w:rPr>
              <w:t>Project partners and other stakeholders</w:t>
            </w:r>
          </w:p>
        </w:tc>
        <w:tc>
          <w:tcPr>
            <w:tcW w:w="3499" w:type="dxa"/>
            <w:shd w:val="clear" w:color="auto" w:fill="auto"/>
          </w:tcPr>
          <w:p w14:paraId="01EC3B99" w14:textId="77777777" w:rsidR="009A1DB5" w:rsidRDefault="009A1DB5" w:rsidP="0052081C">
            <w:pPr>
              <w:numPr>
                <w:ilvl w:val="0"/>
                <w:numId w:val="23"/>
              </w:numPr>
              <w:pBdr>
                <w:top w:val="nil"/>
                <w:left w:val="nil"/>
                <w:bottom w:val="nil"/>
                <w:right w:val="nil"/>
                <w:between w:val="nil"/>
              </w:pBdr>
              <w:ind w:left="300" w:hanging="357"/>
              <w:rPr>
                <w:rFonts w:ascii="Calibri" w:eastAsia="Calibri" w:hAnsi="Calibri" w:cs="Calibri"/>
                <w:color w:val="000000"/>
                <w:sz w:val="20"/>
                <w:szCs w:val="20"/>
              </w:rPr>
            </w:pPr>
            <w:r>
              <w:rPr>
                <w:rFonts w:ascii="Calibri" w:eastAsia="Calibri" w:hAnsi="Calibri" w:cs="Calibri"/>
                <w:color w:val="000000"/>
                <w:sz w:val="20"/>
                <w:szCs w:val="20"/>
              </w:rPr>
              <w:t>Document review</w:t>
            </w:r>
          </w:p>
          <w:p w14:paraId="5EB70052" w14:textId="77777777" w:rsidR="009A1DB5" w:rsidRDefault="009A1DB5" w:rsidP="0052081C">
            <w:pPr>
              <w:keepLines/>
              <w:widowControl w:val="0"/>
              <w:numPr>
                <w:ilvl w:val="0"/>
                <w:numId w:val="23"/>
              </w:numPr>
              <w:pBdr>
                <w:top w:val="nil"/>
                <w:left w:val="nil"/>
                <w:bottom w:val="nil"/>
                <w:right w:val="nil"/>
                <w:between w:val="nil"/>
              </w:pBdr>
              <w:ind w:left="300" w:hanging="357"/>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2D943C49" w14:textId="77777777" w:rsidR="009A1DB5" w:rsidRDefault="009A1DB5" w:rsidP="0052081C">
            <w:pPr>
              <w:numPr>
                <w:ilvl w:val="0"/>
                <w:numId w:val="23"/>
              </w:numPr>
              <w:pBdr>
                <w:top w:val="nil"/>
                <w:left w:val="nil"/>
                <w:bottom w:val="nil"/>
                <w:right w:val="nil"/>
                <w:between w:val="nil"/>
              </w:pBdr>
              <w:ind w:left="300" w:hanging="357"/>
              <w:rPr>
                <w:rFonts w:ascii="Calibri" w:eastAsia="Calibri" w:hAnsi="Calibri" w:cs="Calibri"/>
                <w:color w:val="000000"/>
                <w:sz w:val="20"/>
                <w:szCs w:val="20"/>
              </w:rPr>
            </w:pPr>
            <w:r>
              <w:rPr>
                <w:rFonts w:ascii="Calibri" w:eastAsia="Calibri" w:hAnsi="Calibri" w:cs="Calibri"/>
                <w:color w:val="000000"/>
                <w:sz w:val="20"/>
                <w:szCs w:val="20"/>
              </w:rPr>
              <w:t>Email</w:t>
            </w:r>
          </w:p>
        </w:tc>
      </w:tr>
      <w:tr w:rsidR="009A1DB5" w14:paraId="4FAFA40C" w14:textId="77777777" w:rsidTr="00DB2DCE">
        <w:tc>
          <w:tcPr>
            <w:tcW w:w="3499" w:type="dxa"/>
            <w:tcBorders>
              <w:bottom w:val="single" w:sz="4" w:space="0" w:color="000000"/>
            </w:tcBorders>
            <w:shd w:val="clear" w:color="auto" w:fill="auto"/>
          </w:tcPr>
          <w:p w14:paraId="7381F19B" w14:textId="77777777" w:rsidR="009A1DB5" w:rsidRDefault="009A1DB5" w:rsidP="0052081C">
            <w:pPr>
              <w:numPr>
                <w:ilvl w:val="0"/>
                <w:numId w:val="23"/>
              </w:numPr>
              <w:pBdr>
                <w:top w:val="nil"/>
                <w:left w:val="nil"/>
                <w:bottom w:val="nil"/>
                <w:right w:val="nil"/>
                <w:between w:val="nil"/>
              </w:pBdr>
              <w:ind w:left="315" w:hanging="315"/>
              <w:rPr>
                <w:rFonts w:ascii="Calibri" w:eastAsia="Calibri" w:hAnsi="Calibri" w:cs="Calibri"/>
                <w:color w:val="000000"/>
                <w:sz w:val="20"/>
                <w:szCs w:val="20"/>
              </w:rPr>
            </w:pPr>
            <w:r>
              <w:rPr>
                <w:rFonts w:ascii="Calibri" w:eastAsia="Calibri" w:hAnsi="Calibri" w:cs="Calibri"/>
                <w:color w:val="000000"/>
                <w:sz w:val="20"/>
                <w:szCs w:val="20"/>
              </w:rPr>
              <w:t>In what ways did the project’s gender results advance or contribute to the project’s biodiversity outcomes?</w:t>
            </w:r>
          </w:p>
        </w:tc>
        <w:tc>
          <w:tcPr>
            <w:tcW w:w="3499" w:type="dxa"/>
            <w:tcBorders>
              <w:bottom w:val="single" w:sz="4" w:space="0" w:color="000000"/>
            </w:tcBorders>
            <w:shd w:val="clear" w:color="auto" w:fill="auto"/>
          </w:tcPr>
          <w:p w14:paraId="5B1EC4E3" w14:textId="77777777" w:rsidR="009A1DB5" w:rsidRDefault="009A1DB5" w:rsidP="0052081C">
            <w:pPr>
              <w:numPr>
                <w:ilvl w:val="0"/>
                <w:numId w:val="23"/>
              </w:numPr>
              <w:pBdr>
                <w:top w:val="nil"/>
                <w:left w:val="nil"/>
                <w:bottom w:val="nil"/>
                <w:right w:val="nil"/>
                <w:between w:val="nil"/>
              </w:pBdr>
              <w:spacing w:after="60"/>
              <w:ind w:left="359"/>
              <w:rPr>
                <w:rFonts w:ascii="Calibri" w:eastAsia="Calibri" w:hAnsi="Calibri" w:cs="Calibri"/>
                <w:color w:val="000000"/>
                <w:sz w:val="20"/>
                <w:szCs w:val="20"/>
              </w:rPr>
            </w:pPr>
            <w:r>
              <w:rPr>
                <w:rFonts w:ascii="Calibri" w:eastAsia="Calibri" w:hAnsi="Calibri" w:cs="Calibri"/>
                <w:color w:val="000000"/>
                <w:sz w:val="20"/>
                <w:szCs w:val="20"/>
              </w:rPr>
              <w:t>Existence of logical linkages between gender results and project outcomes and impacts</w:t>
            </w:r>
          </w:p>
        </w:tc>
        <w:tc>
          <w:tcPr>
            <w:tcW w:w="3499" w:type="dxa"/>
            <w:tcBorders>
              <w:bottom w:val="single" w:sz="4" w:space="0" w:color="000000"/>
            </w:tcBorders>
            <w:shd w:val="clear" w:color="auto" w:fill="auto"/>
          </w:tcPr>
          <w:p w14:paraId="467422CA" w14:textId="77777777" w:rsidR="009A1DB5" w:rsidRDefault="009A1DB5" w:rsidP="0052081C">
            <w:pPr>
              <w:keepLines/>
              <w:widowControl w:val="0"/>
              <w:numPr>
                <w:ilvl w:val="0"/>
                <w:numId w:val="23"/>
              </w:numPr>
              <w:pBdr>
                <w:top w:val="nil"/>
                <w:left w:val="nil"/>
                <w:bottom w:val="nil"/>
                <w:right w:val="nil"/>
                <w:between w:val="nil"/>
              </w:pBdr>
              <w:ind w:left="260" w:hanging="283"/>
              <w:rPr>
                <w:rFonts w:ascii="Calibri" w:eastAsia="Calibri" w:hAnsi="Calibri" w:cs="Calibri"/>
                <w:color w:val="000000"/>
                <w:sz w:val="20"/>
                <w:szCs w:val="20"/>
              </w:rPr>
            </w:pPr>
            <w:r>
              <w:rPr>
                <w:rFonts w:ascii="Calibri" w:eastAsia="Calibri" w:hAnsi="Calibri" w:cs="Calibri"/>
                <w:color w:val="000000"/>
                <w:sz w:val="20"/>
                <w:szCs w:val="20"/>
              </w:rPr>
              <w:t>Project documents</w:t>
            </w:r>
          </w:p>
          <w:p w14:paraId="70676F8E" w14:textId="77777777" w:rsidR="009A1DB5" w:rsidRDefault="009A1DB5" w:rsidP="0052081C">
            <w:pPr>
              <w:keepLines/>
              <w:widowControl w:val="0"/>
              <w:numPr>
                <w:ilvl w:val="0"/>
                <w:numId w:val="23"/>
              </w:numPr>
              <w:pBdr>
                <w:top w:val="nil"/>
                <w:left w:val="nil"/>
                <w:bottom w:val="nil"/>
                <w:right w:val="nil"/>
                <w:between w:val="nil"/>
              </w:pBdr>
              <w:spacing w:after="60"/>
              <w:ind w:left="260" w:hanging="283"/>
              <w:rPr>
                <w:rFonts w:ascii="Calibri" w:eastAsia="Calibri" w:hAnsi="Calibri" w:cs="Calibri"/>
                <w:color w:val="000000"/>
                <w:sz w:val="20"/>
                <w:szCs w:val="20"/>
              </w:rPr>
            </w:pPr>
            <w:r>
              <w:rPr>
                <w:rFonts w:ascii="Calibri" w:eastAsia="Calibri" w:hAnsi="Calibri" w:cs="Calibri"/>
                <w:color w:val="000000"/>
                <w:sz w:val="20"/>
                <w:szCs w:val="20"/>
              </w:rPr>
              <w:t>PCU team</w:t>
            </w:r>
          </w:p>
          <w:p w14:paraId="4B2F8210" w14:textId="77777777" w:rsidR="009A1DB5" w:rsidRDefault="009A1DB5" w:rsidP="0052081C">
            <w:pPr>
              <w:keepLines/>
              <w:widowControl w:val="0"/>
              <w:numPr>
                <w:ilvl w:val="0"/>
                <w:numId w:val="23"/>
              </w:numPr>
              <w:pBdr>
                <w:top w:val="nil"/>
                <w:left w:val="nil"/>
                <w:bottom w:val="nil"/>
                <w:right w:val="nil"/>
                <w:between w:val="nil"/>
              </w:pBdr>
              <w:spacing w:after="60"/>
              <w:ind w:left="260"/>
              <w:rPr>
                <w:rFonts w:ascii="Calibri" w:eastAsia="Calibri" w:hAnsi="Calibri" w:cs="Calibri"/>
                <w:color w:val="000000"/>
                <w:sz w:val="20"/>
                <w:szCs w:val="20"/>
              </w:rPr>
            </w:pPr>
            <w:r>
              <w:rPr>
                <w:rFonts w:ascii="Calibri" w:eastAsia="Calibri" w:hAnsi="Calibri" w:cs="Calibri"/>
                <w:color w:val="000000"/>
                <w:sz w:val="20"/>
                <w:szCs w:val="20"/>
              </w:rPr>
              <w:t>Project partners and other stakeholders</w:t>
            </w:r>
          </w:p>
        </w:tc>
        <w:tc>
          <w:tcPr>
            <w:tcW w:w="3499" w:type="dxa"/>
            <w:tcBorders>
              <w:bottom w:val="single" w:sz="4" w:space="0" w:color="000000"/>
            </w:tcBorders>
            <w:shd w:val="clear" w:color="auto" w:fill="auto"/>
          </w:tcPr>
          <w:p w14:paraId="789D73CE" w14:textId="77777777" w:rsidR="009A1DB5" w:rsidRDefault="009A1DB5" w:rsidP="0052081C">
            <w:pPr>
              <w:numPr>
                <w:ilvl w:val="0"/>
                <w:numId w:val="23"/>
              </w:numPr>
              <w:pBdr>
                <w:top w:val="nil"/>
                <w:left w:val="nil"/>
                <w:bottom w:val="nil"/>
                <w:right w:val="nil"/>
                <w:between w:val="nil"/>
              </w:pBdr>
              <w:ind w:left="300" w:hanging="357"/>
              <w:rPr>
                <w:rFonts w:ascii="Calibri" w:eastAsia="Calibri" w:hAnsi="Calibri" w:cs="Calibri"/>
                <w:color w:val="000000"/>
                <w:sz w:val="20"/>
                <w:szCs w:val="20"/>
              </w:rPr>
            </w:pPr>
            <w:r>
              <w:rPr>
                <w:rFonts w:ascii="Calibri" w:eastAsia="Calibri" w:hAnsi="Calibri" w:cs="Calibri"/>
                <w:color w:val="000000"/>
                <w:sz w:val="20"/>
                <w:szCs w:val="20"/>
              </w:rPr>
              <w:t>Document review</w:t>
            </w:r>
          </w:p>
          <w:p w14:paraId="4B70976D" w14:textId="77777777" w:rsidR="009A1DB5" w:rsidRDefault="009A1DB5" w:rsidP="0052081C">
            <w:pPr>
              <w:keepLines/>
              <w:widowControl w:val="0"/>
              <w:numPr>
                <w:ilvl w:val="0"/>
                <w:numId w:val="23"/>
              </w:numPr>
              <w:pBdr>
                <w:top w:val="nil"/>
                <w:left w:val="nil"/>
                <w:bottom w:val="nil"/>
                <w:right w:val="nil"/>
                <w:between w:val="nil"/>
              </w:pBdr>
              <w:ind w:left="300" w:hanging="357"/>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396E1886" w14:textId="77777777" w:rsidR="009A1DB5" w:rsidRDefault="009A1DB5" w:rsidP="0052081C">
            <w:pPr>
              <w:numPr>
                <w:ilvl w:val="0"/>
                <w:numId w:val="23"/>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Email</w:t>
            </w:r>
          </w:p>
        </w:tc>
      </w:tr>
      <w:tr w:rsidR="009A1DB5" w14:paraId="33D5D5E9" w14:textId="77777777" w:rsidTr="00DB2DCE">
        <w:tc>
          <w:tcPr>
            <w:tcW w:w="13996" w:type="dxa"/>
            <w:gridSpan w:val="4"/>
            <w:shd w:val="clear" w:color="auto" w:fill="D9E2F3"/>
          </w:tcPr>
          <w:p w14:paraId="20353242" w14:textId="77777777" w:rsidR="009A1DB5" w:rsidRDefault="009A1DB5" w:rsidP="00DB2DCE">
            <w:pPr>
              <w:spacing w:after="60"/>
              <w:ind w:left="-56"/>
              <w:rPr>
                <w:rFonts w:ascii="Calibri" w:eastAsia="Calibri" w:hAnsi="Calibri" w:cs="Calibri"/>
              </w:rPr>
            </w:pPr>
            <w:r>
              <w:rPr>
                <w:rFonts w:ascii="Calibri" w:eastAsia="Calibri" w:hAnsi="Calibri" w:cs="Calibri"/>
                <w:b/>
                <w:i/>
                <w:sz w:val="22"/>
                <w:szCs w:val="22"/>
              </w:rPr>
              <w:t>Impact –</w:t>
            </w:r>
            <w:r>
              <w:rPr>
                <w:rFonts w:ascii="Calibri" w:eastAsia="Calibri" w:hAnsi="Calibri" w:cs="Calibri"/>
                <w:sz w:val="22"/>
                <w:szCs w:val="22"/>
              </w:rPr>
              <w:t xml:space="preserve"> Are there indications that the project has contributed to, or enabled progress toward, reduced environmental stress and/or improved ecological status?</w:t>
            </w:r>
          </w:p>
        </w:tc>
      </w:tr>
      <w:tr w:rsidR="009A1DB5" w14:paraId="2B629F40" w14:textId="77777777" w:rsidTr="00DB2DCE">
        <w:tc>
          <w:tcPr>
            <w:tcW w:w="3499" w:type="dxa"/>
            <w:shd w:val="clear" w:color="auto" w:fill="auto"/>
          </w:tcPr>
          <w:p w14:paraId="2D7C0D82" w14:textId="77777777" w:rsidR="009A1DB5" w:rsidRDefault="009A1DB5" w:rsidP="0052081C">
            <w:pPr>
              <w:keepLines/>
              <w:widowControl w:val="0"/>
              <w:numPr>
                <w:ilvl w:val="0"/>
                <w:numId w:val="29"/>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To what extent are key stakeholders/final beneficiaries satisfied with the benefits generated by the project?</w:t>
            </w:r>
          </w:p>
          <w:p w14:paraId="0B1F011B" w14:textId="77777777" w:rsidR="009A1DB5" w:rsidRDefault="009A1DB5" w:rsidP="0052081C">
            <w:pPr>
              <w:numPr>
                <w:ilvl w:val="0"/>
                <w:numId w:val="29"/>
              </w:numPr>
              <w:pBdr>
                <w:top w:val="nil"/>
                <w:left w:val="nil"/>
                <w:bottom w:val="nil"/>
                <w:right w:val="nil"/>
                <w:between w:val="nil"/>
              </w:pBdr>
              <w:ind w:left="315"/>
              <w:rPr>
                <w:rFonts w:ascii="Calibri" w:eastAsia="Calibri" w:hAnsi="Calibri" w:cs="Calibri"/>
                <w:b/>
                <w:color w:val="000000"/>
                <w:sz w:val="20"/>
                <w:szCs w:val="20"/>
                <w:u w:val="single"/>
              </w:rPr>
            </w:pPr>
            <w:r>
              <w:rPr>
                <w:rFonts w:ascii="Calibri" w:eastAsia="Calibri" w:hAnsi="Calibri" w:cs="Calibri"/>
                <w:color w:val="000000"/>
                <w:sz w:val="20"/>
                <w:szCs w:val="20"/>
              </w:rPr>
              <w:t>Is there any evidence that the project has achieved impact or enabled progress towards reduced environmental stress and/or improved ecological status?</w:t>
            </w:r>
          </w:p>
        </w:tc>
        <w:tc>
          <w:tcPr>
            <w:tcW w:w="3499" w:type="dxa"/>
            <w:shd w:val="clear" w:color="auto" w:fill="auto"/>
          </w:tcPr>
          <w:p w14:paraId="3F7A2A39" w14:textId="77777777" w:rsidR="009A1DB5" w:rsidRDefault="009A1DB5" w:rsidP="0052081C">
            <w:pPr>
              <w:keepLines/>
              <w:widowControl w:val="0"/>
              <w:numPr>
                <w:ilvl w:val="0"/>
                <w:numId w:val="29"/>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Extent to which stakeholders/final beneficiaries have expressed satisfaction with the benefits generated by the project</w:t>
            </w:r>
          </w:p>
          <w:p w14:paraId="4CB29623" w14:textId="77777777" w:rsidR="009A1DB5" w:rsidRDefault="009A1DB5" w:rsidP="0052081C">
            <w:pPr>
              <w:numPr>
                <w:ilvl w:val="0"/>
                <w:numId w:val="29"/>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Indications that project has achieved impact or achieved progress towards reduced environmental stress and/or improved ecological status</w:t>
            </w:r>
          </w:p>
        </w:tc>
        <w:tc>
          <w:tcPr>
            <w:tcW w:w="3499" w:type="dxa"/>
            <w:shd w:val="clear" w:color="auto" w:fill="auto"/>
          </w:tcPr>
          <w:p w14:paraId="7A3696DA" w14:textId="77777777" w:rsidR="009A1DB5" w:rsidRDefault="009A1DB5" w:rsidP="0052081C">
            <w:pPr>
              <w:keepLines/>
              <w:widowControl w:val="0"/>
              <w:numPr>
                <w:ilvl w:val="0"/>
                <w:numId w:val="29"/>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 xml:space="preserve">PIRs, PSC meeting minutes, </w:t>
            </w:r>
          </w:p>
          <w:p w14:paraId="1B4616BE" w14:textId="77777777" w:rsidR="009A1DB5" w:rsidRDefault="009A1DB5" w:rsidP="0052081C">
            <w:pPr>
              <w:keepLines/>
              <w:widowControl w:val="0"/>
              <w:numPr>
                <w:ilvl w:val="0"/>
                <w:numId w:val="29"/>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PCU team, UNDP, GEF</w:t>
            </w:r>
          </w:p>
          <w:p w14:paraId="6AE34014" w14:textId="77777777" w:rsidR="009A1DB5" w:rsidRDefault="009A1DB5" w:rsidP="0052081C">
            <w:pPr>
              <w:keepLines/>
              <w:widowControl w:val="0"/>
              <w:numPr>
                <w:ilvl w:val="0"/>
                <w:numId w:val="29"/>
              </w:numPr>
              <w:pBdr>
                <w:top w:val="nil"/>
                <w:left w:val="nil"/>
                <w:bottom w:val="nil"/>
                <w:right w:val="nil"/>
                <w:between w:val="nil"/>
              </w:pBdr>
              <w:spacing w:after="60"/>
              <w:ind w:left="315"/>
              <w:rPr>
                <w:rFonts w:ascii="Calibri" w:eastAsia="Calibri" w:hAnsi="Calibri" w:cs="Calibri"/>
                <w:color w:val="000000"/>
                <w:sz w:val="20"/>
                <w:szCs w:val="20"/>
              </w:rPr>
            </w:pPr>
            <w:r>
              <w:rPr>
                <w:rFonts w:ascii="Calibri" w:eastAsia="Calibri" w:hAnsi="Calibri" w:cs="Calibri"/>
                <w:color w:val="000000"/>
                <w:sz w:val="20"/>
                <w:szCs w:val="20"/>
              </w:rPr>
              <w:t>Project partners and other stakeholders</w:t>
            </w:r>
          </w:p>
        </w:tc>
        <w:tc>
          <w:tcPr>
            <w:tcW w:w="3499" w:type="dxa"/>
            <w:shd w:val="clear" w:color="auto" w:fill="auto"/>
          </w:tcPr>
          <w:p w14:paraId="2B1E1CED" w14:textId="77777777" w:rsidR="009A1DB5" w:rsidRDefault="009A1DB5" w:rsidP="0052081C">
            <w:pPr>
              <w:numPr>
                <w:ilvl w:val="0"/>
                <w:numId w:val="23"/>
              </w:numPr>
              <w:pBdr>
                <w:top w:val="nil"/>
                <w:left w:val="nil"/>
                <w:bottom w:val="nil"/>
                <w:right w:val="nil"/>
                <w:between w:val="nil"/>
              </w:pBdr>
              <w:ind w:left="300" w:hanging="357"/>
              <w:rPr>
                <w:rFonts w:ascii="Calibri" w:eastAsia="Calibri" w:hAnsi="Calibri" w:cs="Calibri"/>
                <w:color w:val="000000"/>
                <w:sz w:val="20"/>
                <w:szCs w:val="20"/>
              </w:rPr>
            </w:pPr>
            <w:r>
              <w:rPr>
                <w:rFonts w:ascii="Calibri" w:eastAsia="Calibri" w:hAnsi="Calibri" w:cs="Calibri"/>
                <w:color w:val="000000"/>
                <w:sz w:val="20"/>
                <w:szCs w:val="20"/>
              </w:rPr>
              <w:t>Document review</w:t>
            </w:r>
          </w:p>
          <w:p w14:paraId="3D488C09" w14:textId="77777777" w:rsidR="009A1DB5" w:rsidRDefault="009A1DB5" w:rsidP="0052081C">
            <w:pPr>
              <w:keepLines/>
              <w:widowControl w:val="0"/>
              <w:numPr>
                <w:ilvl w:val="0"/>
                <w:numId w:val="23"/>
              </w:numPr>
              <w:pBdr>
                <w:top w:val="nil"/>
                <w:left w:val="nil"/>
                <w:bottom w:val="nil"/>
                <w:right w:val="nil"/>
                <w:between w:val="nil"/>
              </w:pBdr>
              <w:ind w:left="300" w:hanging="357"/>
              <w:rPr>
                <w:rFonts w:ascii="Calibri" w:eastAsia="Calibri" w:hAnsi="Calibri" w:cs="Calibri"/>
                <w:color w:val="000000"/>
                <w:sz w:val="20"/>
                <w:szCs w:val="20"/>
              </w:rPr>
            </w:pPr>
            <w:r>
              <w:rPr>
                <w:rFonts w:ascii="Calibri" w:eastAsia="Calibri" w:hAnsi="Calibri" w:cs="Calibri"/>
                <w:color w:val="000000"/>
                <w:sz w:val="20"/>
                <w:szCs w:val="20"/>
              </w:rPr>
              <w:t xml:space="preserve">Online interviews or face to face </w:t>
            </w:r>
          </w:p>
          <w:p w14:paraId="23310A3E" w14:textId="77777777" w:rsidR="009A1DB5" w:rsidRDefault="009A1DB5" w:rsidP="0052081C">
            <w:pPr>
              <w:numPr>
                <w:ilvl w:val="0"/>
                <w:numId w:val="23"/>
              </w:numPr>
              <w:pBdr>
                <w:top w:val="nil"/>
                <w:left w:val="nil"/>
                <w:bottom w:val="nil"/>
                <w:right w:val="nil"/>
                <w:between w:val="nil"/>
              </w:pBdr>
              <w:spacing w:after="60"/>
              <w:ind w:left="304"/>
              <w:rPr>
                <w:rFonts w:ascii="Calibri" w:eastAsia="Calibri" w:hAnsi="Calibri" w:cs="Calibri"/>
                <w:color w:val="000000"/>
                <w:sz w:val="20"/>
                <w:szCs w:val="20"/>
              </w:rPr>
            </w:pPr>
            <w:r>
              <w:rPr>
                <w:rFonts w:ascii="Calibri" w:eastAsia="Calibri" w:hAnsi="Calibri" w:cs="Calibri"/>
                <w:color w:val="000000"/>
                <w:sz w:val="20"/>
                <w:szCs w:val="20"/>
              </w:rPr>
              <w:t>Email</w:t>
            </w:r>
          </w:p>
        </w:tc>
      </w:tr>
    </w:tbl>
    <w:p w14:paraId="7EA43416" w14:textId="77777777" w:rsidR="009A1DB5" w:rsidRDefault="009A1DB5" w:rsidP="009A1DB5"/>
    <w:p w14:paraId="1F35E901" w14:textId="77777777" w:rsidR="009A1DB5" w:rsidRDefault="009A1DB5" w:rsidP="009A1DB5"/>
    <w:p w14:paraId="5CEF687D" w14:textId="311C214A" w:rsidR="009A1DB5" w:rsidRPr="009A1DB5" w:rsidRDefault="009A1DB5" w:rsidP="00894841">
      <w:pPr>
        <w:sectPr w:rsidR="009A1DB5" w:rsidRPr="009A1DB5" w:rsidSect="00894841">
          <w:pgSz w:w="16838" w:h="11906" w:orient="landscape"/>
          <w:pgMar w:top="1440" w:right="1440" w:bottom="1440" w:left="1440" w:header="708" w:footer="708" w:gutter="0"/>
          <w:cols w:space="720"/>
          <w:titlePg/>
          <w:docGrid w:linePitch="326"/>
        </w:sectPr>
      </w:pPr>
    </w:p>
    <w:p w14:paraId="2962173F" w14:textId="77777777" w:rsidR="000F31AD" w:rsidRDefault="00A317E5">
      <w:pPr>
        <w:pStyle w:val="Heading2"/>
      </w:pPr>
      <w:bookmarkStart w:id="74" w:name="_Toc81335890"/>
      <w:r>
        <w:lastRenderedPageBreak/>
        <w:t>Annex 6:</w:t>
      </w:r>
      <w:r>
        <w:tab/>
        <w:t>MTR Recommendations</w:t>
      </w:r>
      <w:bookmarkEnd w:id="74"/>
    </w:p>
    <w:p w14:paraId="7321C3A0" w14:textId="77777777" w:rsidR="009A1DB5" w:rsidRDefault="009A1DB5" w:rsidP="009A1DB5"/>
    <w:p w14:paraId="7564CA6E" w14:textId="46EFB83C" w:rsidR="009A1DB5" w:rsidRPr="00894841" w:rsidRDefault="009A1DB5" w:rsidP="0052081C">
      <w:pPr>
        <w:pStyle w:val="NormalWeb"/>
        <w:numPr>
          <w:ilvl w:val="0"/>
          <w:numId w:val="32"/>
        </w:numPr>
        <w:jc w:val="both"/>
        <w:rPr>
          <w:sz w:val="22"/>
          <w:szCs w:val="22"/>
        </w:rPr>
      </w:pPr>
      <w:r w:rsidRPr="009A1DB5">
        <w:rPr>
          <w:rFonts w:ascii="Calibri" w:hAnsi="Calibri" w:cs="Calibri"/>
          <w:sz w:val="22"/>
          <w:szCs w:val="22"/>
        </w:rPr>
        <w:t xml:space="preserve">The project should have a no cost extension of until 28 February 2021 to ensure sufficient time for the outcome impacts to be fully realized. The reasoning for this includes i) a delay in starting project activities due to a) securing “no-objection” from Albania for GWP ground staff b) the decision to ensure that parallel activities could be conducted in the Kosovo (White Drini) project; ii) the TDA taking longer than anticipated due to a) delays in achieving field monitoring results due to the delayed start, b) delays in the thematic report on Hydrology ; iii) the establishment of an unforeseen, but highly important and country driven Expert Working Group on Flood Control which needs time to convene and provide meaningful input for the SAP; iv) greater time for SAP development than envisioned in ProDoc, v) taking advantage of the large Annual stakeholder and DCG meeting in November 2020 to showcase its achievements and forward the SAP; and vi) ensuring sufficient time to close the project (2-3 months). Based on the release of funds to date, it is reasonable to assume that there will be sufficient funds to continue until the recommended date. </w:t>
      </w:r>
    </w:p>
    <w:p w14:paraId="1F3F50F9" w14:textId="3A547107" w:rsidR="009A1DB5" w:rsidRPr="00894841" w:rsidRDefault="009A1DB5" w:rsidP="0052081C">
      <w:pPr>
        <w:pStyle w:val="NormalWeb"/>
        <w:numPr>
          <w:ilvl w:val="0"/>
          <w:numId w:val="32"/>
        </w:numPr>
        <w:jc w:val="both"/>
        <w:rPr>
          <w:sz w:val="22"/>
          <w:szCs w:val="22"/>
        </w:rPr>
      </w:pPr>
      <w:r w:rsidRPr="009A1DB5">
        <w:rPr>
          <w:rFonts w:ascii="Calibri" w:hAnsi="Calibri" w:cs="Calibri"/>
          <w:sz w:val="22"/>
          <w:szCs w:val="22"/>
        </w:rPr>
        <w:t>The Outcome 2 Indicator #1 should be reworded to read ““</w:t>
      </w:r>
      <w:r w:rsidRPr="009A1DB5">
        <w:rPr>
          <w:rFonts w:ascii="Calibri" w:hAnsi="Calibri" w:cs="Calibri"/>
          <w:i/>
          <w:iCs/>
          <w:sz w:val="22"/>
          <w:szCs w:val="22"/>
        </w:rPr>
        <w:t xml:space="preserve">The Shared Vision contained in the 2011 Drin MoU is confirmed to be consistent with the findings of the TDA”, </w:t>
      </w:r>
      <w:r w:rsidRPr="009A1DB5">
        <w:rPr>
          <w:rFonts w:ascii="Calibri" w:hAnsi="Calibri" w:cs="Calibri"/>
          <w:sz w:val="22"/>
          <w:szCs w:val="22"/>
        </w:rPr>
        <w:t>and its associated target should be changed accordingly. The Outcome 2 Indicator #2 should be reworded to read “</w:t>
      </w:r>
      <w:r w:rsidRPr="009A1DB5">
        <w:rPr>
          <w:rFonts w:ascii="Calibri" w:hAnsi="Calibri" w:cs="Calibri"/>
          <w:i/>
          <w:iCs/>
          <w:sz w:val="22"/>
          <w:szCs w:val="22"/>
        </w:rPr>
        <w:t xml:space="preserve">A Strategic Action Programme (SAP with a </w:t>
      </w:r>
      <w:proofErr w:type="gramStart"/>
      <w:r w:rsidRPr="009A1DB5">
        <w:rPr>
          <w:rFonts w:ascii="Calibri" w:hAnsi="Calibri" w:cs="Calibri"/>
          <w:i/>
          <w:iCs/>
          <w:sz w:val="22"/>
          <w:szCs w:val="22"/>
        </w:rPr>
        <w:t>5 year</w:t>
      </w:r>
      <w:proofErr w:type="gramEnd"/>
      <w:r w:rsidRPr="009A1DB5">
        <w:rPr>
          <w:rFonts w:ascii="Calibri" w:hAnsi="Calibri" w:cs="Calibri"/>
          <w:i/>
          <w:iCs/>
          <w:sz w:val="22"/>
          <w:szCs w:val="22"/>
        </w:rPr>
        <w:t xml:space="preserve"> time horizon) consistent with the 2011 Drin Shared Vision MoU and based on TDA findings, is approved by the DCG. It should address main issues of transboundary concern and contain concrete actions at the national and regional levels, as well as environmental quality objectives (horizon of 20 years), relevant indicators, and strategic development lines and priorities</w:t>
      </w:r>
      <w:r w:rsidRPr="009A1DB5">
        <w:rPr>
          <w:rFonts w:ascii="Calibri" w:hAnsi="Calibri" w:cs="Calibri"/>
          <w:sz w:val="22"/>
          <w:szCs w:val="22"/>
        </w:rPr>
        <w:t xml:space="preserve">”. </w:t>
      </w:r>
    </w:p>
    <w:p w14:paraId="5793D7D7" w14:textId="7479E25E" w:rsidR="009A1DB5" w:rsidRPr="00894841" w:rsidRDefault="009A1DB5" w:rsidP="0052081C">
      <w:pPr>
        <w:pStyle w:val="NormalWeb"/>
        <w:numPr>
          <w:ilvl w:val="0"/>
          <w:numId w:val="32"/>
        </w:numPr>
        <w:contextualSpacing/>
        <w:jc w:val="both"/>
        <w:rPr>
          <w:sz w:val="22"/>
          <w:szCs w:val="22"/>
        </w:rPr>
      </w:pPr>
      <w:r w:rsidRPr="009A1DB5">
        <w:rPr>
          <w:rFonts w:ascii="Calibri" w:hAnsi="Calibri" w:cs="Calibri"/>
          <w:sz w:val="22"/>
          <w:szCs w:val="22"/>
        </w:rPr>
        <w:t xml:space="preserve">The budget associated with Outcome 2 indicator #1 should be reduced to reflect the new level of effort envisioned, and a commensurate amount should at added to indicator #2. </w:t>
      </w:r>
    </w:p>
    <w:p w14:paraId="6402F669" w14:textId="060060F2" w:rsidR="009A1DB5" w:rsidRPr="00894841" w:rsidRDefault="009A1DB5" w:rsidP="0052081C">
      <w:pPr>
        <w:pStyle w:val="NormalWeb"/>
        <w:numPr>
          <w:ilvl w:val="0"/>
          <w:numId w:val="32"/>
        </w:numPr>
        <w:contextualSpacing/>
        <w:jc w:val="both"/>
        <w:rPr>
          <w:sz w:val="22"/>
          <w:szCs w:val="22"/>
        </w:rPr>
      </w:pPr>
      <w:r w:rsidRPr="009A1DB5">
        <w:rPr>
          <w:rFonts w:ascii="Calibri" w:hAnsi="Calibri" w:cs="Calibri"/>
          <w:sz w:val="22"/>
          <w:szCs w:val="22"/>
        </w:rPr>
        <w:t>The verification for Outcome 4 Indicator 1 should read, “</w:t>
      </w:r>
      <w:r w:rsidRPr="009A1DB5">
        <w:rPr>
          <w:rFonts w:ascii="Calibri" w:hAnsi="Calibri" w:cs="Calibri"/>
          <w:i/>
          <w:iCs/>
          <w:sz w:val="22"/>
          <w:szCs w:val="22"/>
        </w:rPr>
        <w:t>TORs are developed for EWGs, meetings of the EWGs are held, and related reports include recommendations for the DCG to implement the project and the Drin MoU</w:t>
      </w:r>
      <w:r w:rsidRPr="009A1DB5">
        <w:rPr>
          <w:rFonts w:ascii="Calibri" w:hAnsi="Calibri" w:cs="Calibri"/>
          <w:sz w:val="22"/>
          <w:szCs w:val="22"/>
        </w:rPr>
        <w:t xml:space="preserve">”. </w:t>
      </w:r>
    </w:p>
    <w:p w14:paraId="60B40956" w14:textId="44758C4A" w:rsidR="009A1DB5" w:rsidRPr="00894841" w:rsidRDefault="009A1DB5" w:rsidP="0052081C">
      <w:pPr>
        <w:pStyle w:val="NormalWeb"/>
        <w:numPr>
          <w:ilvl w:val="0"/>
          <w:numId w:val="32"/>
        </w:numPr>
        <w:contextualSpacing/>
        <w:jc w:val="both"/>
        <w:rPr>
          <w:sz w:val="22"/>
          <w:szCs w:val="22"/>
        </w:rPr>
      </w:pPr>
      <w:r w:rsidRPr="009A1DB5">
        <w:rPr>
          <w:rFonts w:ascii="Calibri" w:hAnsi="Calibri" w:cs="Calibri"/>
          <w:sz w:val="22"/>
          <w:szCs w:val="22"/>
        </w:rPr>
        <w:t>Outcome 4 indicator 2 should be reworded to “</w:t>
      </w:r>
      <w:r w:rsidRPr="009A1DB5">
        <w:rPr>
          <w:rFonts w:ascii="Calibri" w:hAnsi="Calibri" w:cs="Calibri"/>
          <w:i/>
          <w:iCs/>
          <w:sz w:val="22"/>
          <w:szCs w:val="22"/>
        </w:rPr>
        <w:t>Inter-ministerial committees are formed and/or there is multi-sectoral input and discussions at the national level with regard to SAP development and responding to guidance from the DCG</w:t>
      </w:r>
      <w:r w:rsidRPr="009A1DB5">
        <w:rPr>
          <w:rFonts w:ascii="Calibri" w:hAnsi="Calibri" w:cs="Calibri"/>
          <w:sz w:val="22"/>
          <w:szCs w:val="22"/>
        </w:rPr>
        <w:t>”. The respective target should be expanded to “</w:t>
      </w:r>
      <w:r w:rsidRPr="009A1DB5">
        <w:rPr>
          <w:rFonts w:ascii="Calibri" w:hAnsi="Calibri" w:cs="Calibri"/>
          <w:i/>
          <w:iCs/>
          <w:sz w:val="22"/>
          <w:szCs w:val="22"/>
        </w:rPr>
        <w:t>The Inter-Ministerial Committees are established and/or functional inter- sectoral dialogue at the national level is conducted.</w:t>
      </w:r>
      <w:r w:rsidRPr="009A1DB5">
        <w:rPr>
          <w:rFonts w:ascii="Calibri" w:hAnsi="Calibri" w:cs="Calibri"/>
          <w:sz w:val="22"/>
          <w:szCs w:val="22"/>
        </w:rPr>
        <w:t xml:space="preserve">” </w:t>
      </w:r>
    </w:p>
    <w:p w14:paraId="52CF356B" w14:textId="3A2A30EA" w:rsidR="009A1DB5" w:rsidRPr="00894841" w:rsidRDefault="009A1DB5" w:rsidP="0052081C">
      <w:pPr>
        <w:pStyle w:val="NormalWeb"/>
        <w:numPr>
          <w:ilvl w:val="0"/>
          <w:numId w:val="33"/>
        </w:numPr>
        <w:contextualSpacing/>
        <w:jc w:val="both"/>
        <w:rPr>
          <w:sz w:val="22"/>
          <w:szCs w:val="22"/>
        </w:rPr>
      </w:pPr>
      <w:r w:rsidRPr="009A1DB5">
        <w:rPr>
          <w:rFonts w:ascii="Calibri" w:hAnsi="Calibri" w:cs="Calibri"/>
          <w:sz w:val="22"/>
          <w:szCs w:val="22"/>
        </w:rPr>
        <w:t xml:space="preserve">It is important that Kosovo move alongside its neighbours in addressing Drin Basin challenges. It is not eligible for vertical funding and efforts by GWP-Med, and both UNDP IRH and Kosovo, should be exercised to leverage bi-lateral funding for inclusion of Kosovo. At the very minimum continuation for Kosovo participation in DCG and SAP implementation should be ensured through their participation as “experts in their respective fields”. </w:t>
      </w:r>
    </w:p>
    <w:p w14:paraId="7241285A" w14:textId="77C40DE2" w:rsidR="009A1DB5" w:rsidRPr="00894841" w:rsidRDefault="009A1DB5" w:rsidP="0052081C">
      <w:pPr>
        <w:pStyle w:val="NormalWeb"/>
        <w:numPr>
          <w:ilvl w:val="0"/>
          <w:numId w:val="33"/>
        </w:numPr>
        <w:contextualSpacing/>
        <w:jc w:val="both"/>
        <w:rPr>
          <w:sz w:val="22"/>
          <w:szCs w:val="22"/>
        </w:rPr>
      </w:pPr>
      <w:r w:rsidRPr="009A1DB5">
        <w:rPr>
          <w:rFonts w:ascii="Calibri" w:hAnsi="Calibri" w:cs="Calibri"/>
          <w:sz w:val="22"/>
          <w:szCs w:val="22"/>
        </w:rPr>
        <w:t xml:space="preserve">Greater emphasis should be placed on the Expert Working Group on Floods, as it provides an entry point for power companies into the SAP development and basin management in general. The EWG should have its TOR expanded, if necessary, to discuss possibilities of how to enhance power generation as well as balance flood control. Seek to change the name to </w:t>
      </w:r>
      <w:r w:rsidRPr="009A1DB5">
        <w:rPr>
          <w:rFonts w:ascii="Calibri" w:hAnsi="Calibri" w:cs="Calibri"/>
          <w:i/>
          <w:iCs/>
          <w:sz w:val="22"/>
          <w:szCs w:val="22"/>
        </w:rPr>
        <w:t>Flood Control and Power Enhancement</w:t>
      </w:r>
      <w:r w:rsidRPr="009A1DB5">
        <w:rPr>
          <w:rFonts w:ascii="Calibri" w:hAnsi="Calibri" w:cs="Calibri"/>
          <w:sz w:val="22"/>
          <w:szCs w:val="22"/>
        </w:rPr>
        <w:t xml:space="preserve">. The EWG on flood control should consider as part of the SAP development: </w:t>
      </w:r>
    </w:p>
    <w:p w14:paraId="48B606C5" w14:textId="77777777" w:rsidR="009A1DB5" w:rsidRPr="009A1DB5" w:rsidRDefault="009A1DB5" w:rsidP="0052081C">
      <w:pPr>
        <w:pStyle w:val="NormalWeb"/>
        <w:numPr>
          <w:ilvl w:val="1"/>
          <w:numId w:val="33"/>
        </w:numPr>
        <w:contextualSpacing/>
        <w:jc w:val="both"/>
        <w:rPr>
          <w:rFonts w:ascii="SymbolMT" w:hAnsi="SymbolMT"/>
          <w:sz w:val="22"/>
          <w:szCs w:val="22"/>
        </w:rPr>
      </w:pPr>
      <w:r w:rsidRPr="009A1DB5">
        <w:rPr>
          <w:rFonts w:ascii="Calibri" w:hAnsi="Calibri" w:cs="Calibri"/>
          <w:sz w:val="22"/>
          <w:szCs w:val="22"/>
        </w:rPr>
        <w:t>A study in looking to examine a cascade approach to facility operations while maximizing flood control and power benefits based on the previous EU Regional Strategy for Sustainable Hydropower in the Western Balkans.</w:t>
      </w:r>
      <w:r w:rsidRPr="00894841">
        <w:rPr>
          <w:rFonts w:ascii="Calibri" w:hAnsi="Calibri" w:cs="Calibri"/>
          <w:position w:val="8"/>
          <w:sz w:val="22"/>
          <w:szCs w:val="22"/>
        </w:rPr>
        <w:t xml:space="preserve">96 </w:t>
      </w:r>
    </w:p>
    <w:p w14:paraId="0A2E99FF" w14:textId="77777777" w:rsidR="009A1DB5" w:rsidRPr="009A1DB5" w:rsidRDefault="009A1DB5" w:rsidP="0052081C">
      <w:pPr>
        <w:pStyle w:val="NormalWeb"/>
        <w:numPr>
          <w:ilvl w:val="1"/>
          <w:numId w:val="33"/>
        </w:numPr>
        <w:contextualSpacing/>
        <w:jc w:val="both"/>
        <w:rPr>
          <w:rFonts w:ascii="SymbolMT" w:hAnsi="SymbolMT"/>
          <w:sz w:val="22"/>
          <w:szCs w:val="22"/>
        </w:rPr>
      </w:pPr>
      <w:r w:rsidRPr="009A1DB5">
        <w:rPr>
          <w:rFonts w:ascii="Calibri" w:hAnsi="Calibri" w:cs="Calibri"/>
          <w:sz w:val="22"/>
          <w:szCs w:val="22"/>
        </w:rPr>
        <w:t xml:space="preserve">Exploring additional storage developed in the White Drini with a primary function of flood control, augmenting power generation at the 500MW dam at Fierzë in Albania, </w:t>
      </w:r>
      <w:r w:rsidRPr="009A1DB5">
        <w:rPr>
          <w:rFonts w:ascii="Calibri" w:hAnsi="Calibri" w:cs="Calibri"/>
          <w:sz w:val="22"/>
          <w:szCs w:val="22"/>
        </w:rPr>
        <w:lastRenderedPageBreak/>
        <w:t xml:space="preserve">and possibly opportunistic power generation in Kosovo. An example could be taken from the Duncan dam in the Columbia system. </w:t>
      </w:r>
    </w:p>
    <w:p w14:paraId="38D68ABA" w14:textId="77777777" w:rsidR="009A1DB5" w:rsidRPr="009A1DB5" w:rsidRDefault="009A1DB5" w:rsidP="0052081C">
      <w:pPr>
        <w:pStyle w:val="NormalWeb"/>
        <w:numPr>
          <w:ilvl w:val="1"/>
          <w:numId w:val="33"/>
        </w:numPr>
        <w:contextualSpacing/>
        <w:jc w:val="both"/>
        <w:rPr>
          <w:rFonts w:ascii="SymbolMT" w:hAnsi="SymbolMT"/>
          <w:sz w:val="22"/>
          <w:szCs w:val="22"/>
        </w:rPr>
      </w:pPr>
      <w:r w:rsidRPr="009A1DB5">
        <w:rPr>
          <w:rFonts w:ascii="Calibri" w:hAnsi="Calibri" w:cs="Calibri"/>
          <w:sz w:val="22"/>
          <w:szCs w:val="22"/>
        </w:rPr>
        <w:t xml:space="preserve">A study to look at “ecosystem approach to flood management”, such as the development of constructed flood plains or groundwater recharge zones. </w:t>
      </w:r>
    </w:p>
    <w:p w14:paraId="1994D92A" w14:textId="03D95DF0" w:rsidR="009A1DB5" w:rsidRPr="00894841" w:rsidRDefault="009A1DB5" w:rsidP="0052081C">
      <w:pPr>
        <w:pStyle w:val="NormalWeb"/>
        <w:numPr>
          <w:ilvl w:val="0"/>
          <w:numId w:val="33"/>
        </w:numPr>
        <w:contextualSpacing/>
        <w:jc w:val="both"/>
        <w:rPr>
          <w:sz w:val="22"/>
          <w:szCs w:val="22"/>
        </w:rPr>
      </w:pPr>
      <w:r w:rsidRPr="009A1DB5">
        <w:rPr>
          <w:rFonts w:ascii="Calibri" w:hAnsi="Calibri" w:cs="Calibri"/>
          <w:sz w:val="22"/>
          <w:szCs w:val="22"/>
        </w:rPr>
        <w:t xml:space="preserve">Undertake to determine what interests power companies may have in participating in a Drin Basin Management Plan. This would include addressing pollution and debris entering turbines, and increasing the life span of the reservoirs through sedimentation control (re- forestation and protection of riparian zones, upstream storage, road and development planning etc.). </w:t>
      </w:r>
    </w:p>
    <w:p w14:paraId="7E5BE0B1" w14:textId="4D773931" w:rsidR="009A1DB5" w:rsidRPr="00894841" w:rsidRDefault="009A1DB5" w:rsidP="0052081C">
      <w:pPr>
        <w:pStyle w:val="NormalWeb"/>
        <w:numPr>
          <w:ilvl w:val="0"/>
          <w:numId w:val="33"/>
        </w:numPr>
        <w:contextualSpacing/>
        <w:jc w:val="both"/>
        <w:rPr>
          <w:sz w:val="22"/>
          <w:szCs w:val="22"/>
        </w:rPr>
      </w:pPr>
      <w:r w:rsidRPr="009A1DB5">
        <w:rPr>
          <w:rFonts w:ascii="Calibri" w:hAnsi="Calibri" w:cs="Calibri"/>
          <w:sz w:val="22"/>
          <w:szCs w:val="22"/>
        </w:rPr>
        <w:t xml:space="preserve">In preparing to undertake the focal groups associated with the development of the SAP, care should be taken to not create over-expectations of what can be delivered within the scope of the current project. It should contain a mix of on-the ground measures that can be easily be decided on (such as diversion of the Sateska river from Lake Ohrid), but also for additional planning and data gatherings and analysis. A target should be to have an agreed SAP by June 30, 2020 for submission to GEF as a precursor for applying for GEF 7 funding for SAP implementation. </w:t>
      </w:r>
    </w:p>
    <w:p w14:paraId="25C7EE99" w14:textId="3439DCA9" w:rsidR="009A1DB5" w:rsidRPr="00894841" w:rsidRDefault="009A1DB5" w:rsidP="0052081C">
      <w:pPr>
        <w:pStyle w:val="NormalWeb"/>
        <w:numPr>
          <w:ilvl w:val="0"/>
          <w:numId w:val="33"/>
        </w:numPr>
        <w:contextualSpacing/>
        <w:jc w:val="both"/>
        <w:rPr>
          <w:sz w:val="22"/>
          <w:szCs w:val="22"/>
        </w:rPr>
      </w:pPr>
      <w:r w:rsidRPr="009A1DB5">
        <w:rPr>
          <w:rFonts w:ascii="Calibri" w:hAnsi="Calibri" w:cs="Calibri"/>
          <w:sz w:val="22"/>
          <w:szCs w:val="22"/>
        </w:rPr>
        <w:t xml:space="preserve">The Information Management System should first be functional to serve the needs of the DCG decision making, and the beneficiary national bodies (as it currently does). Its development into a more sophisticated automated system, as initially envisioned, should considered for inclusion in SAP implementation. </w:t>
      </w:r>
    </w:p>
    <w:p w14:paraId="021926A6" w14:textId="7C423572" w:rsidR="009A1DB5" w:rsidRPr="00894841" w:rsidRDefault="009A1DB5" w:rsidP="0052081C">
      <w:pPr>
        <w:pStyle w:val="NormalWeb"/>
        <w:numPr>
          <w:ilvl w:val="0"/>
          <w:numId w:val="33"/>
        </w:numPr>
        <w:contextualSpacing/>
        <w:jc w:val="both"/>
        <w:rPr>
          <w:sz w:val="22"/>
          <w:szCs w:val="22"/>
        </w:rPr>
      </w:pPr>
      <w:r w:rsidRPr="009A1DB5">
        <w:rPr>
          <w:rFonts w:ascii="Calibri" w:hAnsi="Calibri" w:cs="Calibri"/>
          <w:sz w:val="22"/>
          <w:szCs w:val="22"/>
        </w:rPr>
        <w:t xml:space="preserve">Continue to push for better cooperation with World Bank Albania Water Resources and Irrigation Project. </w:t>
      </w:r>
    </w:p>
    <w:p w14:paraId="19EC5139" w14:textId="0B3D3E4B" w:rsidR="009A1DB5" w:rsidRPr="00894841" w:rsidRDefault="009A1DB5" w:rsidP="0052081C">
      <w:pPr>
        <w:pStyle w:val="NormalWeb"/>
        <w:numPr>
          <w:ilvl w:val="0"/>
          <w:numId w:val="33"/>
        </w:numPr>
        <w:contextualSpacing/>
        <w:jc w:val="both"/>
        <w:rPr>
          <w:sz w:val="22"/>
          <w:szCs w:val="22"/>
        </w:rPr>
      </w:pPr>
      <w:r w:rsidRPr="009A1DB5">
        <w:rPr>
          <w:rFonts w:ascii="Calibri" w:hAnsi="Calibri" w:cs="Calibri"/>
          <w:sz w:val="22"/>
          <w:szCs w:val="22"/>
        </w:rPr>
        <w:t xml:space="preserve">Effort should be placed on finding out the status of complimentary projects to better assess co-financing for the terminal evaluation. </w:t>
      </w:r>
    </w:p>
    <w:p w14:paraId="67885F46" w14:textId="20563D2A" w:rsidR="009A1DB5" w:rsidRPr="009A1DB5" w:rsidRDefault="009A1DB5" w:rsidP="00894841">
      <w:pPr>
        <w:sectPr w:rsidR="009A1DB5" w:rsidRPr="009A1DB5">
          <w:pgSz w:w="11906" w:h="16838"/>
          <w:pgMar w:top="1440" w:right="1440" w:bottom="1440" w:left="1440" w:header="708" w:footer="708" w:gutter="0"/>
          <w:cols w:space="720"/>
          <w:titlePg/>
        </w:sectPr>
      </w:pPr>
    </w:p>
    <w:p w14:paraId="57CEDC6C" w14:textId="77777777" w:rsidR="000F31AD" w:rsidRDefault="00A317E5">
      <w:pPr>
        <w:pStyle w:val="Heading2"/>
      </w:pPr>
      <w:bookmarkStart w:id="75" w:name="_Toc81335891"/>
      <w:r>
        <w:lastRenderedPageBreak/>
        <w:t>Annex 7:</w:t>
      </w:r>
      <w:r>
        <w:tab/>
        <w:t>Revised Strategic Results Framework</w:t>
      </w:r>
      <w:bookmarkEnd w:id="75"/>
    </w:p>
    <w:p w14:paraId="366F8264" w14:textId="77777777" w:rsidR="009A1DB5" w:rsidRDefault="009A1DB5" w:rsidP="009A1DB5"/>
    <w:p w14:paraId="22110F1A" w14:textId="77777777" w:rsidR="009A1DB5" w:rsidRDefault="009A1DB5" w:rsidP="009A1DB5"/>
    <w:p w14:paraId="6FBDA8B7" w14:textId="77777777" w:rsidR="009A1DB5" w:rsidRDefault="009A1DB5" w:rsidP="009A1DB5"/>
    <w:p w14:paraId="586FBC48" w14:textId="77777777" w:rsidR="009A1DB5" w:rsidRDefault="009A1DB5" w:rsidP="009A1DB5"/>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268"/>
        <w:gridCol w:w="2552"/>
        <w:gridCol w:w="1842"/>
        <w:gridCol w:w="2694"/>
        <w:gridCol w:w="3118"/>
      </w:tblGrid>
      <w:tr w:rsidR="008D7E24" w:rsidRPr="00894841" w14:paraId="48A6C6C9" w14:textId="77777777" w:rsidTr="00DB2DCE">
        <w:tc>
          <w:tcPr>
            <w:tcW w:w="14425" w:type="dxa"/>
            <w:gridSpan w:val="6"/>
            <w:shd w:val="clear" w:color="auto" w:fill="99CC00"/>
          </w:tcPr>
          <w:p w14:paraId="5721D9A1" w14:textId="77777777" w:rsidR="008D7E24" w:rsidRPr="00894841" w:rsidRDefault="008D7E24" w:rsidP="00DB2DCE">
            <w:pPr>
              <w:widowControl w:val="0"/>
              <w:autoSpaceDE w:val="0"/>
              <w:autoSpaceDN w:val="0"/>
              <w:adjustRightInd w:val="0"/>
              <w:spacing w:after="240"/>
              <w:jc w:val="center"/>
              <w:rPr>
                <w:rFonts w:asciiTheme="minorHAnsi" w:eastAsiaTheme="minorEastAsia" w:hAnsiTheme="minorHAnsi" w:cstheme="minorHAnsi"/>
                <w:b/>
                <w:szCs w:val="22"/>
                <w:lang w:eastAsia="it-IT"/>
              </w:rPr>
            </w:pPr>
            <w:r w:rsidRPr="00894841">
              <w:rPr>
                <w:rFonts w:asciiTheme="minorHAnsi" w:eastAsiaTheme="minorEastAsia" w:hAnsiTheme="minorHAnsi" w:cstheme="minorHAnsi"/>
                <w:b/>
                <w:szCs w:val="22"/>
                <w:lang w:eastAsia="it-IT"/>
              </w:rPr>
              <w:t>STRATEGIC RESULTS FRAMEWORK</w:t>
            </w:r>
          </w:p>
        </w:tc>
      </w:tr>
      <w:tr w:rsidR="008D7E24" w:rsidRPr="00894841" w14:paraId="6DA9311F" w14:textId="77777777" w:rsidTr="00DB2DCE">
        <w:tc>
          <w:tcPr>
            <w:tcW w:w="1951" w:type="dxa"/>
            <w:shd w:val="clear" w:color="auto" w:fill="99CC00"/>
          </w:tcPr>
          <w:p w14:paraId="4124E9EE" w14:textId="77777777" w:rsidR="008D7E24" w:rsidRPr="00894841" w:rsidRDefault="008D7E24" w:rsidP="00DB2DCE">
            <w:pPr>
              <w:spacing w:before="60"/>
              <w:rPr>
                <w:rFonts w:asciiTheme="minorHAnsi" w:hAnsiTheme="minorHAnsi" w:cstheme="minorHAnsi"/>
                <w:b/>
                <w:sz w:val="20"/>
                <w:szCs w:val="20"/>
              </w:rPr>
            </w:pPr>
            <w:r w:rsidRPr="00894841">
              <w:rPr>
                <w:rFonts w:asciiTheme="minorHAnsi" w:hAnsiTheme="minorHAnsi" w:cstheme="minorHAnsi"/>
                <w:b/>
                <w:sz w:val="20"/>
                <w:szCs w:val="20"/>
              </w:rPr>
              <w:t>Objective</w:t>
            </w:r>
          </w:p>
        </w:tc>
        <w:tc>
          <w:tcPr>
            <w:tcW w:w="12474" w:type="dxa"/>
            <w:gridSpan w:val="5"/>
            <w:shd w:val="clear" w:color="auto" w:fill="99CC00"/>
          </w:tcPr>
          <w:p w14:paraId="402F324B" w14:textId="77777777" w:rsidR="008D7E24" w:rsidRPr="00894841" w:rsidRDefault="008D7E24" w:rsidP="00DB2DCE">
            <w:pPr>
              <w:widowControl w:val="0"/>
              <w:autoSpaceDE w:val="0"/>
              <w:autoSpaceDN w:val="0"/>
              <w:adjustRightInd w:val="0"/>
              <w:spacing w:after="240"/>
              <w:rPr>
                <w:rFonts w:asciiTheme="minorHAnsi" w:eastAsiaTheme="minorEastAsia" w:hAnsiTheme="minorHAnsi" w:cstheme="minorHAnsi"/>
                <w:sz w:val="20"/>
                <w:szCs w:val="20"/>
                <w:lang w:eastAsia="it-IT"/>
              </w:rPr>
            </w:pPr>
            <w:r w:rsidRPr="00894841">
              <w:rPr>
                <w:rFonts w:asciiTheme="minorHAnsi" w:eastAsiaTheme="minorEastAsia" w:hAnsiTheme="minorHAnsi" w:cstheme="minorHAnsi"/>
                <w:sz w:val="20"/>
                <w:szCs w:val="20"/>
                <w:lang w:eastAsia="it-IT"/>
              </w:rPr>
              <w:t>To foster the joint management of the shared water resources of the extended transboundary Drin River Basin, including coordination mechanisms among the various sub-basin commissions and committees (Lakes Prespa, Ohrid and Skadar).</w:t>
            </w:r>
          </w:p>
        </w:tc>
      </w:tr>
      <w:tr w:rsidR="008D7E24" w:rsidRPr="00894841" w14:paraId="23FAD5B7" w14:textId="77777777" w:rsidTr="00DB2DCE">
        <w:tc>
          <w:tcPr>
            <w:tcW w:w="1951" w:type="dxa"/>
            <w:shd w:val="clear" w:color="auto" w:fill="99CC00"/>
          </w:tcPr>
          <w:p w14:paraId="0ECE7637" w14:textId="77777777" w:rsidR="008D7E24" w:rsidRPr="00894841" w:rsidRDefault="008D7E24" w:rsidP="00DB2DCE">
            <w:pPr>
              <w:spacing w:before="60"/>
              <w:rPr>
                <w:rFonts w:asciiTheme="minorHAnsi" w:hAnsiTheme="minorHAnsi" w:cstheme="minorHAnsi"/>
                <w:b/>
                <w:sz w:val="20"/>
                <w:szCs w:val="20"/>
              </w:rPr>
            </w:pPr>
          </w:p>
        </w:tc>
        <w:tc>
          <w:tcPr>
            <w:tcW w:w="12474" w:type="dxa"/>
            <w:gridSpan w:val="5"/>
            <w:shd w:val="clear" w:color="auto" w:fill="99CC00"/>
          </w:tcPr>
          <w:p w14:paraId="2199CA83" w14:textId="77777777" w:rsidR="008D7E24" w:rsidRPr="00894841" w:rsidRDefault="008D7E24" w:rsidP="00DB2DCE">
            <w:pPr>
              <w:spacing w:before="60"/>
              <w:jc w:val="center"/>
              <w:rPr>
                <w:rFonts w:asciiTheme="minorHAnsi" w:hAnsiTheme="minorHAnsi" w:cstheme="minorHAnsi"/>
                <w:b/>
                <w:sz w:val="20"/>
                <w:szCs w:val="20"/>
              </w:rPr>
            </w:pPr>
            <w:r w:rsidRPr="00894841">
              <w:rPr>
                <w:rFonts w:asciiTheme="minorHAnsi" w:hAnsiTheme="minorHAnsi" w:cstheme="minorHAnsi"/>
                <w:b/>
                <w:sz w:val="20"/>
                <w:szCs w:val="20"/>
              </w:rPr>
              <w:t>Objectively Verifiable Indicators</w:t>
            </w:r>
          </w:p>
        </w:tc>
      </w:tr>
      <w:tr w:rsidR="008D7E24" w:rsidRPr="00894841" w14:paraId="598D9638" w14:textId="77777777" w:rsidTr="00DB2DCE">
        <w:tc>
          <w:tcPr>
            <w:tcW w:w="1951" w:type="dxa"/>
          </w:tcPr>
          <w:p w14:paraId="68E583F3" w14:textId="77777777" w:rsidR="008D7E24" w:rsidRPr="00894841" w:rsidRDefault="008D7E24" w:rsidP="00DB2DCE">
            <w:pPr>
              <w:spacing w:before="60"/>
              <w:jc w:val="center"/>
              <w:rPr>
                <w:rFonts w:asciiTheme="minorHAnsi" w:hAnsiTheme="minorHAnsi" w:cstheme="minorHAnsi"/>
                <w:b/>
                <w:sz w:val="20"/>
                <w:szCs w:val="20"/>
              </w:rPr>
            </w:pPr>
            <w:r w:rsidRPr="00894841">
              <w:rPr>
                <w:rFonts w:asciiTheme="minorHAnsi" w:hAnsiTheme="minorHAnsi" w:cstheme="minorHAnsi"/>
                <w:b/>
                <w:sz w:val="20"/>
                <w:szCs w:val="20"/>
              </w:rPr>
              <w:t>Outcomes</w:t>
            </w:r>
          </w:p>
        </w:tc>
        <w:tc>
          <w:tcPr>
            <w:tcW w:w="2268" w:type="dxa"/>
            <w:shd w:val="clear" w:color="auto" w:fill="FFCC00"/>
          </w:tcPr>
          <w:p w14:paraId="48040381" w14:textId="77777777" w:rsidR="008D7E24" w:rsidRPr="00894841" w:rsidRDefault="008D7E24" w:rsidP="00DB2DCE">
            <w:pPr>
              <w:spacing w:before="60"/>
              <w:jc w:val="center"/>
              <w:rPr>
                <w:rFonts w:asciiTheme="minorHAnsi" w:hAnsiTheme="minorHAnsi" w:cstheme="minorHAnsi"/>
                <w:b/>
                <w:sz w:val="20"/>
                <w:szCs w:val="20"/>
              </w:rPr>
            </w:pPr>
            <w:r w:rsidRPr="00894841">
              <w:rPr>
                <w:rFonts w:asciiTheme="minorHAnsi" w:hAnsiTheme="minorHAnsi" w:cstheme="minorHAnsi"/>
                <w:b/>
                <w:sz w:val="20"/>
                <w:szCs w:val="20"/>
              </w:rPr>
              <w:t>Indicator (Process)</w:t>
            </w:r>
          </w:p>
        </w:tc>
        <w:tc>
          <w:tcPr>
            <w:tcW w:w="2552" w:type="dxa"/>
          </w:tcPr>
          <w:p w14:paraId="5D0739DD" w14:textId="77777777" w:rsidR="008D7E24" w:rsidRPr="00894841" w:rsidRDefault="008D7E24" w:rsidP="00DB2DCE">
            <w:pPr>
              <w:spacing w:before="60"/>
              <w:jc w:val="center"/>
              <w:rPr>
                <w:rFonts w:asciiTheme="minorHAnsi" w:hAnsiTheme="minorHAnsi" w:cstheme="minorHAnsi"/>
                <w:b/>
                <w:sz w:val="20"/>
                <w:szCs w:val="20"/>
              </w:rPr>
            </w:pPr>
            <w:r w:rsidRPr="00894841">
              <w:rPr>
                <w:rFonts w:asciiTheme="minorHAnsi" w:hAnsiTheme="minorHAnsi" w:cstheme="minorHAnsi"/>
                <w:b/>
                <w:sz w:val="20"/>
                <w:szCs w:val="20"/>
              </w:rPr>
              <w:t>Baseline</w:t>
            </w:r>
          </w:p>
        </w:tc>
        <w:tc>
          <w:tcPr>
            <w:tcW w:w="1842" w:type="dxa"/>
          </w:tcPr>
          <w:p w14:paraId="7943B07E" w14:textId="77777777" w:rsidR="008D7E24" w:rsidRPr="00894841" w:rsidRDefault="008D7E24" w:rsidP="00DB2DCE">
            <w:pPr>
              <w:spacing w:before="60"/>
              <w:jc w:val="center"/>
              <w:rPr>
                <w:rFonts w:asciiTheme="minorHAnsi" w:hAnsiTheme="minorHAnsi" w:cstheme="minorHAnsi"/>
                <w:b/>
                <w:sz w:val="20"/>
                <w:szCs w:val="20"/>
              </w:rPr>
            </w:pPr>
            <w:r w:rsidRPr="00894841">
              <w:rPr>
                <w:rFonts w:asciiTheme="minorHAnsi" w:hAnsiTheme="minorHAnsi" w:cstheme="minorHAnsi"/>
                <w:b/>
                <w:sz w:val="20"/>
                <w:szCs w:val="20"/>
              </w:rPr>
              <w:t>Target</w:t>
            </w:r>
          </w:p>
        </w:tc>
        <w:tc>
          <w:tcPr>
            <w:tcW w:w="2694" w:type="dxa"/>
            <w:shd w:val="clear" w:color="auto" w:fill="FFCC00"/>
          </w:tcPr>
          <w:p w14:paraId="34D6D07A" w14:textId="77777777" w:rsidR="008D7E24" w:rsidRPr="00894841" w:rsidRDefault="008D7E24" w:rsidP="00DB2DCE">
            <w:pPr>
              <w:spacing w:before="60"/>
              <w:jc w:val="center"/>
              <w:rPr>
                <w:rFonts w:asciiTheme="minorHAnsi" w:hAnsiTheme="minorHAnsi" w:cstheme="minorHAnsi"/>
                <w:b/>
                <w:sz w:val="20"/>
                <w:szCs w:val="20"/>
              </w:rPr>
            </w:pPr>
            <w:r w:rsidRPr="00894841">
              <w:rPr>
                <w:rFonts w:asciiTheme="minorHAnsi" w:hAnsiTheme="minorHAnsi" w:cstheme="minorHAnsi"/>
                <w:b/>
                <w:sz w:val="20"/>
                <w:szCs w:val="20"/>
              </w:rPr>
              <w:t>Sources of verification</w:t>
            </w:r>
          </w:p>
        </w:tc>
        <w:tc>
          <w:tcPr>
            <w:tcW w:w="3118" w:type="dxa"/>
          </w:tcPr>
          <w:p w14:paraId="3008B828" w14:textId="77777777" w:rsidR="008D7E24" w:rsidRPr="00894841" w:rsidRDefault="008D7E24" w:rsidP="00DB2DCE">
            <w:pPr>
              <w:spacing w:before="60"/>
              <w:jc w:val="center"/>
              <w:rPr>
                <w:rFonts w:asciiTheme="minorHAnsi" w:hAnsiTheme="minorHAnsi" w:cstheme="minorHAnsi"/>
                <w:b/>
                <w:szCs w:val="22"/>
              </w:rPr>
            </w:pPr>
            <w:r w:rsidRPr="00894841">
              <w:rPr>
                <w:rFonts w:asciiTheme="minorHAnsi" w:hAnsiTheme="minorHAnsi" w:cstheme="minorHAnsi"/>
                <w:b/>
                <w:szCs w:val="22"/>
              </w:rPr>
              <w:t>Assumptions</w:t>
            </w:r>
          </w:p>
        </w:tc>
      </w:tr>
      <w:tr w:rsidR="008D7E24" w:rsidRPr="00894841" w14:paraId="081C5653" w14:textId="77777777" w:rsidTr="00DB2DCE">
        <w:trPr>
          <w:trHeight w:val="4988"/>
        </w:trPr>
        <w:tc>
          <w:tcPr>
            <w:tcW w:w="1951" w:type="dxa"/>
            <w:vMerge w:val="restart"/>
          </w:tcPr>
          <w:p w14:paraId="27C8CB52"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b/>
                <w:sz w:val="20"/>
                <w:szCs w:val="20"/>
              </w:rPr>
              <w:t>Outcome 1.</w:t>
            </w:r>
          </w:p>
          <w:p w14:paraId="5D2CCE9F"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Consensus among countries on key trans boundary concerns and drivers of change, including climate change and variability, reached through joint fact finding</w:t>
            </w:r>
          </w:p>
        </w:tc>
        <w:tc>
          <w:tcPr>
            <w:tcW w:w="2268" w:type="dxa"/>
            <w:shd w:val="clear" w:color="auto" w:fill="FFCC00"/>
          </w:tcPr>
          <w:p w14:paraId="1AFF8EB1"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b/>
                <w:sz w:val="20"/>
                <w:szCs w:val="20"/>
              </w:rPr>
              <w:t xml:space="preserve">1. </w:t>
            </w:r>
            <w:r w:rsidRPr="00894841">
              <w:rPr>
                <w:rFonts w:asciiTheme="minorHAnsi" w:hAnsiTheme="minorHAnsi" w:cstheme="minorHAnsi"/>
                <w:sz w:val="20"/>
                <w:szCs w:val="20"/>
              </w:rPr>
              <w:t>The Transboundary Diagnostic Analysis of the Extended Drin River Basin, consistent with the projects in accordance with the WFD in sub-basins, and identifying main issues of transboundary concern and drivers of change, is completed and approved by countries.</w:t>
            </w:r>
          </w:p>
        </w:tc>
        <w:tc>
          <w:tcPr>
            <w:tcW w:w="2552" w:type="dxa"/>
            <w:vMerge w:val="restart"/>
          </w:tcPr>
          <w:p w14:paraId="5911E97A" w14:textId="77777777" w:rsidR="008D7E24" w:rsidRPr="00894841" w:rsidRDefault="008D7E24" w:rsidP="00DB2DCE">
            <w:pPr>
              <w:widowControl w:val="0"/>
              <w:autoSpaceDE w:val="0"/>
              <w:autoSpaceDN w:val="0"/>
              <w:adjustRightInd w:val="0"/>
              <w:spacing w:before="60"/>
              <w:rPr>
                <w:rFonts w:asciiTheme="minorHAnsi" w:hAnsiTheme="minorHAnsi" w:cstheme="minorHAnsi"/>
                <w:color w:val="000000"/>
                <w:sz w:val="20"/>
                <w:szCs w:val="20"/>
              </w:rPr>
            </w:pPr>
            <w:r w:rsidRPr="00894841">
              <w:rPr>
                <w:rFonts w:asciiTheme="minorHAnsi" w:hAnsiTheme="minorHAnsi" w:cstheme="minorHAnsi"/>
                <w:color w:val="000000"/>
                <w:sz w:val="20"/>
                <w:szCs w:val="20"/>
              </w:rPr>
              <w:t xml:space="preserve">Project countries have pursued the management of the shared water resources of the Drin River Basin, both surface and groundwater, predominantly from a national perspective. Countries are at different levels with regard to the EU accession, and implementation of the WFD including the preparation of RBM plans; when RBM plans are being prepared, this is not done in coordination with neighbouring countries. Bilateral and multi-lateral agreements concerning lake sub-basins are in place (Ohrid, Prespa, </w:t>
            </w:r>
            <w:r w:rsidRPr="00894841">
              <w:rPr>
                <w:rFonts w:asciiTheme="minorHAnsi" w:hAnsiTheme="minorHAnsi" w:cstheme="minorHAnsi"/>
                <w:color w:val="000000"/>
                <w:sz w:val="20"/>
                <w:szCs w:val="20"/>
              </w:rPr>
              <w:lastRenderedPageBreak/>
              <w:t>Skadar), but coordination, recognition of transboundary issues at Drin basin level and overall IWRM approach are lacking.</w:t>
            </w:r>
          </w:p>
          <w:p w14:paraId="1F36CA9C" w14:textId="77777777" w:rsidR="008D7E24" w:rsidRPr="00894841" w:rsidRDefault="008D7E24" w:rsidP="00DB2DCE">
            <w:pPr>
              <w:widowControl w:val="0"/>
              <w:autoSpaceDE w:val="0"/>
              <w:autoSpaceDN w:val="0"/>
              <w:adjustRightInd w:val="0"/>
              <w:spacing w:before="60"/>
              <w:rPr>
                <w:rFonts w:asciiTheme="minorHAnsi" w:hAnsiTheme="minorHAnsi" w:cstheme="minorHAnsi"/>
                <w:color w:val="000000"/>
                <w:sz w:val="20"/>
                <w:szCs w:val="20"/>
              </w:rPr>
            </w:pPr>
          </w:p>
          <w:p w14:paraId="14077B9F"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r w:rsidRPr="00894841">
              <w:rPr>
                <w:rFonts w:asciiTheme="minorHAnsi" w:hAnsiTheme="minorHAnsi" w:cstheme="minorHAnsi"/>
                <w:color w:val="000000"/>
                <w:sz w:val="20"/>
                <w:szCs w:val="20"/>
              </w:rPr>
              <w:t>Information and data related to the management of Drin Basin are dispersed among countries and institutions.</w:t>
            </w:r>
          </w:p>
          <w:p w14:paraId="7E1E3808"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tc>
        <w:tc>
          <w:tcPr>
            <w:tcW w:w="1842" w:type="dxa"/>
            <w:vMerge w:val="restart"/>
          </w:tcPr>
          <w:p w14:paraId="685890BA"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r w:rsidRPr="00894841">
              <w:rPr>
                <w:rFonts w:asciiTheme="minorHAnsi" w:hAnsiTheme="minorHAnsi" w:cstheme="minorHAnsi"/>
                <w:sz w:val="20"/>
                <w:szCs w:val="20"/>
              </w:rPr>
              <w:lastRenderedPageBreak/>
              <w:t>Approval of TDA by the Drin Core Group.</w:t>
            </w:r>
          </w:p>
          <w:p w14:paraId="28B5194C"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46983766"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58922622"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79CDDDA2"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69BC96A5"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02EC2F75"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39E5441E"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2B72F79D"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7491FBCD"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1F75E967"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0987C6B3"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38DE6FEF"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4878F26C"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62F907D4"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06AE2DC1"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631E0181"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112C9B24"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77486F6B"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30E756AE"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35F51FF6"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17D7F68A"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5319BB43" w14:textId="77777777" w:rsidR="008D7E24" w:rsidRPr="00894841" w:rsidRDefault="008D7E24" w:rsidP="00DB2DCE">
            <w:pPr>
              <w:widowControl w:val="0"/>
              <w:autoSpaceDE w:val="0"/>
              <w:autoSpaceDN w:val="0"/>
              <w:adjustRightInd w:val="0"/>
              <w:rPr>
                <w:rFonts w:asciiTheme="minorHAnsi" w:hAnsiTheme="minorHAnsi" w:cstheme="minorHAnsi"/>
                <w:sz w:val="20"/>
                <w:szCs w:val="20"/>
              </w:rPr>
            </w:pPr>
            <w:r w:rsidRPr="00894841">
              <w:rPr>
                <w:rFonts w:asciiTheme="minorHAnsi" w:hAnsiTheme="minorHAnsi" w:cstheme="minorHAnsi"/>
                <w:sz w:val="20"/>
                <w:szCs w:val="20"/>
              </w:rPr>
              <w:t>Establishment of an Information Management System (IMS) that will enable the DCG, and country users to collect, store, and share data and information in a consistent way.</w:t>
            </w:r>
          </w:p>
        </w:tc>
        <w:tc>
          <w:tcPr>
            <w:tcW w:w="2694" w:type="dxa"/>
            <w:vMerge w:val="restart"/>
            <w:shd w:val="clear" w:color="auto" w:fill="FFCC00"/>
          </w:tcPr>
          <w:p w14:paraId="1D31DCD9"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r w:rsidRPr="00894841">
              <w:rPr>
                <w:rFonts w:asciiTheme="minorHAnsi" w:hAnsiTheme="minorHAnsi" w:cstheme="minorHAnsi"/>
                <w:sz w:val="20"/>
                <w:szCs w:val="20"/>
              </w:rPr>
              <w:lastRenderedPageBreak/>
              <w:t>Final TDA document.</w:t>
            </w:r>
          </w:p>
          <w:p w14:paraId="1CF22CB4"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r w:rsidRPr="00894841">
              <w:rPr>
                <w:rFonts w:asciiTheme="minorHAnsi" w:hAnsiTheme="minorHAnsi" w:cstheme="minorHAnsi"/>
                <w:sz w:val="20"/>
                <w:szCs w:val="20"/>
              </w:rPr>
              <w:t>Reports of analyses undertaken as part of the TDA.</w:t>
            </w:r>
          </w:p>
          <w:p w14:paraId="11A9ADE4"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3580B5A8"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r w:rsidRPr="00894841">
              <w:rPr>
                <w:rFonts w:asciiTheme="minorHAnsi" w:hAnsiTheme="minorHAnsi" w:cstheme="minorHAnsi"/>
                <w:sz w:val="20"/>
                <w:szCs w:val="20"/>
              </w:rPr>
              <w:t>Meeting minutes and record of approval by Drin Core Group.</w:t>
            </w:r>
          </w:p>
          <w:p w14:paraId="25C5BFDB"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2E5DF586"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r w:rsidRPr="00894841">
              <w:rPr>
                <w:rFonts w:asciiTheme="minorHAnsi" w:hAnsiTheme="minorHAnsi" w:cstheme="minorHAnsi"/>
                <w:sz w:val="20"/>
                <w:szCs w:val="20"/>
              </w:rPr>
              <w:t>PIRs, midterm and final evaluations.</w:t>
            </w:r>
          </w:p>
          <w:p w14:paraId="65A0DBA9"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6717D542"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r w:rsidRPr="00894841">
              <w:rPr>
                <w:rFonts w:asciiTheme="minorHAnsi" w:hAnsiTheme="minorHAnsi" w:cstheme="minorHAnsi"/>
                <w:sz w:val="20"/>
                <w:szCs w:val="20"/>
              </w:rPr>
              <w:t>Information available on official websites at UNDP, project website, and national government websites.</w:t>
            </w:r>
          </w:p>
          <w:p w14:paraId="185D3047"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4A11CB77"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27B76C7F"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42CA1CED"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5EC4934D"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3653DDB2"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4A6CBEA5"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48DA96A2"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04D1A4C4"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79AA937E"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r w:rsidRPr="00894841">
              <w:rPr>
                <w:rFonts w:asciiTheme="minorHAnsi" w:hAnsiTheme="minorHAnsi" w:cstheme="minorHAnsi"/>
                <w:sz w:val="20"/>
                <w:szCs w:val="20"/>
              </w:rPr>
              <w:t>Information Management System (IMS)</w:t>
            </w:r>
          </w:p>
        </w:tc>
        <w:tc>
          <w:tcPr>
            <w:tcW w:w="3118" w:type="dxa"/>
            <w:vMerge w:val="restart"/>
          </w:tcPr>
          <w:p w14:paraId="1FE953FE" w14:textId="77777777" w:rsidR="008D7E24" w:rsidRPr="00894841" w:rsidRDefault="008D7E24" w:rsidP="00DB2DCE">
            <w:pPr>
              <w:widowControl w:val="0"/>
              <w:autoSpaceDE w:val="0"/>
              <w:autoSpaceDN w:val="0"/>
              <w:adjustRightInd w:val="0"/>
              <w:spacing w:before="60"/>
              <w:rPr>
                <w:rFonts w:asciiTheme="minorHAnsi" w:hAnsiTheme="minorHAnsi" w:cstheme="minorHAnsi"/>
                <w:szCs w:val="22"/>
              </w:rPr>
            </w:pPr>
            <w:r w:rsidRPr="00894841">
              <w:rPr>
                <w:rFonts w:asciiTheme="minorHAnsi" w:hAnsiTheme="minorHAnsi" w:cstheme="minorHAnsi"/>
                <w:szCs w:val="22"/>
              </w:rPr>
              <w:lastRenderedPageBreak/>
              <w:t>Cooperation between multiple technical and scientific working groups is maintained throughout the TDA process.</w:t>
            </w:r>
          </w:p>
          <w:p w14:paraId="5547FDA1" w14:textId="77777777" w:rsidR="008D7E24" w:rsidRPr="00894841" w:rsidRDefault="008D7E24" w:rsidP="00DB2DCE">
            <w:pPr>
              <w:widowControl w:val="0"/>
              <w:autoSpaceDE w:val="0"/>
              <w:autoSpaceDN w:val="0"/>
              <w:adjustRightInd w:val="0"/>
              <w:spacing w:before="60"/>
              <w:rPr>
                <w:rFonts w:asciiTheme="minorHAnsi" w:hAnsiTheme="minorHAnsi" w:cstheme="minorHAnsi"/>
                <w:szCs w:val="22"/>
              </w:rPr>
            </w:pPr>
          </w:p>
          <w:p w14:paraId="45D9F8D5" w14:textId="77777777" w:rsidR="008D7E24" w:rsidRPr="00894841" w:rsidRDefault="008D7E24" w:rsidP="00DB2DCE">
            <w:pPr>
              <w:widowControl w:val="0"/>
              <w:autoSpaceDE w:val="0"/>
              <w:autoSpaceDN w:val="0"/>
              <w:adjustRightInd w:val="0"/>
              <w:spacing w:before="60"/>
              <w:rPr>
                <w:rFonts w:asciiTheme="minorHAnsi" w:hAnsiTheme="minorHAnsi" w:cstheme="minorHAnsi"/>
                <w:szCs w:val="22"/>
              </w:rPr>
            </w:pPr>
            <w:r w:rsidRPr="00894841">
              <w:rPr>
                <w:rFonts w:asciiTheme="minorHAnsi" w:hAnsiTheme="minorHAnsi" w:cstheme="minorHAnsi"/>
                <w:szCs w:val="22"/>
              </w:rPr>
              <w:t>National-level budgets for participating ministries remain approximately at the same level.</w:t>
            </w:r>
          </w:p>
          <w:p w14:paraId="562BDA12" w14:textId="77777777" w:rsidR="008D7E24" w:rsidRPr="00894841" w:rsidRDefault="008D7E24" w:rsidP="00DB2DCE">
            <w:pPr>
              <w:widowControl w:val="0"/>
              <w:autoSpaceDE w:val="0"/>
              <w:autoSpaceDN w:val="0"/>
              <w:adjustRightInd w:val="0"/>
              <w:spacing w:before="60"/>
              <w:rPr>
                <w:rFonts w:asciiTheme="minorHAnsi" w:hAnsiTheme="minorHAnsi" w:cstheme="minorHAnsi"/>
                <w:szCs w:val="22"/>
              </w:rPr>
            </w:pPr>
          </w:p>
          <w:p w14:paraId="6B59C472" w14:textId="77777777" w:rsidR="008D7E24" w:rsidRPr="00894841" w:rsidRDefault="008D7E24" w:rsidP="00DB2DCE">
            <w:pPr>
              <w:widowControl w:val="0"/>
              <w:autoSpaceDE w:val="0"/>
              <w:autoSpaceDN w:val="0"/>
              <w:adjustRightInd w:val="0"/>
              <w:spacing w:before="60"/>
              <w:rPr>
                <w:rFonts w:asciiTheme="minorHAnsi" w:hAnsiTheme="minorHAnsi" w:cstheme="minorHAnsi"/>
                <w:szCs w:val="22"/>
              </w:rPr>
            </w:pPr>
            <w:r w:rsidRPr="00894841">
              <w:rPr>
                <w:rFonts w:asciiTheme="minorHAnsi" w:hAnsiTheme="minorHAnsi" w:cstheme="minorHAnsi"/>
                <w:szCs w:val="22"/>
              </w:rPr>
              <w:t>Countries and data owners agree to contribute data and information, and to make data freely available.</w:t>
            </w:r>
          </w:p>
          <w:p w14:paraId="6DD2366F" w14:textId="77777777" w:rsidR="008D7E24" w:rsidRPr="00894841" w:rsidRDefault="008D7E24" w:rsidP="00DB2DCE">
            <w:pPr>
              <w:widowControl w:val="0"/>
              <w:autoSpaceDE w:val="0"/>
              <w:autoSpaceDN w:val="0"/>
              <w:adjustRightInd w:val="0"/>
              <w:spacing w:before="60"/>
              <w:rPr>
                <w:rFonts w:asciiTheme="minorHAnsi" w:hAnsiTheme="minorHAnsi" w:cstheme="minorHAnsi"/>
                <w:szCs w:val="22"/>
              </w:rPr>
            </w:pPr>
          </w:p>
          <w:p w14:paraId="347F2541" w14:textId="77777777" w:rsidR="008D7E24" w:rsidRPr="00894841" w:rsidRDefault="008D7E24" w:rsidP="00DB2DCE">
            <w:pPr>
              <w:widowControl w:val="0"/>
              <w:autoSpaceDE w:val="0"/>
              <w:autoSpaceDN w:val="0"/>
              <w:adjustRightInd w:val="0"/>
              <w:spacing w:before="60"/>
              <w:rPr>
                <w:rFonts w:asciiTheme="minorHAnsi" w:hAnsiTheme="minorHAnsi" w:cstheme="minorHAnsi"/>
                <w:szCs w:val="22"/>
              </w:rPr>
            </w:pPr>
            <w:r w:rsidRPr="00894841">
              <w:rPr>
                <w:rFonts w:asciiTheme="minorHAnsi" w:hAnsiTheme="minorHAnsi" w:cstheme="minorHAnsi"/>
                <w:szCs w:val="22"/>
              </w:rPr>
              <w:t xml:space="preserve">RBM plans preparation responsible Ministries in Drin countries and international organizations assisting Drin countries in preparing the RBMs agree to actively contribute to the TDA process. </w:t>
            </w:r>
          </w:p>
          <w:p w14:paraId="0CC4FBDE" w14:textId="77777777" w:rsidR="008D7E24" w:rsidRPr="00894841" w:rsidRDefault="008D7E24" w:rsidP="00DB2DCE">
            <w:pPr>
              <w:widowControl w:val="0"/>
              <w:autoSpaceDE w:val="0"/>
              <w:autoSpaceDN w:val="0"/>
              <w:adjustRightInd w:val="0"/>
              <w:spacing w:before="60"/>
              <w:rPr>
                <w:rFonts w:asciiTheme="minorHAnsi" w:hAnsiTheme="minorHAnsi" w:cstheme="minorHAnsi"/>
                <w:szCs w:val="22"/>
              </w:rPr>
            </w:pPr>
          </w:p>
          <w:p w14:paraId="7BFF3189" w14:textId="77777777" w:rsidR="008D7E24" w:rsidRPr="00894841" w:rsidRDefault="008D7E24" w:rsidP="00DB2DCE">
            <w:pPr>
              <w:widowControl w:val="0"/>
              <w:autoSpaceDE w:val="0"/>
              <w:autoSpaceDN w:val="0"/>
              <w:adjustRightInd w:val="0"/>
              <w:spacing w:before="60"/>
              <w:rPr>
                <w:rFonts w:asciiTheme="minorHAnsi" w:hAnsiTheme="minorHAnsi" w:cstheme="minorHAnsi"/>
                <w:szCs w:val="22"/>
              </w:rPr>
            </w:pPr>
          </w:p>
        </w:tc>
      </w:tr>
      <w:tr w:rsidR="008D7E24" w:rsidRPr="00894841" w14:paraId="6D895C3E" w14:textId="77777777" w:rsidTr="00DB2DCE">
        <w:trPr>
          <w:trHeight w:val="4987"/>
        </w:trPr>
        <w:tc>
          <w:tcPr>
            <w:tcW w:w="1951" w:type="dxa"/>
            <w:vMerge/>
          </w:tcPr>
          <w:p w14:paraId="422863E0" w14:textId="77777777" w:rsidR="008D7E24" w:rsidRPr="00894841" w:rsidRDefault="008D7E24" w:rsidP="00DB2DCE">
            <w:pPr>
              <w:spacing w:before="60"/>
              <w:rPr>
                <w:rFonts w:asciiTheme="minorHAnsi" w:hAnsiTheme="minorHAnsi" w:cstheme="minorHAnsi"/>
                <w:b/>
                <w:sz w:val="20"/>
                <w:szCs w:val="20"/>
              </w:rPr>
            </w:pPr>
          </w:p>
        </w:tc>
        <w:tc>
          <w:tcPr>
            <w:tcW w:w="2268" w:type="dxa"/>
            <w:shd w:val="clear" w:color="auto" w:fill="FFCC00"/>
          </w:tcPr>
          <w:p w14:paraId="228C6B48" w14:textId="77777777" w:rsidR="008D7E24" w:rsidRPr="00894841" w:rsidRDefault="008D7E24" w:rsidP="00DB2DCE">
            <w:pPr>
              <w:spacing w:before="60"/>
              <w:rPr>
                <w:rFonts w:asciiTheme="minorHAnsi" w:hAnsiTheme="minorHAnsi" w:cstheme="minorHAnsi"/>
                <w:sz w:val="20"/>
                <w:szCs w:val="20"/>
              </w:rPr>
            </w:pPr>
          </w:p>
          <w:p w14:paraId="7FFC7A00" w14:textId="77777777" w:rsidR="008D7E24" w:rsidRPr="00894841" w:rsidRDefault="008D7E24" w:rsidP="00DB2DCE">
            <w:pPr>
              <w:spacing w:before="60"/>
              <w:rPr>
                <w:rFonts w:asciiTheme="minorHAnsi" w:hAnsiTheme="minorHAnsi" w:cstheme="minorHAnsi"/>
                <w:sz w:val="20"/>
                <w:szCs w:val="20"/>
              </w:rPr>
            </w:pPr>
          </w:p>
          <w:p w14:paraId="13E151D5" w14:textId="77777777" w:rsidR="008D7E24" w:rsidRPr="00894841" w:rsidRDefault="008D7E24" w:rsidP="00DB2DCE">
            <w:pPr>
              <w:spacing w:before="60"/>
              <w:rPr>
                <w:rFonts w:asciiTheme="minorHAnsi" w:hAnsiTheme="minorHAnsi" w:cstheme="minorHAnsi"/>
                <w:sz w:val="20"/>
                <w:szCs w:val="20"/>
              </w:rPr>
            </w:pPr>
          </w:p>
          <w:p w14:paraId="460D075C" w14:textId="77777777" w:rsidR="008D7E24" w:rsidRPr="00894841" w:rsidRDefault="008D7E24" w:rsidP="00DB2DCE">
            <w:pPr>
              <w:spacing w:before="60"/>
              <w:rPr>
                <w:rFonts w:asciiTheme="minorHAnsi" w:hAnsiTheme="minorHAnsi" w:cstheme="minorHAnsi"/>
                <w:sz w:val="20"/>
                <w:szCs w:val="20"/>
              </w:rPr>
            </w:pPr>
          </w:p>
          <w:p w14:paraId="7CE029FD" w14:textId="77777777" w:rsidR="008D7E24" w:rsidRPr="00894841" w:rsidRDefault="008D7E24" w:rsidP="00DB2DCE">
            <w:pPr>
              <w:spacing w:before="60"/>
              <w:rPr>
                <w:rFonts w:asciiTheme="minorHAnsi" w:hAnsiTheme="minorHAnsi" w:cstheme="minorHAnsi"/>
                <w:sz w:val="20"/>
                <w:szCs w:val="20"/>
              </w:rPr>
            </w:pPr>
          </w:p>
          <w:p w14:paraId="3EB7B962" w14:textId="77777777" w:rsidR="008D7E24" w:rsidRPr="00894841" w:rsidRDefault="008D7E24" w:rsidP="00DB2DCE">
            <w:pPr>
              <w:spacing w:before="60"/>
              <w:rPr>
                <w:rFonts w:asciiTheme="minorHAnsi" w:hAnsiTheme="minorHAnsi" w:cstheme="minorHAnsi"/>
                <w:sz w:val="20"/>
                <w:szCs w:val="20"/>
              </w:rPr>
            </w:pPr>
          </w:p>
          <w:p w14:paraId="294FC2CA" w14:textId="77777777" w:rsidR="008D7E24" w:rsidRPr="00894841" w:rsidRDefault="008D7E24" w:rsidP="00DB2DCE">
            <w:pPr>
              <w:spacing w:before="60"/>
              <w:rPr>
                <w:rFonts w:asciiTheme="minorHAnsi" w:hAnsiTheme="minorHAnsi" w:cstheme="minorHAnsi"/>
                <w:sz w:val="20"/>
                <w:szCs w:val="20"/>
              </w:rPr>
            </w:pPr>
          </w:p>
          <w:p w14:paraId="73F07F38" w14:textId="77777777" w:rsidR="008D7E24" w:rsidRPr="00894841" w:rsidRDefault="008D7E24" w:rsidP="00DB2DCE">
            <w:pPr>
              <w:spacing w:before="60"/>
              <w:rPr>
                <w:rFonts w:asciiTheme="minorHAnsi" w:hAnsiTheme="minorHAnsi" w:cstheme="minorHAnsi"/>
                <w:sz w:val="20"/>
                <w:szCs w:val="20"/>
              </w:rPr>
            </w:pPr>
          </w:p>
          <w:p w14:paraId="6C4D7E41" w14:textId="77777777" w:rsidR="008D7E24" w:rsidRPr="00894841" w:rsidRDefault="008D7E24" w:rsidP="00DB2DCE">
            <w:pPr>
              <w:spacing w:before="60"/>
              <w:rPr>
                <w:rFonts w:asciiTheme="minorHAnsi" w:hAnsiTheme="minorHAnsi" w:cstheme="minorHAnsi"/>
                <w:sz w:val="20"/>
                <w:szCs w:val="20"/>
              </w:rPr>
            </w:pPr>
          </w:p>
          <w:p w14:paraId="73F167A4" w14:textId="77777777" w:rsidR="008D7E24" w:rsidRPr="00894841" w:rsidRDefault="008D7E24" w:rsidP="00DB2DCE">
            <w:pPr>
              <w:spacing w:before="60"/>
              <w:rPr>
                <w:rFonts w:asciiTheme="minorHAnsi" w:hAnsiTheme="minorHAnsi" w:cstheme="minorHAnsi"/>
                <w:b/>
                <w:sz w:val="20"/>
                <w:szCs w:val="20"/>
              </w:rPr>
            </w:pPr>
            <w:r w:rsidRPr="00894841">
              <w:rPr>
                <w:rFonts w:asciiTheme="minorHAnsi" w:hAnsiTheme="minorHAnsi" w:cstheme="minorHAnsi"/>
                <w:b/>
                <w:sz w:val="20"/>
                <w:szCs w:val="20"/>
              </w:rPr>
              <w:t>2.</w:t>
            </w:r>
            <w:r w:rsidRPr="00894841">
              <w:rPr>
                <w:rFonts w:asciiTheme="minorHAnsi" w:hAnsiTheme="minorHAnsi" w:cstheme="minorHAnsi"/>
                <w:sz w:val="20"/>
                <w:szCs w:val="20"/>
              </w:rPr>
              <w:t xml:space="preserve"> Information management system containing data gathered through the TDA is established.</w:t>
            </w:r>
          </w:p>
        </w:tc>
        <w:tc>
          <w:tcPr>
            <w:tcW w:w="2552" w:type="dxa"/>
            <w:vMerge/>
          </w:tcPr>
          <w:p w14:paraId="0F21EB4D"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tc>
        <w:tc>
          <w:tcPr>
            <w:tcW w:w="1842" w:type="dxa"/>
            <w:vMerge/>
          </w:tcPr>
          <w:p w14:paraId="234CB208"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tc>
        <w:tc>
          <w:tcPr>
            <w:tcW w:w="2694" w:type="dxa"/>
            <w:vMerge/>
            <w:shd w:val="clear" w:color="auto" w:fill="FFCC00"/>
          </w:tcPr>
          <w:p w14:paraId="50569434"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tc>
        <w:tc>
          <w:tcPr>
            <w:tcW w:w="3118" w:type="dxa"/>
            <w:vMerge/>
          </w:tcPr>
          <w:p w14:paraId="24806AAE" w14:textId="77777777" w:rsidR="008D7E24" w:rsidRPr="008D7E24" w:rsidRDefault="008D7E24" w:rsidP="00DB2DCE">
            <w:pPr>
              <w:widowControl w:val="0"/>
              <w:autoSpaceDE w:val="0"/>
              <w:autoSpaceDN w:val="0"/>
              <w:adjustRightInd w:val="0"/>
              <w:spacing w:before="60"/>
              <w:rPr>
                <w:rFonts w:asciiTheme="minorHAnsi" w:hAnsiTheme="minorHAnsi" w:cstheme="minorHAnsi"/>
                <w:szCs w:val="22"/>
              </w:rPr>
            </w:pPr>
          </w:p>
        </w:tc>
      </w:tr>
      <w:tr w:rsidR="008D7E24" w:rsidRPr="00894841" w14:paraId="633A9D08" w14:textId="77777777" w:rsidTr="00DB2DCE">
        <w:tc>
          <w:tcPr>
            <w:tcW w:w="1951" w:type="dxa"/>
          </w:tcPr>
          <w:p w14:paraId="49A497DB"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b/>
                <w:sz w:val="20"/>
                <w:szCs w:val="20"/>
              </w:rPr>
              <w:t xml:space="preserve">Outcome 2. </w:t>
            </w:r>
            <w:r w:rsidRPr="00894841">
              <w:rPr>
                <w:rFonts w:asciiTheme="minorHAnsi" w:eastAsiaTheme="minorEastAsia" w:hAnsiTheme="minorHAnsi" w:cstheme="minorHAnsi"/>
                <w:color w:val="000000"/>
                <w:sz w:val="20"/>
                <w:szCs w:val="20"/>
                <w:lang w:eastAsia="ja-JP"/>
              </w:rPr>
              <w:t>Visioning process opens the way for systematic cooperation in the management of the transboundary Drin River Basin</w:t>
            </w:r>
          </w:p>
        </w:tc>
        <w:tc>
          <w:tcPr>
            <w:tcW w:w="2268" w:type="dxa"/>
            <w:shd w:val="clear" w:color="auto" w:fill="FFCC00"/>
          </w:tcPr>
          <w:p w14:paraId="4A628499" w14:textId="77777777" w:rsidR="008D7E24" w:rsidRPr="00894841" w:rsidRDefault="008D7E24" w:rsidP="00DB2DCE">
            <w:pPr>
              <w:pStyle w:val="CommentText"/>
              <w:spacing w:before="60"/>
              <w:rPr>
                <w:rFonts w:asciiTheme="minorHAnsi" w:hAnsiTheme="minorHAnsi" w:cstheme="minorHAnsi"/>
              </w:rPr>
            </w:pPr>
            <w:r w:rsidRPr="00894841">
              <w:rPr>
                <w:rFonts w:asciiTheme="minorHAnsi" w:eastAsiaTheme="minorEastAsia" w:hAnsiTheme="minorHAnsi" w:cstheme="minorHAnsi"/>
                <w:b/>
                <w:color w:val="000000"/>
                <w:lang w:eastAsia="ja-JP"/>
              </w:rPr>
              <w:t xml:space="preserve">1. </w:t>
            </w:r>
            <w:r w:rsidRPr="008D7E24">
              <w:rPr>
                <w:rFonts w:asciiTheme="minorHAnsi" w:hAnsiTheme="minorHAnsi" w:cstheme="minorHAnsi"/>
              </w:rPr>
              <w:t>The Shared Vision contained in the 2011 Drin MoU is confirmed to be consistent with the findings of the TDA</w:t>
            </w:r>
            <w:r w:rsidRPr="00894841" w:rsidDel="00D330EC">
              <w:rPr>
                <w:rFonts w:asciiTheme="minorHAnsi" w:hAnsiTheme="minorHAnsi" w:cstheme="minorHAnsi"/>
                <w:color w:val="000000"/>
              </w:rPr>
              <w:t xml:space="preserve"> </w:t>
            </w:r>
            <w:r w:rsidRPr="00894841">
              <w:rPr>
                <w:rFonts w:asciiTheme="minorHAnsi" w:hAnsiTheme="minorHAnsi" w:cstheme="minorHAnsi"/>
                <w:color w:val="000000"/>
              </w:rPr>
              <w:t xml:space="preserve"> </w:t>
            </w:r>
          </w:p>
          <w:p w14:paraId="4085CBD5"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color w:val="000000"/>
                <w:sz w:val="20"/>
                <w:szCs w:val="20"/>
                <w:lang w:eastAsia="ja-JP"/>
              </w:rPr>
            </w:pPr>
            <w:r w:rsidRPr="00894841">
              <w:rPr>
                <w:rFonts w:asciiTheme="minorHAnsi" w:eastAsiaTheme="minorEastAsia" w:hAnsiTheme="minorHAnsi" w:cstheme="minorHAnsi"/>
                <w:color w:val="000000"/>
                <w:sz w:val="20"/>
                <w:szCs w:val="20"/>
                <w:lang w:eastAsia="ja-JP"/>
              </w:rPr>
              <w:t xml:space="preserve"> </w:t>
            </w:r>
          </w:p>
          <w:p w14:paraId="67E97395"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color w:val="000000"/>
                <w:sz w:val="20"/>
                <w:szCs w:val="20"/>
                <w:lang w:eastAsia="ja-JP"/>
              </w:rPr>
            </w:pPr>
          </w:p>
          <w:p w14:paraId="020406BB"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color w:val="000000"/>
                <w:sz w:val="20"/>
                <w:szCs w:val="20"/>
                <w:lang w:eastAsia="ja-JP"/>
              </w:rPr>
            </w:pPr>
          </w:p>
          <w:p w14:paraId="6F82E11D"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color w:val="000000"/>
                <w:sz w:val="20"/>
                <w:szCs w:val="20"/>
                <w:lang w:eastAsia="ja-JP"/>
              </w:rPr>
            </w:pPr>
          </w:p>
          <w:p w14:paraId="0B0303B0"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color w:val="000000"/>
                <w:sz w:val="20"/>
                <w:szCs w:val="20"/>
                <w:lang w:eastAsia="ja-JP"/>
              </w:rPr>
            </w:pPr>
          </w:p>
          <w:p w14:paraId="0DB11B95"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color w:val="000000"/>
                <w:sz w:val="20"/>
                <w:szCs w:val="20"/>
                <w:lang w:eastAsia="ja-JP"/>
              </w:rPr>
            </w:pPr>
          </w:p>
          <w:p w14:paraId="5E7BCFC9"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color w:val="000000"/>
                <w:sz w:val="20"/>
                <w:szCs w:val="20"/>
                <w:lang w:eastAsia="ja-JP"/>
              </w:rPr>
            </w:pPr>
          </w:p>
          <w:p w14:paraId="4EDF35C0"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color w:val="000000"/>
                <w:sz w:val="20"/>
                <w:szCs w:val="20"/>
                <w:lang w:eastAsia="ja-JP"/>
              </w:rPr>
            </w:pPr>
          </w:p>
          <w:p w14:paraId="641DD785"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p>
          <w:p w14:paraId="67E2022C"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p>
          <w:p w14:paraId="647A51A9"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p>
          <w:p w14:paraId="439BAE04"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894841">
              <w:rPr>
                <w:rFonts w:asciiTheme="minorHAnsi" w:hAnsiTheme="minorHAnsi" w:cstheme="minorHAnsi"/>
                <w:b/>
                <w:color w:val="000000"/>
                <w:sz w:val="20"/>
                <w:szCs w:val="20"/>
              </w:rPr>
              <w:t>2.</w:t>
            </w:r>
            <w:r w:rsidRPr="00894841">
              <w:rPr>
                <w:rFonts w:asciiTheme="minorHAnsi" w:hAnsiTheme="minorHAnsi" w:cstheme="minorHAnsi"/>
                <w:color w:val="000000"/>
                <w:sz w:val="20"/>
                <w:szCs w:val="20"/>
              </w:rPr>
              <w:t xml:space="preserve"> </w:t>
            </w:r>
            <w:r w:rsidRPr="00894841">
              <w:rPr>
                <w:rFonts w:asciiTheme="minorHAnsi" w:hAnsiTheme="minorHAnsi" w:cstheme="minorHAnsi"/>
                <w:sz w:val="20"/>
                <w:szCs w:val="20"/>
              </w:rPr>
              <w:t xml:space="preserve">A Strategic Action Programme (SAP with a </w:t>
            </w:r>
            <w:proofErr w:type="gramStart"/>
            <w:r w:rsidRPr="00894841">
              <w:rPr>
                <w:rFonts w:asciiTheme="minorHAnsi" w:hAnsiTheme="minorHAnsi" w:cstheme="minorHAnsi"/>
                <w:sz w:val="20"/>
                <w:szCs w:val="20"/>
              </w:rPr>
              <w:t>5 year</w:t>
            </w:r>
            <w:proofErr w:type="gramEnd"/>
            <w:r w:rsidRPr="00894841">
              <w:rPr>
                <w:rFonts w:asciiTheme="minorHAnsi" w:hAnsiTheme="minorHAnsi" w:cstheme="minorHAnsi"/>
                <w:sz w:val="20"/>
                <w:szCs w:val="20"/>
              </w:rPr>
              <w:t xml:space="preserve"> time horizon) consistent with the 2011 Drin Shared Vision MoU and based on TDA findings, is approved by the DCG. It should address main issues of transboundary concern and contain concrete actions at the national and regional levels, as well as environmental quality objectives (horizon of 20 years), relevant indicators, and strategic development</w:t>
            </w:r>
            <w:bookmarkStart w:id="76" w:name="_GoBack"/>
            <w:bookmarkEnd w:id="76"/>
            <w:r w:rsidRPr="00894841">
              <w:rPr>
                <w:rFonts w:asciiTheme="minorHAnsi" w:hAnsiTheme="minorHAnsi" w:cstheme="minorHAnsi"/>
                <w:sz w:val="20"/>
                <w:szCs w:val="20"/>
              </w:rPr>
              <w:t xml:space="preserve"> lines and priorities</w:t>
            </w:r>
            <w:r w:rsidRPr="00894841">
              <w:rPr>
                <w:rFonts w:asciiTheme="minorHAnsi" w:hAnsiTheme="minorHAnsi" w:cstheme="minorHAnsi"/>
                <w:color w:val="000000"/>
                <w:sz w:val="20"/>
                <w:szCs w:val="20"/>
              </w:rPr>
              <w:t>.</w:t>
            </w:r>
          </w:p>
        </w:tc>
        <w:tc>
          <w:tcPr>
            <w:tcW w:w="2552" w:type="dxa"/>
          </w:tcPr>
          <w:p w14:paraId="466F9F54"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lastRenderedPageBreak/>
              <w:t>Countries adopting fragmented approach to water resources utilization and environmental protection with little consideration of transboundary implications and freshwater ecosystems sustainability.</w:t>
            </w:r>
          </w:p>
          <w:p w14:paraId="4340251E"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A Shared Vision for the management of the Drin Basin has been developed through a multi-</w:t>
            </w:r>
            <w:proofErr w:type="gramStart"/>
            <w:r w:rsidRPr="00894841">
              <w:rPr>
                <w:rFonts w:asciiTheme="minorHAnsi" w:hAnsiTheme="minorHAnsi" w:cstheme="minorHAnsi"/>
                <w:sz w:val="20"/>
                <w:szCs w:val="20"/>
              </w:rPr>
              <w:t>stakeholders</w:t>
            </w:r>
            <w:proofErr w:type="gramEnd"/>
            <w:r w:rsidRPr="00894841">
              <w:rPr>
                <w:rFonts w:asciiTheme="minorHAnsi" w:hAnsiTheme="minorHAnsi" w:cstheme="minorHAnsi"/>
                <w:sz w:val="20"/>
                <w:szCs w:val="20"/>
              </w:rPr>
              <w:t xml:space="preserve"> process and adopted by the Drin </w:t>
            </w:r>
            <w:r w:rsidRPr="00894841">
              <w:rPr>
                <w:rFonts w:asciiTheme="minorHAnsi" w:hAnsiTheme="minorHAnsi" w:cstheme="minorHAnsi"/>
                <w:sz w:val="20"/>
                <w:szCs w:val="20"/>
              </w:rPr>
              <w:lastRenderedPageBreak/>
              <w:t xml:space="preserve">Riparians as part of the Drin MoU. </w:t>
            </w:r>
          </w:p>
          <w:p w14:paraId="0EDCD44E" w14:textId="77777777" w:rsidR="008D7E24" w:rsidRPr="00894841" w:rsidRDefault="008D7E24" w:rsidP="00DB2DCE">
            <w:pPr>
              <w:spacing w:before="60"/>
              <w:rPr>
                <w:rFonts w:asciiTheme="minorHAnsi" w:hAnsiTheme="minorHAnsi" w:cstheme="minorHAnsi"/>
                <w:sz w:val="20"/>
                <w:szCs w:val="20"/>
              </w:rPr>
            </w:pPr>
          </w:p>
          <w:p w14:paraId="48C97719" w14:textId="77777777" w:rsidR="008D7E24" w:rsidRPr="00894841" w:rsidRDefault="008D7E24" w:rsidP="00DB2DCE">
            <w:pPr>
              <w:spacing w:before="60"/>
              <w:rPr>
                <w:rFonts w:asciiTheme="minorHAnsi" w:hAnsiTheme="minorHAnsi" w:cstheme="minorHAnsi"/>
                <w:sz w:val="20"/>
                <w:szCs w:val="20"/>
              </w:rPr>
            </w:pPr>
          </w:p>
          <w:p w14:paraId="73EACDD9" w14:textId="77777777" w:rsidR="008D7E24" w:rsidRPr="00894841" w:rsidRDefault="008D7E24" w:rsidP="00DB2DCE">
            <w:pPr>
              <w:rPr>
                <w:rFonts w:asciiTheme="minorHAnsi" w:hAnsiTheme="minorHAnsi" w:cstheme="minorHAnsi"/>
                <w:sz w:val="20"/>
                <w:szCs w:val="20"/>
              </w:rPr>
            </w:pPr>
            <w:r w:rsidRPr="00894841">
              <w:rPr>
                <w:rFonts w:asciiTheme="minorHAnsi" w:hAnsiTheme="minorHAnsi" w:cstheme="minorHAnsi"/>
                <w:sz w:val="20"/>
                <w:szCs w:val="20"/>
              </w:rPr>
              <w:t xml:space="preserve">Lack of an overarching basin-wide </w:t>
            </w:r>
            <w:proofErr w:type="gramStart"/>
            <w:r w:rsidRPr="00894841">
              <w:rPr>
                <w:rFonts w:asciiTheme="minorHAnsi" w:hAnsiTheme="minorHAnsi" w:cstheme="minorHAnsi"/>
                <w:sz w:val="20"/>
                <w:szCs w:val="20"/>
              </w:rPr>
              <w:t>science based</w:t>
            </w:r>
            <w:proofErr w:type="gramEnd"/>
            <w:r w:rsidRPr="00894841">
              <w:rPr>
                <w:rFonts w:asciiTheme="minorHAnsi" w:hAnsiTheme="minorHAnsi" w:cstheme="minorHAnsi"/>
                <w:sz w:val="20"/>
                <w:szCs w:val="20"/>
              </w:rPr>
              <w:t xml:space="preserve"> framework for the implementation of the medium and long term priority actions in view of achieving the overall aims and objectives of the Drin MoU, and of the updated Vision hinders the formulation of coherent policies, legislative reforms and identification of investments targeted to the sustainable utilization of the Basin’s water resources and dependent ecosystems, and their integrated management. </w:t>
            </w:r>
          </w:p>
        </w:tc>
        <w:tc>
          <w:tcPr>
            <w:tcW w:w="1842" w:type="dxa"/>
          </w:tcPr>
          <w:p w14:paraId="11E800E2"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lastRenderedPageBreak/>
              <w:t>Expert opinion that the Shared Vision is consistent with the findings of the TDA</w:t>
            </w:r>
            <w:r w:rsidRPr="00894841">
              <w:rPr>
                <w:rFonts w:asciiTheme="minorHAnsi" w:hAnsiTheme="minorHAnsi" w:cstheme="minorHAnsi"/>
                <w:color w:val="000000"/>
                <w:sz w:val="20"/>
                <w:szCs w:val="20"/>
              </w:rPr>
              <w:t xml:space="preserve">. </w:t>
            </w:r>
          </w:p>
          <w:p w14:paraId="0C76AC1B" w14:textId="77777777" w:rsidR="008D7E24" w:rsidRPr="00894841" w:rsidRDefault="008D7E24" w:rsidP="00DB2DCE">
            <w:pPr>
              <w:spacing w:before="60"/>
              <w:rPr>
                <w:rFonts w:asciiTheme="minorHAnsi" w:hAnsiTheme="minorHAnsi" w:cstheme="minorHAnsi"/>
                <w:sz w:val="20"/>
                <w:szCs w:val="20"/>
              </w:rPr>
            </w:pPr>
          </w:p>
          <w:p w14:paraId="3FB53EA8" w14:textId="77777777" w:rsidR="008D7E24" w:rsidRPr="00894841" w:rsidRDefault="008D7E24" w:rsidP="00DB2DCE">
            <w:pPr>
              <w:spacing w:before="60"/>
              <w:rPr>
                <w:rFonts w:asciiTheme="minorHAnsi" w:hAnsiTheme="minorHAnsi" w:cstheme="minorHAnsi"/>
                <w:sz w:val="20"/>
                <w:szCs w:val="20"/>
              </w:rPr>
            </w:pPr>
          </w:p>
          <w:p w14:paraId="27318B60" w14:textId="77777777" w:rsidR="008D7E24" w:rsidRPr="00894841" w:rsidRDefault="008D7E24" w:rsidP="00DB2DCE">
            <w:pPr>
              <w:spacing w:before="60"/>
              <w:rPr>
                <w:rFonts w:asciiTheme="minorHAnsi" w:hAnsiTheme="minorHAnsi" w:cstheme="minorHAnsi"/>
                <w:sz w:val="20"/>
                <w:szCs w:val="20"/>
              </w:rPr>
            </w:pPr>
          </w:p>
          <w:p w14:paraId="32BC9B45" w14:textId="77777777" w:rsidR="008D7E24" w:rsidRPr="00894841" w:rsidRDefault="008D7E24" w:rsidP="00DB2DCE">
            <w:pPr>
              <w:spacing w:before="60"/>
              <w:rPr>
                <w:rFonts w:asciiTheme="minorHAnsi" w:hAnsiTheme="minorHAnsi" w:cstheme="minorHAnsi"/>
                <w:sz w:val="20"/>
                <w:szCs w:val="20"/>
              </w:rPr>
            </w:pPr>
          </w:p>
          <w:p w14:paraId="089D8527" w14:textId="77777777" w:rsidR="008D7E24" w:rsidRPr="00894841" w:rsidRDefault="008D7E24" w:rsidP="00DB2DCE">
            <w:pPr>
              <w:spacing w:before="60"/>
              <w:rPr>
                <w:rFonts w:asciiTheme="minorHAnsi" w:hAnsiTheme="minorHAnsi" w:cstheme="minorHAnsi"/>
                <w:sz w:val="20"/>
                <w:szCs w:val="20"/>
              </w:rPr>
            </w:pPr>
          </w:p>
          <w:p w14:paraId="1E09EFE7" w14:textId="77777777" w:rsidR="008D7E24" w:rsidRPr="00894841" w:rsidRDefault="008D7E24" w:rsidP="00DB2DCE">
            <w:pPr>
              <w:spacing w:before="60"/>
              <w:rPr>
                <w:rFonts w:asciiTheme="minorHAnsi" w:hAnsiTheme="minorHAnsi" w:cstheme="minorHAnsi"/>
                <w:sz w:val="20"/>
                <w:szCs w:val="20"/>
              </w:rPr>
            </w:pPr>
          </w:p>
          <w:p w14:paraId="7E45365F" w14:textId="77777777" w:rsidR="008D7E24" w:rsidRPr="00894841" w:rsidRDefault="008D7E24" w:rsidP="00DB2DCE">
            <w:pPr>
              <w:spacing w:before="60"/>
              <w:rPr>
                <w:rFonts w:asciiTheme="minorHAnsi" w:hAnsiTheme="minorHAnsi" w:cstheme="minorHAnsi"/>
                <w:sz w:val="20"/>
                <w:szCs w:val="20"/>
              </w:rPr>
            </w:pPr>
          </w:p>
          <w:p w14:paraId="4043E953" w14:textId="77777777" w:rsidR="008D7E24" w:rsidRPr="00894841" w:rsidRDefault="008D7E24" w:rsidP="00DB2DCE">
            <w:pPr>
              <w:spacing w:before="60"/>
              <w:rPr>
                <w:rFonts w:asciiTheme="minorHAnsi" w:hAnsiTheme="minorHAnsi" w:cstheme="minorHAnsi"/>
                <w:sz w:val="20"/>
                <w:szCs w:val="20"/>
              </w:rPr>
            </w:pPr>
          </w:p>
          <w:p w14:paraId="085AF716" w14:textId="77777777" w:rsidR="008D7E24" w:rsidRPr="00894841" w:rsidRDefault="008D7E24" w:rsidP="00DB2DCE">
            <w:pPr>
              <w:spacing w:before="60"/>
              <w:rPr>
                <w:rFonts w:asciiTheme="minorHAnsi" w:hAnsiTheme="minorHAnsi" w:cstheme="minorHAnsi"/>
                <w:sz w:val="20"/>
                <w:szCs w:val="20"/>
              </w:rPr>
            </w:pPr>
          </w:p>
          <w:p w14:paraId="24C5C9FB" w14:textId="77777777" w:rsidR="008D7E24" w:rsidRPr="00894841" w:rsidRDefault="008D7E24" w:rsidP="00DB2DCE">
            <w:pPr>
              <w:spacing w:before="60"/>
              <w:rPr>
                <w:rFonts w:asciiTheme="minorHAnsi" w:hAnsiTheme="minorHAnsi" w:cstheme="minorHAnsi"/>
                <w:sz w:val="20"/>
                <w:szCs w:val="20"/>
              </w:rPr>
            </w:pPr>
          </w:p>
          <w:p w14:paraId="52E2647F" w14:textId="77777777" w:rsidR="008D7E24" w:rsidRPr="00894841" w:rsidRDefault="008D7E24" w:rsidP="00DB2DCE">
            <w:pPr>
              <w:spacing w:before="60"/>
              <w:rPr>
                <w:rFonts w:asciiTheme="minorHAnsi" w:hAnsiTheme="minorHAnsi" w:cstheme="minorHAnsi"/>
                <w:sz w:val="20"/>
                <w:szCs w:val="20"/>
              </w:rPr>
            </w:pPr>
          </w:p>
          <w:p w14:paraId="52362C76" w14:textId="77777777" w:rsidR="008D7E24" w:rsidRPr="00894841" w:rsidRDefault="008D7E24" w:rsidP="00DB2DCE">
            <w:pPr>
              <w:spacing w:before="60"/>
              <w:rPr>
                <w:rFonts w:asciiTheme="minorHAnsi" w:hAnsiTheme="minorHAnsi" w:cstheme="minorHAnsi"/>
                <w:sz w:val="20"/>
                <w:szCs w:val="20"/>
              </w:rPr>
            </w:pPr>
          </w:p>
          <w:p w14:paraId="035479EC" w14:textId="77777777" w:rsidR="008D7E24" w:rsidRPr="00894841" w:rsidRDefault="008D7E24" w:rsidP="00DB2DCE">
            <w:pPr>
              <w:spacing w:before="60"/>
              <w:rPr>
                <w:rFonts w:asciiTheme="minorHAnsi" w:hAnsiTheme="minorHAnsi" w:cstheme="minorHAnsi"/>
                <w:sz w:val="20"/>
                <w:szCs w:val="20"/>
              </w:rPr>
            </w:pPr>
          </w:p>
          <w:p w14:paraId="5AD5F80C" w14:textId="77777777" w:rsidR="008D7E24" w:rsidRPr="00894841" w:rsidRDefault="008D7E24" w:rsidP="00DB2DCE">
            <w:pPr>
              <w:spacing w:before="60"/>
              <w:rPr>
                <w:rFonts w:asciiTheme="minorHAnsi" w:hAnsiTheme="minorHAnsi" w:cstheme="minorHAnsi"/>
                <w:sz w:val="20"/>
                <w:szCs w:val="20"/>
              </w:rPr>
            </w:pPr>
          </w:p>
          <w:p w14:paraId="5D99CFBC" w14:textId="77777777" w:rsidR="008D7E24" w:rsidRPr="00894841" w:rsidRDefault="008D7E24" w:rsidP="00DB2DCE">
            <w:pPr>
              <w:spacing w:before="60"/>
              <w:rPr>
                <w:rFonts w:asciiTheme="minorHAnsi" w:hAnsiTheme="minorHAnsi" w:cstheme="minorHAnsi"/>
                <w:sz w:val="20"/>
                <w:szCs w:val="20"/>
              </w:rPr>
            </w:pPr>
          </w:p>
          <w:p w14:paraId="70C334F0"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SAP formulated and endorsed by the Drin Core Group and adopted by the Meeting of the Parties to the Drin MoU (Ministerial Meeting – see Outcome 4.3).</w:t>
            </w:r>
          </w:p>
        </w:tc>
        <w:tc>
          <w:tcPr>
            <w:tcW w:w="2694" w:type="dxa"/>
            <w:shd w:val="clear" w:color="auto" w:fill="FFCC00"/>
          </w:tcPr>
          <w:p w14:paraId="0BD2CCA2" w14:textId="77777777" w:rsidR="008D7E24" w:rsidRPr="00894841" w:rsidRDefault="008D7E24" w:rsidP="00DB2DCE">
            <w:pPr>
              <w:spacing w:before="60"/>
              <w:rPr>
                <w:rFonts w:asciiTheme="minorHAnsi" w:hAnsiTheme="minorHAnsi" w:cstheme="minorHAnsi"/>
                <w:sz w:val="20"/>
                <w:szCs w:val="20"/>
              </w:rPr>
            </w:pPr>
          </w:p>
          <w:p w14:paraId="310116A1" w14:textId="77777777" w:rsidR="008D7E24" w:rsidRPr="00894841" w:rsidRDefault="008D7E24" w:rsidP="00DB2DCE">
            <w:pPr>
              <w:spacing w:before="60"/>
              <w:rPr>
                <w:rFonts w:asciiTheme="minorHAnsi" w:hAnsiTheme="minorHAnsi" w:cstheme="minorHAnsi"/>
                <w:sz w:val="20"/>
                <w:szCs w:val="20"/>
              </w:rPr>
            </w:pPr>
          </w:p>
          <w:p w14:paraId="11CDE5AC"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r w:rsidRPr="00894841">
              <w:rPr>
                <w:rFonts w:asciiTheme="minorHAnsi" w:hAnsiTheme="minorHAnsi" w:cstheme="minorHAnsi"/>
                <w:sz w:val="20"/>
                <w:szCs w:val="20"/>
              </w:rPr>
              <w:t>Meeting minutes and record of approval by Drin Core Group.</w:t>
            </w:r>
          </w:p>
          <w:p w14:paraId="22F0C064"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09118C0E"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0136B2C2"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2A745C66"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4D097711"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7F29AD7D"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7CF1828D"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582A5C06"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6C19354F"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1E1EFD74"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25EE1865"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3A2A9895"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0F2C6752"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35846A70"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33F426A0" w14:textId="77777777" w:rsidR="008D7E24" w:rsidRPr="00894841" w:rsidRDefault="008D7E24" w:rsidP="00DB2DCE">
            <w:pPr>
              <w:widowControl w:val="0"/>
              <w:autoSpaceDE w:val="0"/>
              <w:autoSpaceDN w:val="0"/>
              <w:adjustRightInd w:val="0"/>
              <w:spacing w:before="60"/>
              <w:rPr>
                <w:rFonts w:asciiTheme="minorHAnsi" w:hAnsiTheme="minorHAnsi" w:cstheme="minorHAnsi"/>
                <w:sz w:val="20"/>
                <w:szCs w:val="20"/>
              </w:rPr>
            </w:pPr>
          </w:p>
          <w:p w14:paraId="387A9D18" w14:textId="77777777" w:rsidR="008D7E24" w:rsidRPr="00894841" w:rsidRDefault="008D7E24" w:rsidP="00DB2DCE">
            <w:pPr>
              <w:spacing w:before="60"/>
              <w:rPr>
                <w:rFonts w:asciiTheme="minorHAnsi" w:hAnsiTheme="minorHAnsi" w:cstheme="minorHAnsi"/>
                <w:sz w:val="20"/>
                <w:szCs w:val="20"/>
              </w:rPr>
            </w:pPr>
          </w:p>
          <w:p w14:paraId="52E97ACF"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Strategic Action Program document endorsed by the DCG.</w:t>
            </w:r>
          </w:p>
          <w:p w14:paraId="62192FEA" w14:textId="77777777" w:rsidR="008D7E24" w:rsidRPr="00894841" w:rsidRDefault="008D7E24" w:rsidP="00DB2DCE">
            <w:pPr>
              <w:spacing w:before="60"/>
              <w:rPr>
                <w:rFonts w:asciiTheme="minorHAnsi" w:hAnsiTheme="minorHAnsi" w:cstheme="minorHAnsi"/>
                <w:sz w:val="20"/>
                <w:szCs w:val="20"/>
              </w:rPr>
            </w:pPr>
          </w:p>
          <w:p w14:paraId="7B50003E" w14:textId="77777777" w:rsidR="008D7E24" w:rsidRPr="00894841" w:rsidRDefault="008D7E24" w:rsidP="00DB2DCE">
            <w:pPr>
              <w:spacing w:before="60"/>
              <w:rPr>
                <w:rFonts w:asciiTheme="minorHAnsi" w:hAnsiTheme="minorHAnsi" w:cstheme="minorHAnsi"/>
                <w:sz w:val="20"/>
                <w:szCs w:val="20"/>
              </w:rPr>
            </w:pPr>
          </w:p>
        </w:tc>
        <w:tc>
          <w:tcPr>
            <w:tcW w:w="3118" w:type="dxa"/>
          </w:tcPr>
          <w:p w14:paraId="47263B5E" w14:textId="77777777" w:rsidR="008D7E24" w:rsidRPr="00894841" w:rsidRDefault="008D7E24" w:rsidP="00DB2DCE">
            <w:pPr>
              <w:spacing w:before="60"/>
              <w:rPr>
                <w:rFonts w:asciiTheme="minorHAnsi" w:hAnsiTheme="minorHAnsi" w:cstheme="minorHAnsi"/>
                <w:szCs w:val="22"/>
              </w:rPr>
            </w:pPr>
            <w:r w:rsidRPr="00894841">
              <w:rPr>
                <w:rFonts w:asciiTheme="minorHAnsi" w:hAnsiTheme="minorHAnsi" w:cstheme="minorHAnsi"/>
                <w:szCs w:val="22"/>
              </w:rPr>
              <w:lastRenderedPageBreak/>
              <w:t xml:space="preserve">Informed consensus strengthened by joint scientific fact-finding (TDA) facilitates agreement on feasible environmental quality objectives (EQOs).  </w:t>
            </w:r>
          </w:p>
          <w:p w14:paraId="20C04DE8" w14:textId="77777777" w:rsidR="008D7E24" w:rsidRPr="00894841" w:rsidRDefault="008D7E24" w:rsidP="00DB2DCE">
            <w:pPr>
              <w:spacing w:before="60"/>
              <w:rPr>
                <w:rFonts w:asciiTheme="minorHAnsi" w:hAnsiTheme="minorHAnsi" w:cstheme="minorHAnsi"/>
                <w:szCs w:val="22"/>
              </w:rPr>
            </w:pPr>
          </w:p>
          <w:p w14:paraId="0C797F12" w14:textId="77777777" w:rsidR="008D7E24" w:rsidRPr="00894841" w:rsidRDefault="008D7E24" w:rsidP="00DB2DCE">
            <w:pPr>
              <w:spacing w:before="60"/>
              <w:rPr>
                <w:rFonts w:asciiTheme="minorHAnsi" w:hAnsiTheme="minorHAnsi" w:cstheme="minorHAnsi"/>
                <w:szCs w:val="22"/>
              </w:rPr>
            </w:pPr>
            <w:r w:rsidRPr="00894841">
              <w:rPr>
                <w:rFonts w:asciiTheme="minorHAnsi" w:hAnsiTheme="minorHAnsi" w:cstheme="minorHAnsi"/>
                <w:szCs w:val="22"/>
              </w:rPr>
              <w:t>Identified indicators will be feasible given the technology available in the countries.</w:t>
            </w:r>
          </w:p>
          <w:p w14:paraId="2C0C9B73" w14:textId="77777777" w:rsidR="008D7E24" w:rsidRPr="00894841" w:rsidRDefault="008D7E24" w:rsidP="00DB2DCE">
            <w:pPr>
              <w:spacing w:before="60"/>
              <w:rPr>
                <w:rFonts w:asciiTheme="minorHAnsi" w:hAnsiTheme="minorHAnsi" w:cstheme="minorHAnsi"/>
                <w:szCs w:val="22"/>
              </w:rPr>
            </w:pPr>
          </w:p>
          <w:p w14:paraId="7AB4504F" w14:textId="77777777" w:rsidR="008D7E24" w:rsidRPr="00894841" w:rsidRDefault="008D7E24" w:rsidP="00DB2DCE">
            <w:pPr>
              <w:spacing w:before="60"/>
              <w:rPr>
                <w:rFonts w:asciiTheme="minorHAnsi" w:hAnsiTheme="minorHAnsi" w:cstheme="minorHAnsi"/>
                <w:szCs w:val="22"/>
              </w:rPr>
            </w:pPr>
          </w:p>
          <w:p w14:paraId="7279D61D" w14:textId="77777777" w:rsidR="008D7E24" w:rsidRPr="00894841" w:rsidRDefault="008D7E24" w:rsidP="00DB2DCE">
            <w:pPr>
              <w:spacing w:before="60"/>
              <w:rPr>
                <w:rFonts w:asciiTheme="minorHAnsi" w:hAnsiTheme="minorHAnsi" w:cstheme="minorHAnsi"/>
                <w:szCs w:val="22"/>
              </w:rPr>
            </w:pPr>
          </w:p>
          <w:p w14:paraId="47181AA2" w14:textId="77777777" w:rsidR="008D7E24" w:rsidRPr="00894841" w:rsidRDefault="008D7E24" w:rsidP="00DB2DCE">
            <w:pPr>
              <w:spacing w:before="60"/>
              <w:rPr>
                <w:rFonts w:asciiTheme="minorHAnsi" w:hAnsiTheme="minorHAnsi" w:cstheme="minorHAnsi"/>
                <w:szCs w:val="22"/>
              </w:rPr>
            </w:pPr>
          </w:p>
          <w:p w14:paraId="02C29BB0" w14:textId="77777777" w:rsidR="008D7E24" w:rsidRPr="00894841" w:rsidRDefault="008D7E24" w:rsidP="00DB2DCE">
            <w:pPr>
              <w:spacing w:before="60"/>
              <w:rPr>
                <w:rFonts w:asciiTheme="minorHAnsi" w:hAnsiTheme="minorHAnsi" w:cstheme="minorHAnsi"/>
                <w:szCs w:val="22"/>
              </w:rPr>
            </w:pPr>
          </w:p>
          <w:p w14:paraId="7EDB5273" w14:textId="77777777" w:rsidR="008D7E24" w:rsidRPr="00894841" w:rsidRDefault="008D7E24" w:rsidP="00DB2DCE">
            <w:pPr>
              <w:spacing w:before="60"/>
              <w:rPr>
                <w:rFonts w:asciiTheme="minorHAnsi" w:hAnsiTheme="minorHAnsi" w:cstheme="minorHAnsi"/>
                <w:szCs w:val="22"/>
              </w:rPr>
            </w:pPr>
          </w:p>
          <w:p w14:paraId="3EF709BB" w14:textId="77777777" w:rsidR="008D7E24" w:rsidRPr="00894841" w:rsidRDefault="008D7E24" w:rsidP="00DB2DCE">
            <w:pPr>
              <w:spacing w:before="60"/>
              <w:rPr>
                <w:rFonts w:asciiTheme="minorHAnsi" w:hAnsiTheme="minorHAnsi" w:cstheme="minorHAnsi"/>
                <w:szCs w:val="22"/>
              </w:rPr>
            </w:pPr>
          </w:p>
          <w:p w14:paraId="263D1065" w14:textId="77777777" w:rsidR="008D7E24" w:rsidRPr="00894841" w:rsidRDefault="008D7E24" w:rsidP="00DB2DCE">
            <w:pPr>
              <w:spacing w:before="60"/>
              <w:rPr>
                <w:rFonts w:asciiTheme="minorHAnsi" w:hAnsiTheme="minorHAnsi" w:cstheme="minorHAnsi"/>
                <w:szCs w:val="22"/>
              </w:rPr>
            </w:pPr>
          </w:p>
          <w:p w14:paraId="0FAAB4C8" w14:textId="77777777" w:rsidR="008D7E24" w:rsidRPr="00894841" w:rsidRDefault="008D7E24" w:rsidP="00DB2DCE">
            <w:pPr>
              <w:spacing w:before="60"/>
              <w:rPr>
                <w:rFonts w:asciiTheme="minorHAnsi" w:hAnsiTheme="minorHAnsi" w:cstheme="minorHAnsi"/>
                <w:szCs w:val="22"/>
              </w:rPr>
            </w:pPr>
          </w:p>
          <w:p w14:paraId="22E61814" w14:textId="77777777" w:rsidR="008D7E24" w:rsidRPr="00894841" w:rsidRDefault="008D7E24" w:rsidP="00DB2DCE">
            <w:pPr>
              <w:spacing w:before="60"/>
              <w:rPr>
                <w:rFonts w:asciiTheme="minorHAnsi" w:hAnsiTheme="minorHAnsi" w:cstheme="minorHAnsi"/>
                <w:szCs w:val="22"/>
              </w:rPr>
            </w:pPr>
          </w:p>
          <w:p w14:paraId="70366C50" w14:textId="77777777" w:rsidR="008D7E24" w:rsidRPr="00894841" w:rsidRDefault="008D7E24" w:rsidP="00DB2DCE">
            <w:pPr>
              <w:spacing w:before="60"/>
              <w:rPr>
                <w:rFonts w:asciiTheme="minorHAnsi" w:hAnsiTheme="minorHAnsi" w:cstheme="minorHAnsi"/>
                <w:szCs w:val="22"/>
              </w:rPr>
            </w:pPr>
          </w:p>
          <w:p w14:paraId="72E629FA" w14:textId="77777777" w:rsidR="008D7E24" w:rsidRPr="00894841" w:rsidRDefault="008D7E24" w:rsidP="00DB2DCE">
            <w:pPr>
              <w:spacing w:before="60"/>
              <w:rPr>
                <w:rFonts w:asciiTheme="minorHAnsi" w:hAnsiTheme="minorHAnsi" w:cstheme="minorHAnsi"/>
                <w:szCs w:val="22"/>
              </w:rPr>
            </w:pPr>
          </w:p>
          <w:p w14:paraId="02E551D6" w14:textId="77777777" w:rsidR="008D7E24" w:rsidRPr="00894841" w:rsidRDefault="008D7E24" w:rsidP="00DB2DCE">
            <w:pPr>
              <w:spacing w:before="60"/>
              <w:rPr>
                <w:rFonts w:asciiTheme="minorHAnsi" w:hAnsiTheme="minorHAnsi" w:cstheme="minorHAnsi"/>
                <w:szCs w:val="22"/>
              </w:rPr>
            </w:pPr>
          </w:p>
          <w:p w14:paraId="32813584" w14:textId="77777777" w:rsidR="008D7E24" w:rsidRPr="00894841" w:rsidRDefault="008D7E24" w:rsidP="00DB2DCE">
            <w:pPr>
              <w:spacing w:before="60"/>
              <w:rPr>
                <w:rFonts w:asciiTheme="minorHAnsi" w:hAnsiTheme="minorHAnsi" w:cstheme="minorHAnsi"/>
                <w:szCs w:val="22"/>
              </w:rPr>
            </w:pPr>
            <w:r w:rsidRPr="00894841">
              <w:rPr>
                <w:rFonts w:asciiTheme="minorHAnsi" w:hAnsiTheme="minorHAnsi" w:cstheme="minorHAnsi"/>
                <w:szCs w:val="22"/>
              </w:rPr>
              <w:t>The TDA – Vision process facilitates Government level agreement on and commitment to undertake needed reforms and investment.</w:t>
            </w:r>
          </w:p>
          <w:p w14:paraId="21EEDA54" w14:textId="77777777" w:rsidR="008D7E24" w:rsidRPr="00894841" w:rsidRDefault="008D7E24" w:rsidP="00DB2DCE">
            <w:pPr>
              <w:spacing w:before="60"/>
              <w:rPr>
                <w:rFonts w:asciiTheme="minorHAnsi" w:hAnsiTheme="minorHAnsi" w:cstheme="minorHAnsi"/>
                <w:szCs w:val="22"/>
              </w:rPr>
            </w:pPr>
          </w:p>
        </w:tc>
      </w:tr>
      <w:tr w:rsidR="008D7E24" w:rsidRPr="00894841" w14:paraId="03C6EC03" w14:textId="77777777" w:rsidTr="00DB2DCE">
        <w:tc>
          <w:tcPr>
            <w:tcW w:w="1951" w:type="dxa"/>
          </w:tcPr>
          <w:p w14:paraId="5AA737E9" w14:textId="77777777" w:rsidR="008D7E24" w:rsidRPr="00894841" w:rsidRDefault="008D7E24" w:rsidP="00DB2DCE">
            <w:pPr>
              <w:spacing w:before="60"/>
              <w:rPr>
                <w:rFonts w:asciiTheme="minorHAnsi" w:hAnsiTheme="minorHAnsi" w:cstheme="minorHAnsi"/>
                <w:b/>
                <w:sz w:val="20"/>
                <w:szCs w:val="20"/>
              </w:rPr>
            </w:pPr>
            <w:r w:rsidRPr="00894841">
              <w:rPr>
                <w:rFonts w:asciiTheme="minorHAnsi" w:hAnsiTheme="minorHAnsi" w:cstheme="minorHAnsi"/>
                <w:b/>
                <w:sz w:val="20"/>
                <w:szCs w:val="20"/>
              </w:rPr>
              <w:lastRenderedPageBreak/>
              <w:t>Outcome 3.</w:t>
            </w:r>
          </w:p>
          <w:p w14:paraId="5C18D716" w14:textId="77777777" w:rsidR="008D7E24" w:rsidRPr="00894841" w:rsidRDefault="008D7E24" w:rsidP="00DB2DCE">
            <w:pPr>
              <w:rPr>
                <w:rFonts w:asciiTheme="minorHAnsi" w:hAnsiTheme="minorHAnsi" w:cstheme="minorHAnsi"/>
                <w:sz w:val="20"/>
                <w:szCs w:val="20"/>
              </w:rPr>
            </w:pPr>
            <w:r w:rsidRPr="00894841">
              <w:rPr>
                <w:rFonts w:asciiTheme="minorHAnsi" w:hAnsiTheme="minorHAnsi" w:cstheme="minorHAnsi"/>
                <w:sz w:val="20"/>
                <w:szCs w:val="20"/>
              </w:rPr>
              <w:t>Countries and donors commit to sustain joint cooperation mechanisms and to undertake priority reforms and investments</w:t>
            </w:r>
          </w:p>
        </w:tc>
        <w:tc>
          <w:tcPr>
            <w:tcW w:w="2268" w:type="dxa"/>
            <w:shd w:val="clear" w:color="auto" w:fill="FFCC00"/>
          </w:tcPr>
          <w:p w14:paraId="400040FB"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color w:val="000000"/>
                <w:sz w:val="20"/>
                <w:szCs w:val="20"/>
              </w:rPr>
            </w:pPr>
            <w:r w:rsidRPr="00894841">
              <w:rPr>
                <w:rFonts w:asciiTheme="minorHAnsi" w:hAnsiTheme="minorHAnsi" w:cstheme="minorHAnsi"/>
                <w:b/>
                <w:color w:val="000000"/>
                <w:sz w:val="20"/>
                <w:szCs w:val="20"/>
              </w:rPr>
              <w:t xml:space="preserve">1. </w:t>
            </w:r>
            <w:r w:rsidRPr="00894841">
              <w:rPr>
                <w:rFonts w:asciiTheme="minorHAnsi" w:hAnsiTheme="minorHAnsi" w:cstheme="minorHAnsi"/>
                <w:color w:val="000000"/>
                <w:sz w:val="20"/>
                <w:szCs w:val="20"/>
              </w:rPr>
              <w:t>Partnership Conference, aimed at raising awareness and interest of the international community and ODA providers on sustaining countries commitment to SAP implementation.</w:t>
            </w:r>
          </w:p>
        </w:tc>
        <w:tc>
          <w:tcPr>
            <w:tcW w:w="2552" w:type="dxa"/>
          </w:tcPr>
          <w:p w14:paraId="64C9BCCA" w14:textId="77777777" w:rsidR="008D7E24" w:rsidRPr="00894841" w:rsidRDefault="008D7E24" w:rsidP="00DB2DCE">
            <w:pPr>
              <w:rPr>
                <w:rFonts w:asciiTheme="minorHAnsi" w:hAnsiTheme="minorHAnsi" w:cstheme="minorHAnsi"/>
                <w:sz w:val="20"/>
                <w:szCs w:val="20"/>
              </w:rPr>
            </w:pPr>
            <w:r w:rsidRPr="00894841">
              <w:rPr>
                <w:rFonts w:asciiTheme="minorHAnsi" w:hAnsiTheme="minorHAnsi" w:cstheme="minorHAnsi"/>
                <w:sz w:val="20"/>
                <w:szCs w:val="20"/>
              </w:rPr>
              <w:t>Donor interest in the region, technical assistance and investments do not respond to a strategic vision to address transboundary issues in the Drin Basin and sub-basins in an integrated manner.</w:t>
            </w:r>
          </w:p>
        </w:tc>
        <w:tc>
          <w:tcPr>
            <w:tcW w:w="1842" w:type="dxa"/>
          </w:tcPr>
          <w:p w14:paraId="2A5C88E5"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Partnership Conference held.</w:t>
            </w:r>
          </w:p>
        </w:tc>
        <w:tc>
          <w:tcPr>
            <w:tcW w:w="2694" w:type="dxa"/>
            <w:shd w:val="clear" w:color="auto" w:fill="FFCC00"/>
          </w:tcPr>
          <w:p w14:paraId="3AFC882B"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Partnership Declaration issued at the end of the Conference</w:t>
            </w:r>
          </w:p>
        </w:tc>
        <w:tc>
          <w:tcPr>
            <w:tcW w:w="3118" w:type="dxa"/>
          </w:tcPr>
          <w:p w14:paraId="05009E56" w14:textId="77777777" w:rsidR="008D7E24" w:rsidRPr="00894841" w:rsidRDefault="008D7E24" w:rsidP="00DB2DCE">
            <w:pPr>
              <w:spacing w:before="60"/>
              <w:rPr>
                <w:rFonts w:asciiTheme="minorHAnsi" w:hAnsiTheme="minorHAnsi" w:cstheme="minorHAnsi"/>
                <w:szCs w:val="22"/>
              </w:rPr>
            </w:pPr>
            <w:r w:rsidRPr="00894841">
              <w:rPr>
                <w:rFonts w:asciiTheme="minorHAnsi" w:hAnsiTheme="minorHAnsi" w:cstheme="minorHAnsi"/>
                <w:szCs w:val="22"/>
              </w:rPr>
              <w:t>Strategic vision reflected in concrete actions in the SAP will attract sustained interest from donors and ODA providers in facilitating SAP implementation.</w:t>
            </w:r>
          </w:p>
        </w:tc>
      </w:tr>
      <w:tr w:rsidR="008D7E24" w:rsidRPr="00894841" w14:paraId="598CEC9D" w14:textId="77777777" w:rsidTr="00DB2DCE">
        <w:tc>
          <w:tcPr>
            <w:tcW w:w="1951" w:type="dxa"/>
          </w:tcPr>
          <w:p w14:paraId="0158ED5C" w14:textId="77777777" w:rsidR="008D7E24" w:rsidRPr="00894841" w:rsidRDefault="008D7E24" w:rsidP="00DB2DCE">
            <w:pPr>
              <w:spacing w:before="60"/>
              <w:rPr>
                <w:rFonts w:asciiTheme="minorHAnsi" w:hAnsiTheme="minorHAnsi" w:cstheme="minorHAnsi"/>
                <w:b/>
                <w:sz w:val="20"/>
                <w:szCs w:val="20"/>
              </w:rPr>
            </w:pPr>
            <w:r w:rsidRPr="00894841">
              <w:rPr>
                <w:rFonts w:asciiTheme="minorHAnsi" w:hAnsiTheme="minorHAnsi" w:cstheme="minorHAnsi"/>
                <w:b/>
                <w:sz w:val="20"/>
                <w:szCs w:val="20"/>
              </w:rPr>
              <w:lastRenderedPageBreak/>
              <w:t xml:space="preserve">Outcome 4. </w:t>
            </w:r>
            <w:r w:rsidRPr="00894841">
              <w:rPr>
                <w:rFonts w:asciiTheme="minorHAnsi" w:hAnsiTheme="minorHAnsi" w:cstheme="minorHAnsi"/>
                <w:color w:val="000000"/>
                <w:sz w:val="20"/>
                <w:szCs w:val="20"/>
              </w:rPr>
              <w:t>The operationalization and strengthening of the institutional and legal frameworks for transboundary cooperation will facilitate balancing of water uses and sustaining environmental quality throughout the extended Drin Basin</w:t>
            </w:r>
          </w:p>
        </w:tc>
        <w:tc>
          <w:tcPr>
            <w:tcW w:w="2268" w:type="dxa"/>
            <w:shd w:val="clear" w:color="auto" w:fill="FFCC00"/>
          </w:tcPr>
          <w:p w14:paraId="4B9693B9"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color w:val="000000"/>
                <w:sz w:val="20"/>
                <w:szCs w:val="20"/>
              </w:rPr>
            </w:pPr>
            <w:r w:rsidRPr="00894841">
              <w:rPr>
                <w:rFonts w:asciiTheme="minorHAnsi" w:hAnsiTheme="minorHAnsi" w:cstheme="minorHAnsi"/>
                <w:b/>
                <w:color w:val="000000"/>
                <w:sz w:val="20"/>
                <w:szCs w:val="20"/>
              </w:rPr>
              <w:t xml:space="preserve">1. </w:t>
            </w:r>
            <w:r w:rsidRPr="00894841">
              <w:rPr>
                <w:rFonts w:asciiTheme="minorHAnsi" w:hAnsiTheme="minorHAnsi" w:cstheme="minorHAnsi"/>
                <w:color w:val="000000"/>
                <w:sz w:val="20"/>
                <w:szCs w:val="20"/>
              </w:rPr>
              <w:t xml:space="preserve">The three Drin Core Group (DCG) Expert Working Groups (EWG) become fully operational making it possible for the DCG to assume the full range of responsibilities stemming from the Drin MoU and act as a Joint Commission. </w:t>
            </w:r>
          </w:p>
          <w:p w14:paraId="6AAE0DFA"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p>
          <w:p w14:paraId="325B1919"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p>
          <w:p w14:paraId="6BDE8F6C"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p>
          <w:p w14:paraId="54311D0A"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p>
          <w:p w14:paraId="7B33FDBE"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p>
          <w:p w14:paraId="149A5E8F"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p>
          <w:p w14:paraId="012A433C"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p>
          <w:p w14:paraId="4D61F983"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r w:rsidRPr="00894841">
              <w:rPr>
                <w:rFonts w:asciiTheme="minorHAnsi" w:hAnsiTheme="minorHAnsi" w:cstheme="minorHAnsi"/>
                <w:b/>
                <w:color w:val="000000"/>
                <w:sz w:val="20"/>
                <w:szCs w:val="20"/>
              </w:rPr>
              <w:t>2.</w:t>
            </w:r>
            <w:r w:rsidRPr="00894841">
              <w:rPr>
                <w:rFonts w:asciiTheme="minorHAnsi" w:hAnsiTheme="minorHAnsi" w:cstheme="minorHAnsi"/>
                <w:color w:val="000000"/>
                <w:sz w:val="20"/>
                <w:szCs w:val="20"/>
              </w:rPr>
              <w:t xml:space="preserve"> </w:t>
            </w:r>
            <w:r w:rsidRPr="00894841">
              <w:rPr>
                <w:rFonts w:asciiTheme="minorHAnsi" w:hAnsiTheme="minorHAnsi" w:cstheme="minorHAnsi"/>
                <w:color w:val="000000"/>
                <w:sz w:val="20"/>
                <w:szCs w:val="20"/>
                <w:lang w:val="el-GR"/>
              </w:rPr>
              <w:t>Inter-ministerial committees are formed and/or there is multi-sectoral input and discussions at the national level with regard to SAP development and responding to guidance from the DCG</w:t>
            </w:r>
            <w:r w:rsidRPr="00894841">
              <w:rPr>
                <w:rFonts w:asciiTheme="minorHAnsi" w:hAnsiTheme="minorHAnsi" w:cstheme="minorHAnsi"/>
                <w:color w:val="000000"/>
                <w:sz w:val="20"/>
                <w:szCs w:val="20"/>
              </w:rPr>
              <w:t xml:space="preserve">. </w:t>
            </w:r>
          </w:p>
          <w:p w14:paraId="42ADF094"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p>
          <w:p w14:paraId="25F348D7"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r w:rsidRPr="00894841">
              <w:rPr>
                <w:rFonts w:asciiTheme="minorHAnsi" w:hAnsiTheme="minorHAnsi" w:cstheme="minorHAnsi"/>
                <w:b/>
                <w:color w:val="000000"/>
                <w:sz w:val="20"/>
                <w:szCs w:val="20"/>
              </w:rPr>
              <w:t>3.</w:t>
            </w:r>
            <w:r w:rsidRPr="00894841">
              <w:rPr>
                <w:rFonts w:asciiTheme="minorHAnsi" w:hAnsiTheme="minorHAnsi" w:cstheme="minorHAnsi"/>
                <w:color w:val="000000"/>
                <w:sz w:val="20"/>
                <w:szCs w:val="20"/>
              </w:rPr>
              <w:t xml:space="preserve"> A Strategic Action Program (SAP with horizon 5 years) is adopted by the countries.</w:t>
            </w:r>
          </w:p>
          <w:p w14:paraId="013E293D"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p>
          <w:p w14:paraId="48C0C76D"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color w:val="000000"/>
                <w:sz w:val="20"/>
                <w:szCs w:val="20"/>
              </w:rPr>
            </w:pPr>
            <w:r w:rsidRPr="00894841">
              <w:rPr>
                <w:rFonts w:asciiTheme="minorHAnsi" w:hAnsiTheme="minorHAnsi" w:cstheme="minorHAnsi"/>
                <w:b/>
                <w:color w:val="000000"/>
                <w:sz w:val="20"/>
                <w:szCs w:val="20"/>
              </w:rPr>
              <w:t xml:space="preserve">4. </w:t>
            </w:r>
            <w:r w:rsidRPr="00894841">
              <w:rPr>
                <w:rFonts w:asciiTheme="minorHAnsi" w:hAnsiTheme="minorHAnsi" w:cstheme="minorHAnsi"/>
                <w:color w:val="000000"/>
                <w:sz w:val="20"/>
                <w:szCs w:val="20"/>
              </w:rPr>
              <w:t xml:space="preserve">DCG members, DCG </w:t>
            </w:r>
            <w:r w:rsidRPr="00894841">
              <w:rPr>
                <w:rFonts w:asciiTheme="minorHAnsi" w:hAnsiTheme="minorHAnsi" w:cstheme="minorHAnsi"/>
                <w:color w:val="000000"/>
                <w:sz w:val="20"/>
                <w:szCs w:val="20"/>
              </w:rPr>
              <w:lastRenderedPageBreak/>
              <w:t>working group members, water and land managers, policy makers and other practitioners are trained in surface/groundwater management, IWRM, implementation of international policy instruments (WFD, UNECE Water Convention), and other relevant disciplines and technologies.</w:t>
            </w:r>
          </w:p>
        </w:tc>
        <w:tc>
          <w:tcPr>
            <w:tcW w:w="2552" w:type="dxa"/>
          </w:tcPr>
          <w:p w14:paraId="26AF7844"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lastRenderedPageBreak/>
              <w:t>The institutional structure for the implementation of the Drin MoU comprise of:</w:t>
            </w:r>
          </w:p>
          <w:p w14:paraId="34A59B93" w14:textId="77777777" w:rsidR="008D7E24" w:rsidRPr="00894841" w:rsidRDefault="008D7E24" w:rsidP="0052081C">
            <w:pPr>
              <w:pStyle w:val="ListParagraph"/>
              <w:numPr>
                <w:ilvl w:val="0"/>
                <w:numId w:val="34"/>
              </w:numPr>
              <w:spacing w:before="60"/>
              <w:ind w:left="317" w:hanging="283"/>
              <w:contextualSpacing w:val="0"/>
              <w:rPr>
                <w:rFonts w:asciiTheme="minorHAnsi" w:hAnsiTheme="minorHAnsi" w:cstheme="minorHAnsi"/>
                <w:sz w:val="20"/>
                <w:szCs w:val="20"/>
              </w:rPr>
            </w:pPr>
            <w:r w:rsidRPr="00894841">
              <w:rPr>
                <w:rFonts w:asciiTheme="minorHAnsi" w:hAnsiTheme="minorHAnsi" w:cstheme="minorHAnsi"/>
                <w:sz w:val="20"/>
                <w:szCs w:val="20"/>
              </w:rPr>
              <w:t xml:space="preserve">Meeting of the Parties (MOP; Parties are represented by Ministers). The MOP takes place on an annual basis. </w:t>
            </w:r>
          </w:p>
          <w:p w14:paraId="504E2C32" w14:textId="77777777" w:rsidR="008D7E24" w:rsidRPr="00894841" w:rsidRDefault="008D7E24" w:rsidP="0052081C">
            <w:pPr>
              <w:pStyle w:val="ListParagraph"/>
              <w:numPr>
                <w:ilvl w:val="0"/>
                <w:numId w:val="34"/>
              </w:numPr>
              <w:spacing w:before="60"/>
              <w:ind w:left="317" w:hanging="283"/>
              <w:contextualSpacing w:val="0"/>
              <w:rPr>
                <w:rFonts w:asciiTheme="minorHAnsi" w:hAnsiTheme="minorHAnsi" w:cstheme="minorHAnsi"/>
                <w:sz w:val="20"/>
                <w:szCs w:val="20"/>
              </w:rPr>
            </w:pPr>
            <w:r w:rsidRPr="00894841">
              <w:rPr>
                <w:rFonts w:asciiTheme="minorHAnsi" w:hAnsiTheme="minorHAnsi" w:cstheme="minorHAnsi"/>
                <w:sz w:val="20"/>
                <w:szCs w:val="20"/>
              </w:rPr>
              <w:t xml:space="preserve">Drin Core Group, established as a result of the Drin Dialogue Project (UNDP/UNECE/GWP-Med). Its success has fostered the formulation and approval of the present project. </w:t>
            </w:r>
          </w:p>
          <w:p w14:paraId="6202532D" w14:textId="77777777" w:rsidR="008D7E24" w:rsidRPr="00894841" w:rsidRDefault="008D7E24" w:rsidP="0052081C">
            <w:pPr>
              <w:pStyle w:val="ListParagraph"/>
              <w:numPr>
                <w:ilvl w:val="0"/>
                <w:numId w:val="34"/>
              </w:numPr>
              <w:spacing w:before="60"/>
              <w:ind w:left="317" w:hanging="283"/>
              <w:contextualSpacing w:val="0"/>
              <w:rPr>
                <w:rFonts w:asciiTheme="minorHAnsi" w:hAnsiTheme="minorHAnsi" w:cstheme="minorHAnsi"/>
                <w:sz w:val="20"/>
                <w:szCs w:val="20"/>
              </w:rPr>
            </w:pPr>
            <w:r w:rsidRPr="00894841">
              <w:rPr>
                <w:rFonts w:asciiTheme="minorHAnsi" w:hAnsiTheme="minorHAnsi" w:cstheme="minorHAnsi"/>
                <w:sz w:val="20"/>
                <w:szCs w:val="20"/>
              </w:rPr>
              <w:t xml:space="preserve">Three Expert Working Groups (1. Implementation of Water Framework Directive; 2. Monitoring and Information Exchange; 3. Biodiversity and Ecosystems). The EWGs have been established but are not yet operational hence can’t provide the necessary assistance to the DCG for the latter to assume the full range of responsibilities </w:t>
            </w:r>
            <w:r w:rsidRPr="00894841">
              <w:rPr>
                <w:rFonts w:asciiTheme="minorHAnsi" w:hAnsiTheme="minorHAnsi" w:cstheme="minorHAnsi"/>
                <w:sz w:val="20"/>
                <w:szCs w:val="20"/>
              </w:rPr>
              <w:lastRenderedPageBreak/>
              <w:t>stemming from the Drin MoU.</w:t>
            </w:r>
          </w:p>
          <w:p w14:paraId="0E3DDD76" w14:textId="77777777" w:rsidR="008D7E24" w:rsidRPr="00894841" w:rsidRDefault="008D7E24" w:rsidP="00DB2DCE">
            <w:pPr>
              <w:spacing w:before="60"/>
              <w:rPr>
                <w:rFonts w:asciiTheme="minorHAnsi" w:hAnsiTheme="minorHAnsi" w:cstheme="minorHAnsi"/>
                <w:sz w:val="20"/>
                <w:szCs w:val="20"/>
              </w:rPr>
            </w:pPr>
          </w:p>
          <w:p w14:paraId="7665B1DC" w14:textId="77777777" w:rsidR="008D7E24" w:rsidRPr="00894841" w:rsidRDefault="008D7E24" w:rsidP="00DB2DCE">
            <w:pPr>
              <w:rPr>
                <w:rFonts w:asciiTheme="minorHAnsi" w:hAnsiTheme="minorHAnsi" w:cstheme="minorHAnsi"/>
                <w:sz w:val="20"/>
                <w:szCs w:val="20"/>
              </w:rPr>
            </w:pPr>
            <w:r w:rsidRPr="00894841">
              <w:rPr>
                <w:rFonts w:asciiTheme="minorHAnsi" w:hAnsiTheme="minorHAnsi" w:cstheme="minorHAnsi"/>
                <w:sz w:val="20"/>
                <w:szCs w:val="20"/>
              </w:rPr>
              <w:t xml:space="preserve">Lack of an overarching basin-wide </w:t>
            </w:r>
            <w:proofErr w:type="gramStart"/>
            <w:r w:rsidRPr="00894841">
              <w:rPr>
                <w:rFonts w:asciiTheme="minorHAnsi" w:hAnsiTheme="minorHAnsi" w:cstheme="minorHAnsi"/>
                <w:sz w:val="20"/>
                <w:szCs w:val="20"/>
              </w:rPr>
              <w:t>science based</w:t>
            </w:r>
            <w:proofErr w:type="gramEnd"/>
            <w:r w:rsidRPr="00894841">
              <w:rPr>
                <w:rFonts w:asciiTheme="minorHAnsi" w:hAnsiTheme="minorHAnsi" w:cstheme="minorHAnsi"/>
                <w:sz w:val="20"/>
                <w:szCs w:val="20"/>
              </w:rPr>
              <w:t xml:space="preserve"> framework for the implementation of the medium and long term priority actions in view of achieving the overall aims and objectives of the Drin MoU, and of the updated Vision hinders the formulation of coherent policies, legislative reforms and identification of investments targeted to the sustainable utilization of the Basin’s water resources and dependent ecosystems, and their integrated management.</w:t>
            </w:r>
          </w:p>
        </w:tc>
        <w:tc>
          <w:tcPr>
            <w:tcW w:w="1842" w:type="dxa"/>
          </w:tcPr>
          <w:p w14:paraId="36653564"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lastRenderedPageBreak/>
              <w:t>The DCG Expert Working Groups become operational in assisting the DCG to assume the full range of responsibilities stemming from the Drin MoU.</w:t>
            </w:r>
          </w:p>
          <w:p w14:paraId="63BE0987" w14:textId="77777777" w:rsidR="008D7E24" w:rsidRPr="00894841" w:rsidRDefault="008D7E24" w:rsidP="00DB2DCE">
            <w:pPr>
              <w:spacing w:before="60"/>
              <w:rPr>
                <w:rFonts w:asciiTheme="minorHAnsi" w:hAnsiTheme="minorHAnsi" w:cstheme="minorHAnsi"/>
                <w:sz w:val="20"/>
                <w:szCs w:val="20"/>
              </w:rPr>
            </w:pPr>
          </w:p>
          <w:p w14:paraId="0C8075D5" w14:textId="77777777" w:rsidR="008D7E24" w:rsidRPr="00894841" w:rsidRDefault="008D7E24" w:rsidP="00DB2DCE">
            <w:pPr>
              <w:spacing w:before="60"/>
              <w:rPr>
                <w:rFonts w:asciiTheme="minorHAnsi" w:hAnsiTheme="minorHAnsi" w:cstheme="minorHAnsi"/>
                <w:sz w:val="20"/>
                <w:szCs w:val="20"/>
              </w:rPr>
            </w:pPr>
          </w:p>
          <w:p w14:paraId="37353489" w14:textId="77777777" w:rsidR="008D7E24" w:rsidRPr="00894841" w:rsidRDefault="008D7E24" w:rsidP="00DB2DCE">
            <w:pPr>
              <w:spacing w:before="60"/>
              <w:rPr>
                <w:rFonts w:asciiTheme="minorHAnsi" w:hAnsiTheme="minorHAnsi" w:cstheme="minorHAnsi"/>
                <w:sz w:val="20"/>
                <w:szCs w:val="20"/>
              </w:rPr>
            </w:pPr>
          </w:p>
          <w:p w14:paraId="0F2D428A" w14:textId="77777777" w:rsidR="008D7E24" w:rsidRPr="00894841" w:rsidRDefault="008D7E24" w:rsidP="00DB2DCE">
            <w:pPr>
              <w:spacing w:before="60"/>
              <w:rPr>
                <w:rFonts w:asciiTheme="minorHAnsi" w:hAnsiTheme="minorHAnsi" w:cstheme="minorHAnsi"/>
                <w:sz w:val="20"/>
                <w:szCs w:val="20"/>
              </w:rPr>
            </w:pPr>
          </w:p>
          <w:p w14:paraId="565E68A5" w14:textId="77777777" w:rsidR="008D7E24" w:rsidRPr="00894841" w:rsidRDefault="008D7E24" w:rsidP="00DB2DCE">
            <w:pPr>
              <w:spacing w:before="60"/>
              <w:rPr>
                <w:rFonts w:asciiTheme="minorHAnsi" w:hAnsiTheme="minorHAnsi" w:cstheme="minorHAnsi"/>
                <w:sz w:val="20"/>
                <w:szCs w:val="20"/>
              </w:rPr>
            </w:pPr>
          </w:p>
          <w:p w14:paraId="7EE16AD6" w14:textId="77777777" w:rsidR="008D7E24" w:rsidRPr="00894841" w:rsidRDefault="008D7E24" w:rsidP="00DB2DCE">
            <w:pPr>
              <w:spacing w:before="60"/>
              <w:rPr>
                <w:rFonts w:asciiTheme="minorHAnsi" w:hAnsiTheme="minorHAnsi" w:cstheme="minorHAnsi"/>
                <w:sz w:val="20"/>
                <w:szCs w:val="20"/>
              </w:rPr>
            </w:pPr>
          </w:p>
          <w:p w14:paraId="28CC9F56" w14:textId="77777777" w:rsidR="008D7E24" w:rsidRPr="00894841" w:rsidRDefault="008D7E24" w:rsidP="00DB2DCE">
            <w:pPr>
              <w:spacing w:before="60"/>
              <w:rPr>
                <w:rFonts w:asciiTheme="minorHAnsi" w:hAnsiTheme="minorHAnsi" w:cstheme="minorHAnsi"/>
                <w:sz w:val="20"/>
                <w:szCs w:val="20"/>
              </w:rPr>
            </w:pPr>
          </w:p>
          <w:p w14:paraId="4D096901" w14:textId="77777777" w:rsidR="008D7E24" w:rsidRPr="00894841" w:rsidRDefault="008D7E24" w:rsidP="00DB2DCE">
            <w:pPr>
              <w:spacing w:before="60"/>
              <w:rPr>
                <w:rFonts w:asciiTheme="minorHAnsi" w:hAnsiTheme="minorHAnsi" w:cstheme="minorHAnsi"/>
                <w:sz w:val="20"/>
                <w:szCs w:val="20"/>
              </w:rPr>
            </w:pPr>
          </w:p>
          <w:p w14:paraId="7D0E1F21" w14:textId="77777777" w:rsidR="008D7E24" w:rsidRPr="00894841" w:rsidRDefault="008D7E24" w:rsidP="00DB2DCE">
            <w:pPr>
              <w:spacing w:before="60"/>
              <w:rPr>
                <w:rFonts w:asciiTheme="minorHAnsi" w:hAnsiTheme="minorHAnsi" w:cstheme="minorHAnsi"/>
                <w:sz w:val="20"/>
                <w:szCs w:val="20"/>
              </w:rPr>
            </w:pPr>
          </w:p>
          <w:p w14:paraId="21CD380A"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lang w:val="el-GR"/>
              </w:rPr>
              <w:t>The Inter-Ministerial Committees are established and/or functional inter-sectoral dialogue at the national level is conducted</w:t>
            </w:r>
            <w:r w:rsidRPr="00894841">
              <w:rPr>
                <w:rFonts w:asciiTheme="minorHAnsi" w:hAnsiTheme="minorHAnsi" w:cstheme="minorHAnsi"/>
                <w:sz w:val="20"/>
                <w:szCs w:val="20"/>
              </w:rPr>
              <w:t>.</w:t>
            </w:r>
          </w:p>
          <w:p w14:paraId="58EBA5A2" w14:textId="77777777" w:rsidR="008D7E24" w:rsidRPr="00894841" w:rsidRDefault="008D7E24" w:rsidP="00DB2DCE">
            <w:pPr>
              <w:spacing w:before="60"/>
              <w:rPr>
                <w:rFonts w:asciiTheme="minorHAnsi" w:hAnsiTheme="minorHAnsi" w:cstheme="minorHAnsi"/>
                <w:sz w:val="20"/>
                <w:szCs w:val="20"/>
              </w:rPr>
            </w:pPr>
          </w:p>
          <w:p w14:paraId="633E150F" w14:textId="77777777" w:rsidR="008D7E24" w:rsidRPr="00894841" w:rsidRDefault="008D7E24" w:rsidP="00DB2DCE">
            <w:pPr>
              <w:spacing w:before="60"/>
              <w:rPr>
                <w:rFonts w:asciiTheme="minorHAnsi" w:hAnsiTheme="minorHAnsi" w:cstheme="minorHAnsi"/>
                <w:sz w:val="20"/>
                <w:szCs w:val="20"/>
              </w:rPr>
            </w:pPr>
          </w:p>
          <w:p w14:paraId="5FBADF27" w14:textId="77777777" w:rsidR="008D7E24" w:rsidRPr="00894841" w:rsidRDefault="008D7E24" w:rsidP="00DB2DCE">
            <w:pPr>
              <w:spacing w:before="60"/>
              <w:rPr>
                <w:rFonts w:asciiTheme="minorHAnsi" w:hAnsiTheme="minorHAnsi" w:cstheme="minorHAnsi"/>
                <w:sz w:val="20"/>
                <w:szCs w:val="20"/>
              </w:rPr>
            </w:pPr>
          </w:p>
          <w:p w14:paraId="1F0FBAEE" w14:textId="77777777" w:rsidR="008D7E24" w:rsidRPr="00894841" w:rsidRDefault="008D7E24" w:rsidP="00DB2DCE">
            <w:pPr>
              <w:spacing w:before="60"/>
              <w:rPr>
                <w:rFonts w:asciiTheme="minorHAnsi" w:hAnsiTheme="minorHAnsi" w:cstheme="minorHAnsi"/>
                <w:sz w:val="20"/>
                <w:szCs w:val="20"/>
              </w:rPr>
            </w:pPr>
          </w:p>
          <w:p w14:paraId="3982F52F"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lastRenderedPageBreak/>
              <w:t>SAP adopted by the Meeting of the Parties to the Drin MoU (Ministerial Meeting).</w:t>
            </w:r>
          </w:p>
          <w:p w14:paraId="7004D2CE" w14:textId="77777777" w:rsidR="008D7E24" w:rsidRPr="00894841" w:rsidRDefault="008D7E24" w:rsidP="00DB2DCE">
            <w:pPr>
              <w:spacing w:before="60"/>
              <w:rPr>
                <w:rFonts w:asciiTheme="minorHAnsi" w:hAnsiTheme="minorHAnsi" w:cstheme="minorHAnsi"/>
                <w:sz w:val="20"/>
                <w:szCs w:val="20"/>
              </w:rPr>
            </w:pPr>
          </w:p>
          <w:p w14:paraId="041814A9"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 xml:space="preserve">Full and successful participation of all DCG members and expert groups, and of qualified representatives of land-water managers and practitioners in training activities. </w:t>
            </w:r>
          </w:p>
          <w:p w14:paraId="2ADD598F" w14:textId="77777777" w:rsidR="008D7E24" w:rsidRPr="00894841" w:rsidRDefault="008D7E24" w:rsidP="00DB2DCE">
            <w:pPr>
              <w:spacing w:before="60"/>
              <w:rPr>
                <w:rFonts w:asciiTheme="minorHAnsi" w:hAnsiTheme="minorHAnsi" w:cstheme="minorHAnsi"/>
                <w:sz w:val="20"/>
                <w:szCs w:val="20"/>
              </w:rPr>
            </w:pPr>
          </w:p>
          <w:p w14:paraId="08C18557" w14:textId="77777777" w:rsidR="008D7E24" w:rsidRPr="00894841" w:rsidRDefault="008D7E24" w:rsidP="00DB2DCE">
            <w:pPr>
              <w:spacing w:before="60"/>
              <w:rPr>
                <w:rFonts w:asciiTheme="minorHAnsi" w:hAnsiTheme="minorHAnsi" w:cstheme="minorHAnsi"/>
                <w:sz w:val="20"/>
                <w:szCs w:val="20"/>
              </w:rPr>
            </w:pPr>
          </w:p>
          <w:p w14:paraId="03250B8A" w14:textId="77777777" w:rsidR="008D7E24" w:rsidRPr="00894841" w:rsidRDefault="008D7E24" w:rsidP="00DB2DCE">
            <w:pPr>
              <w:spacing w:before="60"/>
              <w:rPr>
                <w:rFonts w:asciiTheme="minorHAnsi" w:hAnsiTheme="minorHAnsi" w:cstheme="minorHAnsi"/>
                <w:sz w:val="20"/>
                <w:szCs w:val="20"/>
              </w:rPr>
            </w:pPr>
          </w:p>
          <w:p w14:paraId="3F3851B3" w14:textId="77777777" w:rsidR="008D7E24" w:rsidRPr="00894841" w:rsidRDefault="008D7E24" w:rsidP="00DB2DCE">
            <w:pPr>
              <w:spacing w:before="60"/>
              <w:rPr>
                <w:rFonts w:asciiTheme="minorHAnsi" w:hAnsiTheme="minorHAnsi" w:cstheme="minorHAnsi"/>
                <w:sz w:val="20"/>
                <w:szCs w:val="20"/>
              </w:rPr>
            </w:pPr>
          </w:p>
          <w:p w14:paraId="6EA30C14" w14:textId="77777777" w:rsidR="008D7E24" w:rsidRPr="00894841" w:rsidRDefault="008D7E24" w:rsidP="00DB2DCE">
            <w:pPr>
              <w:spacing w:before="60"/>
              <w:rPr>
                <w:rFonts w:asciiTheme="minorHAnsi" w:hAnsiTheme="minorHAnsi" w:cstheme="minorHAnsi"/>
                <w:sz w:val="20"/>
                <w:szCs w:val="20"/>
              </w:rPr>
            </w:pPr>
          </w:p>
          <w:p w14:paraId="00135A20" w14:textId="77777777" w:rsidR="008D7E24" w:rsidRPr="00894841" w:rsidRDefault="008D7E24" w:rsidP="00DB2DCE">
            <w:pPr>
              <w:spacing w:before="60"/>
              <w:rPr>
                <w:rFonts w:asciiTheme="minorHAnsi" w:hAnsiTheme="minorHAnsi" w:cstheme="minorHAnsi"/>
                <w:sz w:val="20"/>
                <w:szCs w:val="20"/>
              </w:rPr>
            </w:pPr>
          </w:p>
          <w:p w14:paraId="01751EAC" w14:textId="77777777" w:rsidR="008D7E24" w:rsidRPr="00894841" w:rsidRDefault="008D7E24" w:rsidP="00DB2DCE">
            <w:pPr>
              <w:spacing w:before="60"/>
              <w:rPr>
                <w:rFonts w:asciiTheme="minorHAnsi" w:hAnsiTheme="minorHAnsi" w:cstheme="minorHAnsi"/>
                <w:sz w:val="20"/>
                <w:szCs w:val="20"/>
              </w:rPr>
            </w:pPr>
          </w:p>
          <w:p w14:paraId="052663F0" w14:textId="77777777" w:rsidR="008D7E24" w:rsidRPr="00894841" w:rsidRDefault="008D7E24" w:rsidP="00DB2DCE">
            <w:pPr>
              <w:spacing w:before="60"/>
              <w:rPr>
                <w:rFonts w:asciiTheme="minorHAnsi" w:hAnsiTheme="minorHAnsi" w:cstheme="minorHAnsi"/>
                <w:sz w:val="20"/>
                <w:szCs w:val="20"/>
              </w:rPr>
            </w:pPr>
          </w:p>
          <w:p w14:paraId="2CD498D7" w14:textId="77777777" w:rsidR="008D7E24" w:rsidRPr="00894841" w:rsidRDefault="008D7E24" w:rsidP="00DB2DCE">
            <w:pPr>
              <w:spacing w:before="60"/>
              <w:rPr>
                <w:rFonts w:asciiTheme="minorHAnsi" w:hAnsiTheme="minorHAnsi" w:cstheme="minorHAnsi"/>
                <w:sz w:val="20"/>
                <w:szCs w:val="20"/>
              </w:rPr>
            </w:pPr>
          </w:p>
        </w:tc>
        <w:tc>
          <w:tcPr>
            <w:tcW w:w="2694" w:type="dxa"/>
            <w:shd w:val="clear" w:color="auto" w:fill="FFCC00"/>
          </w:tcPr>
          <w:p w14:paraId="72F84428"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lang w:val="el-GR"/>
              </w:rPr>
              <w:lastRenderedPageBreak/>
              <w:t>TORs are developed for EWGs, meetings of the EWGs are held, and related reports include recommendations for the DCG to implement the project and the Drin MoU</w:t>
            </w:r>
            <w:r w:rsidRPr="00894841">
              <w:rPr>
                <w:rFonts w:asciiTheme="minorHAnsi" w:hAnsiTheme="minorHAnsi" w:cstheme="minorHAnsi"/>
                <w:sz w:val="20"/>
                <w:szCs w:val="20"/>
                <w:lang w:val="en-US"/>
              </w:rPr>
              <w:t xml:space="preserve">. </w:t>
            </w:r>
            <w:r w:rsidRPr="00894841">
              <w:rPr>
                <w:rFonts w:asciiTheme="minorHAnsi" w:hAnsiTheme="minorHAnsi" w:cstheme="minorHAnsi"/>
                <w:sz w:val="20"/>
                <w:szCs w:val="20"/>
              </w:rPr>
              <w:t xml:space="preserve">Work Plans for each EWG are prepared and approved by </w:t>
            </w:r>
            <w:proofErr w:type="gramStart"/>
            <w:r w:rsidRPr="00894841">
              <w:rPr>
                <w:rFonts w:asciiTheme="minorHAnsi" w:hAnsiTheme="minorHAnsi" w:cstheme="minorHAnsi"/>
                <w:sz w:val="20"/>
                <w:szCs w:val="20"/>
              </w:rPr>
              <w:t>DCG;.</w:t>
            </w:r>
            <w:proofErr w:type="gramEnd"/>
          </w:p>
          <w:p w14:paraId="395BBA90" w14:textId="77777777" w:rsidR="008D7E24" w:rsidRPr="00894841" w:rsidRDefault="008D7E24" w:rsidP="00DB2DCE">
            <w:pPr>
              <w:spacing w:before="60"/>
              <w:rPr>
                <w:rFonts w:asciiTheme="minorHAnsi" w:hAnsiTheme="minorHAnsi" w:cstheme="minorHAnsi"/>
                <w:sz w:val="20"/>
                <w:szCs w:val="20"/>
              </w:rPr>
            </w:pPr>
          </w:p>
          <w:p w14:paraId="0F110A7F" w14:textId="77777777" w:rsidR="008D7E24" w:rsidRPr="00894841" w:rsidRDefault="008D7E24" w:rsidP="00DB2DCE">
            <w:pPr>
              <w:spacing w:before="60"/>
              <w:rPr>
                <w:rFonts w:asciiTheme="minorHAnsi" w:hAnsiTheme="minorHAnsi" w:cstheme="minorHAnsi"/>
                <w:sz w:val="20"/>
                <w:szCs w:val="20"/>
              </w:rPr>
            </w:pPr>
          </w:p>
          <w:p w14:paraId="1BCC57FF"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Inter-ministerial bodies are formed and/or there is multi-sectoral in put and discussions at the national level with regard to SAP development and responding to guidance from the DCG.</w:t>
            </w:r>
          </w:p>
          <w:p w14:paraId="09588B69" w14:textId="77777777" w:rsidR="008D7E24" w:rsidRPr="00894841" w:rsidRDefault="008D7E24" w:rsidP="00DB2DCE">
            <w:pPr>
              <w:spacing w:before="60"/>
              <w:rPr>
                <w:rFonts w:asciiTheme="minorHAnsi" w:hAnsiTheme="minorHAnsi" w:cstheme="minorHAnsi"/>
                <w:sz w:val="20"/>
                <w:szCs w:val="20"/>
              </w:rPr>
            </w:pPr>
          </w:p>
          <w:p w14:paraId="24E8F058" w14:textId="77777777" w:rsidR="008D7E24" w:rsidRPr="00894841" w:rsidRDefault="008D7E24" w:rsidP="00DB2DCE">
            <w:pPr>
              <w:spacing w:before="60"/>
              <w:rPr>
                <w:rFonts w:asciiTheme="minorHAnsi" w:hAnsiTheme="minorHAnsi" w:cstheme="minorHAnsi"/>
                <w:sz w:val="20"/>
                <w:szCs w:val="20"/>
              </w:rPr>
            </w:pPr>
          </w:p>
          <w:p w14:paraId="17593876" w14:textId="77777777" w:rsidR="008D7E24" w:rsidRPr="00894841" w:rsidRDefault="008D7E24" w:rsidP="00DB2DCE">
            <w:pPr>
              <w:spacing w:before="60"/>
              <w:rPr>
                <w:rFonts w:asciiTheme="minorHAnsi" w:hAnsiTheme="minorHAnsi" w:cstheme="minorHAnsi"/>
                <w:sz w:val="20"/>
                <w:szCs w:val="20"/>
              </w:rPr>
            </w:pPr>
          </w:p>
          <w:p w14:paraId="54D7CE33" w14:textId="77777777" w:rsidR="008D7E24" w:rsidRPr="00894841" w:rsidRDefault="008D7E24" w:rsidP="00DB2DCE">
            <w:pPr>
              <w:spacing w:before="60"/>
              <w:rPr>
                <w:rFonts w:asciiTheme="minorHAnsi" w:hAnsiTheme="minorHAnsi" w:cstheme="minorHAnsi"/>
                <w:sz w:val="20"/>
                <w:szCs w:val="20"/>
              </w:rPr>
            </w:pPr>
          </w:p>
          <w:p w14:paraId="760E515E" w14:textId="77777777" w:rsidR="008D7E24" w:rsidRPr="00894841" w:rsidRDefault="008D7E24" w:rsidP="00DB2DCE">
            <w:pPr>
              <w:spacing w:before="60"/>
              <w:rPr>
                <w:rFonts w:asciiTheme="minorHAnsi" w:hAnsiTheme="minorHAnsi" w:cstheme="minorHAnsi"/>
                <w:sz w:val="20"/>
                <w:szCs w:val="20"/>
              </w:rPr>
            </w:pPr>
          </w:p>
          <w:p w14:paraId="1E5470FF"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Strategic Action Program document agreed upon by all project countries at ministerial level.</w:t>
            </w:r>
          </w:p>
          <w:p w14:paraId="287FA534" w14:textId="77777777" w:rsidR="008D7E24" w:rsidRPr="00894841" w:rsidRDefault="008D7E24" w:rsidP="00DB2DCE">
            <w:pPr>
              <w:spacing w:before="60"/>
              <w:rPr>
                <w:rFonts w:asciiTheme="minorHAnsi" w:hAnsiTheme="minorHAnsi" w:cstheme="minorHAnsi"/>
                <w:sz w:val="20"/>
                <w:szCs w:val="20"/>
              </w:rPr>
            </w:pPr>
          </w:p>
          <w:p w14:paraId="43F18911" w14:textId="77777777" w:rsidR="008D7E24" w:rsidRPr="00894841" w:rsidRDefault="008D7E24" w:rsidP="00DB2DCE">
            <w:pPr>
              <w:spacing w:before="60"/>
              <w:rPr>
                <w:rFonts w:asciiTheme="minorHAnsi" w:hAnsiTheme="minorHAnsi" w:cstheme="minorHAnsi"/>
                <w:sz w:val="20"/>
                <w:szCs w:val="20"/>
              </w:rPr>
            </w:pPr>
          </w:p>
          <w:p w14:paraId="24242E77" w14:textId="77777777" w:rsidR="008D7E24" w:rsidRPr="00894841" w:rsidRDefault="008D7E24" w:rsidP="00DB2DCE">
            <w:pPr>
              <w:spacing w:before="60"/>
              <w:rPr>
                <w:rFonts w:asciiTheme="minorHAnsi" w:hAnsiTheme="minorHAnsi" w:cstheme="minorHAnsi"/>
                <w:sz w:val="20"/>
                <w:szCs w:val="20"/>
              </w:rPr>
            </w:pPr>
          </w:p>
          <w:p w14:paraId="1B17442E"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 xml:space="preserve">Records of completed training programs and lists of attendees. </w:t>
            </w:r>
          </w:p>
          <w:p w14:paraId="669F4DFC" w14:textId="77777777" w:rsidR="008D7E24" w:rsidRPr="00894841" w:rsidRDefault="008D7E24" w:rsidP="00DB2DCE">
            <w:pPr>
              <w:spacing w:before="60"/>
              <w:rPr>
                <w:rFonts w:asciiTheme="minorHAnsi" w:hAnsiTheme="minorHAnsi" w:cstheme="minorHAnsi"/>
                <w:sz w:val="20"/>
                <w:szCs w:val="20"/>
              </w:rPr>
            </w:pPr>
          </w:p>
          <w:p w14:paraId="087F9C02" w14:textId="77777777" w:rsidR="008D7E24" w:rsidRPr="00894841" w:rsidRDefault="008D7E24" w:rsidP="00DB2DCE">
            <w:pPr>
              <w:spacing w:before="60"/>
              <w:rPr>
                <w:rFonts w:asciiTheme="minorHAnsi" w:hAnsiTheme="minorHAnsi" w:cstheme="minorHAnsi"/>
                <w:sz w:val="20"/>
                <w:szCs w:val="20"/>
              </w:rPr>
            </w:pPr>
          </w:p>
          <w:p w14:paraId="2290BBF0" w14:textId="77777777" w:rsidR="008D7E24" w:rsidRPr="00894841" w:rsidRDefault="008D7E24" w:rsidP="00DB2DCE">
            <w:pPr>
              <w:spacing w:before="60"/>
              <w:rPr>
                <w:rFonts w:asciiTheme="minorHAnsi" w:hAnsiTheme="minorHAnsi" w:cstheme="minorHAnsi"/>
                <w:sz w:val="20"/>
                <w:szCs w:val="20"/>
              </w:rPr>
            </w:pPr>
          </w:p>
          <w:p w14:paraId="2586BD68" w14:textId="77777777" w:rsidR="008D7E24" w:rsidRPr="00894841" w:rsidRDefault="008D7E24" w:rsidP="00DB2DCE">
            <w:pPr>
              <w:spacing w:before="60"/>
              <w:rPr>
                <w:rFonts w:asciiTheme="minorHAnsi" w:hAnsiTheme="minorHAnsi" w:cstheme="minorHAnsi"/>
                <w:sz w:val="20"/>
                <w:szCs w:val="20"/>
              </w:rPr>
            </w:pPr>
          </w:p>
          <w:p w14:paraId="3D1D02BE" w14:textId="77777777" w:rsidR="008D7E24" w:rsidRPr="00894841" w:rsidRDefault="008D7E24" w:rsidP="00DB2DCE">
            <w:pPr>
              <w:spacing w:before="60"/>
              <w:rPr>
                <w:rFonts w:asciiTheme="minorHAnsi" w:hAnsiTheme="minorHAnsi" w:cstheme="minorHAnsi"/>
                <w:sz w:val="20"/>
                <w:szCs w:val="20"/>
              </w:rPr>
            </w:pPr>
          </w:p>
          <w:p w14:paraId="1CFF0333" w14:textId="77777777" w:rsidR="008D7E24" w:rsidRPr="00894841" w:rsidRDefault="008D7E24" w:rsidP="00DB2DCE">
            <w:pPr>
              <w:spacing w:before="60"/>
              <w:rPr>
                <w:rFonts w:asciiTheme="minorHAnsi" w:hAnsiTheme="minorHAnsi" w:cstheme="minorHAnsi"/>
                <w:sz w:val="20"/>
                <w:szCs w:val="20"/>
              </w:rPr>
            </w:pPr>
          </w:p>
          <w:p w14:paraId="7E2A7CA3" w14:textId="77777777" w:rsidR="008D7E24" w:rsidRPr="00894841" w:rsidRDefault="008D7E24" w:rsidP="00DB2DCE">
            <w:pPr>
              <w:spacing w:before="60"/>
              <w:rPr>
                <w:rFonts w:asciiTheme="minorHAnsi" w:hAnsiTheme="minorHAnsi" w:cstheme="minorHAnsi"/>
                <w:sz w:val="20"/>
                <w:szCs w:val="20"/>
              </w:rPr>
            </w:pPr>
          </w:p>
          <w:p w14:paraId="3EFC7380" w14:textId="77777777" w:rsidR="008D7E24" w:rsidRPr="00894841" w:rsidRDefault="008D7E24" w:rsidP="00DB2DCE">
            <w:pPr>
              <w:spacing w:before="60"/>
              <w:rPr>
                <w:rFonts w:asciiTheme="minorHAnsi" w:hAnsiTheme="minorHAnsi" w:cstheme="minorHAnsi"/>
                <w:sz w:val="20"/>
                <w:szCs w:val="20"/>
              </w:rPr>
            </w:pPr>
          </w:p>
          <w:p w14:paraId="75E7B9C2" w14:textId="77777777" w:rsidR="008D7E24" w:rsidRPr="00894841" w:rsidRDefault="008D7E24" w:rsidP="00DB2DCE">
            <w:pPr>
              <w:spacing w:before="60"/>
              <w:rPr>
                <w:rFonts w:asciiTheme="minorHAnsi" w:hAnsiTheme="minorHAnsi" w:cstheme="minorHAnsi"/>
                <w:sz w:val="20"/>
                <w:szCs w:val="20"/>
              </w:rPr>
            </w:pPr>
          </w:p>
          <w:p w14:paraId="55CE3386" w14:textId="77777777" w:rsidR="008D7E24" w:rsidRPr="00894841" w:rsidRDefault="008D7E24" w:rsidP="00DB2DCE">
            <w:pPr>
              <w:spacing w:before="60"/>
              <w:rPr>
                <w:rFonts w:asciiTheme="minorHAnsi" w:hAnsiTheme="minorHAnsi" w:cstheme="minorHAnsi"/>
                <w:sz w:val="20"/>
                <w:szCs w:val="20"/>
              </w:rPr>
            </w:pPr>
          </w:p>
          <w:p w14:paraId="629B72D2" w14:textId="77777777" w:rsidR="008D7E24" w:rsidRPr="00894841" w:rsidRDefault="008D7E24" w:rsidP="00DB2DCE">
            <w:pPr>
              <w:spacing w:before="60"/>
              <w:rPr>
                <w:rFonts w:asciiTheme="minorHAnsi" w:hAnsiTheme="minorHAnsi" w:cstheme="minorHAnsi"/>
                <w:sz w:val="20"/>
                <w:szCs w:val="20"/>
              </w:rPr>
            </w:pPr>
          </w:p>
        </w:tc>
        <w:tc>
          <w:tcPr>
            <w:tcW w:w="3118" w:type="dxa"/>
          </w:tcPr>
          <w:p w14:paraId="0090C5A6" w14:textId="77777777" w:rsidR="008D7E24" w:rsidRPr="00894841" w:rsidRDefault="008D7E24" w:rsidP="00DB2DCE">
            <w:pPr>
              <w:spacing w:before="60"/>
              <w:rPr>
                <w:rFonts w:asciiTheme="minorHAnsi" w:hAnsiTheme="minorHAnsi" w:cstheme="minorHAnsi"/>
                <w:szCs w:val="22"/>
              </w:rPr>
            </w:pPr>
            <w:r w:rsidRPr="00894841">
              <w:rPr>
                <w:rFonts w:asciiTheme="minorHAnsi" w:hAnsiTheme="minorHAnsi" w:cstheme="minorHAnsi"/>
                <w:szCs w:val="22"/>
              </w:rPr>
              <w:lastRenderedPageBreak/>
              <w:t xml:space="preserve">Momentum gained through the Drin Dialogue is sustained by the present project and ensures political commitment to multi-country cooperation for the management of the Extended Drin Basin. </w:t>
            </w:r>
          </w:p>
          <w:p w14:paraId="4CFB1F3C" w14:textId="77777777" w:rsidR="008D7E24" w:rsidRPr="00894841" w:rsidRDefault="008D7E24" w:rsidP="00DB2DCE">
            <w:pPr>
              <w:spacing w:before="60"/>
              <w:rPr>
                <w:rFonts w:asciiTheme="minorHAnsi" w:hAnsiTheme="minorHAnsi" w:cstheme="minorHAnsi"/>
                <w:szCs w:val="22"/>
              </w:rPr>
            </w:pPr>
          </w:p>
          <w:p w14:paraId="58EA27E6" w14:textId="77777777" w:rsidR="008D7E24" w:rsidRPr="00894841" w:rsidRDefault="008D7E24" w:rsidP="00DB2DCE">
            <w:pPr>
              <w:spacing w:before="60"/>
              <w:rPr>
                <w:rFonts w:asciiTheme="minorHAnsi" w:hAnsiTheme="minorHAnsi" w:cstheme="minorHAnsi"/>
                <w:szCs w:val="22"/>
              </w:rPr>
            </w:pPr>
          </w:p>
          <w:p w14:paraId="2A098576" w14:textId="77777777" w:rsidR="008D7E24" w:rsidRPr="00894841" w:rsidRDefault="008D7E24" w:rsidP="00DB2DCE">
            <w:pPr>
              <w:spacing w:before="60"/>
              <w:rPr>
                <w:rFonts w:asciiTheme="minorHAnsi" w:hAnsiTheme="minorHAnsi" w:cstheme="minorHAnsi"/>
                <w:szCs w:val="22"/>
              </w:rPr>
            </w:pPr>
          </w:p>
          <w:p w14:paraId="4A51D0B7" w14:textId="77777777" w:rsidR="008D7E24" w:rsidRPr="00894841" w:rsidRDefault="008D7E24" w:rsidP="00DB2DCE">
            <w:pPr>
              <w:spacing w:before="60"/>
              <w:rPr>
                <w:rFonts w:asciiTheme="minorHAnsi" w:hAnsiTheme="minorHAnsi" w:cstheme="minorHAnsi"/>
                <w:szCs w:val="22"/>
              </w:rPr>
            </w:pPr>
          </w:p>
          <w:p w14:paraId="3FC0D5F2" w14:textId="77777777" w:rsidR="008D7E24" w:rsidRPr="00894841" w:rsidRDefault="008D7E24" w:rsidP="00DB2DCE">
            <w:pPr>
              <w:spacing w:before="60"/>
              <w:rPr>
                <w:rFonts w:asciiTheme="minorHAnsi" w:hAnsiTheme="minorHAnsi" w:cstheme="minorHAnsi"/>
                <w:szCs w:val="22"/>
              </w:rPr>
            </w:pPr>
          </w:p>
          <w:p w14:paraId="63DC7A1B" w14:textId="77777777" w:rsidR="008D7E24" w:rsidRPr="00894841" w:rsidRDefault="008D7E24" w:rsidP="00DB2DCE">
            <w:pPr>
              <w:spacing w:before="60"/>
              <w:rPr>
                <w:rFonts w:asciiTheme="minorHAnsi" w:hAnsiTheme="minorHAnsi" w:cstheme="minorHAnsi"/>
                <w:szCs w:val="22"/>
              </w:rPr>
            </w:pPr>
          </w:p>
          <w:p w14:paraId="1C454BCE" w14:textId="77777777" w:rsidR="008D7E24" w:rsidRPr="00894841" w:rsidRDefault="008D7E24" w:rsidP="00DB2DCE">
            <w:pPr>
              <w:spacing w:before="60"/>
              <w:rPr>
                <w:rFonts w:asciiTheme="minorHAnsi" w:hAnsiTheme="minorHAnsi" w:cstheme="minorHAnsi"/>
                <w:szCs w:val="22"/>
              </w:rPr>
            </w:pPr>
          </w:p>
          <w:p w14:paraId="2979EA31" w14:textId="77777777" w:rsidR="008D7E24" w:rsidRPr="00894841" w:rsidRDefault="008D7E24" w:rsidP="00DB2DCE">
            <w:pPr>
              <w:spacing w:before="60"/>
              <w:rPr>
                <w:rFonts w:asciiTheme="minorHAnsi" w:hAnsiTheme="minorHAnsi" w:cstheme="minorHAnsi"/>
                <w:szCs w:val="22"/>
              </w:rPr>
            </w:pPr>
          </w:p>
          <w:p w14:paraId="451A10CC" w14:textId="77777777" w:rsidR="008D7E24" w:rsidRPr="00894841" w:rsidRDefault="008D7E24" w:rsidP="00DB2DCE">
            <w:pPr>
              <w:spacing w:before="60"/>
              <w:rPr>
                <w:rFonts w:asciiTheme="minorHAnsi" w:hAnsiTheme="minorHAnsi" w:cstheme="minorHAnsi"/>
                <w:szCs w:val="22"/>
              </w:rPr>
            </w:pPr>
          </w:p>
          <w:p w14:paraId="14034864" w14:textId="77777777" w:rsidR="008D7E24" w:rsidRPr="00894841" w:rsidRDefault="008D7E24" w:rsidP="00DB2DCE">
            <w:pPr>
              <w:spacing w:before="60"/>
              <w:rPr>
                <w:rFonts w:asciiTheme="minorHAnsi" w:hAnsiTheme="minorHAnsi" w:cstheme="minorHAnsi"/>
                <w:szCs w:val="22"/>
              </w:rPr>
            </w:pPr>
          </w:p>
          <w:p w14:paraId="5CFCD57B" w14:textId="77777777" w:rsidR="008D7E24" w:rsidRPr="00894841" w:rsidRDefault="008D7E24" w:rsidP="00DB2DCE">
            <w:pPr>
              <w:spacing w:before="60"/>
              <w:rPr>
                <w:rFonts w:asciiTheme="minorHAnsi" w:hAnsiTheme="minorHAnsi" w:cstheme="minorHAnsi"/>
                <w:szCs w:val="22"/>
              </w:rPr>
            </w:pPr>
          </w:p>
          <w:p w14:paraId="6A96AF84" w14:textId="77777777" w:rsidR="008D7E24" w:rsidRPr="00894841" w:rsidRDefault="008D7E24" w:rsidP="00DB2DCE">
            <w:pPr>
              <w:spacing w:before="60"/>
              <w:rPr>
                <w:rFonts w:asciiTheme="minorHAnsi" w:hAnsiTheme="minorHAnsi" w:cstheme="minorHAnsi"/>
                <w:szCs w:val="22"/>
              </w:rPr>
            </w:pPr>
          </w:p>
          <w:p w14:paraId="31D84102" w14:textId="77777777" w:rsidR="008D7E24" w:rsidRPr="00894841" w:rsidRDefault="008D7E24" w:rsidP="00DB2DCE">
            <w:pPr>
              <w:spacing w:before="60"/>
              <w:rPr>
                <w:rFonts w:asciiTheme="minorHAnsi" w:hAnsiTheme="minorHAnsi" w:cstheme="minorHAnsi"/>
                <w:szCs w:val="22"/>
              </w:rPr>
            </w:pPr>
          </w:p>
          <w:p w14:paraId="5042AC56" w14:textId="77777777" w:rsidR="008D7E24" w:rsidRPr="00894841" w:rsidRDefault="008D7E24" w:rsidP="00DB2DCE">
            <w:pPr>
              <w:spacing w:before="60"/>
              <w:rPr>
                <w:rFonts w:asciiTheme="minorHAnsi" w:hAnsiTheme="minorHAnsi" w:cstheme="minorHAnsi"/>
                <w:szCs w:val="22"/>
              </w:rPr>
            </w:pPr>
            <w:r w:rsidRPr="00894841">
              <w:rPr>
                <w:rFonts w:asciiTheme="minorHAnsi" w:hAnsiTheme="minorHAnsi" w:cstheme="minorHAnsi"/>
                <w:szCs w:val="22"/>
              </w:rPr>
              <w:t>The TDA – Vision process facilitates Government level agreement on and commitment to undertake needed reforms and investment.</w:t>
            </w:r>
          </w:p>
          <w:p w14:paraId="28DA4B71" w14:textId="77777777" w:rsidR="008D7E24" w:rsidRPr="00894841" w:rsidRDefault="008D7E24" w:rsidP="00DB2DCE">
            <w:pPr>
              <w:spacing w:before="60"/>
              <w:rPr>
                <w:rFonts w:asciiTheme="minorHAnsi" w:hAnsiTheme="minorHAnsi" w:cstheme="minorHAnsi"/>
                <w:szCs w:val="22"/>
              </w:rPr>
            </w:pPr>
          </w:p>
        </w:tc>
      </w:tr>
      <w:tr w:rsidR="008D7E24" w:rsidRPr="00894841" w14:paraId="32E3D88D" w14:textId="77777777" w:rsidTr="00DB2DCE">
        <w:tc>
          <w:tcPr>
            <w:tcW w:w="1951" w:type="dxa"/>
          </w:tcPr>
          <w:p w14:paraId="0E5E3694" w14:textId="77777777" w:rsidR="008D7E24" w:rsidRPr="00894841" w:rsidRDefault="008D7E24" w:rsidP="00DB2DCE">
            <w:pPr>
              <w:widowControl w:val="0"/>
              <w:autoSpaceDE w:val="0"/>
              <w:autoSpaceDN w:val="0"/>
              <w:adjustRightInd w:val="0"/>
              <w:rPr>
                <w:rFonts w:asciiTheme="minorHAnsi" w:hAnsiTheme="minorHAnsi" w:cstheme="minorHAnsi"/>
                <w:b/>
                <w:sz w:val="20"/>
                <w:szCs w:val="20"/>
              </w:rPr>
            </w:pPr>
            <w:r w:rsidRPr="00894841">
              <w:rPr>
                <w:rFonts w:asciiTheme="minorHAnsi" w:hAnsiTheme="minorHAnsi" w:cstheme="minorHAnsi"/>
                <w:b/>
                <w:sz w:val="20"/>
                <w:szCs w:val="20"/>
              </w:rPr>
              <w:lastRenderedPageBreak/>
              <w:t xml:space="preserve">Outcome 5. </w:t>
            </w:r>
            <w:r w:rsidRPr="00894841">
              <w:rPr>
                <w:rFonts w:asciiTheme="minorHAnsi" w:hAnsiTheme="minorHAnsi" w:cstheme="minorHAnsi"/>
                <w:color w:val="000000"/>
                <w:sz w:val="20"/>
                <w:szCs w:val="20"/>
              </w:rPr>
              <w:t xml:space="preserve">Benefits </w:t>
            </w:r>
            <w:r w:rsidRPr="00894841">
              <w:rPr>
                <w:rFonts w:asciiTheme="minorHAnsi" w:hAnsiTheme="minorHAnsi" w:cstheme="minorHAnsi"/>
                <w:sz w:val="20"/>
                <w:szCs w:val="20"/>
              </w:rPr>
              <w:t>demonstrated on the ground  by environmentally sound approaches and technologies new to the region</w:t>
            </w:r>
          </w:p>
        </w:tc>
        <w:tc>
          <w:tcPr>
            <w:tcW w:w="2268" w:type="dxa"/>
            <w:shd w:val="clear" w:color="auto" w:fill="FFCC00"/>
          </w:tcPr>
          <w:p w14:paraId="4F6082B0"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color w:val="000000"/>
                <w:sz w:val="20"/>
                <w:szCs w:val="20"/>
              </w:rPr>
            </w:pPr>
            <w:r w:rsidRPr="00894841">
              <w:rPr>
                <w:rFonts w:asciiTheme="minorHAnsi" w:hAnsiTheme="minorHAnsi" w:cstheme="minorHAnsi"/>
                <w:b/>
                <w:color w:val="000000"/>
                <w:sz w:val="20"/>
                <w:szCs w:val="20"/>
              </w:rPr>
              <w:t xml:space="preserve">1. </w:t>
            </w:r>
            <w:r w:rsidRPr="00894841">
              <w:rPr>
                <w:rFonts w:asciiTheme="minorHAnsi" w:hAnsiTheme="minorHAnsi" w:cstheme="minorHAnsi"/>
                <w:color w:val="000000"/>
                <w:sz w:val="20"/>
                <w:szCs w:val="20"/>
              </w:rPr>
              <w:t>Program of Pilot Demonstrations, responding to the Drin MoU approved by countries during inception period is implemented resulting in:</w:t>
            </w:r>
          </w:p>
          <w:p w14:paraId="4482793F"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color w:val="000000"/>
                <w:sz w:val="20"/>
                <w:szCs w:val="20"/>
              </w:rPr>
            </w:pPr>
          </w:p>
          <w:p w14:paraId="5C724186"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r w:rsidRPr="00894841">
              <w:rPr>
                <w:rFonts w:asciiTheme="minorHAnsi" w:hAnsiTheme="minorHAnsi" w:cstheme="minorHAnsi"/>
                <w:i/>
                <w:color w:val="000000"/>
                <w:sz w:val="20"/>
                <w:szCs w:val="20"/>
              </w:rPr>
              <w:t>- Management Plan for Ohrid Lake is prepared;</w:t>
            </w:r>
          </w:p>
          <w:p w14:paraId="26489124"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48F4D54A"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73A74F19"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74925C67"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2DEFD208"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6459450F"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4FBB4D94"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5F9C0DA4"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00C4357B"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r w:rsidRPr="00894841">
              <w:rPr>
                <w:rFonts w:asciiTheme="minorHAnsi" w:hAnsiTheme="minorHAnsi" w:cstheme="minorHAnsi"/>
                <w:i/>
                <w:color w:val="000000"/>
                <w:sz w:val="20"/>
                <w:szCs w:val="20"/>
              </w:rPr>
              <w:t>- Integrated modelling tool is developed assisting in appropriate quality for treated effluents and appropriate wastewater management solution for Shkodra city in Albania to be determined.</w:t>
            </w:r>
          </w:p>
          <w:p w14:paraId="02446E8D"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1651D9EA"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5D2197F2"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6CCEF75D"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5AF4A837"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76E62284"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r w:rsidRPr="00894841">
              <w:rPr>
                <w:rFonts w:asciiTheme="minorHAnsi" w:hAnsiTheme="minorHAnsi" w:cstheme="minorHAnsi"/>
                <w:i/>
                <w:color w:val="000000"/>
                <w:sz w:val="20"/>
                <w:szCs w:val="20"/>
              </w:rPr>
              <w:t xml:space="preserve">- Facility, equipment and scheme for production of fuel-briquettes from Skadar Lake macrophytes biomass are tested as means for </w:t>
            </w:r>
            <w:r w:rsidRPr="00894841">
              <w:rPr>
                <w:rFonts w:asciiTheme="minorHAnsi" w:hAnsiTheme="minorHAnsi" w:cstheme="minorHAnsi"/>
                <w:i/>
                <w:color w:val="000000"/>
                <w:sz w:val="20"/>
                <w:szCs w:val="20"/>
              </w:rPr>
              <w:lastRenderedPageBreak/>
              <w:t>the reduction of nutrient load in Shkoder/Skadar lake.</w:t>
            </w:r>
          </w:p>
          <w:p w14:paraId="75C7084D"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6F9676F8"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p>
          <w:p w14:paraId="7A5EF1D0"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r w:rsidRPr="00894841">
              <w:rPr>
                <w:rFonts w:asciiTheme="minorHAnsi" w:hAnsiTheme="minorHAnsi" w:cstheme="minorHAnsi"/>
                <w:i/>
                <w:color w:val="000000"/>
                <w:sz w:val="20"/>
                <w:szCs w:val="20"/>
              </w:rPr>
              <w:t>- Ad hoc Flood Expert Working Group is established and feasibility for flood insurance is tested in priority areas</w:t>
            </w:r>
            <w:r w:rsidRPr="00894841">
              <w:rPr>
                <w:rFonts w:asciiTheme="minorHAnsi" w:hAnsiTheme="minorHAnsi" w:cstheme="minorHAnsi"/>
                <w:b/>
                <w:i/>
                <w:color w:val="000000"/>
                <w:sz w:val="20"/>
                <w:szCs w:val="20"/>
              </w:rPr>
              <w:t xml:space="preserve"> </w:t>
            </w:r>
            <w:r w:rsidRPr="00894841">
              <w:rPr>
                <w:rFonts w:asciiTheme="minorHAnsi" w:hAnsiTheme="minorHAnsi" w:cstheme="minorHAnsi"/>
                <w:i/>
                <w:color w:val="000000"/>
                <w:sz w:val="20"/>
                <w:szCs w:val="20"/>
                <w:lang w:val="en-US"/>
              </w:rPr>
              <w:t xml:space="preserve"> to</w:t>
            </w:r>
          </w:p>
          <w:p w14:paraId="276FC428"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05C4F54C"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70031203"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40D70024"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132D3315"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480D637A"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44AE17A9"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65CE8E27"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40304D41"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18107D59"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4BA584CA"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27E421D6"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75F2CA28"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7E42624E"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lang w:val="en-US"/>
              </w:rPr>
            </w:pPr>
          </w:p>
          <w:p w14:paraId="53C23B41"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i/>
                <w:color w:val="000000"/>
                <w:sz w:val="20"/>
                <w:szCs w:val="20"/>
              </w:rPr>
            </w:pPr>
            <w:r w:rsidRPr="00894841">
              <w:rPr>
                <w:rFonts w:asciiTheme="minorHAnsi" w:hAnsiTheme="minorHAnsi" w:cstheme="minorHAnsi"/>
                <w:i/>
                <w:color w:val="000000"/>
                <w:sz w:val="20"/>
                <w:szCs w:val="20"/>
              </w:rPr>
              <w:t xml:space="preserve">A </w:t>
            </w:r>
            <w:r w:rsidRPr="00894841">
              <w:rPr>
                <w:rFonts w:asciiTheme="minorHAnsi" w:hAnsiTheme="minorHAnsi" w:cstheme="minorHAnsi"/>
                <w:bCs/>
                <w:i/>
                <w:color w:val="000000"/>
                <w:sz w:val="20"/>
                <w:szCs w:val="20"/>
                <w:lang w:val="en-US"/>
              </w:rPr>
              <w:t>joint monitoring network in Skadar/Shkoder and Buna/Bojana sub-basins in Albania and Montenegro is developed and tested.</w:t>
            </w:r>
          </w:p>
          <w:p w14:paraId="5D67FC43"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color w:val="000000"/>
                <w:sz w:val="20"/>
                <w:szCs w:val="20"/>
              </w:rPr>
            </w:pPr>
          </w:p>
        </w:tc>
        <w:tc>
          <w:tcPr>
            <w:tcW w:w="2552" w:type="dxa"/>
          </w:tcPr>
          <w:p w14:paraId="79457366" w14:textId="77777777" w:rsidR="008D7E24" w:rsidRPr="00894841" w:rsidRDefault="008D7E24" w:rsidP="00DB2DCE">
            <w:pPr>
              <w:rPr>
                <w:rFonts w:asciiTheme="minorHAnsi" w:hAnsiTheme="minorHAnsi" w:cstheme="minorHAnsi"/>
                <w:sz w:val="20"/>
                <w:szCs w:val="20"/>
              </w:rPr>
            </w:pPr>
            <w:r w:rsidRPr="00894841">
              <w:rPr>
                <w:rFonts w:asciiTheme="minorHAnsi" w:hAnsiTheme="minorHAnsi" w:cstheme="minorHAnsi"/>
                <w:i/>
                <w:sz w:val="20"/>
                <w:szCs w:val="20"/>
              </w:rPr>
              <w:lastRenderedPageBreak/>
              <w:t>Regional experience so far does not include testing of IWRM in a large basin, coping measures for climate variability and change, nutrient management, amongst others.</w:t>
            </w:r>
          </w:p>
          <w:p w14:paraId="786900D2" w14:textId="77777777" w:rsidR="008D7E24" w:rsidRPr="00894841" w:rsidRDefault="008D7E24" w:rsidP="00DB2DCE">
            <w:pPr>
              <w:rPr>
                <w:rFonts w:asciiTheme="minorHAnsi" w:hAnsiTheme="minorHAnsi" w:cstheme="minorHAnsi"/>
                <w:sz w:val="20"/>
                <w:szCs w:val="20"/>
              </w:rPr>
            </w:pPr>
          </w:p>
          <w:p w14:paraId="6F51605D" w14:textId="77777777" w:rsidR="008D7E24" w:rsidRPr="00894841" w:rsidRDefault="008D7E24" w:rsidP="00DB2DCE">
            <w:pPr>
              <w:rPr>
                <w:rFonts w:asciiTheme="minorHAnsi" w:hAnsiTheme="minorHAnsi" w:cstheme="minorHAnsi"/>
                <w:i/>
                <w:sz w:val="20"/>
                <w:szCs w:val="20"/>
              </w:rPr>
            </w:pPr>
            <w:r w:rsidRPr="00894841">
              <w:rPr>
                <w:rFonts w:asciiTheme="minorHAnsi" w:hAnsiTheme="minorHAnsi" w:cstheme="minorHAnsi"/>
                <w:i/>
                <w:sz w:val="20"/>
                <w:szCs w:val="20"/>
              </w:rPr>
              <w:t>A Basin Management Plan is not in place in Lake Ohrid; the preparation, in accordance to the WFD, of a basin management plan for a shared water body is not tested in the Drin Basin.</w:t>
            </w:r>
          </w:p>
          <w:p w14:paraId="1FEAB52A" w14:textId="77777777" w:rsidR="008D7E24" w:rsidRPr="00894841" w:rsidRDefault="008D7E24" w:rsidP="00DB2DCE">
            <w:pPr>
              <w:rPr>
                <w:rFonts w:asciiTheme="minorHAnsi" w:hAnsiTheme="minorHAnsi" w:cstheme="minorHAnsi"/>
                <w:i/>
                <w:sz w:val="20"/>
                <w:szCs w:val="20"/>
              </w:rPr>
            </w:pPr>
          </w:p>
          <w:p w14:paraId="0A34DCF6" w14:textId="77777777" w:rsidR="008D7E24" w:rsidRPr="00894841" w:rsidRDefault="008D7E24" w:rsidP="00DB2DCE">
            <w:pPr>
              <w:rPr>
                <w:rFonts w:asciiTheme="minorHAnsi" w:hAnsiTheme="minorHAnsi" w:cstheme="minorHAnsi"/>
                <w:i/>
                <w:sz w:val="20"/>
                <w:szCs w:val="20"/>
              </w:rPr>
            </w:pPr>
          </w:p>
          <w:p w14:paraId="290D6E89" w14:textId="77777777" w:rsidR="008D7E24" w:rsidRPr="00894841" w:rsidRDefault="008D7E24" w:rsidP="00DB2DCE">
            <w:pPr>
              <w:rPr>
                <w:rFonts w:asciiTheme="minorHAnsi" w:hAnsiTheme="minorHAnsi" w:cstheme="minorHAnsi"/>
                <w:i/>
                <w:sz w:val="20"/>
                <w:szCs w:val="20"/>
              </w:rPr>
            </w:pPr>
          </w:p>
          <w:p w14:paraId="035634D9" w14:textId="77777777" w:rsidR="008D7E24" w:rsidRPr="00894841" w:rsidRDefault="008D7E24" w:rsidP="00DB2DCE">
            <w:pPr>
              <w:rPr>
                <w:rFonts w:asciiTheme="minorHAnsi" w:hAnsiTheme="minorHAnsi" w:cstheme="minorHAnsi"/>
                <w:i/>
                <w:sz w:val="20"/>
                <w:szCs w:val="20"/>
              </w:rPr>
            </w:pPr>
          </w:p>
          <w:p w14:paraId="1D36095A" w14:textId="77777777" w:rsidR="008D7E24" w:rsidRPr="00894841" w:rsidRDefault="008D7E24" w:rsidP="00DB2DCE">
            <w:pPr>
              <w:rPr>
                <w:rFonts w:asciiTheme="minorHAnsi" w:hAnsiTheme="minorHAnsi" w:cstheme="minorHAnsi"/>
                <w:i/>
                <w:sz w:val="20"/>
                <w:szCs w:val="20"/>
              </w:rPr>
            </w:pPr>
            <w:r w:rsidRPr="00894841">
              <w:rPr>
                <w:rFonts w:asciiTheme="minorHAnsi" w:hAnsiTheme="minorHAnsi" w:cstheme="minorHAnsi"/>
                <w:i/>
                <w:sz w:val="20"/>
                <w:szCs w:val="20"/>
              </w:rPr>
              <w:t>Shkodra city is a pollution hotspot affecting areas of paramount ecological importance.</w:t>
            </w:r>
          </w:p>
          <w:p w14:paraId="3D119517" w14:textId="77777777" w:rsidR="008D7E24" w:rsidRPr="00894841" w:rsidRDefault="008D7E24" w:rsidP="00DB2DCE">
            <w:pPr>
              <w:rPr>
                <w:rFonts w:asciiTheme="minorHAnsi" w:hAnsiTheme="minorHAnsi" w:cstheme="minorHAnsi"/>
                <w:i/>
                <w:sz w:val="20"/>
                <w:szCs w:val="20"/>
              </w:rPr>
            </w:pPr>
          </w:p>
          <w:p w14:paraId="66917390" w14:textId="77777777" w:rsidR="008D7E24" w:rsidRPr="00894841" w:rsidRDefault="008D7E24" w:rsidP="00DB2DCE">
            <w:pPr>
              <w:rPr>
                <w:rFonts w:asciiTheme="minorHAnsi" w:hAnsiTheme="minorHAnsi" w:cstheme="minorHAnsi"/>
                <w:i/>
                <w:sz w:val="20"/>
                <w:szCs w:val="20"/>
              </w:rPr>
            </w:pPr>
          </w:p>
          <w:p w14:paraId="750B3DD7" w14:textId="77777777" w:rsidR="008D7E24" w:rsidRPr="00894841" w:rsidRDefault="008D7E24" w:rsidP="00DB2DCE">
            <w:pPr>
              <w:rPr>
                <w:rFonts w:asciiTheme="minorHAnsi" w:hAnsiTheme="minorHAnsi" w:cstheme="minorHAnsi"/>
                <w:i/>
                <w:sz w:val="20"/>
                <w:szCs w:val="20"/>
              </w:rPr>
            </w:pPr>
          </w:p>
          <w:p w14:paraId="4B505BD6" w14:textId="77777777" w:rsidR="008D7E24" w:rsidRPr="00894841" w:rsidRDefault="008D7E24" w:rsidP="00DB2DCE">
            <w:pPr>
              <w:rPr>
                <w:rFonts w:asciiTheme="minorHAnsi" w:hAnsiTheme="minorHAnsi" w:cstheme="minorHAnsi"/>
                <w:i/>
                <w:sz w:val="20"/>
                <w:szCs w:val="20"/>
              </w:rPr>
            </w:pPr>
          </w:p>
          <w:p w14:paraId="64E00EF6" w14:textId="77777777" w:rsidR="008D7E24" w:rsidRPr="00894841" w:rsidRDefault="008D7E24" w:rsidP="00DB2DCE">
            <w:pPr>
              <w:rPr>
                <w:rFonts w:asciiTheme="minorHAnsi" w:hAnsiTheme="minorHAnsi" w:cstheme="minorHAnsi"/>
                <w:i/>
                <w:sz w:val="20"/>
                <w:szCs w:val="20"/>
              </w:rPr>
            </w:pPr>
          </w:p>
          <w:p w14:paraId="02AAD4A1" w14:textId="77777777" w:rsidR="008D7E24" w:rsidRPr="00894841" w:rsidRDefault="008D7E24" w:rsidP="00DB2DCE">
            <w:pPr>
              <w:rPr>
                <w:rFonts w:asciiTheme="minorHAnsi" w:hAnsiTheme="minorHAnsi" w:cstheme="minorHAnsi"/>
                <w:i/>
                <w:sz w:val="20"/>
                <w:szCs w:val="20"/>
              </w:rPr>
            </w:pPr>
          </w:p>
          <w:p w14:paraId="6EABCF1F" w14:textId="77777777" w:rsidR="008D7E24" w:rsidRPr="00894841" w:rsidRDefault="008D7E24" w:rsidP="00DB2DCE">
            <w:pPr>
              <w:rPr>
                <w:rFonts w:asciiTheme="minorHAnsi" w:hAnsiTheme="minorHAnsi" w:cstheme="minorHAnsi"/>
                <w:i/>
                <w:sz w:val="20"/>
                <w:szCs w:val="20"/>
              </w:rPr>
            </w:pPr>
          </w:p>
          <w:p w14:paraId="5035BFAA" w14:textId="77777777" w:rsidR="008D7E24" w:rsidRPr="00894841" w:rsidRDefault="008D7E24" w:rsidP="00DB2DCE">
            <w:pPr>
              <w:rPr>
                <w:rFonts w:asciiTheme="minorHAnsi" w:hAnsiTheme="minorHAnsi" w:cstheme="minorHAnsi"/>
                <w:i/>
                <w:sz w:val="20"/>
                <w:szCs w:val="20"/>
              </w:rPr>
            </w:pPr>
          </w:p>
          <w:p w14:paraId="3906C0CA" w14:textId="77777777" w:rsidR="008D7E24" w:rsidRPr="00894841" w:rsidRDefault="008D7E24" w:rsidP="00DB2DCE">
            <w:pPr>
              <w:rPr>
                <w:rFonts w:asciiTheme="minorHAnsi" w:hAnsiTheme="minorHAnsi" w:cstheme="minorHAnsi"/>
                <w:i/>
                <w:sz w:val="20"/>
                <w:szCs w:val="20"/>
              </w:rPr>
            </w:pPr>
          </w:p>
          <w:p w14:paraId="531ECBAA" w14:textId="77777777" w:rsidR="008D7E24" w:rsidRPr="00894841" w:rsidRDefault="008D7E24" w:rsidP="00DB2DCE">
            <w:pPr>
              <w:rPr>
                <w:rFonts w:asciiTheme="minorHAnsi" w:hAnsiTheme="minorHAnsi" w:cstheme="minorHAnsi"/>
                <w:i/>
                <w:sz w:val="20"/>
                <w:szCs w:val="20"/>
              </w:rPr>
            </w:pPr>
          </w:p>
          <w:p w14:paraId="5F782122" w14:textId="77777777" w:rsidR="008D7E24" w:rsidRPr="00894841" w:rsidRDefault="008D7E24" w:rsidP="00DB2DCE">
            <w:pPr>
              <w:rPr>
                <w:rFonts w:asciiTheme="minorHAnsi" w:hAnsiTheme="minorHAnsi" w:cstheme="minorHAnsi"/>
                <w:i/>
                <w:sz w:val="20"/>
                <w:szCs w:val="20"/>
              </w:rPr>
            </w:pPr>
            <w:r w:rsidRPr="00894841">
              <w:rPr>
                <w:rFonts w:asciiTheme="minorHAnsi" w:hAnsiTheme="minorHAnsi" w:cstheme="minorHAnsi"/>
                <w:i/>
                <w:sz w:val="20"/>
                <w:szCs w:val="20"/>
              </w:rPr>
              <w:t>Nutrients enter the Shkoder/Skadar lake through its tributary, Moraca. De-forestation takes places in the Montenegrin part and collected wood is used for heating purposes.</w:t>
            </w:r>
          </w:p>
          <w:p w14:paraId="1E9BF02B" w14:textId="77777777" w:rsidR="008D7E24" w:rsidRPr="00894841" w:rsidRDefault="008D7E24" w:rsidP="00DB2DCE">
            <w:pPr>
              <w:rPr>
                <w:rFonts w:asciiTheme="minorHAnsi" w:hAnsiTheme="minorHAnsi" w:cstheme="minorHAnsi"/>
                <w:i/>
                <w:sz w:val="20"/>
                <w:szCs w:val="20"/>
              </w:rPr>
            </w:pPr>
          </w:p>
          <w:p w14:paraId="5F595ACA" w14:textId="77777777" w:rsidR="008D7E24" w:rsidRPr="00894841" w:rsidRDefault="008D7E24" w:rsidP="00DB2DCE">
            <w:pPr>
              <w:rPr>
                <w:rFonts w:asciiTheme="minorHAnsi" w:hAnsiTheme="minorHAnsi" w:cstheme="minorHAnsi"/>
                <w:i/>
                <w:sz w:val="20"/>
                <w:szCs w:val="20"/>
              </w:rPr>
            </w:pPr>
          </w:p>
          <w:p w14:paraId="01FCE7EE" w14:textId="77777777" w:rsidR="008D7E24" w:rsidRPr="00894841" w:rsidRDefault="008D7E24" w:rsidP="00DB2DCE">
            <w:pPr>
              <w:rPr>
                <w:rFonts w:asciiTheme="minorHAnsi" w:hAnsiTheme="minorHAnsi" w:cstheme="minorHAnsi"/>
                <w:i/>
                <w:sz w:val="20"/>
                <w:szCs w:val="20"/>
              </w:rPr>
            </w:pPr>
          </w:p>
          <w:p w14:paraId="5E5A4231" w14:textId="77777777" w:rsidR="008D7E24" w:rsidRPr="00894841" w:rsidRDefault="008D7E24" w:rsidP="00DB2DCE">
            <w:pPr>
              <w:rPr>
                <w:rFonts w:asciiTheme="minorHAnsi" w:hAnsiTheme="minorHAnsi" w:cstheme="minorHAnsi"/>
                <w:i/>
                <w:sz w:val="20"/>
                <w:szCs w:val="20"/>
              </w:rPr>
            </w:pPr>
          </w:p>
          <w:p w14:paraId="47AA3C80" w14:textId="77777777" w:rsidR="008D7E24" w:rsidRPr="00894841" w:rsidRDefault="008D7E24" w:rsidP="00DB2DCE">
            <w:pPr>
              <w:rPr>
                <w:rFonts w:asciiTheme="minorHAnsi" w:hAnsiTheme="minorHAnsi" w:cstheme="minorHAnsi"/>
                <w:i/>
                <w:sz w:val="20"/>
                <w:szCs w:val="20"/>
              </w:rPr>
            </w:pPr>
            <w:r w:rsidRPr="00894841">
              <w:rPr>
                <w:rFonts w:asciiTheme="minorHAnsi" w:hAnsiTheme="minorHAnsi" w:cstheme="minorHAnsi"/>
                <w:i/>
                <w:sz w:val="20"/>
                <w:szCs w:val="20"/>
              </w:rPr>
              <w:t>Floods have been having detrimental effects across the Drin Basin. The issue can’t be dealt with effectively with unilateral action. Related instruments/approaches and cooperation among Drin Riparians is necessary but absent.</w:t>
            </w:r>
          </w:p>
          <w:p w14:paraId="68DFDE27" w14:textId="77777777" w:rsidR="008D7E24" w:rsidRPr="00894841" w:rsidRDefault="008D7E24" w:rsidP="00DB2DCE">
            <w:pPr>
              <w:rPr>
                <w:rFonts w:asciiTheme="minorHAnsi" w:hAnsiTheme="minorHAnsi" w:cstheme="minorHAnsi"/>
                <w:i/>
                <w:sz w:val="20"/>
                <w:szCs w:val="20"/>
              </w:rPr>
            </w:pPr>
          </w:p>
          <w:p w14:paraId="6F5A6E55" w14:textId="77777777" w:rsidR="008D7E24" w:rsidRPr="00894841" w:rsidRDefault="008D7E24" w:rsidP="00DB2DCE">
            <w:pPr>
              <w:rPr>
                <w:rFonts w:asciiTheme="minorHAnsi" w:hAnsiTheme="minorHAnsi" w:cstheme="minorHAnsi"/>
                <w:i/>
                <w:sz w:val="20"/>
                <w:szCs w:val="20"/>
              </w:rPr>
            </w:pPr>
          </w:p>
          <w:p w14:paraId="7B47AFDB" w14:textId="77777777" w:rsidR="008D7E24" w:rsidRPr="00894841" w:rsidRDefault="008D7E24" w:rsidP="00DB2DCE">
            <w:pPr>
              <w:rPr>
                <w:rFonts w:asciiTheme="minorHAnsi" w:hAnsiTheme="minorHAnsi" w:cstheme="minorHAnsi"/>
                <w:i/>
                <w:sz w:val="20"/>
                <w:szCs w:val="20"/>
              </w:rPr>
            </w:pPr>
          </w:p>
          <w:p w14:paraId="083263DE" w14:textId="77777777" w:rsidR="008D7E24" w:rsidRPr="00894841" w:rsidRDefault="008D7E24" w:rsidP="00DB2DCE">
            <w:pPr>
              <w:rPr>
                <w:rFonts w:asciiTheme="minorHAnsi" w:hAnsiTheme="minorHAnsi" w:cstheme="minorHAnsi"/>
                <w:i/>
                <w:sz w:val="20"/>
                <w:szCs w:val="20"/>
              </w:rPr>
            </w:pPr>
          </w:p>
          <w:p w14:paraId="102DE024" w14:textId="77777777" w:rsidR="008D7E24" w:rsidRPr="00894841" w:rsidRDefault="008D7E24" w:rsidP="00DB2DCE">
            <w:pPr>
              <w:rPr>
                <w:rFonts w:asciiTheme="minorHAnsi" w:hAnsiTheme="minorHAnsi" w:cstheme="minorHAnsi"/>
                <w:i/>
                <w:sz w:val="20"/>
                <w:szCs w:val="20"/>
              </w:rPr>
            </w:pPr>
          </w:p>
          <w:p w14:paraId="4AFC8A29" w14:textId="77777777" w:rsidR="008D7E24" w:rsidRPr="00894841" w:rsidRDefault="008D7E24" w:rsidP="00DB2DCE">
            <w:pPr>
              <w:rPr>
                <w:rFonts w:asciiTheme="minorHAnsi" w:hAnsiTheme="minorHAnsi" w:cstheme="minorHAnsi"/>
                <w:i/>
                <w:sz w:val="20"/>
                <w:szCs w:val="20"/>
              </w:rPr>
            </w:pPr>
          </w:p>
          <w:p w14:paraId="554D32DD" w14:textId="77777777" w:rsidR="008D7E24" w:rsidRPr="00894841" w:rsidRDefault="008D7E24" w:rsidP="00DB2DCE">
            <w:pPr>
              <w:rPr>
                <w:rFonts w:asciiTheme="minorHAnsi" w:hAnsiTheme="minorHAnsi" w:cstheme="minorHAnsi"/>
                <w:i/>
                <w:sz w:val="20"/>
                <w:szCs w:val="20"/>
              </w:rPr>
            </w:pPr>
          </w:p>
          <w:p w14:paraId="0DA53EAD" w14:textId="77777777" w:rsidR="008D7E24" w:rsidRPr="00894841" w:rsidRDefault="008D7E24" w:rsidP="00DB2DCE">
            <w:pPr>
              <w:rPr>
                <w:rFonts w:asciiTheme="minorHAnsi" w:hAnsiTheme="minorHAnsi" w:cstheme="minorHAnsi"/>
                <w:i/>
                <w:sz w:val="20"/>
                <w:szCs w:val="20"/>
              </w:rPr>
            </w:pPr>
          </w:p>
          <w:p w14:paraId="17622607" w14:textId="77777777" w:rsidR="008D7E24" w:rsidRPr="00894841" w:rsidRDefault="008D7E24" w:rsidP="00DB2DCE">
            <w:pPr>
              <w:rPr>
                <w:rFonts w:asciiTheme="minorHAnsi" w:hAnsiTheme="minorHAnsi" w:cstheme="minorHAnsi"/>
                <w:i/>
                <w:sz w:val="20"/>
                <w:szCs w:val="20"/>
              </w:rPr>
            </w:pPr>
          </w:p>
          <w:p w14:paraId="2B599058" w14:textId="77777777" w:rsidR="008D7E24" w:rsidRPr="00894841" w:rsidRDefault="008D7E24" w:rsidP="00DB2DCE">
            <w:pPr>
              <w:rPr>
                <w:rFonts w:asciiTheme="minorHAnsi" w:hAnsiTheme="minorHAnsi" w:cstheme="minorHAnsi"/>
                <w:i/>
                <w:sz w:val="20"/>
                <w:szCs w:val="20"/>
              </w:rPr>
            </w:pPr>
          </w:p>
          <w:p w14:paraId="2603437B" w14:textId="77777777" w:rsidR="008D7E24" w:rsidRPr="00894841" w:rsidRDefault="008D7E24" w:rsidP="00DB2DCE">
            <w:pPr>
              <w:rPr>
                <w:rFonts w:asciiTheme="minorHAnsi" w:hAnsiTheme="minorHAnsi" w:cstheme="minorHAnsi"/>
                <w:i/>
                <w:sz w:val="20"/>
                <w:szCs w:val="20"/>
              </w:rPr>
            </w:pPr>
          </w:p>
          <w:p w14:paraId="66409268" w14:textId="77777777" w:rsidR="008D7E24" w:rsidRPr="00894841" w:rsidRDefault="008D7E24" w:rsidP="00DB2DCE">
            <w:pPr>
              <w:rPr>
                <w:rFonts w:asciiTheme="minorHAnsi" w:hAnsiTheme="minorHAnsi" w:cstheme="minorHAnsi"/>
                <w:i/>
                <w:sz w:val="20"/>
                <w:szCs w:val="20"/>
              </w:rPr>
            </w:pPr>
          </w:p>
          <w:p w14:paraId="563D9FFC" w14:textId="77777777" w:rsidR="008D7E24" w:rsidRPr="00894841" w:rsidRDefault="008D7E24" w:rsidP="00DB2DCE">
            <w:pPr>
              <w:rPr>
                <w:rFonts w:asciiTheme="minorHAnsi" w:hAnsiTheme="minorHAnsi" w:cstheme="minorHAnsi"/>
                <w:i/>
                <w:sz w:val="20"/>
                <w:szCs w:val="20"/>
              </w:rPr>
            </w:pPr>
          </w:p>
          <w:p w14:paraId="152F5839" w14:textId="77777777" w:rsidR="008D7E24" w:rsidRPr="00894841" w:rsidRDefault="008D7E24" w:rsidP="00DB2DCE">
            <w:pPr>
              <w:rPr>
                <w:rFonts w:asciiTheme="minorHAnsi" w:hAnsiTheme="minorHAnsi" w:cstheme="minorHAnsi"/>
                <w:i/>
                <w:sz w:val="20"/>
                <w:szCs w:val="20"/>
              </w:rPr>
            </w:pPr>
          </w:p>
          <w:p w14:paraId="545835BB" w14:textId="77777777" w:rsidR="008D7E24" w:rsidRPr="00894841" w:rsidRDefault="008D7E24" w:rsidP="00DB2DCE">
            <w:pPr>
              <w:rPr>
                <w:rFonts w:asciiTheme="minorHAnsi" w:hAnsiTheme="minorHAnsi" w:cstheme="minorHAnsi"/>
                <w:i/>
                <w:sz w:val="20"/>
                <w:szCs w:val="20"/>
              </w:rPr>
            </w:pPr>
          </w:p>
          <w:p w14:paraId="57123B85" w14:textId="77777777" w:rsidR="008D7E24" w:rsidRPr="00894841" w:rsidRDefault="008D7E24" w:rsidP="00DB2DCE">
            <w:pPr>
              <w:rPr>
                <w:rFonts w:asciiTheme="minorHAnsi" w:hAnsiTheme="minorHAnsi" w:cstheme="minorHAnsi"/>
                <w:i/>
                <w:sz w:val="20"/>
                <w:szCs w:val="20"/>
              </w:rPr>
            </w:pPr>
          </w:p>
          <w:p w14:paraId="71824F6E" w14:textId="77777777" w:rsidR="008D7E24" w:rsidRPr="00894841" w:rsidRDefault="008D7E24" w:rsidP="00DB2DCE">
            <w:pPr>
              <w:rPr>
                <w:rFonts w:asciiTheme="minorHAnsi" w:hAnsiTheme="minorHAnsi" w:cstheme="minorHAnsi"/>
                <w:i/>
                <w:sz w:val="20"/>
                <w:szCs w:val="20"/>
              </w:rPr>
            </w:pPr>
            <w:r w:rsidRPr="00894841">
              <w:rPr>
                <w:rFonts w:asciiTheme="minorHAnsi" w:hAnsiTheme="minorHAnsi" w:cstheme="minorHAnsi"/>
                <w:i/>
                <w:sz w:val="20"/>
                <w:szCs w:val="20"/>
              </w:rPr>
              <w:t xml:space="preserve">Monitoring systems in Drin Riparians are not harmonized undermining cooperation for the management of the transboundary Drin’s sub-basins. </w:t>
            </w:r>
          </w:p>
        </w:tc>
        <w:tc>
          <w:tcPr>
            <w:tcW w:w="1842" w:type="dxa"/>
          </w:tcPr>
          <w:p w14:paraId="2F2E214E"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lastRenderedPageBreak/>
              <w:t>Program fully implemented by the end of the project.</w:t>
            </w:r>
          </w:p>
          <w:p w14:paraId="17C06802" w14:textId="77777777" w:rsidR="008D7E24" w:rsidRPr="00894841" w:rsidRDefault="008D7E24" w:rsidP="00DB2DCE">
            <w:pPr>
              <w:spacing w:before="60"/>
              <w:rPr>
                <w:rFonts w:asciiTheme="minorHAnsi" w:hAnsiTheme="minorHAnsi" w:cstheme="minorHAnsi"/>
                <w:sz w:val="20"/>
                <w:szCs w:val="20"/>
              </w:rPr>
            </w:pPr>
          </w:p>
          <w:p w14:paraId="4B62D0D2" w14:textId="77777777" w:rsidR="008D7E24" w:rsidRPr="00894841" w:rsidRDefault="008D7E24" w:rsidP="00DB2DCE">
            <w:pPr>
              <w:spacing w:before="60"/>
              <w:rPr>
                <w:rFonts w:asciiTheme="minorHAnsi" w:hAnsiTheme="minorHAnsi" w:cstheme="minorHAnsi"/>
                <w:sz w:val="20"/>
                <w:szCs w:val="20"/>
              </w:rPr>
            </w:pPr>
          </w:p>
          <w:p w14:paraId="28F1D5B1" w14:textId="77777777" w:rsidR="008D7E24" w:rsidRPr="00894841" w:rsidRDefault="008D7E24" w:rsidP="00DB2DCE">
            <w:pPr>
              <w:spacing w:before="60"/>
              <w:rPr>
                <w:rFonts w:asciiTheme="minorHAnsi" w:hAnsiTheme="minorHAnsi" w:cstheme="minorHAnsi"/>
                <w:sz w:val="20"/>
                <w:szCs w:val="20"/>
              </w:rPr>
            </w:pPr>
          </w:p>
          <w:p w14:paraId="609FB320" w14:textId="77777777" w:rsidR="008D7E24" w:rsidRPr="00894841" w:rsidRDefault="008D7E24" w:rsidP="00DB2DCE">
            <w:pPr>
              <w:spacing w:before="60"/>
              <w:rPr>
                <w:rFonts w:asciiTheme="minorHAnsi" w:hAnsiTheme="minorHAnsi" w:cstheme="minorHAnsi"/>
                <w:sz w:val="20"/>
                <w:szCs w:val="20"/>
              </w:rPr>
            </w:pPr>
          </w:p>
          <w:p w14:paraId="69A7CBEF" w14:textId="77777777" w:rsidR="008D7E24" w:rsidRPr="00894841" w:rsidRDefault="008D7E24" w:rsidP="00DB2DCE">
            <w:pPr>
              <w:spacing w:before="60"/>
              <w:rPr>
                <w:rFonts w:asciiTheme="minorHAnsi" w:hAnsiTheme="minorHAnsi" w:cstheme="minorHAnsi"/>
                <w:i/>
                <w:sz w:val="20"/>
                <w:szCs w:val="20"/>
              </w:rPr>
            </w:pPr>
            <w:r w:rsidRPr="00894841">
              <w:rPr>
                <w:rFonts w:asciiTheme="minorHAnsi" w:hAnsiTheme="minorHAnsi" w:cstheme="minorHAnsi"/>
                <w:i/>
                <w:sz w:val="20"/>
                <w:szCs w:val="20"/>
              </w:rPr>
              <w:t xml:space="preserve">The Ohrid Basin Management Plan is prepared and the WFD approach for the preparation of a management plan in a Drin’s transboundary sub-basin is tested. </w:t>
            </w:r>
          </w:p>
          <w:p w14:paraId="65476C95" w14:textId="77777777" w:rsidR="008D7E24" w:rsidRPr="00894841" w:rsidRDefault="008D7E24" w:rsidP="00DB2DCE">
            <w:pPr>
              <w:spacing w:before="60"/>
              <w:rPr>
                <w:rFonts w:asciiTheme="minorHAnsi" w:hAnsiTheme="minorHAnsi" w:cstheme="minorHAnsi"/>
                <w:i/>
                <w:sz w:val="20"/>
                <w:szCs w:val="20"/>
              </w:rPr>
            </w:pPr>
          </w:p>
          <w:p w14:paraId="001D8B64" w14:textId="77777777" w:rsidR="008D7E24" w:rsidRPr="00894841" w:rsidRDefault="008D7E24" w:rsidP="00DB2DCE">
            <w:pPr>
              <w:spacing w:before="60"/>
              <w:rPr>
                <w:rFonts w:asciiTheme="minorHAnsi" w:hAnsiTheme="minorHAnsi" w:cstheme="minorHAnsi"/>
                <w:i/>
                <w:sz w:val="20"/>
                <w:szCs w:val="20"/>
              </w:rPr>
            </w:pPr>
            <w:r w:rsidRPr="00894841">
              <w:rPr>
                <w:rFonts w:asciiTheme="minorHAnsi" w:hAnsiTheme="minorHAnsi" w:cstheme="minorHAnsi"/>
                <w:i/>
                <w:sz w:val="20"/>
                <w:szCs w:val="20"/>
              </w:rPr>
              <w:t>Scientific sound solutions to address unsustainable wastewater management are identified; the tool used in this regard can be used in other ecologically sensitive areas facing similar pollution issues.</w:t>
            </w:r>
          </w:p>
          <w:p w14:paraId="08792717" w14:textId="77777777" w:rsidR="008D7E24" w:rsidRPr="00894841" w:rsidRDefault="008D7E24" w:rsidP="00DB2DCE">
            <w:pPr>
              <w:spacing w:before="60"/>
              <w:rPr>
                <w:rFonts w:asciiTheme="minorHAnsi" w:hAnsiTheme="minorHAnsi" w:cstheme="minorHAnsi"/>
                <w:i/>
                <w:sz w:val="20"/>
                <w:szCs w:val="20"/>
              </w:rPr>
            </w:pPr>
          </w:p>
          <w:p w14:paraId="2ADD53D5" w14:textId="77777777" w:rsidR="008D7E24" w:rsidRPr="00894841" w:rsidRDefault="008D7E24" w:rsidP="00DB2DCE">
            <w:pPr>
              <w:spacing w:before="60"/>
              <w:rPr>
                <w:rFonts w:asciiTheme="minorHAnsi" w:hAnsiTheme="minorHAnsi" w:cstheme="minorHAnsi"/>
                <w:i/>
                <w:sz w:val="20"/>
                <w:szCs w:val="20"/>
              </w:rPr>
            </w:pPr>
          </w:p>
          <w:p w14:paraId="07E5D642" w14:textId="77777777" w:rsidR="008D7E24" w:rsidRPr="00894841" w:rsidRDefault="008D7E24" w:rsidP="00DB2DCE">
            <w:pPr>
              <w:spacing w:before="60"/>
              <w:rPr>
                <w:rFonts w:asciiTheme="minorHAnsi" w:hAnsiTheme="minorHAnsi" w:cstheme="minorHAnsi"/>
                <w:i/>
                <w:sz w:val="20"/>
                <w:szCs w:val="20"/>
              </w:rPr>
            </w:pPr>
            <w:r w:rsidRPr="00894841">
              <w:rPr>
                <w:rFonts w:asciiTheme="minorHAnsi" w:hAnsiTheme="minorHAnsi" w:cstheme="minorHAnsi"/>
                <w:i/>
                <w:sz w:val="20"/>
                <w:szCs w:val="20"/>
              </w:rPr>
              <w:t>A solution for the removal of nutrients loads from the lake and the reduction of pressure on forests is tested.</w:t>
            </w:r>
          </w:p>
          <w:p w14:paraId="17595BF0" w14:textId="77777777" w:rsidR="008D7E24" w:rsidRPr="00894841" w:rsidRDefault="008D7E24" w:rsidP="00DB2DCE">
            <w:pPr>
              <w:spacing w:before="60"/>
              <w:rPr>
                <w:rFonts w:asciiTheme="minorHAnsi" w:hAnsiTheme="minorHAnsi" w:cstheme="minorHAnsi"/>
                <w:i/>
                <w:sz w:val="20"/>
                <w:szCs w:val="20"/>
              </w:rPr>
            </w:pPr>
          </w:p>
          <w:p w14:paraId="5A28B9A0" w14:textId="77777777" w:rsidR="008D7E24" w:rsidRPr="00894841" w:rsidRDefault="008D7E24" w:rsidP="00DB2DCE">
            <w:pPr>
              <w:spacing w:before="60"/>
              <w:rPr>
                <w:rFonts w:asciiTheme="minorHAnsi" w:hAnsiTheme="minorHAnsi" w:cstheme="minorHAnsi"/>
                <w:i/>
                <w:sz w:val="20"/>
                <w:szCs w:val="20"/>
              </w:rPr>
            </w:pPr>
          </w:p>
          <w:p w14:paraId="6766107E" w14:textId="77777777" w:rsidR="008D7E24" w:rsidRPr="00894841" w:rsidRDefault="008D7E24" w:rsidP="00DB2DCE">
            <w:pPr>
              <w:spacing w:before="60"/>
              <w:rPr>
                <w:rFonts w:asciiTheme="minorHAnsi" w:hAnsiTheme="minorHAnsi" w:cstheme="minorHAnsi"/>
                <w:i/>
                <w:sz w:val="20"/>
                <w:szCs w:val="20"/>
              </w:rPr>
            </w:pPr>
          </w:p>
          <w:p w14:paraId="5193A05E" w14:textId="77777777" w:rsidR="008D7E24" w:rsidRPr="00894841" w:rsidRDefault="008D7E24" w:rsidP="00DB2DCE">
            <w:pPr>
              <w:spacing w:before="60"/>
              <w:rPr>
                <w:rFonts w:asciiTheme="minorHAnsi" w:hAnsiTheme="minorHAnsi" w:cstheme="minorHAnsi"/>
                <w:i/>
                <w:sz w:val="20"/>
                <w:szCs w:val="20"/>
              </w:rPr>
            </w:pPr>
          </w:p>
          <w:p w14:paraId="277C13E3" w14:textId="77777777" w:rsidR="008D7E24" w:rsidRPr="00894841" w:rsidRDefault="008D7E24" w:rsidP="00DB2DCE">
            <w:pPr>
              <w:spacing w:before="60"/>
              <w:rPr>
                <w:rFonts w:asciiTheme="minorHAnsi" w:hAnsiTheme="minorHAnsi" w:cstheme="minorHAnsi"/>
                <w:i/>
                <w:sz w:val="20"/>
                <w:szCs w:val="20"/>
              </w:rPr>
            </w:pPr>
          </w:p>
          <w:p w14:paraId="5E13A7DB" w14:textId="77777777" w:rsidR="008D7E24" w:rsidRPr="00894841" w:rsidRDefault="008D7E24" w:rsidP="00DB2DCE">
            <w:pPr>
              <w:spacing w:before="60"/>
              <w:rPr>
                <w:rFonts w:asciiTheme="minorHAnsi" w:hAnsiTheme="minorHAnsi" w:cstheme="minorHAnsi"/>
                <w:i/>
                <w:sz w:val="20"/>
                <w:szCs w:val="20"/>
              </w:rPr>
            </w:pPr>
            <w:r w:rsidRPr="00894841">
              <w:rPr>
                <w:rFonts w:asciiTheme="minorHAnsi" w:hAnsiTheme="minorHAnsi" w:cstheme="minorHAnsi"/>
                <w:i/>
                <w:sz w:val="20"/>
                <w:szCs w:val="20"/>
              </w:rPr>
              <w:t>[Facilitate cooperation among Drin Riparians for the management of flood risk implementing approaches new to the area.]</w:t>
            </w:r>
          </w:p>
          <w:p w14:paraId="331B65D5" w14:textId="77777777" w:rsidR="008D7E24" w:rsidRPr="00894841" w:rsidRDefault="008D7E24" w:rsidP="00DB2DCE">
            <w:pPr>
              <w:spacing w:before="60"/>
              <w:rPr>
                <w:rFonts w:asciiTheme="minorHAnsi" w:hAnsiTheme="minorHAnsi" w:cstheme="minorHAnsi"/>
                <w:i/>
                <w:sz w:val="20"/>
                <w:szCs w:val="20"/>
              </w:rPr>
            </w:pPr>
          </w:p>
          <w:p w14:paraId="3D1E7E16" w14:textId="77777777" w:rsidR="008D7E24" w:rsidRPr="00894841" w:rsidRDefault="008D7E24" w:rsidP="00DB2DCE">
            <w:pPr>
              <w:spacing w:before="60"/>
              <w:rPr>
                <w:rFonts w:asciiTheme="minorHAnsi" w:hAnsiTheme="minorHAnsi" w:cstheme="minorHAnsi"/>
                <w:i/>
                <w:sz w:val="20"/>
                <w:szCs w:val="20"/>
              </w:rPr>
            </w:pPr>
          </w:p>
          <w:p w14:paraId="55D7E66F" w14:textId="77777777" w:rsidR="008D7E24" w:rsidRPr="00894841" w:rsidRDefault="008D7E24" w:rsidP="00DB2DCE">
            <w:pPr>
              <w:spacing w:before="60"/>
              <w:rPr>
                <w:rFonts w:asciiTheme="minorHAnsi" w:hAnsiTheme="minorHAnsi" w:cstheme="minorHAnsi"/>
                <w:i/>
                <w:sz w:val="20"/>
                <w:szCs w:val="20"/>
              </w:rPr>
            </w:pPr>
          </w:p>
          <w:p w14:paraId="56B0255C" w14:textId="77777777" w:rsidR="008D7E24" w:rsidRPr="00894841" w:rsidRDefault="008D7E24" w:rsidP="00DB2DCE">
            <w:pPr>
              <w:spacing w:before="60"/>
              <w:rPr>
                <w:rFonts w:asciiTheme="minorHAnsi" w:hAnsiTheme="minorHAnsi" w:cstheme="minorHAnsi"/>
                <w:i/>
                <w:sz w:val="20"/>
                <w:szCs w:val="20"/>
              </w:rPr>
            </w:pPr>
          </w:p>
          <w:p w14:paraId="3E962FFC" w14:textId="77777777" w:rsidR="008D7E24" w:rsidRPr="00894841" w:rsidRDefault="008D7E24" w:rsidP="00DB2DCE">
            <w:pPr>
              <w:spacing w:before="60"/>
              <w:rPr>
                <w:rFonts w:asciiTheme="minorHAnsi" w:hAnsiTheme="minorHAnsi" w:cstheme="minorHAnsi"/>
                <w:i/>
                <w:sz w:val="20"/>
                <w:szCs w:val="20"/>
              </w:rPr>
            </w:pPr>
          </w:p>
          <w:p w14:paraId="22BBB02A" w14:textId="77777777" w:rsidR="008D7E24" w:rsidRPr="00894841" w:rsidRDefault="008D7E24" w:rsidP="00DB2DCE">
            <w:pPr>
              <w:spacing w:before="60"/>
              <w:rPr>
                <w:rFonts w:asciiTheme="minorHAnsi" w:hAnsiTheme="minorHAnsi" w:cstheme="minorHAnsi"/>
                <w:i/>
                <w:sz w:val="20"/>
                <w:szCs w:val="20"/>
              </w:rPr>
            </w:pPr>
          </w:p>
          <w:p w14:paraId="1561F807" w14:textId="77777777" w:rsidR="008D7E24" w:rsidRPr="00894841" w:rsidRDefault="008D7E24" w:rsidP="00DB2DCE">
            <w:pPr>
              <w:spacing w:before="60"/>
              <w:rPr>
                <w:rFonts w:asciiTheme="minorHAnsi" w:hAnsiTheme="minorHAnsi" w:cstheme="minorHAnsi"/>
                <w:i/>
                <w:sz w:val="20"/>
                <w:szCs w:val="20"/>
              </w:rPr>
            </w:pPr>
          </w:p>
          <w:p w14:paraId="6A74E3EE" w14:textId="77777777" w:rsidR="008D7E24" w:rsidRPr="00894841" w:rsidRDefault="008D7E24" w:rsidP="00DB2DCE">
            <w:pPr>
              <w:spacing w:before="60"/>
              <w:rPr>
                <w:rFonts w:asciiTheme="minorHAnsi" w:hAnsiTheme="minorHAnsi" w:cstheme="minorHAnsi"/>
                <w:i/>
                <w:sz w:val="20"/>
                <w:szCs w:val="20"/>
              </w:rPr>
            </w:pPr>
          </w:p>
          <w:p w14:paraId="215914ED" w14:textId="77777777" w:rsidR="008D7E24" w:rsidRPr="00894841" w:rsidRDefault="008D7E24" w:rsidP="00DB2DCE">
            <w:pPr>
              <w:spacing w:before="60"/>
              <w:rPr>
                <w:rFonts w:asciiTheme="minorHAnsi" w:hAnsiTheme="minorHAnsi" w:cstheme="minorHAnsi"/>
                <w:i/>
                <w:sz w:val="20"/>
                <w:szCs w:val="20"/>
              </w:rPr>
            </w:pPr>
          </w:p>
          <w:p w14:paraId="71849E6A" w14:textId="77777777" w:rsidR="008D7E24" w:rsidRPr="00894841" w:rsidRDefault="008D7E24" w:rsidP="00DB2DCE">
            <w:pPr>
              <w:spacing w:before="60"/>
              <w:rPr>
                <w:rFonts w:asciiTheme="minorHAnsi" w:hAnsiTheme="minorHAnsi" w:cstheme="minorHAnsi"/>
                <w:i/>
                <w:sz w:val="20"/>
                <w:szCs w:val="20"/>
              </w:rPr>
            </w:pPr>
          </w:p>
          <w:p w14:paraId="07BE2BF1" w14:textId="77777777" w:rsidR="008D7E24" w:rsidRPr="00894841" w:rsidRDefault="008D7E24" w:rsidP="00DB2DCE">
            <w:pPr>
              <w:spacing w:before="60"/>
              <w:rPr>
                <w:rFonts w:asciiTheme="minorHAnsi" w:hAnsiTheme="minorHAnsi" w:cstheme="minorHAnsi"/>
                <w:i/>
                <w:sz w:val="20"/>
                <w:szCs w:val="20"/>
              </w:rPr>
            </w:pPr>
          </w:p>
          <w:p w14:paraId="25A87187" w14:textId="77777777" w:rsidR="008D7E24" w:rsidRPr="00894841" w:rsidRDefault="008D7E24" w:rsidP="00DB2DCE">
            <w:pPr>
              <w:spacing w:before="60"/>
              <w:rPr>
                <w:rFonts w:asciiTheme="minorHAnsi" w:hAnsiTheme="minorHAnsi" w:cstheme="minorHAnsi"/>
                <w:i/>
                <w:sz w:val="20"/>
                <w:szCs w:val="20"/>
              </w:rPr>
            </w:pPr>
          </w:p>
          <w:p w14:paraId="4A180BA1" w14:textId="77777777" w:rsidR="008D7E24" w:rsidRPr="00894841" w:rsidRDefault="008D7E24" w:rsidP="00DB2DCE">
            <w:pPr>
              <w:spacing w:before="60"/>
              <w:rPr>
                <w:rFonts w:asciiTheme="minorHAnsi" w:hAnsiTheme="minorHAnsi" w:cstheme="minorHAnsi"/>
                <w:i/>
                <w:sz w:val="20"/>
                <w:szCs w:val="20"/>
              </w:rPr>
            </w:pPr>
          </w:p>
          <w:p w14:paraId="1782F330" w14:textId="77777777" w:rsidR="008D7E24" w:rsidRPr="00894841" w:rsidRDefault="008D7E24" w:rsidP="00DB2DCE">
            <w:pPr>
              <w:spacing w:before="60"/>
              <w:rPr>
                <w:rFonts w:asciiTheme="minorHAnsi" w:hAnsiTheme="minorHAnsi" w:cstheme="minorHAnsi"/>
                <w:i/>
                <w:sz w:val="20"/>
                <w:szCs w:val="20"/>
              </w:rPr>
            </w:pPr>
          </w:p>
          <w:p w14:paraId="15B827CC" w14:textId="77777777" w:rsidR="008D7E24" w:rsidRPr="00894841" w:rsidRDefault="008D7E24" w:rsidP="00DB2DCE">
            <w:pPr>
              <w:spacing w:before="60"/>
              <w:rPr>
                <w:rFonts w:asciiTheme="minorHAnsi" w:hAnsiTheme="minorHAnsi" w:cstheme="minorHAnsi"/>
                <w:i/>
                <w:sz w:val="20"/>
                <w:szCs w:val="20"/>
              </w:rPr>
            </w:pPr>
          </w:p>
          <w:p w14:paraId="54DB68CB" w14:textId="77777777" w:rsidR="008D7E24" w:rsidRPr="00894841" w:rsidRDefault="008D7E24" w:rsidP="00DB2DCE">
            <w:pPr>
              <w:spacing w:before="60"/>
              <w:rPr>
                <w:rFonts w:asciiTheme="minorHAnsi" w:hAnsiTheme="minorHAnsi" w:cstheme="minorHAnsi"/>
                <w:i/>
                <w:sz w:val="20"/>
                <w:szCs w:val="20"/>
              </w:rPr>
            </w:pPr>
          </w:p>
          <w:p w14:paraId="0050099E" w14:textId="77777777" w:rsidR="008D7E24" w:rsidRPr="00894841" w:rsidRDefault="008D7E24" w:rsidP="00DB2DCE">
            <w:pPr>
              <w:spacing w:before="60"/>
              <w:rPr>
                <w:rFonts w:asciiTheme="minorHAnsi" w:hAnsiTheme="minorHAnsi" w:cstheme="minorHAnsi"/>
                <w:sz w:val="20"/>
                <w:szCs w:val="20"/>
              </w:rPr>
            </w:pPr>
          </w:p>
          <w:p w14:paraId="198DAC05"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i/>
                <w:sz w:val="20"/>
                <w:szCs w:val="20"/>
              </w:rPr>
              <w:t xml:space="preserve">A transboundary monitoring network is tested, </w:t>
            </w:r>
            <w:r w:rsidRPr="00894841">
              <w:rPr>
                <w:rFonts w:asciiTheme="minorHAnsi" w:hAnsiTheme="minorHAnsi" w:cstheme="minorHAnsi"/>
                <w:i/>
                <w:sz w:val="20"/>
                <w:szCs w:val="20"/>
              </w:rPr>
              <w:lastRenderedPageBreak/>
              <w:t>capacitating Drin Riparians to replicate this in the rest of the Drin’s sub-basins</w:t>
            </w:r>
            <w:r w:rsidRPr="00894841">
              <w:rPr>
                <w:rFonts w:asciiTheme="minorHAnsi" w:hAnsiTheme="minorHAnsi" w:cstheme="minorHAnsi"/>
                <w:sz w:val="20"/>
                <w:szCs w:val="20"/>
              </w:rPr>
              <w:t>.</w:t>
            </w:r>
          </w:p>
          <w:p w14:paraId="6B0D0971" w14:textId="77777777" w:rsidR="008D7E24" w:rsidRPr="00894841" w:rsidRDefault="008D7E24" w:rsidP="00DB2DCE">
            <w:pPr>
              <w:spacing w:before="60"/>
              <w:rPr>
                <w:rFonts w:asciiTheme="minorHAnsi" w:hAnsiTheme="minorHAnsi" w:cstheme="minorHAnsi"/>
                <w:sz w:val="20"/>
                <w:szCs w:val="20"/>
              </w:rPr>
            </w:pPr>
          </w:p>
        </w:tc>
        <w:tc>
          <w:tcPr>
            <w:tcW w:w="2694" w:type="dxa"/>
            <w:shd w:val="clear" w:color="auto" w:fill="FFCC00"/>
          </w:tcPr>
          <w:p w14:paraId="6E302326"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lastRenderedPageBreak/>
              <w:t>Final reports of all pilot demonstrations.</w:t>
            </w:r>
          </w:p>
          <w:p w14:paraId="47C158D3" w14:textId="77777777" w:rsidR="008D7E24" w:rsidRPr="00894841" w:rsidRDefault="008D7E24" w:rsidP="00DB2DCE">
            <w:pPr>
              <w:spacing w:before="60"/>
              <w:rPr>
                <w:rFonts w:asciiTheme="minorHAnsi" w:hAnsiTheme="minorHAnsi" w:cstheme="minorHAnsi"/>
                <w:sz w:val="20"/>
                <w:szCs w:val="20"/>
              </w:rPr>
            </w:pPr>
          </w:p>
          <w:p w14:paraId="5F795F68"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PIRs, Mid-term and Final Evaluations.</w:t>
            </w:r>
          </w:p>
          <w:p w14:paraId="4E4E00EE" w14:textId="77777777" w:rsidR="008D7E24" w:rsidRPr="00894841" w:rsidRDefault="008D7E24" w:rsidP="00DB2DCE">
            <w:pPr>
              <w:spacing w:before="60"/>
              <w:rPr>
                <w:rFonts w:asciiTheme="minorHAnsi" w:hAnsiTheme="minorHAnsi" w:cstheme="minorHAnsi"/>
                <w:sz w:val="20"/>
                <w:szCs w:val="20"/>
              </w:rPr>
            </w:pPr>
          </w:p>
          <w:p w14:paraId="218696BC" w14:textId="77777777" w:rsidR="008D7E24" w:rsidRPr="00894841" w:rsidRDefault="008D7E24" w:rsidP="00DB2DCE">
            <w:pPr>
              <w:rPr>
                <w:rFonts w:asciiTheme="minorHAnsi" w:hAnsiTheme="minorHAnsi" w:cstheme="minorHAnsi"/>
                <w:sz w:val="20"/>
                <w:szCs w:val="20"/>
              </w:rPr>
            </w:pPr>
            <w:r w:rsidRPr="00894841">
              <w:rPr>
                <w:rFonts w:asciiTheme="minorHAnsi" w:hAnsiTheme="minorHAnsi" w:cstheme="minorHAnsi"/>
                <w:sz w:val="20"/>
                <w:szCs w:val="20"/>
              </w:rPr>
              <w:t>Project Website.</w:t>
            </w:r>
          </w:p>
          <w:p w14:paraId="43516FD5" w14:textId="77777777" w:rsidR="008D7E24" w:rsidRPr="00894841" w:rsidRDefault="008D7E24" w:rsidP="00DB2DCE">
            <w:pPr>
              <w:rPr>
                <w:rFonts w:asciiTheme="minorHAnsi" w:hAnsiTheme="minorHAnsi" w:cstheme="minorHAnsi"/>
                <w:sz w:val="20"/>
                <w:szCs w:val="20"/>
              </w:rPr>
            </w:pPr>
          </w:p>
          <w:p w14:paraId="263C0770" w14:textId="77777777" w:rsidR="008D7E24" w:rsidRPr="00894841" w:rsidRDefault="008D7E24" w:rsidP="00DB2DCE">
            <w:pPr>
              <w:rPr>
                <w:rFonts w:asciiTheme="minorHAnsi" w:hAnsiTheme="minorHAnsi" w:cstheme="minorHAnsi"/>
                <w:i/>
                <w:sz w:val="20"/>
                <w:szCs w:val="20"/>
              </w:rPr>
            </w:pPr>
            <w:r w:rsidRPr="00894841">
              <w:rPr>
                <w:rFonts w:asciiTheme="minorHAnsi" w:hAnsiTheme="minorHAnsi" w:cstheme="minorHAnsi"/>
                <w:i/>
                <w:sz w:val="20"/>
                <w:szCs w:val="20"/>
              </w:rPr>
              <w:t>Ohrid Basin Management Plan.</w:t>
            </w:r>
          </w:p>
          <w:p w14:paraId="67F60AFC" w14:textId="77777777" w:rsidR="008D7E24" w:rsidRPr="00894841" w:rsidRDefault="008D7E24" w:rsidP="00DB2DCE">
            <w:pPr>
              <w:rPr>
                <w:rFonts w:asciiTheme="minorHAnsi" w:hAnsiTheme="minorHAnsi" w:cstheme="minorHAnsi"/>
                <w:i/>
                <w:sz w:val="20"/>
                <w:szCs w:val="20"/>
              </w:rPr>
            </w:pPr>
          </w:p>
          <w:p w14:paraId="65104155" w14:textId="77777777" w:rsidR="008D7E24" w:rsidRPr="00894841" w:rsidRDefault="008D7E24" w:rsidP="00DB2DCE">
            <w:pPr>
              <w:rPr>
                <w:rFonts w:asciiTheme="minorHAnsi" w:hAnsiTheme="minorHAnsi" w:cstheme="minorHAnsi"/>
                <w:i/>
                <w:sz w:val="20"/>
                <w:szCs w:val="20"/>
              </w:rPr>
            </w:pPr>
          </w:p>
          <w:p w14:paraId="3BA74746" w14:textId="77777777" w:rsidR="008D7E24" w:rsidRPr="00894841" w:rsidRDefault="008D7E24" w:rsidP="00DB2DCE">
            <w:pPr>
              <w:rPr>
                <w:rFonts w:asciiTheme="minorHAnsi" w:hAnsiTheme="minorHAnsi" w:cstheme="minorHAnsi"/>
                <w:i/>
                <w:sz w:val="20"/>
                <w:szCs w:val="20"/>
              </w:rPr>
            </w:pPr>
          </w:p>
          <w:p w14:paraId="1B6629C4" w14:textId="77777777" w:rsidR="008D7E24" w:rsidRPr="00894841" w:rsidRDefault="008D7E24" w:rsidP="00DB2DCE">
            <w:pPr>
              <w:rPr>
                <w:rFonts w:asciiTheme="minorHAnsi" w:hAnsiTheme="minorHAnsi" w:cstheme="minorHAnsi"/>
                <w:i/>
                <w:sz w:val="20"/>
                <w:szCs w:val="20"/>
              </w:rPr>
            </w:pPr>
          </w:p>
          <w:p w14:paraId="395CF5CE" w14:textId="77777777" w:rsidR="008D7E24" w:rsidRPr="00894841" w:rsidRDefault="008D7E24" w:rsidP="00DB2DCE">
            <w:pPr>
              <w:rPr>
                <w:rFonts w:asciiTheme="minorHAnsi" w:hAnsiTheme="minorHAnsi" w:cstheme="minorHAnsi"/>
                <w:i/>
                <w:sz w:val="20"/>
                <w:szCs w:val="20"/>
              </w:rPr>
            </w:pPr>
          </w:p>
          <w:p w14:paraId="3E4EC31E" w14:textId="77777777" w:rsidR="008D7E24" w:rsidRPr="00894841" w:rsidRDefault="008D7E24" w:rsidP="00DB2DCE">
            <w:pPr>
              <w:rPr>
                <w:rFonts w:asciiTheme="minorHAnsi" w:hAnsiTheme="minorHAnsi" w:cstheme="minorHAnsi"/>
                <w:i/>
                <w:sz w:val="20"/>
                <w:szCs w:val="20"/>
              </w:rPr>
            </w:pPr>
          </w:p>
          <w:p w14:paraId="6EA02339" w14:textId="77777777" w:rsidR="008D7E24" w:rsidRPr="00894841" w:rsidRDefault="008D7E24" w:rsidP="00DB2DCE">
            <w:pPr>
              <w:rPr>
                <w:rFonts w:asciiTheme="minorHAnsi" w:hAnsiTheme="minorHAnsi" w:cstheme="minorHAnsi"/>
                <w:i/>
                <w:sz w:val="20"/>
                <w:szCs w:val="20"/>
              </w:rPr>
            </w:pPr>
          </w:p>
          <w:p w14:paraId="10742CEF" w14:textId="77777777" w:rsidR="008D7E24" w:rsidRPr="00894841" w:rsidRDefault="008D7E24" w:rsidP="00DB2DCE">
            <w:pPr>
              <w:rPr>
                <w:rFonts w:asciiTheme="minorHAnsi" w:hAnsiTheme="minorHAnsi" w:cstheme="minorHAnsi"/>
                <w:i/>
                <w:sz w:val="20"/>
                <w:szCs w:val="20"/>
              </w:rPr>
            </w:pPr>
          </w:p>
          <w:p w14:paraId="53EC7D9A" w14:textId="77777777" w:rsidR="008D7E24" w:rsidRPr="00894841" w:rsidRDefault="008D7E24" w:rsidP="00DB2DCE">
            <w:pPr>
              <w:rPr>
                <w:rFonts w:asciiTheme="minorHAnsi" w:hAnsiTheme="minorHAnsi" w:cstheme="minorHAnsi"/>
                <w:i/>
                <w:sz w:val="20"/>
                <w:szCs w:val="20"/>
              </w:rPr>
            </w:pPr>
          </w:p>
          <w:p w14:paraId="329B604D" w14:textId="77777777" w:rsidR="008D7E24" w:rsidRPr="00894841" w:rsidRDefault="008D7E24" w:rsidP="00DB2DCE">
            <w:pPr>
              <w:rPr>
                <w:rFonts w:asciiTheme="minorHAnsi" w:hAnsiTheme="minorHAnsi" w:cstheme="minorHAnsi"/>
                <w:i/>
                <w:sz w:val="20"/>
                <w:szCs w:val="20"/>
              </w:rPr>
            </w:pPr>
            <w:r w:rsidRPr="00894841">
              <w:rPr>
                <w:rFonts w:asciiTheme="minorHAnsi" w:hAnsiTheme="minorHAnsi" w:cstheme="minorHAnsi"/>
                <w:i/>
                <w:sz w:val="20"/>
                <w:szCs w:val="20"/>
              </w:rPr>
              <w:t>Report describing methodology and outcomes; modelling tool.</w:t>
            </w:r>
          </w:p>
          <w:p w14:paraId="0DCA3E45" w14:textId="77777777" w:rsidR="008D7E24" w:rsidRPr="00894841" w:rsidRDefault="008D7E24" w:rsidP="00DB2DCE">
            <w:pPr>
              <w:rPr>
                <w:rFonts w:asciiTheme="minorHAnsi" w:hAnsiTheme="minorHAnsi" w:cstheme="minorHAnsi"/>
                <w:i/>
                <w:sz w:val="20"/>
                <w:szCs w:val="20"/>
              </w:rPr>
            </w:pPr>
          </w:p>
          <w:p w14:paraId="22C39DCE" w14:textId="77777777" w:rsidR="008D7E24" w:rsidRPr="00894841" w:rsidRDefault="008D7E24" w:rsidP="00DB2DCE">
            <w:pPr>
              <w:rPr>
                <w:rFonts w:asciiTheme="minorHAnsi" w:hAnsiTheme="minorHAnsi" w:cstheme="minorHAnsi"/>
                <w:i/>
                <w:sz w:val="20"/>
                <w:szCs w:val="20"/>
              </w:rPr>
            </w:pPr>
          </w:p>
          <w:p w14:paraId="4589BF47" w14:textId="77777777" w:rsidR="008D7E24" w:rsidRPr="00894841" w:rsidRDefault="008D7E24" w:rsidP="00DB2DCE">
            <w:pPr>
              <w:rPr>
                <w:rFonts w:asciiTheme="minorHAnsi" w:hAnsiTheme="minorHAnsi" w:cstheme="minorHAnsi"/>
                <w:i/>
                <w:sz w:val="20"/>
                <w:szCs w:val="20"/>
              </w:rPr>
            </w:pPr>
          </w:p>
          <w:p w14:paraId="507BDFA8" w14:textId="77777777" w:rsidR="008D7E24" w:rsidRPr="00894841" w:rsidRDefault="008D7E24" w:rsidP="00DB2DCE">
            <w:pPr>
              <w:rPr>
                <w:rFonts w:asciiTheme="minorHAnsi" w:hAnsiTheme="minorHAnsi" w:cstheme="minorHAnsi"/>
                <w:i/>
                <w:sz w:val="20"/>
                <w:szCs w:val="20"/>
              </w:rPr>
            </w:pPr>
          </w:p>
          <w:p w14:paraId="3B401A35" w14:textId="77777777" w:rsidR="008D7E24" w:rsidRPr="00894841" w:rsidRDefault="008D7E24" w:rsidP="00DB2DCE">
            <w:pPr>
              <w:rPr>
                <w:rFonts w:asciiTheme="minorHAnsi" w:hAnsiTheme="minorHAnsi" w:cstheme="minorHAnsi"/>
                <w:i/>
                <w:sz w:val="20"/>
                <w:szCs w:val="20"/>
              </w:rPr>
            </w:pPr>
          </w:p>
          <w:p w14:paraId="253A257E" w14:textId="77777777" w:rsidR="008D7E24" w:rsidRPr="00894841" w:rsidRDefault="008D7E24" w:rsidP="00DB2DCE">
            <w:pPr>
              <w:rPr>
                <w:rFonts w:asciiTheme="minorHAnsi" w:hAnsiTheme="minorHAnsi" w:cstheme="minorHAnsi"/>
                <w:i/>
                <w:sz w:val="20"/>
                <w:szCs w:val="20"/>
              </w:rPr>
            </w:pPr>
          </w:p>
          <w:p w14:paraId="42BD1C21" w14:textId="77777777" w:rsidR="008D7E24" w:rsidRPr="00894841" w:rsidRDefault="008D7E24" w:rsidP="00DB2DCE">
            <w:pPr>
              <w:rPr>
                <w:rFonts w:asciiTheme="minorHAnsi" w:hAnsiTheme="minorHAnsi" w:cstheme="minorHAnsi"/>
                <w:i/>
                <w:sz w:val="20"/>
                <w:szCs w:val="20"/>
              </w:rPr>
            </w:pPr>
          </w:p>
          <w:p w14:paraId="6BECF128" w14:textId="77777777" w:rsidR="008D7E24" w:rsidRPr="00894841" w:rsidRDefault="008D7E24" w:rsidP="00DB2DCE">
            <w:pPr>
              <w:rPr>
                <w:rFonts w:asciiTheme="minorHAnsi" w:hAnsiTheme="minorHAnsi" w:cstheme="minorHAnsi"/>
                <w:i/>
                <w:sz w:val="20"/>
                <w:szCs w:val="20"/>
              </w:rPr>
            </w:pPr>
          </w:p>
          <w:p w14:paraId="7BEC7D32" w14:textId="77777777" w:rsidR="008D7E24" w:rsidRPr="00894841" w:rsidRDefault="008D7E24" w:rsidP="00DB2DCE">
            <w:pPr>
              <w:rPr>
                <w:rFonts w:asciiTheme="minorHAnsi" w:hAnsiTheme="minorHAnsi" w:cstheme="minorHAnsi"/>
                <w:i/>
                <w:sz w:val="20"/>
                <w:szCs w:val="20"/>
              </w:rPr>
            </w:pPr>
          </w:p>
          <w:p w14:paraId="3A8BD622" w14:textId="77777777" w:rsidR="008D7E24" w:rsidRPr="00894841" w:rsidRDefault="008D7E24" w:rsidP="00DB2DCE">
            <w:pPr>
              <w:rPr>
                <w:rFonts w:asciiTheme="minorHAnsi" w:hAnsiTheme="minorHAnsi" w:cstheme="minorHAnsi"/>
                <w:i/>
                <w:sz w:val="20"/>
                <w:szCs w:val="20"/>
              </w:rPr>
            </w:pPr>
          </w:p>
          <w:p w14:paraId="21A2B0A4" w14:textId="77777777" w:rsidR="008D7E24" w:rsidRPr="00894841" w:rsidRDefault="008D7E24" w:rsidP="00DB2DCE">
            <w:pPr>
              <w:rPr>
                <w:rFonts w:asciiTheme="minorHAnsi" w:hAnsiTheme="minorHAnsi" w:cstheme="minorHAnsi"/>
                <w:i/>
                <w:sz w:val="20"/>
                <w:szCs w:val="20"/>
              </w:rPr>
            </w:pPr>
          </w:p>
          <w:p w14:paraId="795F58B2" w14:textId="77777777" w:rsidR="008D7E24" w:rsidRPr="00894841" w:rsidRDefault="008D7E24" w:rsidP="00DB2DCE">
            <w:pPr>
              <w:rPr>
                <w:rFonts w:asciiTheme="minorHAnsi" w:hAnsiTheme="minorHAnsi" w:cstheme="minorHAnsi"/>
                <w:i/>
                <w:color w:val="000000"/>
                <w:sz w:val="20"/>
                <w:szCs w:val="20"/>
              </w:rPr>
            </w:pPr>
            <w:r w:rsidRPr="00894841">
              <w:rPr>
                <w:rFonts w:asciiTheme="minorHAnsi" w:hAnsiTheme="minorHAnsi" w:cstheme="minorHAnsi"/>
                <w:i/>
                <w:color w:val="000000"/>
                <w:sz w:val="20"/>
                <w:szCs w:val="20"/>
              </w:rPr>
              <w:t>Facility, equipment and scheme for production of fuel-briquettes from Skadar Lake macrophytes.</w:t>
            </w:r>
          </w:p>
          <w:p w14:paraId="59DA8BB0" w14:textId="77777777" w:rsidR="008D7E24" w:rsidRPr="00894841" w:rsidRDefault="008D7E24" w:rsidP="00DB2DCE">
            <w:pPr>
              <w:rPr>
                <w:rFonts w:asciiTheme="minorHAnsi" w:hAnsiTheme="minorHAnsi" w:cstheme="minorHAnsi"/>
                <w:i/>
                <w:color w:val="000000"/>
                <w:sz w:val="20"/>
                <w:szCs w:val="20"/>
              </w:rPr>
            </w:pPr>
          </w:p>
          <w:p w14:paraId="302DD5DA" w14:textId="77777777" w:rsidR="008D7E24" w:rsidRPr="00894841" w:rsidRDefault="008D7E24" w:rsidP="00DB2DCE">
            <w:pPr>
              <w:rPr>
                <w:rFonts w:asciiTheme="minorHAnsi" w:hAnsiTheme="minorHAnsi" w:cstheme="minorHAnsi"/>
                <w:i/>
                <w:color w:val="000000"/>
                <w:sz w:val="20"/>
                <w:szCs w:val="20"/>
              </w:rPr>
            </w:pPr>
          </w:p>
          <w:p w14:paraId="6971C9C9" w14:textId="77777777" w:rsidR="008D7E24" w:rsidRPr="00894841" w:rsidRDefault="008D7E24" w:rsidP="00DB2DCE">
            <w:pPr>
              <w:rPr>
                <w:rFonts w:asciiTheme="minorHAnsi" w:hAnsiTheme="minorHAnsi" w:cstheme="minorHAnsi"/>
                <w:i/>
                <w:color w:val="000000"/>
                <w:sz w:val="20"/>
                <w:szCs w:val="20"/>
              </w:rPr>
            </w:pPr>
          </w:p>
          <w:p w14:paraId="4D5709B2" w14:textId="77777777" w:rsidR="008D7E24" w:rsidRPr="00894841" w:rsidRDefault="008D7E24" w:rsidP="00DB2DCE">
            <w:pPr>
              <w:rPr>
                <w:rFonts w:asciiTheme="minorHAnsi" w:hAnsiTheme="minorHAnsi" w:cstheme="minorHAnsi"/>
                <w:i/>
                <w:color w:val="000000"/>
                <w:sz w:val="20"/>
                <w:szCs w:val="20"/>
              </w:rPr>
            </w:pPr>
          </w:p>
          <w:p w14:paraId="1F1BDE2A" w14:textId="77777777" w:rsidR="008D7E24" w:rsidRPr="00894841" w:rsidRDefault="008D7E24" w:rsidP="00DB2DCE">
            <w:pPr>
              <w:rPr>
                <w:rFonts w:asciiTheme="minorHAnsi" w:hAnsiTheme="minorHAnsi" w:cstheme="minorHAnsi"/>
                <w:i/>
                <w:color w:val="000000"/>
                <w:sz w:val="20"/>
                <w:szCs w:val="20"/>
              </w:rPr>
            </w:pPr>
          </w:p>
          <w:p w14:paraId="0B26A556" w14:textId="77777777" w:rsidR="008D7E24" w:rsidRPr="00894841" w:rsidRDefault="008D7E24" w:rsidP="00DB2DCE">
            <w:pPr>
              <w:rPr>
                <w:rFonts w:asciiTheme="minorHAnsi" w:hAnsiTheme="minorHAnsi" w:cstheme="minorHAnsi"/>
                <w:i/>
                <w:color w:val="000000"/>
                <w:sz w:val="20"/>
                <w:szCs w:val="20"/>
              </w:rPr>
            </w:pPr>
          </w:p>
          <w:p w14:paraId="64A190EF" w14:textId="77777777" w:rsidR="008D7E24" w:rsidRPr="00894841" w:rsidRDefault="008D7E24" w:rsidP="00DB2DCE">
            <w:pPr>
              <w:rPr>
                <w:rFonts w:asciiTheme="minorHAnsi" w:hAnsiTheme="minorHAnsi" w:cstheme="minorHAnsi"/>
                <w:i/>
                <w:color w:val="000000"/>
                <w:sz w:val="20"/>
                <w:szCs w:val="20"/>
              </w:rPr>
            </w:pPr>
          </w:p>
          <w:p w14:paraId="2541FF9C" w14:textId="77777777" w:rsidR="008D7E24" w:rsidRPr="00894841" w:rsidRDefault="008D7E24" w:rsidP="00DB2DCE">
            <w:pPr>
              <w:rPr>
                <w:rFonts w:asciiTheme="minorHAnsi" w:hAnsiTheme="minorHAnsi" w:cstheme="minorHAnsi"/>
                <w:i/>
                <w:color w:val="000000"/>
                <w:sz w:val="20"/>
                <w:szCs w:val="20"/>
              </w:rPr>
            </w:pPr>
            <w:r w:rsidRPr="00894841">
              <w:rPr>
                <w:rFonts w:asciiTheme="minorHAnsi" w:hAnsiTheme="minorHAnsi" w:cstheme="minorHAnsi"/>
                <w:i/>
                <w:color w:val="000000"/>
                <w:sz w:val="20"/>
                <w:szCs w:val="20"/>
              </w:rPr>
              <w:t>Reports of meetings of Expert Working Group; Assessment report regarding feasibility for flood insurance</w:t>
            </w:r>
          </w:p>
          <w:p w14:paraId="6FF7D4E4" w14:textId="77777777" w:rsidR="008D7E24" w:rsidRPr="00894841" w:rsidRDefault="008D7E24" w:rsidP="00DB2DCE">
            <w:pPr>
              <w:rPr>
                <w:rFonts w:asciiTheme="minorHAnsi" w:hAnsiTheme="minorHAnsi" w:cstheme="minorHAnsi"/>
                <w:i/>
                <w:color w:val="000000"/>
                <w:sz w:val="20"/>
                <w:szCs w:val="20"/>
              </w:rPr>
            </w:pPr>
          </w:p>
          <w:p w14:paraId="11AF2B23" w14:textId="77777777" w:rsidR="008D7E24" w:rsidRPr="00894841" w:rsidRDefault="008D7E24" w:rsidP="00DB2DCE">
            <w:pPr>
              <w:rPr>
                <w:rFonts w:asciiTheme="minorHAnsi" w:hAnsiTheme="minorHAnsi" w:cstheme="minorHAnsi"/>
                <w:i/>
                <w:color w:val="000000"/>
                <w:sz w:val="20"/>
                <w:szCs w:val="20"/>
              </w:rPr>
            </w:pPr>
          </w:p>
          <w:p w14:paraId="08169E62" w14:textId="77777777" w:rsidR="008D7E24" w:rsidRPr="00894841" w:rsidRDefault="008D7E24" w:rsidP="00DB2DCE">
            <w:pPr>
              <w:rPr>
                <w:rFonts w:asciiTheme="minorHAnsi" w:hAnsiTheme="minorHAnsi" w:cstheme="minorHAnsi"/>
                <w:i/>
                <w:color w:val="000000"/>
                <w:sz w:val="20"/>
                <w:szCs w:val="20"/>
              </w:rPr>
            </w:pPr>
          </w:p>
          <w:p w14:paraId="66C6BFB6" w14:textId="77777777" w:rsidR="008D7E24" w:rsidRPr="00894841" w:rsidRDefault="008D7E24" w:rsidP="00DB2DCE">
            <w:pPr>
              <w:rPr>
                <w:rFonts w:asciiTheme="minorHAnsi" w:hAnsiTheme="minorHAnsi" w:cstheme="minorHAnsi"/>
                <w:i/>
                <w:color w:val="000000"/>
                <w:sz w:val="20"/>
                <w:szCs w:val="20"/>
              </w:rPr>
            </w:pPr>
          </w:p>
          <w:p w14:paraId="71B5861A" w14:textId="77777777" w:rsidR="008D7E24" w:rsidRPr="00894841" w:rsidRDefault="008D7E24" w:rsidP="00DB2DCE">
            <w:pPr>
              <w:rPr>
                <w:rFonts w:asciiTheme="minorHAnsi" w:hAnsiTheme="minorHAnsi" w:cstheme="minorHAnsi"/>
                <w:i/>
                <w:color w:val="000000"/>
                <w:sz w:val="20"/>
                <w:szCs w:val="20"/>
              </w:rPr>
            </w:pPr>
          </w:p>
          <w:p w14:paraId="5BE67D3E" w14:textId="77777777" w:rsidR="008D7E24" w:rsidRPr="00894841" w:rsidRDefault="008D7E24" w:rsidP="00DB2DCE">
            <w:pPr>
              <w:rPr>
                <w:rFonts w:asciiTheme="minorHAnsi" w:hAnsiTheme="minorHAnsi" w:cstheme="minorHAnsi"/>
                <w:i/>
                <w:color w:val="000000"/>
                <w:sz w:val="20"/>
                <w:szCs w:val="20"/>
              </w:rPr>
            </w:pPr>
          </w:p>
          <w:p w14:paraId="345F9FA5" w14:textId="77777777" w:rsidR="008D7E24" w:rsidRPr="00894841" w:rsidRDefault="008D7E24" w:rsidP="00DB2DCE">
            <w:pPr>
              <w:rPr>
                <w:rFonts w:asciiTheme="minorHAnsi" w:hAnsiTheme="minorHAnsi" w:cstheme="minorHAnsi"/>
                <w:i/>
                <w:color w:val="000000"/>
                <w:sz w:val="20"/>
                <w:szCs w:val="20"/>
              </w:rPr>
            </w:pPr>
          </w:p>
          <w:p w14:paraId="537C5AE7" w14:textId="77777777" w:rsidR="008D7E24" w:rsidRPr="00894841" w:rsidRDefault="008D7E24" w:rsidP="00DB2DCE">
            <w:pPr>
              <w:rPr>
                <w:rFonts w:asciiTheme="minorHAnsi" w:hAnsiTheme="minorHAnsi" w:cstheme="minorHAnsi"/>
                <w:i/>
                <w:color w:val="000000"/>
                <w:sz w:val="20"/>
                <w:szCs w:val="20"/>
              </w:rPr>
            </w:pPr>
          </w:p>
          <w:p w14:paraId="64B82137" w14:textId="77777777" w:rsidR="008D7E24" w:rsidRPr="00894841" w:rsidRDefault="008D7E24" w:rsidP="00DB2DCE">
            <w:pPr>
              <w:rPr>
                <w:rFonts w:asciiTheme="minorHAnsi" w:hAnsiTheme="minorHAnsi" w:cstheme="minorHAnsi"/>
                <w:i/>
                <w:color w:val="000000"/>
                <w:sz w:val="20"/>
                <w:szCs w:val="20"/>
              </w:rPr>
            </w:pPr>
          </w:p>
          <w:p w14:paraId="06DF17E5" w14:textId="77777777" w:rsidR="008D7E24" w:rsidRPr="00894841" w:rsidRDefault="008D7E24" w:rsidP="00DB2DCE">
            <w:pPr>
              <w:rPr>
                <w:rFonts w:asciiTheme="minorHAnsi" w:hAnsiTheme="minorHAnsi" w:cstheme="minorHAnsi"/>
                <w:i/>
                <w:color w:val="000000"/>
                <w:sz w:val="20"/>
                <w:szCs w:val="20"/>
              </w:rPr>
            </w:pPr>
          </w:p>
          <w:p w14:paraId="37A468A9" w14:textId="77777777" w:rsidR="008D7E24" w:rsidRPr="00894841" w:rsidRDefault="008D7E24" w:rsidP="00DB2DCE">
            <w:pPr>
              <w:rPr>
                <w:rFonts w:asciiTheme="minorHAnsi" w:hAnsiTheme="minorHAnsi" w:cstheme="minorHAnsi"/>
                <w:i/>
                <w:color w:val="000000"/>
                <w:sz w:val="20"/>
                <w:szCs w:val="20"/>
              </w:rPr>
            </w:pPr>
          </w:p>
          <w:p w14:paraId="394FE546" w14:textId="77777777" w:rsidR="008D7E24" w:rsidRPr="00894841" w:rsidRDefault="008D7E24" w:rsidP="00DB2DCE">
            <w:pPr>
              <w:rPr>
                <w:rFonts w:asciiTheme="minorHAnsi" w:hAnsiTheme="minorHAnsi" w:cstheme="minorHAnsi"/>
                <w:i/>
                <w:color w:val="000000"/>
                <w:sz w:val="20"/>
                <w:szCs w:val="20"/>
              </w:rPr>
            </w:pPr>
          </w:p>
          <w:p w14:paraId="491B8C04" w14:textId="77777777" w:rsidR="008D7E24" w:rsidRPr="00894841" w:rsidRDefault="008D7E24" w:rsidP="00DB2DCE">
            <w:pPr>
              <w:rPr>
                <w:rFonts w:asciiTheme="minorHAnsi" w:hAnsiTheme="minorHAnsi" w:cstheme="minorHAnsi"/>
                <w:i/>
                <w:color w:val="000000"/>
                <w:sz w:val="20"/>
                <w:szCs w:val="20"/>
              </w:rPr>
            </w:pPr>
          </w:p>
          <w:p w14:paraId="40D74A46" w14:textId="77777777" w:rsidR="008D7E24" w:rsidRPr="00894841" w:rsidRDefault="008D7E24" w:rsidP="00DB2DCE">
            <w:pPr>
              <w:rPr>
                <w:rFonts w:asciiTheme="minorHAnsi" w:hAnsiTheme="minorHAnsi" w:cstheme="minorHAnsi"/>
                <w:i/>
                <w:color w:val="000000"/>
                <w:sz w:val="20"/>
                <w:szCs w:val="20"/>
              </w:rPr>
            </w:pPr>
          </w:p>
          <w:p w14:paraId="1E492A96" w14:textId="77777777" w:rsidR="008D7E24" w:rsidRPr="00894841" w:rsidRDefault="008D7E24" w:rsidP="00DB2DCE">
            <w:pPr>
              <w:rPr>
                <w:rFonts w:asciiTheme="minorHAnsi" w:hAnsiTheme="minorHAnsi" w:cstheme="minorHAnsi"/>
                <w:i/>
                <w:color w:val="000000"/>
                <w:sz w:val="20"/>
                <w:szCs w:val="20"/>
              </w:rPr>
            </w:pPr>
          </w:p>
          <w:p w14:paraId="77F37715" w14:textId="77777777" w:rsidR="008D7E24" w:rsidRPr="00894841" w:rsidRDefault="008D7E24" w:rsidP="00DB2DCE">
            <w:pPr>
              <w:rPr>
                <w:rFonts w:asciiTheme="minorHAnsi" w:hAnsiTheme="minorHAnsi" w:cstheme="minorHAnsi"/>
                <w:i/>
                <w:color w:val="000000"/>
                <w:sz w:val="20"/>
                <w:szCs w:val="20"/>
              </w:rPr>
            </w:pPr>
          </w:p>
          <w:p w14:paraId="522C627B" w14:textId="77777777" w:rsidR="008D7E24" w:rsidRPr="00894841" w:rsidRDefault="008D7E24" w:rsidP="00DB2DCE">
            <w:pPr>
              <w:rPr>
                <w:rFonts w:asciiTheme="minorHAnsi" w:hAnsiTheme="minorHAnsi" w:cstheme="minorHAnsi"/>
                <w:i/>
                <w:color w:val="000000"/>
                <w:sz w:val="20"/>
                <w:szCs w:val="20"/>
              </w:rPr>
            </w:pPr>
          </w:p>
          <w:p w14:paraId="0BCADA49" w14:textId="77777777" w:rsidR="008D7E24" w:rsidRPr="00894841" w:rsidRDefault="008D7E24" w:rsidP="00DB2DCE">
            <w:pPr>
              <w:rPr>
                <w:rFonts w:asciiTheme="minorHAnsi" w:hAnsiTheme="minorHAnsi" w:cstheme="minorHAnsi"/>
                <w:i/>
                <w:color w:val="000000"/>
                <w:sz w:val="20"/>
                <w:szCs w:val="20"/>
              </w:rPr>
            </w:pPr>
          </w:p>
          <w:p w14:paraId="0024CE95" w14:textId="77777777" w:rsidR="008D7E24" w:rsidRPr="00894841" w:rsidRDefault="008D7E24" w:rsidP="00DB2DCE">
            <w:pPr>
              <w:rPr>
                <w:rFonts w:asciiTheme="minorHAnsi" w:hAnsiTheme="minorHAnsi" w:cstheme="minorHAnsi"/>
                <w:color w:val="000000"/>
                <w:sz w:val="20"/>
                <w:szCs w:val="20"/>
                <w:lang w:val="en-US"/>
              </w:rPr>
            </w:pPr>
          </w:p>
          <w:p w14:paraId="1F15D61D" w14:textId="77777777" w:rsidR="008D7E24" w:rsidRPr="00894841" w:rsidRDefault="008D7E24" w:rsidP="00DB2DCE">
            <w:pPr>
              <w:rPr>
                <w:rFonts w:asciiTheme="minorHAnsi" w:hAnsiTheme="minorHAnsi" w:cstheme="minorHAnsi"/>
                <w:i/>
                <w:sz w:val="20"/>
                <w:szCs w:val="20"/>
              </w:rPr>
            </w:pPr>
            <w:r w:rsidRPr="00894841">
              <w:rPr>
                <w:rFonts w:asciiTheme="minorHAnsi" w:hAnsiTheme="minorHAnsi" w:cstheme="minorHAnsi"/>
                <w:i/>
                <w:sz w:val="20"/>
                <w:szCs w:val="20"/>
              </w:rPr>
              <w:t xml:space="preserve">Transboundary monitoring network and results of testing report including related maps. </w:t>
            </w:r>
          </w:p>
        </w:tc>
        <w:tc>
          <w:tcPr>
            <w:tcW w:w="3118" w:type="dxa"/>
          </w:tcPr>
          <w:p w14:paraId="23C3E1EB" w14:textId="77777777" w:rsidR="008D7E24" w:rsidRPr="00894841" w:rsidRDefault="008D7E24" w:rsidP="00DB2DCE">
            <w:pPr>
              <w:spacing w:before="60"/>
              <w:rPr>
                <w:rFonts w:asciiTheme="minorHAnsi" w:hAnsiTheme="minorHAnsi" w:cstheme="minorHAnsi"/>
                <w:szCs w:val="22"/>
              </w:rPr>
            </w:pPr>
            <w:r w:rsidRPr="00894841">
              <w:rPr>
                <w:rFonts w:asciiTheme="minorHAnsi" w:hAnsiTheme="minorHAnsi" w:cstheme="minorHAnsi"/>
                <w:szCs w:val="22"/>
              </w:rPr>
              <w:lastRenderedPageBreak/>
              <w:t>Countries and local stakeholders and authorities will support full development of the Program.</w:t>
            </w:r>
          </w:p>
          <w:p w14:paraId="2CBEABE5" w14:textId="77777777" w:rsidR="008D7E24" w:rsidRPr="00894841" w:rsidRDefault="008D7E24" w:rsidP="00DB2DCE">
            <w:pPr>
              <w:spacing w:before="60"/>
              <w:rPr>
                <w:rFonts w:asciiTheme="minorHAnsi" w:hAnsiTheme="minorHAnsi" w:cstheme="minorHAnsi"/>
                <w:szCs w:val="22"/>
              </w:rPr>
            </w:pPr>
          </w:p>
          <w:p w14:paraId="29D53A86" w14:textId="77777777" w:rsidR="008D7E24" w:rsidRPr="00894841" w:rsidRDefault="008D7E24" w:rsidP="00DB2DCE">
            <w:pPr>
              <w:spacing w:before="60"/>
              <w:rPr>
                <w:rFonts w:asciiTheme="minorHAnsi" w:hAnsiTheme="minorHAnsi" w:cstheme="minorHAnsi"/>
                <w:szCs w:val="22"/>
              </w:rPr>
            </w:pPr>
          </w:p>
          <w:p w14:paraId="7432E158" w14:textId="77777777" w:rsidR="008D7E24" w:rsidRPr="00894841" w:rsidRDefault="008D7E24" w:rsidP="00DB2DCE">
            <w:pPr>
              <w:spacing w:before="60"/>
              <w:rPr>
                <w:rFonts w:asciiTheme="minorHAnsi" w:hAnsiTheme="minorHAnsi" w:cstheme="minorHAnsi"/>
                <w:szCs w:val="22"/>
              </w:rPr>
            </w:pPr>
          </w:p>
          <w:p w14:paraId="5EFBF5C9" w14:textId="77777777" w:rsidR="008D7E24" w:rsidRPr="00894841" w:rsidRDefault="008D7E24" w:rsidP="00DB2DCE">
            <w:pPr>
              <w:spacing w:before="60"/>
              <w:rPr>
                <w:rFonts w:asciiTheme="minorHAnsi" w:hAnsiTheme="minorHAnsi" w:cstheme="minorHAnsi"/>
                <w:szCs w:val="22"/>
              </w:rPr>
            </w:pPr>
          </w:p>
          <w:p w14:paraId="031113F0" w14:textId="77777777" w:rsidR="008D7E24" w:rsidRPr="00894841" w:rsidRDefault="008D7E24" w:rsidP="00DB2DCE">
            <w:pPr>
              <w:spacing w:before="60"/>
              <w:rPr>
                <w:rFonts w:asciiTheme="minorHAnsi" w:hAnsiTheme="minorHAnsi" w:cstheme="minorHAnsi"/>
                <w:szCs w:val="22"/>
              </w:rPr>
            </w:pPr>
          </w:p>
          <w:p w14:paraId="41369197" w14:textId="77777777" w:rsidR="008D7E24" w:rsidRPr="00894841" w:rsidRDefault="008D7E24" w:rsidP="00DB2DCE">
            <w:pPr>
              <w:spacing w:before="60"/>
              <w:rPr>
                <w:rFonts w:asciiTheme="minorHAnsi" w:hAnsiTheme="minorHAnsi" w:cstheme="minorHAnsi"/>
                <w:i/>
                <w:szCs w:val="22"/>
              </w:rPr>
            </w:pPr>
            <w:r w:rsidRPr="00894841">
              <w:rPr>
                <w:rFonts w:asciiTheme="minorHAnsi" w:hAnsiTheme="minorHAnsi" w:cstheme="minorHAnsi"/>
                <w:i/>
                <w:szCs w:val="22"/>
              </w:rPr>
              <w:t>Competent institutions, including scientific, in Albania and FYR Macedonia participate in the preparation of the plan. GIZ provide data and information produced through related activities it supports.</w:t>
            </w:r>
          </w:p>
          <w:p w14:paraId="657C188F" w14:textId="77777777" w:rsidR="008D7E24" w:rsidRPr="00894841" w:rsidRDefault="008D7E24" w:rsidP="00DB2DCE">
            <w:pPr>
              <w:spacing w:before="60"/>
              <w:rPr>
                <w:rFonts w:asciiTheme="minorHAnsi" w:hAnsiTheme="minorHAnsi" w:cstheme="minorHAnsi"/>
                <w:i/>
                <w:szCs w:val="22"/>
              </w:rPr>
            </w:pPr>
          </w:p>
          <w:p w14:paraId="64C71A76" w14:textId="77777777" w:rsidR="008D7E24" w:rsidRPr="00894841" w:rsidRDefault="008D7E24" w:rsidP="00DB2DCE">
            <w:pPr>
              <w:spacing w:before="60"/>
              <w:rPr>
                <w:rFonts w:asciiTheme="minorHAnsi" w:hAnsiTheme="minorHAnsi" w:cstheme="minorHAnsi"/>
                <w:i/>
                <w:szCs w:val="22"/>
              </w:rPr>
            </w:pPr>
          </w:p>
          <w:p w14:paraId="454F0C04" w14:textId="77777777" w:rsidR="008D7E24" w:rsidRPr="00894841" w:rsidRDefault="008D7E24" w:rsidP="00DB2DCE">
            <w:pPr>
              <w:spacing w:before="60"/>
              <w:rPr>
                <w:rFonts w:asciiTheme="minorHAnsi" w:hAnsiTheme="minorHAnsi" w:cstheme="minorHAnsi"/>
                <w:i/>
                <w:szCs w:val="22"/>
              </w:rPr>
            </w:pPr>
          </w:p>
          <w:p w14:paraId="048CC58E" w14:textId="77777777" w:rsidR="008D7E24" w:rsidRPr="00894841" w:rsidRDefault="008D7E24" w:rsidP="00DB2DCE">
            <w:pPr>
              <w:spacing w:before="60"/>
              <w:rPr>
                <w:rFonts w:asciiTheme="minorHAnsi" w:hAnsiTheme="minorHAnsi" w:cstheme="minorHAnsi"/>
                <w:i/>
                <w:szCs w:val="22"/>
              </w:rPr>
            </w:pPr>
          </w:p>
          <w:p w14:paraId="278392BB" w14:textId="77777777" w:rsidR="008D7E24" w:rsidRPr="00894841" w:rsidRDefault="008D7E24" w:rsidP="00DB2DCE">
            <w:pPr>
              <w:spacing w:before="60"/>
              <w:rPr>
                <w:rFonts w:asciiTheme="minorHAnsi" w:hAnsiTheme="minorHAnsi" w:cstheme="minorHAnsi"/>
                <w:i/>
                <w:szCs w:val="22"/>
              </w:rPr>
            </w:pPr>
          </w:p>
          <w:p w14:paraId="7DA0E7F9" w14:textId="77777777" w:rsidR="008D7E24" w:rsidRPr="00894841" w:rsidRDefault="008D7E24" w:rsidP="00DB2DCE">
            <w:pPr>
              <w:spacing w:before="60"/>
              <w:rPr>
                <w:rFonts w:asciiTheme="minorHAnsi" w:hAnsiTheme="minorHAnsi" w:cstheme="minorHAnsi"/>
                <w:i/>
                <w:szCs w:val="22"/>
              </w:rPr>
            </w:pPr>
            <w:r w:rsidRPr="00894841">
              <w:rPr>
                <w:rFonts w:asciiTheme="minorHAnsi" w:hAnsiTheme="minorHAnsi" w:cstheme="minorHAnsi"/>
                <w:i/>
                <w:szCs w:val="22"/>
              </w:rPr>
              <w:t>Shkodra municipality collaborates and facilitates the implementation of the pilot activity including through the provision of necessary information and data.</w:t>
            </w:r>
          </w:p>
          <w:p w14:paraId="20F025B5" w14:textId="77777777" w:rsidR="008D7E24" w:rsidRPr="00894841" w:rsidRDefault="008D7E24" w:rsidP="00DB2DCE">
            <w:pPr>
              <w:spacing w:before="60"/>
              <w:rPr>
                <w:rFonts w:asciiTheme="minorHAnsi" w:hAnsiTheme="minorHAnsi" w:cstheme="minorHAnsi"/>
                <w:i/>
                <w:szCs w:val="22"/>
              </w:rPr>
            </w:pPr>
          </w:p>
          <w:p w14:paraId="37E35A1C" w14:textId="77777777" w:rsidR="008D7E24" w:rsidRPr="00894841" w:rsidRDefault="008D7E24" w:rsidP="00DB2DCE">
            <w:pPr>
              <w:spacing w:before="60"/>
              <w:rPr>
                <w:rFonts w:asciiTheme="minorHAnsi" w:hAnsiTheme="minorHAnsi" w:cstheme="minorHAnsi"/>
                <w:i/>
                <w:szCs w:val="22"/>
              </w:rPr>
            </w:pPr>
          </w:p>
          <w:p w14:paraId="2804B758" w14:textId="77777777" w:rsidR="008D7E24" w:rsidRPr="00894841" w:rsidRDefault="008D7E24" w:rsidP="00DB2DCE">
            <w:pPr>
              <w:spacing w:before="60"/>
              <w:rPr>
                <w:rFonts w:asciiTheme="minorHAnsi" w:hAnsiTheme="minorHAnsi" w:cstheme="minorHAnsi"/>
                <w:i/>
                <w:szCs w:val="22"/>
              </w:rPr>
            </w:pPr>
          </w:p>
          <w:p w14:paraId="57FA7645" w14:textId="77777777" w:rsidR="008D7E24" w:rsidRPr="00894841" w:rsidRDefault="008D7E24" w:rsidP="00DB2DCE">
            <w:pPr>
              <w:spacing w:before="60"/>
              <w:rPr>
                <w:rFonts w:asciiTheme="minorHAnsi" w:hAnsiTheme="minorHAnsi" w:cstheme="minorHAnsi"/>
                <w:i/>
                <w:szCs w:val="22"/>
              </w:rPr>
            </w:pPr>
          </w:p>
          <w:p w14:paraId="3E9823F6" w14:textId="77777777" w:rsidR="008D7E24" w:rsidRPr="00894841" w:rsidRDefault="008D7E24" w:rsidP="00DB2DCE">
            <w:pPr>
              <w:spacing w:before="60"/>
              <w:rPr>
                <w:rFonts w:asciiTheme="minorHAnsi" w:hAnsiTheme="minorHAnsi" w:cstheme="minorHAnsi"/>
                <w:i/>
                <w:szCs w:val="22"/>
              </w:rPr>
            </w:pPr>
          </w:p>
          <w:p w14:paraId="6DA8679C" w14:textId="77777777" w:rsidR="008D7E24" w:rsidRPr="00894841" w:rsidRDefault="008D7E24" w:rsidP="00DB2DCE">
            <w:pPr>
              <w:spacing w:before="60"/>
              <w:rPr>
                <w:rFonts w:asciiTheme="minorHAnsi" w:hAnsiTheme="minorHAnsi" w:cstheme="minorHAnsi"/>
                <w:i/>
                <w:szCs w:val="22"/>
              </w:rPr>
            </w:pPr>
          </w:p>
          <w:p w14:paraId="709BC44E" w14:textId="77777777" w:rsidR="008D7E24" w:rsidRPr="00894841" w:rsidRDefault="008D7E24" w:rsidP="00DB2DCE">
            <w:pPr>
              <w:spacing w:before="60"/>
              <w:rPr>
                <w:rFonts w:asciiTheme="minorHAnsi" w:hAnsiTheme="minorHAnsi" w:cstheme="minorHAnsi"/>
                <w:i/>
                <w:szCs w:val="22"/>
              </w:rPr>
            </w:pPr>
          </w:p>
          <w:p w14:paraId="22C6CF43" w14:textId="77777777" w:rsidR="008D7E24" w:rsidRPr="00894841" w:rsidRDefault="008D7E24" w:rsidP="00DB2DCE">
            <w:pPr>
              <w:spacing w:before="60"/>
              <w:rPr>
                <w:rFonts w:asciiTheme="minorHAnsi" w:hAnsiTheme="minorHAnsi" w:cstheme="minorHAnsi"/>
                <w:i/>
                <w:szCs w:val="22"/>
              </w:rPr>
            </w:pPr>
          </w:p>
          <w:p w14:paraId="4009F89C" w14:textId="77777777" w:rsidR="008D7E24" w:rsidRPr="00894841" w:rsidRDefault="008D7E24" w:rsidP="00DB2DCE">
            <w:pPr>
              <w:spacing w:before="60"/>
              <w:rPr>
                <w:rFonts w:asciiTheme="minorHAnsi" w:hAnsiTheme="minorHAnsi" w:cstheme="minorHAnsi"/>
                <w:i/>
                <w:szCs w:val="22"/>
              </w:rPr>
            </w:pPr>
          </w:p>
          <w:p w14:paraId="59934626" w14:textId="77777777" w:rsidR="008D7E24" w:rsidRPr="00894841" w:rsidRDefault="008D7E24" w:rsidP="00DB2DCE">
            <w:pPr>
              <w:spacing w:before="60"/>
              <w:rPr>
                <w:rFonts w:asciiTheme="minorHAnsi" w:hAnsiTheme="minorHAnsi" w:cstheme="minorHAnsi"/>
                <w:i/>
                <w:szCs w:val="22"/>
              </w:rPr>
            </w:pPr>
            <w:r w:rsidRPr="00894841">
              <w:rPr>
                <w:rFonts w:asciiTheme="minorHAnsi" w:hAnsiTheme="minorHAnsi" w:cstheme="minorHAnsi"/>
                <w:i/>
                <w:szCs w:val="22"/>
              </w:rPr>
              <w:t>Competent Montenegrin institutions meaningfully cooperate with the project for the implementation of the activity.</w:t>
            </w:r>
          </w:p>
          <w:p w14:paraId="01F6F29B" w14:textId="77777777" w:rsidR="008D7E24" w:rsidRPr="00894841" w:rsidRDefault="008D7E24" w:rsidP="00DB2DCE">
            <w:pPr>
              <w:spacing w:before="60"/>
              <w:rPr>
                <w:rFonts w:asciiTheme="minorHAnsi" w:hAnsiTheme="minorHAnsi" w:cstheme="minorHAnsi"/>
                <w:i/>
                <w:szCs w:val="22"/>
              </w:rPr>
            </w:pPr>
          </w:p>
          <w:p w14:paraId="79C5CCC4" w14:textId="77777777" w:rsidR="008D7E24" w:rsidRPr="00894841" w:rsidRDefault="008D7E24" w:rsidP="00DB2DCE">
            <w:pPr>
              <w:spacing w:before="60"/>
              <w:rPr>
                <w:rFonts w:asciiTheme="minorHAnsi" w:hAnsiTheme="minorHAnsi" w:cstheme="minorHAnsi"/>
                <w:i/>
                <w:szCs w:val="22"/>
              </w:rPr>
            </w:pPr>
          </w:p>
          <w:p w14:paraId="344D7EB5" w14:textId="77777777" w:rsidR="008D7E24" w:rsidRPr="00894841" w:rsidRDefault="008D7E24" w:rsidP="00DB2DCE">
            <w:pPr>
              <w:spacing w:before="60"/>
              <w:rPr>
                <w:rFonts w:asciiTheme="minorHAnsi" w:hAnsiTheme="minorHAnsi" w:cstheme="minorHAnsi"/>
                <w:i/>
                <w:szCs w:val="22"/>
              </w:rPr>
            </w:pPr>
          </w:p>
          <w:p w14:paraId="1C02A7C5" w14:textId="77777777" w:rsidR="008D7E24" w:rsidRPr="00894841" w:rsidRDefault="008D7E24" w:rsidP="00DB2DCE">
            <w:pPr>
              <w:spacing w:before="60"/>
              <w:rPr>
                <w:rFonts w:asciiTheme="minorHAnsi" w:hAnsiTheme="minorHAnsi" w:cstheme="minorHAnsi"/>
                <w:i/>
                <w:szCs w:val="22"/>
              </w:rPr>
            </w:pPr>
          </w:p>
          <w:p w14:paraId="2CEAE505" w14:textId="77777777" w:rsidR="008D7E24" w:rsidRPr="00894841" w:rsidRDefault="008D7E24" w:rsidP="00DB2DCE">
            <w:pPr>
              <w:spacing w:before="60"/>
              <w:rPr>
                <w:rFonts w:asciiTheme="minorHAnsi" w:hAnsiTheme="minorHAnsi" w:cstheme="minorHAnsi"/>
                <w:i/>
                <w:szCs w:val="22"/>
              </w:rPr>
            </w:pPr>
          </w:p>
          <w:p w14:paraId="4A60A9FD" w14:textId="77777777" w:rsidR="008D7E24" w:rsidRPr="00894841" w:rsidRDefault="008D7E24" w:rsidP="00DB2DCE">
            <w:pPr>
              <w:spacing w:before="60"/>
              <w:rPr>
                <w:rFonts w:asciiTheme="minorHAnsi" w:hAnsiTheme="minorHAnsi" w:cstheme="minorHAnsi"/>
                <w:i/>
                <w:szCs w:val="22"/>
              </w:rPr>
            </w:pPr>
            <w:r w:rsidRPr="00894841">
              <w:rPr>
                <w:rFonts w:asciiTheme="minorHAnsi" w:hAnsiTheme="minorHAnsi" w:cstheme="minorHAnsi"/>
                <w:i/>
                <w:szCs w:val="22"/>
              </w:rPr>
              <w:t xml:space="preserve">Countries agree in the establishment of an expert working Group under the Drin Core Group, agree on the ToR for and the preparation of all components of </w:t>
            </w:r>
            <w:r w:rsidRPr="00894841">
              <w:rPr>
                <w:rFonts w:asciiTheme="minorHAnsi" w:hAnsiTheme="minorHAnsi" w:cstheme="minorHAnsi"/>
                <w:i/>
                <w:color w:val="000000"/>
                <w:szCs w:val="22"/>
                <w:lang w:val="en-US"/>
              </w:rPr>
              <w:t xml:space="preserve">flood prone areas identification and mapping in the Drin catchment </w:t>
            </w:r>
            <w:r w:rsidRPr="00894841">
              <w:rPr>
                <w:rFonts w:asciiTheme="minorHAnsi" w:hAnsiTheme="minorHAnsi" w:cstheme="minorHAnsi"/>
                <w:i/>
                <w:szCs w:val="22"/>
              </w:rPr>
              <w:t xml:space="preserve">as well as in the preparation of emergency operation rules for dams. The different institutions related </w:t>
            </w:r>
            <w:r w:rsidRPr="00894841">
              <w:rPr>
                <w:rFonts w:asciiTheme="minorHAnsi" w:hAnsiTheme="minorHAnsi" w:cstheme="minorHAnsi"/>
                <w:i/>
                <w:szCs w:val="22"/>
              </w:rPr>
              <w:lastRenderedPageBreak/>
              <w:t>to flood management and the Power Companies in the Drin Riparians meaningfully participate in the work, consultations and negotiations and provide necessary data and information. Flood risk assessment work done by GIZ and UNDP become available to the project.</w:t>
            </w:r>
          </w:p>
          <w:p w14:paraId="79661916" w14:textId="77777777" w:rsidR="008D7E24" w:rsidRPr="00894841" w:rsidRDefault="008D7E24" w:rsidP="00DB2DCE">
            <w:pPr>
              <w:spacing w:before="60"/>
              <w:rPr>
                <w:rFonts w:asciiTheme="minorHAnsi" w:hAnsiTheme="minorHAnsi" w:cstheme="minorHAnsi"/>
                <w:szCs w:val="22"/>
              </w:rPr>
            </w:pPr>
            <w:r w:rsidRPr="00894841">
              <w:rPr>
                <w:rFonts w:asciiTheme="minorHAnsi" w:hAnsiTheme="minorHAnsi" w:cstheme="minorHAnsi"/>
                <w:i/>
                <w:szCs w:val="22"/>
              </w:rPr>
              <w:t>The Albanian and Montenegrin authorities and institutions that are responsible for surface and groundwater monitoring are meaningfully involved and cooperate for the implementation of the activity</w:t>
            </w:r>
            <w:r w:rsidRPr="00894841">
              <w:rPr>
                <w:rFonts w:asciiTheme="minorHAnsi" w:hAnsiTheme="minorHAnsi" w:cstheme="minorHAnsi"/>
                <w:szCs w:val="22"/>
              </w:rPr>
              <w:t>.</w:t>
            </w:r>
          </w:p>
          <w:p w14:paraId="5CDD5A73" w14:textId="77777777" w:rsidR="008D7E24" w:rsidRPr="00894841" w:rsidRDefault="008D7E24" w:rsidP="00DB2DCE">
            <w:pPr>
              <w:spacing w:before="60"/>
              <w:rPr>
                <w:rFonts w:asciiTheme="minorHAnsi" w:hAnsiTheme="minorHAnsi" w:cstheme="minorHAnsi"/>
                <w:i/>
                <w:szCs w:val="22"/>
              </w:rPr>
            </w:pPr>
          </w:p>
        </w:tc>
      </w:tr>
      <w:tr w:rsidR="008D7E24" w:rsidRPr="00894841" w14:paraId="4B20F876" w14:textId="77777777" w:rsidTr="00DB2DCE">
        <w:tc>
          <w:tcPr>
            <w:tcW w:w="1951" w:type="dxa"/>
          </w:tcPr>
          <w:p w14:paraId="69F76CD7"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r w:rsidRPr="00894841">
              <w:rPr>
                <w:rFonts w:asciiTheme="minorHAnsi" w:hAnsiTheme="minorHAnsi" w:cstheme="minorHAnsi"/>
                <w:b/>
                <w:color w:val="000000"/>
                <w:sz w:val="20"/>
                <w:szCs w:val="20"/>
              </w:rPr>
              <w:lastRenderedPageBreak/>
              <w:t>Outcome 6.</w:t>
            </w:r>
            <w:r w:rsidRPr="00894841">
              <w:rPr>
                <w:rFonts w:asciiTheme="minorHAnsi" w:hAnsiTheme="minorHAnsi" w:cstheme="minorHAnsi"/>
                <w:color w:val="000000"/>
                <w:sz w:val="20"/>
                <w:szCs w:val="20"/>
              </w:rPr>
              <w:t xml:space="preserve"> Public support and participation to IWRM and joint multi-country management enhanced through stakeholder involvement and gender mainstreaming</w:t>
            </w:r>
          </w:p>
        </w:tc>
        <w:tc>
          <w:tcPr>
            <w:tcW w:w="2268" w:type="dxa"/>
            <w:shd w:val="clear" w:color="auto" w:fill="FFCC00"/>
          </w:tcPr>
          <w:p w14:paraId="54176938"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color w:val="000000"/>
                <w:sz w:val="20"/>
                <w:szCs w:val="20"/>
              </w:rPr>
            </w:pPr>
            <w:r w:rsidRPr="00894841">
              <w:rPr>
                <w:rFonts w:asciiTheme="minorHAnsi" w:hAnsiTheme="minorHAnsi" w:cstheme="minorHAnsi"/>
                <w:b/>
                <w:color w:val="000000"/>
                <w:sz w:val="20"/>
                <w:szCs w:val="20"/>
              </w:rPr>
              <w:t xml:space="preserve">1. </w:t>
            </w:r>
            <w:r w:rsidRPr="00894841">
              <w:rPr>
                <w:rFonts w:asciiTheme="minorHAnsi" w:hAnsiTheme="minorHAnsi" w:cstheme="minorHAnsi"/>
                <w:color w:val="000000"/>
                <w:sz w:val="20"/>
                <w:szCs w:val="20"/>
              </w:rPr>
              <w:t>Stakeholder Involvement and Gender Mainstreaming Strategy is defined and adopted by Drin Core Group.</w:t>
            </w:r>
          </w:p>
          <w:p w14:paraId="212C5F83"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0"/>
                <w:szCs w:val="20"/>
              </w:rPr>
            </w:pPr>
          </w:p>
          <w:p w14:paraId="3E58FA15"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color w:val="000000"/>
                <w:sz w:val="20"/>
                <w:szCs w:val="20"/>
              </w:rPr>
            </w:pPr>
          </w:p>
        </w:tc>
        <w:tc>
          <w:tcPr>
            <w:tcW w:w="2552" w:type="dxa"/>
          </w:tcPr>
          <w:p w14:paraId="767EDB21" w14:textId="77777777" w:rsidR="008D7E24" w:rsidRPr="00894841" w:rsidRDefault="008D7E24" w:rsidP="00DB2DCE">
            <w:pPr>
              <w:rPr>
                <w:rFonts w:asciiTheme="minorHAnsi" w:hAnsiTheme="minorHAnsi" w:cstheme="minorHAnsi"/>
                <w:sz w:val="20"/>
                <w:szCs w:val="20"/>
              </w:rPr>
            </w:pPr>
            <w:r w:rsidRPr="00894841">
              <w:rPr>
                <w:rFonts w:asciiTheme="minorHAnsi" w:hAnsiTheme="minorHAnsi" w:cstheme="minorHAnsi"/>
                <w:sz w:val="20"/>
                <w:szCs w:val="20"/>
              </w:rPr>
              <w:t>Level of public participation in decision-making is unclear in all countries, with efforts being made to introduce/implement legislation leading to increased stakeholder involvement and public participation. Gender issues not yet considered.</w:t>
            </w:r>
          </w:p>
        </w:tc>
        <w:tc>
          <w:tcPr>
            <w:tcW w:w="1842" w:type="dxa"/>
          </w:tcPr>
          <w:p w14:paraId="7BA98994"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color w:val="000000"/>
                <w:sz w:val="20"/>
                <w:szCs w:val="20"/>
              </w:rPr>
              <w:t>Drin Core Group</w:t>
            </w:r>
            <w:r w:rsidRPr="00894841" w:rsidDel="007B1670">
              <w:rPr>
                <w:rFonts w:asciiTheme="minorHAnsi" w:hAnsiTheme="minorHAnsi" w:cstheme="minorHAnsi"/>
                <w:sz w:val="20"/>
                <w:szCs w:val="20"/>
              </w:rPr>
              <w:t xml:space="preserve"> </w:t>
            </w:r>
            <w:r w:rsidRPr="00894841">
              <w:rPr>
                <w:rFonts w:asciiTheme="minorHAnsi" w:hAnsiTheme="minorHAnsi" w:cstheme="minorHAnsi"/>
                <w:sz w:val="20"/>
                <w:szCs w:val="20"/>
              </w:rPr>
              <w:t>approval of Stakeholder Involvement and Gender Mainstreaming Strategies.</w:t>
            </w:r>
          </w:p>
        </w:tc>
        <w:tc>
          <w:tcPr>
            <w:tcW w:w="2694" w:type="dxa"/>
            <w:shd w:val="clear" w:color="auto" w:fill="FFCC00"/>
          </w:tcPr>
          <w:p w14:paraId="320FF810"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Two Documents containing the Strategies and evidence of adoption by DCG.</w:t>
            </w:r>
          </w:p>
          <w:p w14:paraId="29AC5D0C" w14:textId="77777777" w:rsidR="008D7E24" w:rsidRPr="00894841" w:rsidRDefault="008D7E24" w:rsidP="00DB2DCE">
            <w:pPr>
              <w:spacing w:before="60"/>
              <w:rPr>
                <w:rFonts w:asciiTheme="minorHAnsi" w:hAnsiTheme="minorHAnsi" w:cstheme="minorHAnsi"/>
                <w:sz w:val="20"/>
                <w:szCs w:val="20"/>
              </w:rPr>
            </w:pPr>
          </w:p>
          <w:p w14:paraId="547A6A07"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Reports reflecting participatory approach and gender equity in project’s events and processes.</w:t>
            </w:r>
          </w:p>
        </w:tc>
        <w:tc>
          <w:tcPr>
            <w:tcW w:w="3118" w:type="dxa"/>
          </w:tcPr>
          <w:p w14:paraId="7742721F" w14:textId="77777777" w:rsidR="008D7E24" w:rsidRPr="00894841" w:rsidRDefault="008D7E24" w:rsidP="00DB2DCE">
            <w:pPr>
              <w:spacing w:before="60"/>
              <w:rPr>
                <w:rFonts w:asciiTheme="minorHAnsi" w:hAnsiTheme="minorHAnsi" w:cstheme="minorHAnsi"/>
                <w:szCs w:val="22"/>
              </w:rPr>
            </w:pPr>
            <w:r w:rsidRPr="00894841">
              <w:rPr>
                <w:rFonts w:asciiTheme="minorHAnsi" w:hAnsiTheme="minorHAnsi" w:cstheme="minorHAnsi"/>
                <w:szCs w:val="22"/>
              </w:rPr>
              <w:t>Countries and DCG members committed to embrace more participatory approaches in basin management.</w:t>
            </w:r>
          </w:p>
        </w:tc>
      </w:tr>
      <w:tr w:rsidR="008D7E24" w:rsidRPr="00894841" w14:paraId="2BED8362" w14:textId="77777777" w:rsidTr="00DB2DCE">
        <w:tc>
          <w:tcPr>
            <w:tcW w:w="1951" w:type="dxa"/>
          </w:tcPr>
          <w:p w14:paraId="4AE8A19B"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b/>
                <w:color w:val="000000"/>
                <w:sz w:val="20"/>
                <w:szCs w:val="20"/>
              </w:rPr>
            </w:pPr>
            <w:r w:rsidRPr="00894841">
              <w:rPr>
                <w:rFonts w:asciiTheme="minorHAnsi" w:hAnsiTheme="minorHAnsi" w:cstheme="minorHAnsi"/>
                <w:b/>
                <w:iCs/>
                <w:color w:val="000000"/>
                <w:sz w:val="20"/>
                <w:szCs w:val="20"/>
              </w:rPr>
              <w:lastRenderedPageBreak/>
              <w:t xml:space="preserve">Outcome 7. </w:t>
            </w:r>
            <w:r w:rsidRPr="00894841">
              <w:rPr>
                <w:rFonts w:asciiTheme="minorHAnsi" w:hAnsiTheme="minorHAnsi" w:cstheme="minorHAnsi"/>
                <w:iCs/>
                <w:color w:val="000000"/>
                <w:sz w:val="20"/>
                <w:szCs w:val="20"/>
              </w:rPr>
              <w:t>Political a</w:t>
            </w:r>
            <w:r w:rsidRPr="00894841">
              <w:rPr>
                <w:rFonts w:asciiTheme="minorHAnsi" w:hAnsiTheme="minorHAnsi" w:cstheme="minorHAnsi"/>
                <w:color w:val="000000"/>
                <w:sz w:val="20"/>
                <w:szCs w:val="20"/>
              </w:rPr>
              <w:t>wareness at all levels and private sector participation strengthened through higher visibility of the project‘s developments and targeted outreach initiatives</w:t>
            </w:r>
          </w:p>
        </w:tc>
        <w:tc>
          <w:tcPr>
            <w:tcW w:w="2268" w:type="dxa"/>
            <w:shd w:val="clear" w:color="auto" w:fill="FFCC00"/>
          </w:tcPr>
          <w:p w14:paraId="598C8FDF" w14:textId="77777777" w:rsidR="008D7E24" w:rsidRPr="00894841" w:rsidRDefault="008D7E24" w:rsidP="00DB2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b/>
                <w:color w:val="000000"/>
                <w:sz w:val="20"/>
                <w:szCs w:val="20"/>
              </w:rPr>
            </w:pPr>
            <w:r w:rsidRPr="00894841">
              <w:rPr>
                <w:rFonts w:asciiTheme="minorHAnsi" w:hAnsiTheme="minorHAnsi" w:cstheme="minorHAnsi"/>
                <w:b/>
                <w:color w:val="000000"/>
                <w:sz w:val="20"/>
                <w:szCs w:val="20"/>
              </w:rPr>
              <w:t xml:space="preserve">1. </w:t>
            </w:r>
            <w:r w:rsidRPr="00894841">
              <w:rPr>
                <w:rFonts w:asciiTheme="minorHAnsi" w:hAnsiTheme="minorHAnsi" w:cstheme="minorHAnsi"/>
                <w:color w:val="000000"/>
                <w:sz w:val="20"/>
                <w:szCs w:val="20"/>
              </w:rPr>
              <w:t>Information, Communication and Outreach Strategy is prepared and implemented.</w:t>
            </w:r>
          </w:p>
        </w:tc>
        <w:tc>
          <w:tcPr>
            <w:tcW w:w="2552" w:type="dxa"/>
          </w:tcPr>
          <w:p w14:paraId="007852AE"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 xml:space="preserve">Public awareness of natural resource sustainability issues and of water governance and management is generally scarce. </w:t>
            </w:r>
          </w:p>
        </w:tc>
        <w:tc>
          <w:tcPr>
            <w:tcW w:w="1842" w:type="dxa"/>
          </w:tcPr>
          <w:p w14:paraId="23088992" w14:textId="77777777" w:rsidR="008D7E24" w:rsidRPr="00894841" w:rsidRDefault="008D7E24" w:rsidP="00DB2DCE">
            <w:pPr>
              <w:spacing w:before="60"/>
              <w:rPr>
                <w:rFonts w:asciiTheme="minorHAnsi" w:hAnsiTheme="minorHAnsi" w:cstheme="minorHAnsi"/>
                <w:color w:val="000000"/>
                <w:sz w:val="20"/>
                <w:szCs w:val="20"/>
              </w:rPr>
            </w:pPr>
            <w:r w:rsidRPr="00894841">
              <w:rPr>
                <w:rFonts w:asciiTheme="minorHAnsi" w:hAnsiTheme="minorHAnsi" w:cstheme="minorHAnsi"/>
                <w:sz w:val="20"/>
                <w:szCs w:val="20"/>
              </w:rPr>
              <w:t>Communication activities</w:t>
            </w:r>
            <w:r w:rsidRPr="00894841">
              <w:rPr>
                <w:rFonts w:asciiTheme="minorHAnsi" w:hAnsiTheme="minorHAnsi" w:cstheme="minorHAnsi"/>
                <w:color w:val="000000"/>
                <w:sz w:val="20"/>
                <w:szCs w:val="20"/>
              </w:rPr>
              <w:t xml:space="preserve"> support the preparation and adoption of the TDA and the SAP.</w:t>
            </w:r>
          </w:p>
          <w:p w14:paraId="19926DE6" w14:textId="77777777" w:rsidR="008D7E24" w:rsidRPr="00894841" w:rsidRDefault="008D7E24" w:rsidP="00DB2DCE">
            <w:pPr>
              <w:spacing w:before="60"/>
              <w:rPr>
                <w:rFonts w:asciiTheme="minorHAnsi" w:hAnsiTheme="minorHAnsi" w:cstheme="minorHAnsi"/>
                <w:color w:val="000000"/>
                <w:sz w:val="20"/>
                <w:szCs w:val="20"/>
              </w:rPr>
            </w:pPr>
            <w:r w:rsidRPr="00894841">
              <w:rPr>
                <w:rFonts w:asciiTheme="minorHAnsi" w:hAnsiTheme="minorHAnsi" w:cstheme="minorHAnsi"/>
                <w:color w:val="000000"/>
                <w:sz w:val="20"/>
                <w:szCs w:val="20"/>
              </w:rPr>
              <w:t>All the project‘s main events, findings and achievements recorded and disseminated through media events and ICT.</w:t>
            </w:r>
          </w:p>
          <w:p w14:paraId="218ED6F4"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color w:val="000000"/>
                <w:sz w:val="20"/>
                <w:szCs w:val="20"/>
              </w:rPr>
              <w:t>Project’s active participation to IW LEARN activities and events using at least 1% of GEF grant.</w:t>
            </w:r>
          </w:p>
        </w:tc>
        <w:tc>
          <w:tcPr>
            <w:tcW w:w="2694" w:type="dxa"/>
            <w:shd w:val="clear" w:color="auto" w:fill="FFCC00"/>
          </w:tcPr>
          <w:p w14:paraId="7FD907EB"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Website documents outreach activities.</w:t>
            </w:r>
          </w:p>
          <w:p w14:paraId="4411D08C"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 xml:space="preserve">Communication activities (tailored made communication to targeted stakeholders including emails, publications etc.) </w:t>
            </w:r>
          </w:p>
          <w:p w14:paraId="7A7A6AFD" w14:textId="77777777" w:rsidR="008D7E24" w:rsidRPr="00894841" w:rsidRDefault="008D7E24" w:rsidP="00DB2DCE">
            <w:pPr>
              <w:spacing w:before="60"/>
              <w:rPr>
                <w:rFonts w:asciiTheme="minorHAnsi" w:hAnsiTheme="minorHAnsi" w:cstheme="minorHAnsi"/>
                <w:sz w:val="20"/>
                <w:szCs w:val="20"/>
              </w:rPr>
            </w:pPr>
            <w:r w:rsidRPr="00894841">
              <w:rPr>
                <w:rFonts w:asciiTheme="minorHAnsi" w:hAnsiTheme="minorHAnsi" w:cstheme="minorHAnsi"/>
                <w:sz w:val="20"/>
                <w:szCs w:val="20"/>
              </w:rPr>
              <w:t xml:space="preserve">Project results and achievements presented at major international fora (WWF, IWC, WWW, etc.), project website established in accordance to IWLEARN standards, experience notes produced, participation of project representatives in IW biannual conferences. </w:t>
            </w:r>
          </w:p>
        </w:tc>
        <w:tc>
          <w:tcPr>
            <w:tcW w:w="3118" w:type="dxa"/>
          </w:tcPr>
          <w:p w14:paraId="45676DD6" w14:textId="77777777" w:rsidR="008D7E24" w:rsidRPr="00894841" w:rsidRDefault="008D7E24" w:rsidP="00DB2DCE">
            <w:pPr>
              <w:spacing w:before="60"/>
              <w:rPr>
                <w:rFonts w:asciiTheme="minorHAnsi" w:hAnsiTheme="minorHAnsi" w:cstheme="minorHAnsi"/>
                <w:szCs w:val="22"/>
              </w:rPr>
            </w:pPr>
            <w:r w:rsidRPr="00894841">
              <w:rPr>
                <w:rFonts w:asciiTheme="minorHAnsi" w:hAnsiTheme="minorHAnsi" w:cstheme="minorHAnsi"/>
                <w:szCs w:val="22"/>
              </w:rPr>
              <w:t>N/A</w:t>
            </w:r>
          </w:p>
        </w:tc>
      </w:tr>
    </w:tbl>
    <w:p w14:paraId="75BBE56E" w14:textId="0FBCC8CB" w:rsidR="009A1DB5" w:rsidRPr="009A1DB5" w:rsidRDefault="009A1DB5" w:rsidP="00894841">
      <w:pPr>
        <w:sectPr w:rsidR="009A1DB5" w:rsidRPr="009A1DB5" w:rsidSect="00894841">
          <w:pgSz w:w="16838" w:h="11906" w:orient="landscape"/>
          <w:pgMar w:top="1440" w:right="1440" w:bottom="1440" w:left="1440" w:header="708" w:footer="708" w:gutter="0"/>
          <w:cols w:space="720"/>
          <w:titlePg/>
          <w:docGrid w:linePitch="326"/>
        </w:sectPr>
      </w:pPr>
    </w:p>
    <w:p w14:paraId="445DA778" w14:textId="77777777" w:rsidR="000F31AD" w:rsidRDefault="00A317E5">
      <w:pPr>
        <w:pStyle w:val="Heading2"/>
      </w:pPr>
      <w:bookmarkStart w:id="77" w:name="_Toc81335892"/>
      <w:r>
        <w:lastRenderedPageBreak/>
        <w:t>Annex 8:</w:t>
      </w:r>
      <w:r>
        <w:tab/>
        <w:t>Co-financing table</w:t>
      </w:r>
      <w:bookmarkEnd w:id="77"/>
    </w:p>
    <w:p w14:paraId="57EE7FD5" w14:textId="77777777" w:rsidR="000F31AD" w:rsidRDefault="000F31AD">
      <w:pPr>
        <w:rPr>
          <w:rFonts w:ascii="Calibri Light" w:eastAsia="Calibri Light" w:hAnsi="Calibri Light" w:cs="Calibri Light"/>
          <w:color w:val="2F5496"/>
          <w:sz w:val="26"/>
          <w:szCs w:val="26"/>
        </w:rPr>
      </w:pPr>
    </w:p>
    <w:p w14:paraId="73AAF507" w14:textId="77777777" w:rsidR="000F31AD" w:rsidRDefault="00A317E5">
      <w:pPr>
        <w:rPr>
          <w:rFonts w:ascii="Calibri" w:eastAsia="Calibri" w:hAnsi="Calibri" w:cs="Calibri"/>
          <w:sz w:val="22"/>
          <w:szCs w:val="22"/>
        </w:rPr>
      </w:pPr>
      <w:r>
        <w:rPr>
          <w:rFonts w:ascii="Calibri" w:eastAsia="Calibri" w:hAnsi="Calibri" w:cs="Calibri"/>
          <w:b/>
          <w:color w:val="2F5496"/>
          <w:sz w:val="22"/>
          <w:szCs w:val="22"/>
        </w:rPr>
        <w:t>Co-Financing Table</w:t>
      </w:r>
    </w:p>
    <w:p w14:paraId="008707E8" w14:textId="77777777" w:rsidR="000F31AD" w:rsidRDefault="000F31AD"/>
    <w:tbl>
      <w:tblPr>
        <w:tblStyle w:val="a7"/>
        <w:tblW w:w="12570" w:type="dxa"/>
        <w:tblLayout w:type="fixed"/>
        <w:tblLook w:val="0400" w:firstRow="0" w:lastRow="0" w:firstColumn="0" w:lastColumn="0" w:noHBand="0" w:noVBand="1"/>
      </w:tblPr>
      <w:tblGrid>
        <w:gridCol w:w="2062"/>
        <w:gridCol w:w="1192"/>
        <w:gridCol w:w="1192"/>
        <w:gridCol w:w="1192"/>
        <w:gridCol w:w="1192"/>
        <w:gridCol w:w="1435"/>
        <w:gridCol w:w="1435"/>
        <w:gridCol w:w="1435"/>
        <w:gridCol w:w="1435"/>
      </w:tblGrid>
      <w:tr w:rsidR="000F31AD" w14:paraId="0D1935C9" w14:textId="77777777">
        <w:trPr>
          <w:trHeight w:val="770"/>
        </w:trPr>
        <w:tc>
          <w:tcPr>
            <w:tcW w:w="2062" w:type="dxa"/>
            <w:vMerge w:val="restart"/>
            <w:tcBorders>
              <w:top w:val="single" w:sz="8" w:space="0" w:color="000000"/>
              <w:left w:val="single" w:sz="8" w:space="0" w:color="000000"/>
              <w:bottom w:val="single" w:sz="8" w:space="0" w:color="000000"/>
              <w:right w:val="nil"/>
            </w:tcBorders>
            <w:shd w:val="clear" w:color="auto" w:fill="F7CBAC"/>
            <w:vAlign w:val="center"/>
          </w:tcPr>
          <w:p w14:paraId="5746F438" w14:textId="77777777" w:rsidR="000F31AD" w:rsidRPr="00784644" w:rsidRDefault="00A317E5">
            <w:pPr>
              <w:jc w:val="center"/>
              <w:rPr>
                <w:rFonts w:ascii="Calibri" w:eastAsia="Calibri" w:hAnsi="Calibri" w:cs="Calibri"/>
                <w:b/>
                <w:color w:val="000000"/>
                <w:sz w:val="20"/>
                <w:szCs w:val="20"/>
              </w:rPr>
            </w:pPr>
            <w:r w:rsidRPr="00784644">
              <w:rPr>
                <w:rFonts w:ascii="Calibri" w:eastAsia="Calibri" w:hAnsi="Calibri" w:cs="Calibri"/>
                <w:b/>
                <w:color w:val="000000"/>
                <w:sz w:val="20"/>
                <w:szCs w:val="20"/>
              </w:rPr>
              <w:t>Co-Financing (type/source)</w:t>
            </w:r>
          </w:p>
        </w:tc>
        <w:tc>
          <w:tcPr>
            <w:tcW w:w="2384" w:type="dxa"/>
            <w:gridSpan w:val="2"/>
            <w:tcBorders>
              <w:top w:val="single" w:sz="8" w:space="0" w:color="000000"/>
              <w:left w:val="single" w:sz="8" w:space="0" w:color="000000"/>
              <w:bottom w:val="single" w:sz="8" w:space="0" w:color="000000"/>
              <w:right w:val="single" w:sz="8" w:space="0" w:color="000000"/>
            </w:tcBorders>
            <w:shd w:val="clear" w:color="auto" w:fill="F7CBAC"/>
            <w:vAlign w:val="center"/>
          </w:tcPr>
          <w:p w14:paraId="5813F73D" w14:textId="77777777" w:rsidR="000F31AD" w:rsidRPr="00784644" w:rsidRDefault="00A317E5">
            <w:pPr>
              <w:jc w:val="center"/>
              <w:rPr>
                <w:rFonts w:ascii="Calibri" w:eastAsia="Calibri" w:hAnsi="Calibri" w:cs="Calibri"/>
                <w:b/>
                <w:color w:val="000000"/>
                <w:sz w:val="20"/>
                <w:szCs w:val="20"/>
              </w:rPr>
            </w:pPr>
            <w:r w:rsidRPr="00784644">
              <w:rPr>
                <w:rFonts w:ascii="Calibri" w:eastAsia="Calibri" w:hAnsi="Calibri" w:cs="Calibri"/>
                <w:b/>
                <w:color w:val="000000"/>
                <w:sz w:val="20"/>
                <w:szCs w:val="20"/>
              </w:rPr>
              <w:t>UNDP financing (US$)</w:t>
            </w:r>
          </w:p>
        </w:tc>
        <w:tc>
          <w:tcPr>
            <w:tcW w:w="2384" w:type="dxa"/>
            <w:gridSpan w:val="2"/>
            <w:tcBorders>
              <w:top w:val="single" w:sz="8" w:space="0" w:color="000000"/>
              <w:left w:val="nil"/>
              <w:bottom w:val="single" w:sz="8" w:space="0" w:color="000000"/>
              <w:right w:val="single" w:sz="8" w:space="0" w:color="000000"/>
            </w:tcBorders>
            <w:shd w:val="clear" w:color="auto" w:fill="F7CBAC"/>
            <w:vAlign w:val="center"/>
          </w:tcPr>
          <w:p w14:paraId="1100BDDF" w14:textId="77777777" w:rsidR="000F31AD" w:rsidRPr="00784644" w:rsidRDefault="00A317E5">
            <w:pPr>
              <w:jc w:val="center"/>
              <w:rPr>
                <w:rFonts w:ascii="Calibri" w:eastAsia="Calibri" w:hAnsi="Calibri" w:cs="Calibri"/>
                <w:b/>
                <w:color w:val="000000"/>
                <w:sz w:val="20"/>
                <w:szCs w:val="20"/>
              </w:rPr>
            </w:pPr>
            <w:r w:rsidRPr="00784644">
              <w:rPr>
                <w:rFonts w:ascii="Calibri" w:eastAsia="Calibri" w:hAnsi="Calibri" w:cs="Calibri"/>
                <w:b/>
                <w:color w:val="000000"/>
                <w:sz w:val="20"/>
                <w:szCs w:val="20"/>
              </w:rPr>
              <w:t>Government financing (US$)</w:t>
            </w:r>
          </w:p>
        </w:tc>
        <w:tc>
          <w:tcPr>
            <w:tcW w:w="2870" w:type="dxa"/>
            <w:gridSpan w:val="2"/>
            <w:tcBorders>
              <w:top w:val="single" w:sz="8" w:space="0" w:color="000000"/>
              <w:left w:val="nil"/>
              <w:bottom w:val="single" w:sz="8" w:space="0" w:color="000000"/>
              <w:right w:val="single" w:sz="8" w:space="0" w:color="000000"/>
            </w:tcBorders>
            <w:shd w:val="clear" w:color="auto" w:fill="F7CBAC"/>
            <w:vAlign w:val="center"/>
          </w:tcPr>
          <w:p w14:paraId="6480DE44" w14:textId="77777777" w:rsidR="000F31AD" w:rsidRPr="00784644" w:rsidRDefault="00A317E5">
            <w:pPr>
              <w:jc w:val="center"/>
              <w:rPr>
                <w:rFonts w:ascii="Calibri" w:eastAsia="Calibri" w:hAnsi="Calibri" w:cs="Calibri"/>
                <w:b/>
                <w:color w:val="000000"/>
                <w:sz w:val="20"/>
                <w:szCs w:val="20"/>
              </w:rPr>
            </w:pPr>
            <w:r w:rsidRPr="00784644">
              <w:rPr>
                <w:rFonts w:ascii="Calibri" w:eastAsia="Calibri" w:hAnsi="Calibri" w:cs="Calibri"/>
                <w:b/>
                <w:color w:val="000000"/>
                <w:sz w:val="20"/>
                <w:szCs w:val="20"/>
              </w:rPr>
              <w:t>Partner Agency (US$)</w:t>
            </w:r>
          </w:p>
        </w:tc>
        <w:tc>
          <w:tcPr>
            <w:tcW w:w="2870" w:type="dxa"/>
            <w:gridSpan w:val="2"/>
            <w:tcBorders>
              <w:top w:val="single" w:sz="8" w:space="0" w:color="000000"/>
              <w:left w:val="nil"/>
              <w:bottom w:val="single" w:sz="8" w:space="0" w:color="000000"/>
              <w:right w:val="single" w:sz="8" w:space="0" w:color="000000"/>
            </w:tcBorders>
            <w:shd w:val="clear" w:color="auto" w:fill="F7CBAC"/>
            <w:vAlign w:val="center"/>
          </w:tcPr>
          <w:p w14:paraId="3EDBB0C4" w14:textId="77777777" w:rsidR="000F31AD" w:rsidRPr="00784644" w:rsidRDefault="00A317E5">
            <w:pPr>
              <w:jc w:val="center"/>
              <w:rPr>
                <w:rFonts w:ascii="Calibri" w:eastAsia="Calibri" w:hAnsi="Calibri" w:cs="Calibri"/>
                <w:b/>
                <w:color w:val="000000"/>
                <w:sz w:val="20"/>
                <w:szCs w:val="20"/>
              </w:rPr>
            </w:pPr>
            <w:r w:rsidRPr="00784644">
              <w:rPr>
                <w:rFonts w:ascii="Calibri" w:eastAsia="Calibri" w:hAnsi="Calibri" w:cs="Calibri"/>
                <w:b/>
                <w:color w:val="000000"/>
                <w:sz w:val="20"/>
                <w:szCs w:val="20"/>
              </w:rPr>
              <w:t>Total (US$)</w:t>
            </w:r>
          </w:p>
        </w:tc>
      </w:tr>
      <w:tr w:rsidR="000F31AD" w14:paraId="618BAC64" w14:textId="77777777">
        <w:trPr>
          <w:trHeight w:val="820"/>
        </w:trPr>
        <w:tc>
          <w:tcPr>
            <w:tcW w:w="2062" w:type="dxa"/>
            <w:vMerge/>
            <w:tcBorders>
              <w:top w:val="single" w:sz="8" w:space="0" w:color="000000"/>
              <w:left w:val="single" w:sz="8" w:space="0" w:color="000000"/>
              <w:bottom w:val="single" w:sz="8" w:space="0" w:color="000000"/>
              <w:right w:val="nil"/>
            </w:tcBorders>
            <w:shd w:val="clear" w:color="auto" w:fill="F7CBAC"/>
            <w:vAlign w:val="center"/>
          </w:tcPr>
          <w:p w14:paraId="1B3106AF" w14:textId="77777777" w:rsidR="000F31AD" w:rsidRPr="00784644" w:rsidRDefault="000F31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192" w:type="dxa"/>
            <w:tcBorders>
              <w:top w:val="nil"/>
              <w:left w:val="nil"/>
              <w:bottom w:val="single" w:sz="8" w:space="0" w:color="000000"/>
              <w:right w:val="single" w:sz="8" w:space="0" w:color="000000"/>
            </w:tcBorders>
            <w:shd w:val="clear" w:color="auto" w:fill="F7CBAC"/>
            <w:vAlign w:val="center"/>
          </w:tcPr>
          <w:p w14:paraId="42DA36EC" w14:textId="77777777" w:rsidR="000F31AD" w:rsidRPr="00784644" w:rsidRDefault="00A317E5">
            <w:pPr>
              <w:rPr>
                <w:rFonts w:ascii="Calibri" w:eastAsia="Calibri" w:hAnsi="Calibri" w:cs="Calibri"/>
                <w:b/>
                <w:color w:val="000000"/>
                <w:sz w:val="20"/>
                <w:szCs w:val="20"/>
              </w:rPr>
            </w:pPr>
            <w:r w:rsidRPr="00784644">
              <w:rPr>
                <w:rFonts w:ascii="Calibri" w:eastAsia="Calibri" w:hAnsi="Calibri" w:cs="Calibri"/>
                <w:b/>
                <w:color w:val="000000"/>
                <w:sz w:val="20"/>
                <w:szCs w:val="20"/>
              </w:rPr>
              <w:t xml:space="preserve">Planned </w:t>
            </w:r>
          </w:p>
        </w:tc>
        <w:tc>
          <w:tcPr>
            <w:tcW w:w="1192" w:type="dxa"/>
            <w:tcBorders>
              <w:top w:val="nil"/>
              <w:left w:val="nil"/>
              <w:bottom w:val="single" w:sz="8" w:space="0" w:color="000000"/>
              <w:right w:val="single" w:sz="8" w:space="0" w:color="000000"/>
            </w:tcBorders>
            <w:shd w:val="clear" w:color="auto" w:fill="F7CBAC"/>
            <w:vAlign w:val="center"/>
          </w:tcPr>
          <w:p w14:paraId="4879E349" w14:textId="77777777" w:rsidR="000F31AD" w:rsidRPr="00784644" w:rsidRDefault="00A317E5">
            <w:pPr>
              <w:rPr>
                <w:rFonts w:ascii="Calibri" w:eastAsia="Calibri" w:hAnsi="Calibri" w:cs="Calibri"/>
                <w:b/>
                <w:color w:val="000000"/>
                <w:sz w:val="20"/>
                <w:szCs w:val="20"/>
              </w:rPr>
            </w:pPr>
            <w:r w:rsidRPr="00784644">
              <w:rPr>
                <w:rFonts w:ascii="Calibri" w:eastAsia="Calibri" w:hAnsi="Calibri" w:cs="Calibri"/>
                <w:b/>
                <w:color w:val="000000"/>
                <w:sz w:val="20"/>
                <w:szCs w:val="20"/>
              </w:rPr>
              <w:t>Actual</w:t>
            </w:r>
          </w:p>
        </w:tc>
        <w:tc>
          <w:tcPr>
            <w:tcW w:w="1192" w:type="dxa"/>
            <w:tcBorders>
              <w:top w:val="nil"/>
              <w:left w:val="nil"/>
              <w:bottom w:val="single" w:sz="8" w:space="0" w:color="000000"/>
              <w:right w:val="single" w:sz="8" w:space="0" w:color="000000"/>
            </w:tcBorders>
            <w:shd w:val="clear" w:color="auto" w:fill="F7CBAC"/>
            <w:vAlign w:val="center"/>
          </w:tcPr>
          <w:p w14:paraId="07114269" w14:textId="77777777" w:rsidR="000F31AD" w:rsidRPr="00784644" w:rsidRDefault="00A317E5">
            <w:pPr>
              <w:rPr>
                <w:rFonts w:ascii="Calibri" w:eastAsia="Calibri" w:hAnsi="Calibri" w:cs="Calibri"/>
                <w:b/>
                <w:color w:val="000000"/>
                <w:sz w:val="20"/>
                <w:szCs w:val="20"/>
              </w:rPr>
            </w:pPr>
            <w:r w:rsidRPr="00784644">
              <w:rPr>
                <w:rFonts w:ascii="Calibri" w:eastAsia="Calibri" w:hAnsi="Calibri" w:cs="Calibri"/>
                <w:b/>
                <w:color w:val="000000"/>
                <w:sz w:val="20"/>
                <w:szCs w:val="20"/>
              </w:rPr>
              <w:t xml:space="preserve">Planned </w:t>
            </w:r>
          </w:p>
        </w:tc>
        <w:tc>
          <w:tcPr>
            <w:tcW w:w="1192" w:type="dxa"/>
            <w:tcBorders>
              <w:top w:val="nil"/>
              <w:left w:val="nil"/>
              <w:bottom w:val="single" w:sz="8" w:space="0" w:color="000000"/>
              <w:right w:val="single" w:sz="8" w:space="0" w:color="000000"/>
            </w:tcBorders>
            <w:shd w:val="clear" w:color="auto" w:fill="F7CBAC"/>
            <w:vAlign w:val="center"/>
          </w:tcPr>
          <w:p w14:paraId="3C2D7649" w14:textId="77777777" w:rsidR="000F31AD" w:rsidRPr="00784644" w:rsidRDefault="00A317E5">
            <w:pPr>
              <w:rPr>
                <w:rFonts w:ascii="Calibri" w:eastAsia="Calibri" w:hAnsi="Calibri" w:cs="Calibri"/>
                <w:b/>
                <w:color w:val="000000"/>
                <w:sz w:val="20"/>
                <w:szCs w:val="20"/>
              </w:rPr>
            </w:pPr>
            <w:r w:rsidRPr="00784644">
              <w:rPr>
                <w:rFonts w:ascii="Calibri" w:eastAsia="Calibri" w:hAnsi="Calibri" w:cs="Calibri"/>
                <w:b/>
                <w:color w:val="000000"/>
                <w:sz w:val="20"/>
                <w:szCs w:val="20"/>
              </w:rPr>
              <w:t>Actual</w:t>
            </w:r>
          </w:p>
        </w:tc>
        <w:tc>
          <w:tcPr>
            <w:tcW w:w="1435" w:type="dxa"/>
            <w:tcBorders>
              <w:top w:val="nil"/>
              <w:left w:val="nil"/>
              <w:bottom w:val="single" w:sz="8" w:space="0" w:color="000000"/>
              <w:right w:val="single" w:sz="8" w:space="0" w:color="000000"/>
            </w:tcBorders>
            <w:shd w:val="clear" w:color="auto" w:fill="F7CBAC"/>
            <w:vAlign w:val="center"/>
          </w:tcPr>
          <w:p w14:paraId="371F9494" w14:textId="77777777" w:rsidR="000F31AD" w:rsidRPr="00784644" w:rsidRDefault="00A317E5">
            <w:pPr>
              <w:rPr>
                <w:rFonts w:ascii="Calibri" w:eastAsia="Calibri" w:hAnsi="Calibri" w:cs="Calibri"/>
                <w:b/>
                <w:color w:val="000000"/>
                <w:sz w:val="20"/>
                <w:szCs w:val="20"/>
              </w:rPr>
            </w:pPr>
            <w:r w:rsidRPr="00784644">
              <w:rPr>
                <w:rFonts w:ascii="Calibri" w:eastAsia="Calibri" w:hAnsi="Calibri" w:cs="Calibri"/>
                <w:b/>
                <w:color w:val="000000"/>
                <w:sz w:val="20"/>
                <w:szCs w:val="20"/>
              </w:rPr>
              <w:t xml:space="preserve">Planned </w:t>
            </w:r>
          </w:p>
        </w:tc>
        <w:tc>
          <w:tcPr>
            <w:tcW w:w="1435" w:type="dxa"/>
            <w:tcBorders>
              <w:top w:val="nil"/>
              <w:left w:val="nil"/>
              <w:bottom w:val="single" w:sz="8" w:space="0" w:color="000000"/>
              <w:right w:val="single" w:sz="8" w:space="0" w:color="000000"/>
            </w:tcBorders>
            <w:shd w:val="clear" w:color="auto" w:fill="F7CBAC"/>
            <w:vAlign w:val="center"/>
          </w:tcPr>
          <w:p w14:paraId="5193C53C" w14:textId="77777777" w:rsidR="000F31AD" w:rsidRPr="00784644" w:rsidRDefault="00A317E5">
            <w:pPr>
              <w:rPr>
                <w:rFonts w:ascii="Calibri" w:eastAsia="Calibri" w:hAnsi="Calibri" w:cs="Calibri"/>
                <w:b/>
                <w:color w:val="000000"/>
                <w:sz w:val="20"/>
                <w:szCs w:val="20"/>
              </w:rPr>
            </w:pPr>
            <w:r w:rsidRPr="00784644">
              <w:rPr>
                <w:rFonts w:ascii="Calibri" w:eastAsia="Calibri" w:hAnsi="Calibri" w:cs="Calibri"/>
                <w:b/>
                <w:color w:val="000000"/>
                <w:sz w:val="20"/>
                <w:szCs w:val="20"/>
              </w:rPr>
              <w:t>Actual</w:t>
            </w:r>
          </w:p>
        </w:tc>
        <w:tc>
          <w:tcPr>
            <w:tcW w:w="1435" w:type="dxa"/>
            <w:tcBorders>
              <w:top w:val="nil"/>
              <w:left w:val="nil"/>
              <w:bottom w:val="single" w:sz="8" w:space="0" w:color="000000"/>
              <w:right w:val="single" w:sz="8" w:space="0" w:color="000000"/>
            </w:tcBorders>
            <w:shd w:val="clear" w:color="auto" w:fill="F7CBAC"/>
            <w:vAlign w:val="center"/>
          </w:tcPr>
          <w:p w14:paraId="2D0275FA" w14:textId="77777777" w:rsidR="000F31AD" w:rsidRPr="00784644" w:rsidRDefault="00A317E5">
            <w:pPr>
              <w:rPr>
                <w:rFonts w:ascii="Calibri" w:eastAsia="Calibri" w:hAnsi="Calibri" w:cs="Calibri"/>
                <w:b/>
                <w:color w:val="000000"/>
                <w:sz w:val="20"/>
                <w:szCs w:val="20"/>
              </w:rPr>
            </w:pPr>
            <w:r w:rsidRPr="00784644">
              <w:rPr>
                <w:rFonts w:ascii="Calibri" w:eastAsia="Calibri" w:hAnsi="Calibri" w:cs="Calibri"/>
                <w:b/>
                <w:color w:val="000000"/>
                <w:sz w:val="20"/>
                <w:szCs w:val="20"/>
              </w:rPr>
              <w:t xml:space="preserve">Planned </w:t>
            </w:r>
          </w:p>
        </w:tc>
        <w:tc>
          <w:tcPr>
            <w:tcW w:w="1435" w:type="dxa"/>
            <w:tcBorders>
              <w:top w:val="nil"/>
              <w:left w:val="nil"/>
              <w:bottom w:val="single" w:sz="8" w:space="0" w:color="000000"/>
              <w:right w:val="single" w:sz="8" w:space="0" w:color="000000"/>
            </w:tcBorders>
            <w:shd w:val="clear" w:color="auto" w:fill="F7CBAC"/>
            <w:vAlign w:val="center"/>
          </w:tcPr>
          <w:p w14:paraId="5274AFDE" w14:textId="77777777" w:rsidR="000F31AD" w:rsidRPr="00784644" w:rsidRDefault="00A317E5">
            <w:pPr>
              <w:rPr>
                <w:rFonts w:ascii="Calibri" w:eastAsia="Calibri" w:hAnsi="Calibri" w:cs="Calibri"/>
                <w:b/>
                <w:color w:val="000000"/>
                <w:sz w:val="20"/>
                <w:szCs w:val="20"/>
              </w:rPr>
            </w:pPr>
            <w:r w:rsidRPr="00784644">
              <w:rPr>
                <w:rFonts w:ascii="Calibri" w:eastAsia="Calibri" w:hAnsi="Calibri" w:cs="Calibri"/>
                <w:b/>
                <w:color w:val="000000"/>
                <w:sz w:val="20"/>
                <w:szCs w:val="20"/>
              </w:rPr>
              <w:t>Actual</w:t>
            </w:r>
          </w:p>
        </w:tc>
      </w:tr>
      <w:tr w:rsidR="000F31AD" w14:paraId="4BFD19B0" w14:textId="77777777">
        <w:trPr>
          <w:trHeight w:val="300"/>
        </w:trPr>
        <w:tc>
          <w:tcPr>
            <w:tcW w:w="20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6162E0"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Grants</w:t>
            </w:r>
          </w:p>
        </w:tc>
        <w:tc>
          <w:tcPr>
            <w:tcW w:w="1192" w:type="dxa"/>
            <w:tcBorders>
              <w:top w:val="nil"/>
              <w:left w:val="nil"/>
              <w:bottom w:val="single" w:sz="8" w:space="0" w:color="000000"/>
              <w:right w:val="single" w:sz="8" w:space="0" w:color="000000"/>
            </w:tcBorders>
            <w:shd w:val="clear" w:color="auto" w:fill="auto"/>
            <w:vAlign w:val="center"/>
          </w:tcPr>
          <w:p w14:paraId="211B1075" w14:textId="77777777" w:rsidR="000F31AD" w:rsidRPr="00784644" w:rsidRDefault="00A317E5">
            <w:pPr>
              <w:jc w:val="right"/>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30,000</w:t>
            </w:r>
          </w:p>
        </w:tc>
        <w:tc>
          <w:tcPr>
            <w:tcW w:w="1192" w:type="dxa"/>
            <w:tcBorders>
              <w:top w:val="nil"/>
              <w:left w:val="nil"/>
              <w:bottom w:val="single" w:sz="8" w:space="0" w:color="000000"/>
              <w:right w:val="single" w:sz="8" w:space="0" w:color="000000"/>
            </w:tcBorders>
            <w:shd w:val="clear" w:color="auto" w:fill="auto"/>
            <w:vAlign w:val="center"/>
          </w:tcPr>
          <w:p w14:paraId="26530D41" w14:textId="77777777" w:rsidR="000F31AD" w:rsidRPr="00784644" w:rsidRDefault="00A317E5">
            <w:pPr>
              <w:jc w:val="right"/>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30,000</w:t>
            </w:r>
          </w:p>
        </w:tc>
        <w:tc>
          <w:tcPr>
            <w:tcW w:w="1192" w:type="dxa"/>
            <w:tcBorders>
              <w:top w:val="nil"/>
              <w:left w:val="nil"/>
              <w:bottom w:val="single" w:sz="8" w:space="0" w:color="000000"/>
              <w:right w:val="single" w:sz="8" w:space="0" w:color="000000"/>
            </w:tcBorders>
            <w:shd w:val="clear" w:color="auto" w:fill="auto"/>
            <w:vAlign w:val="center"/>
          </w:tcPr>
          <w:p w14:paraId="5B304BA8"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 </w:t>
            </w:r>
          </w:p>
        </w:tc>
        <w:tc>
          <w:tcPr>
            <w:tcW w:w="1192" w:type="dxa"/>
            <w:tcBorders>
              <w:top w:val="nil"/>
              <w:left w:val="nil"/>
              <w:bottom w:val="single" w:sz="8" w:space="0" w:color="000000"/>
              <w:right w:val="single" w:sz="8" w:space="0" w:color="000000"/>
            </w:tcBorders>
            <w:shd w:val="clear" w:color="auto" w:fill="auto"/>
            <w:vAlign w:val="center"/>
          </w:tcPr>
          <w:p w14:paraId="66D34C16"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 </w:t>
            </w:r>
          </w:p>
        </w:tc>
        <w:tc>
          <w:tcPr>
            <w:tcW w:w="1435" w:type="dxa"/>
            <w:tcBorders>
              <w:top w:val="nil"/>
              <w:left w:val="nil"/>
              <w:bottom w:val="single" w:sz="8" w:space="0" w:color="000000"/>
              <w:right w:val="single" w:sz="8" w:space="0" w:color="000000"/>
            </w:tcBorders>
            <w:shd w:val="clear" w:color="auto" w:fill="auto"/>
            <w:vAlign w:val="center"/>
          </w:tcPr>
          <w:p w14:paraId="531AE2F3"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 </w:t>
            </w:r>
          </w:p>
        </w:tc>
        <w:tc>
          <w:tcPr>
            <w:tcW w:w="1435" w:type="dxa"/>
            <w:tcBorders>
              <w:top w:val="nil"/>
              <w:left w:val="nil"/>
              <w:bottom w:val="single" w:sz="8" w:space="0" w:color="000000"/>
              <w:right w:val="single" w:sz="8" w:space="0" w:color="000000"/>
            </w:tcBorders>
            <w:shd w:val="clear" w:color="auto" w:fill="auto"/>
            <w:vAlign w:val="center"/>
          </w:tcPr>
          <w:p w14:paraId="498160E3"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 </w:t>
            </w:r>
          </w:p>
        </w:tc>
        <w:tc>
          <w:tcPr>
            <w:tcW w:w="1435" w:type="dxa"/>
            <w:tcBorders>
              <w:top w:val="nil"/>
              <w:left w:val="nil"/>
              <w:bottom w:val="single" w:sz="8" w:space="0" w:color="000000"/>
              <w:right w:val="single" w:sz="8" w:space="0" w:color="000000"/>
            </w:tcBorders>
            <w:shd w:val="clear" w:color="auto" w:fill="auto"/>
            <w:vAlign w:val="center"/>
          </w:tcPr>
          <w:p w14:paraId="036ED1CA"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xml:space="preserve">           30,000   </w:t>
            </w:r>
          </w:p>
        </w:tc>
        <w:tc>
          <w:tcPr>
            <w:tcW w:w="1435" w:type="dxa"/>
            <w:tcBorders>
              <w:top w:val="nil"/>
              <w:left w:val="nil"/>
              <w:bottom w:val="single" w:sz="8" w:space="0" w:color="000000"/>
              <w:right w:val="single" w:sz="8" w:space="0" w:color="000000"/>
            </w:tcBorders>
            <w:shd w:val="clear" w:color="auto" w:fill="auto"/>
            <w:vAlign w:val="center"/>
          </w:tcPr>
          <w:p w14:paraId="4D72E662"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xml:space="preserve">           30,000   </w:t>
            </w:r>
          </w:p>
        </w:tc>
      </w:tr>
      <w:tr w:rsidR="000F31AD" w14:paraId="04F819AF" w14:textId="77777777">
        <w:trPr>
          <w:trHeight w:val="580"/>
        </w:trPr>
        <w:tc>
          <w:tcPr>
            <w:tcW w:w="2062" w:type="dxa"/>
            <w:vMerge w:val="restart"/>
            <w:tcBorders>
              <w:top w:val="nil"/>
              <w:left w:val="single" w:sz="8" w:space="0" w:color="000000"/>
              <w:bottom w:val="single" w:sz="8" w:space="0" w:color="000000"/>
              <w:right w:val="single" w:sz="8" w:space="0" w:color="000000"/>
            </w:tcBorders>
            <w:shd w:val="clear" w:color="auto" w:fill="auto"/>
            <w:vAlign w:val="center"/>
          </w:tcPr>
          <w:p w14:paraId="47CF57D8"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Loans/Concessions</w:t>
            </w:r>
          </w:p>
        </w:tc>
        <w:tc>
          <w:tcPr>
            <w:tcW w:w="1192" w:type="dxa"/>
            <w:vMerge w:val="restart"/>
            <w:tcBorders>
              <w:top w:val="nil"/>
              <w:left w:val="single" w:sz="8" w:space="0" w:color="000000"/>
              <w:bottom w:val="single" w:sz="8" w:space="0" w:color="000000"/>
              <w:right w:val="single" w:sz="8" w:space="0" w:color="000000"/>
            </w:tcBorders>
            <w:shd w:val="clear" w:color="auto" w:fill="auto"/>
            <w:vAlign w:val="center"/>
          </w:tcPr>
          <w:p w14:paraId="7869CA50" w14:textId="77777777" w:rsidR="000F31AD" w:rsidRPr="00784644" w:rsidRDefault="00A317E5">
            <w:pPr>
              <w:jc w:val="center"/>
              <w:rPr>
                <w:rFonts w:asciiTheme="minorHAnsi" w:eastAsia="Calibri" w:hAnsiTheme="minorHAnsi" w:cstheme="minorHAnsi"/>
                <w:sz w:val="20"/>
                <w:szCs w:val="20"/>
              </w:rPr>
            </w:pPr>
            <w:r w:rsidRPr="00784644">
              <w:rPr>
                <w:rFonts w:asciiTheme="minorHAnsi" w:eastAsia="Calibri" w:hAnsiTheme="minorHAnsi" w:cstheme="minorHAnsi"/>
                <w:sz w:val="20"/>
                <w:szCs w:val="20"/>
              </w:rPr>
              <w:t> </w:t>
            </w:r>
          </w:p>
        </w:tc>
        <w:tc>
          <w:tcPr>
            <w:tcW w:w="1192" w:type="dxa"/>
            <w:vMerge w:val="restart"/>
            <w:tcBorders>
              <w:top w:val="nil"/>
              <w:left w:val="single" w:sz="8" w:space="0" w:color="000000"/>
              <w:bottom w:val="single" w:sz="8" w:space="0" w:color="000000"/>
              <w:right w:val="single" w:sz="8" w:space="0" w:color="000000"/>
            </w:tcBorders>
            <w:shd w:val="clear" w:color="auto" w:fill="auto"/>
            <w:vAlign w:val="center"/>
          </w:tcPr>
          <w:p w14:paraId="0D835EE5" w14:textId="77777777" w:rsidR="000F31AD" w:rsidRPr="00784644" w:rsidRDefault="00A317E5">
            <w:pPr>
              <w:jc w:val="center"/>
              <w:rPr>
                <w:rFonts w:asciiTheme="minorHAnsi" w:eastAsia="Calibri" w:hAnsiTheme="minorHAnsi" w:cstheme="minorHAnsi"/>
                <w:sz w:val="20"/>
                <w:szCs w:val="20"/>
              </w:rPr>
            </w:pPr>
            <w:r w:rsidRPr="00784644">
              <w:rPr>
                <w:rFonts w:asciiTheme="minorHAnsi" w:eastAsia="Calibri" w:hAnsiTheme="minorHAnsi" w:cstheme="minorHAnsi"/>
                <w:sz w:val="20"/>
                <w:szCs w:val="20"/>
              </w:rPr>
              <w:t> </w:t>
            </w:r>
          </w:p>
        </w:tc>
        <w:tc>
          <w:tcPr>
            <w:tcW w:w="1192" w:type="dxa"/>
            <w:vMerge w:val="restart"/>
            <w:tcBorders>
              <w:top w:val="nil"/>
              <w:left w:val="single" w:sz="8" w:space="0" w:color="000000"/>
              <w:bottom w:val="single" w:sz="8" w:space="0" w:color="000000"/>
              <w:right w:val="single" w:sz="8" w:space="0" w:color="000000"/>
            </w:tcBorders>
            <w:shd w:val="clear" w:color="auto" w:fill="auto"/>
            <w:vAlign w:val="center"/>
          </w:tcPr>
          <w:p w14:paraId="03DC262D"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w:t>
            </w:r>
          </w:p>
        </w:tc>
        <w:tc>
          <w:tcPr>
            <w:tcW w:w="1192" w:type="dxa"/>
            <w:vMerge w:val="restart"/>
            <w:tcBorders>
              <w:top w:val="nil"/>
              <w:left w:val="single" w:sz="8" w:space="0" w:color="000000"/>
              <w:bottom w:val="single" w:sz="8" w:space="0" w:color="000000"/>
              <w:right w:val="single" w:sz="8" w:space="0" w:color="000000"/>
            </w:tcBorders>
            <w:shd w:val="clear" w:color="auto" w:fill="auto"/>
            <w:vAlign w:val="center"/>
          </w:tcPr>
          <w:p w14:paraId="2FB13B8E"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w:t>
            </w:r>
          </w:p>
        </w:tc>
        <w:tc>
          <w:tcPr>
            <w:tcW w:w="1435" w:type="dxa"/>
            <w:tcBorders>
              <w:top w:val="nil"/>
              <w:left w:val="nil"/>
              <w:bottom w:val="nil"/>
              <w:right w:val="single" w:sz="8" w:space="0" w:color="000000"/>
            </w:tcBorders>
            <w:shd w:val="clear" w:color="auto" w:fill="auto"/>
            <w:vAlign w:val="center"/>
          </w:tcPr>
          <w:p w14:paraId="3D467AB2"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42,000,000 (WB)</w:t>
            </w:r>
          </w:p>
        </w:tc>
        <w:tc>
          <w:tcPr>
            <w:tcW w:w="1435" w:type="dxa"/>
            <w:tcBorders>
              <w:top w:val="nil"/>
              <w:left w:val="nil"/>
              <w:bottom w:val="nil"/>
              <w:right w:val="single" w:sz="8" w:space="0" w:color="000000"/>
            </w:tcBorders>
            <w:shd w:val="clear" w:color="auto" w:fill="auto"/>
            <w:vAlign w:val="center"/>
          </w:tcPr>
          <w:p w14:paraId="53DDDCC6"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42,000,000 (WB)</w:t>
            </w:r>
          </w:p>
        </w:tc>
        <w:tc>
          <w:tcPr>
            <w:tcW w:w="1435" w:type="dxa"/>
            <w:vMerge w:val="restart"/>
            <w:tcBorders>
              <w:top w:val="nil"/>
              <w:left w:val="single" w:sz="8" w:space="0" w:color="000000"/>
              <w:bottom w:val="single" w:sz="8" w:space="0" w:color="000000"/>
              <w:right w:val="single" w:sz="8" w:space="0" w:color="000000"/>
            </w:tcBorders>
            <w:shd w:val="clear" w:color="auto" w:fill="auto"/>
            <w:vAlign w:val="center"/>
          </w:tcPr>
          <w:p w14:paraId="016B772B"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xml:space="preserve"> 162,000,000   </w:t>
            </w:r>
          </w:p>
        </w:tc>
        <w:tc>
          <w:tcPr>
            <w:tcW w:w="1435" w:type="dxa"/>
            <w:vMerge w:val="restart"/>
            <w:tcBorders>
              <w:top w:val="nil"/>
              <w:left w:val="single" w:sz="8" w:space="0" w:color="000000"/>
              <w:bottom w:val="single" w:sz="8" w:space="0" w:color="000000"/>
              <w:right w:val="single" w:sz="8" w:space="0" w:color="000000"/>
            </w:tcBorders>
            <w:shd w:val="clear" w:color="auto" w:fill="auto"/>
            <w:vAlign w:val="center"/>
          </w:tcPr>
          <w:p w14:paraId="12C75AEE"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xml:space="preserve"> 162,000,000   </w:t>
            </w:r>
          </w:p>
        </w:tc>
      </w:tr>
      <w:tr w:rsidR="000F31AD" w14:paraId="71E8C882" w14:textId="77777777">
        <w:trPr>
          <w:trHeight w:val="450"/>
        </w:trPr>
        <w:tc>
          <w:tcPr>
            <w:tcW w:w="2062" w:type="dxa"/>
            <w:vMerge/>
            <w:tcBorders>
              <w:top w:val="nil"/>
              <w:left w:val="single" w:sz="8" w:space="0" w:color="000000"/>
              <w:bottom w:val="single" w:sz="8" w:space="0" w:color="000000"/>
              <w:right w:val="single" w:sz="8" w:space="0" w:color="000000"/>
            </w:tcBorders>
            <w:shd w:val="clear" w:color="auto" w:fill="auto"/>
            <w:vAlign w:val="center"/>
          </w:tcPr>
          <w:p w14:paraId="3CFDF68D"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192" w:type="dxa"/>
            <w:vMerge/>
            <w:tcBorders>
              <w:top w:val="nil"/>
              <w:left w:val="single" w:sz="8" w:space="0" w:color="000000"/>
              <w:bottom w:val="single" w:sz="8" w:space="0" w:color="000000"/>
              <w:right w:val="single" w:sz="8" w:space="0" w:color="000000"/>
            </w:tcBorders>
            <w:shd w:val="clear" w:color="auto" w:fill="auto"/>
            <w:vAlign w:val="center"/>
          </w:tcPr>
          <w:p w14:paraId="75E8423E"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192" w:type="dxa"/>
            <w:vMerge/>
            <w:tcBorders>
              <w:top w:val="nil"/>
              <w:left w:val="single" w:sz="8" w:space="0" w:color="000000"/>
              <w:bottom w:val="single" w:sz="8" w:space="0" w:color="000000"/>
              <w:right w:val="single" w:sz="8" w:space="0" w:color="000000"/>
            </w:tcBorders>
            <w:shd w:val="clear" w:color="auto" w:fill="auto"/>
            <w:vAlign w:val="center"/>
          </w:tcPr>
          <w:p w14:paraId="6A4243E6"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192" w:type="dxa"/>
            <w:vMerge/>
            <w:tcBorders>
              <w:top w:val="nil"/>
              <w:left w:val="single" w:sz="8" w:space="0" w:color="000000"/>
              <w:bottom w:val="single" w:sz="8" w:space="0" w:color="000000"/>
              <w:right w:val="single" w:sz="8" w:space="0" w:color="000000"/>
            </w:tcBorders>
            <w:shd w:val="clear" w:color="auto" w:fill="auto"/>
            <w:vAlign w:val="center"/>
          </w:tcPr>
          <w:p w14:paraId="0B33C6AB"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192" w:type="dxa"/>
            <w:vMerge/>
            <w:tcBorders>
              <w:top w:val="nil"/>
              <w:left w:val="single" w:sz="8" w:space="0" w:color="000000"/>
              <w:bottom w:val="single" w:sz="8" w:space="0" w:color="000000"/>
              <w:right w:val="single" w:sz="8" w:space="0" w:color="000000"/>
            </w:tcBorders>
            <w:shd w:val="clear" w:color="auto" w:fill="auto"/>
            <w:vAlign w:val="center"/>
          </w:tcPr>
          <w:p w14:paraId="5C59481D"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435" w:type="dxa"/>
            <w:vMerge w:val="restart"/>
            <w:tcBorders>
              <w:top w:val="nil"/>
              <w:left w:val="single" w:sz="8" w:space="0" w:color="000000"/>
              <w:bottom w:val="single" w:sz="8" w:space="0" w:color="000000"/>
              <w:right w:val="single" w:sz="8" w:space="0" w:color="000000"/>
            </w:tcBorders>
            <w:shd w:val="clear" w:color="auto" w:fill="auto"/>
            <w:vAlign w:val="center"/>
          </w:tcPr>
          <w:p w14:paraId="68307100" w14:textId="77777777" w:rsidR="000F31AD" w:rsidRPr="00784644" w:rsidRDefault="00A317E5">
            <w:pPr>
              <w:jc w:val="center"/>
              <w:rPr>
                <w:rFonts w:asciiTheme="minorHAnsi" w:eastAsia="Calibri" w:hAnsiTheme="minorHAnsi" w:cstheme="minorHAnsi"/>
                <w:sz w:val="20"/>
                <w:szCs w:val="20"/>
              </w:rPr>
            </w:pPr>
            <w:r w:rsidRPr="00784644">
              <w:rPr>
                <w:rFonts w:asciiTheme="minorHAnsi" w:eastAsia="Calibri" w:hAnsiTheme="minorHAnsi" w:cstheme="minorHAnsi"/>
                <w:sz w:val="20"/>
                <w:szCs w:val="20"/>
              </w:rPr>
              <w:t>120,000,000 (KFW)</w:t>
            </w:r>
          </w:p>
        </w:tc>
        <w:tc>
          <w:tcPr>
            <w:tcW w:w="1435" w:type="dxa"/>
            <w:vMerge w:val="restart"/>
            <w:tcBorders>
              <w:top w:val="nil"/>
              <w:left w:val="single" w:sz="8" w:space="0" w:color="000000"/>
              <w:bottom w:val="single" w:sz="8" w:space="0" w:color="000000"/>
              <w:right w:val="single" w:sz="8" w:space="0" w:color="000000"/>
            </w:tcBorders>
            <w:shd w:val="clear" w:color="auto" w:fill="auto"/>
            <w:vAlign w:val="center"/>
          </w:tcPr>
          <w:p w14:paraId="256BFF7E" w14:textId="77777777" w:rsidR="000F31AD" w:rsidRPr="00784644" w:rsidRDefault="00A317E5">
            <w:pPr>
              <w:jc w:val="center"/>
              <w:rPr>
                <w:rFonts w:asciiTheme="minorHAnsi" w:eastAsia="Calibri" w:hAnsiTheme="minorHAnsi" w:cstheme="minorHAnsi"/>
                <w:sz w:val="20"/>
                <w:szCs w:val="20"/>
              </w:rPr>
            </w:pPr>
            <w:r w:rsidRPr="00784644">
              <w:rPr>
                <w:rFonts w:asciiTheme="minorHAnsi" w:eastAsia="Calibri" w:hAnsiTheme="minorHAnsi" w:cstheme="minorHAnsi"/>
                <w:sz w:val="20"/>
                <w:szCs w:val="20"/>
              </w:rPr>
              <w:t>120,000,000 (KFW)</w:t>
            </w:r>
          </w:p>
        </w:tc>
        <w:tc>
          <w:tcPr>
            <w:tcW w:w="1435" w:type="dxa"/>
            <w:vMerge/>
            <w:tcBorders>
              <w:top w:val="nil"/>
              <w:left w:val="single" w:sz="8" w:space="0" w:color="000000"/>
              <w:bottom w:val="single" w:sz="8" w:space="0" w:color="000000"/>
              <w:right w:val="single" w:sz="8" w:space="0" w:color="000000"/>
            </w:tcBorders>
            <w:shd w:val="clear" w:color="auto" w:fill="auto"/>
            <w:vAlign w:val="center"/>
          </w:tcPr>
          <w:p w14:paraId="3B354D3B"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435" w:type="dxa"/>
            <w:vMerge/>
            <w:tcBorders>
              <w:top w:val="nil"/>
              <w:left w:val="single" w:sz="8" w:space="0" w:color="000000"/>
              <w:bottom w:val="single" w:sz="8" w:space="0" w:color="000000"/>
              <w:right w:val="single" w:sz="8" w:space="0" w:color="000000"/>
            </w:tcBorders>
            <w:shd w:val="clear" w:color="auto" w:fill="auto"/>
            <w:vAlign w:val="center"/>
          </w:tcPr>
          <w:p w14:paraId="06E09CB7"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r>
      <w:tr w:rsidR="000F31AD" w14:paraId="085CC5F4" w14:textId="77777777">
        <w:trPr>
          <w:trHeight w:val="450"/>
        </w:trPr>
        <w:tc>
          <w:tcPr>
            <w:tcW w:w="2062" w:type="dxa"/>
            <w:vMerge/>
            <w:tcBorders>
              <w:top w:val="nil"/>
              <w:left w:val="single" w:sz="8" w:space="0" w:color="000000"/>
              <w:bottom w:val="single" w:sz="8" w:space="0" w:color="000000"/>
              <w:right w:val="single" w:sz="8" w:space="0" w:color="000000"/>
            </w:tcBorders>
            <w:shd w:val="clear" w:color="auto" w:fill="auto"/>
            <w:vAlign w:val="center"/>
          </w:tcPr>
          <w:p w14:paraId="0A610DA1"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192" w:type="dxa"/>
            <w:vMerge/>
            <w:tcBorders>
              <w:top w:val="nil"/>
              <w:left w:val="single" w:sz="8" w:space="0" w:color="000000"/>
              <w:bottom w:val="single" w:sz="8" w:space="0" w:color="000000"/>
              <w:right w:val="single" w:sz="8" w:space="0" w:color="000000"/>
            </w:tcBorders>
            <w:shd w:val="clear" w:color="auto" w:fill="auto"/>
            <w:vAlign w:val="center"/>
          </w:tcPr>
          <w:p w14:paraId="48548A44"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192" w:type="dxa"/>
            <w:vMerge/>
            <w:tcBorders>
              <w:top w:val="nil"/>
              <w:left w:val="single" w:sz="8" w:space="0" w:color="000000"/>
              <w:bottom w:val="single" w:sz="8" w:space="0" w:color="000000"/>
              <w:right w:val="single" w:sz="8" w:space="0" w:color="000000"/>
            </w:tcBorders>
            <w:shd w:val="clear" w:color="auto" w:fill="auto"/>
            <w:vAlign w:val="center"/>
          </w:tcPr>
          <w:p w14:paraId="6E49360E"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192" w:type="dxa"/>
            <w:vMerge/>
            <w:tcBorders>
              <w:top w:val="nil"/>
              <w:left w:val="single" w:sz="8" w:space="0" w:color="000000"/>
              <w:bottom w:val="single" w:sz="8" w:space="0" w:color="000000"/>
              <w:right w:val="single" w:sz="8" w:space="0" w:color="000000"/>
            </w:tcBorders>
            <w:shd w:val="clear" w:color="auto" w:fill="auto"/>
            <w:vAlign w:val="center"/>
          </w:tcPr>
          <w:p w14:paraId="09ABB1BF"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192" w:type="dxa"/>
            <w:vMerge/>
            <w:tcBorders>
              <w:top w:val="nil"/>
              <w:left w:val="single" w:sz="8" w:space="0" w:color="000000"/>
              <w:bottom w:val="single" w:sz="8" w:space="0" w:color="000000"/>
              <w:right w:val="single" w:sz="8" w:space="0" w:color="000000"/>
            </w:tcBorders>
            <w:shd w:val="clear" w:color="auto" w:fill="auto"/>
            <w:vAlign w:val="center"/>
          </w:tcPr>
          <w:p w14:paraId="1ACEAD34"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435" w:type="dxa"/>
            <w:vMerge/>
            <w:tcBorders>
              <w:top w:val="nil"/>
              <w:left w:val="single" w:sz="8" w:space="0" w:color="000000"/>
              <w:bottom w:val="single" w:sz="8" w:space="0" w:color="000000"/>
              <w:right w:val="single" w:sz="8" w:space="0" w:color="000000"/>
            </w:tcBorders>
            <w:shd w:val="clear" w:color="auto" w:fill="auto"/>
            <w:vAlign w:val="center"/>
          </w:tcPr>
          <w:p w14:paraId="05D75BF1"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435" w:type="dxa"/>
            <w:vMerge/>
            <w:tcBorders>
              <w:top w:val="nil"/>
              <w:left w:val="single" w:sz="8" w:space="0" w:color="000000"/>
              <w:bottom w:val="single" w:sz="8" w:space="0" w:color="000000"/>
              <w:right w:val="single" w:sz="8" w:space="0" w:color="000000"/>
            </w:tcBorders>
            <w:shd w:val="clear" w:color="auto" w:fill="auto"/>
            <w:vAlign w:val="center"/>
          </w:tcPr>
          <w:p w14:paraId="31EEDAEF"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435" w:type="dxa"/>
            <w:vMerge/>
            <w:tcBorders>
              <w:top w:val="nil"/>
              <w:left w:val="single" w:sz="8" w:space="0" w:color="000000"/>
              <w:bottom w:val="single" w:sz="8" w:space="0" w:color="000000"/>
              <w:right w:val="single" w:sz="8" w:space="0" w:color="000000"/>
            </w:tcBorders>
            <w:shd w:val="clear" w:color="auto" w:fill="auto"/>
            <w:vAlign w:val="center"/>
          </w:tcPr>
          <w:p w14:paraId="3351C703"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1435" w:type="dxa"/>
            <w:vMerge/>
            <w:tcBorders>
              <w:top w:val="nil"/>
              <w:left w:val="single" w:sz="8" w:space="0" w:color="000000"/>
              <w:bottom w:val="single" w:sz="8" w:space="0" w:color="000000"/>
              <w:right w:val="single" w:sz="8" w:space="0" w:color="000000"/>
            </w:tcBorders>
            <w:shd w:val="clear" w:color="auto" w:fill="auto"/>
            <w:vAlign w:val="center"/>
          </w:tcPr>
          <w:p w14:paraId="634C7CCE" w14:textId="77777777" w:rsidR="000F31AD" w:rsidRPr="00784644" w:rsidRDefault="000F31AD">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r>
      <w:tr w:rsidR="000F31AD" w14:paraId="658115E5" w14:textId="77777777">
        <w:trPr>
          <w:trHeight w:val="820"/>
        </w:trPr>
        <w:tc>
          <w:tcPr>
            <w:tcW w:w="2062" w:type="dxa"/>
            <w:tcBorders>
              <w:top w:val="nil"/>
              <w:left w:val="single" w:sz="8" w:space="0" w:color="000000"/>
              <w:bottom w:val="single" w:sz="8" w:space="0" w:color="000000"/>
              <w:right w:val="single" w:sz="8" w:space="0" w:color="000000"/>
            </w:tcBorders>
            <w:shd w:val="clear" w:color="auto" w:fill="auto"/>
            <w:vAlign w:val="center"/>
          </w:tcPr>
          <w:p w14:paraId="6A22D052"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In kind support</w:t>
            </w:r>
          </w:p>
        </w:tc>
        <w:tc>
          <w:tcPr>
            <w:tcW w:w="1192" w:type="dxa"/>
            <w:tcBorders>
              <w:top w:val="nil"/>
              <w:left w:val="nil"/>
              <w:bottom w:val="single" w:sz="8" w:space="0" w:color="000000"/>
              <w:right w:val="single" w:sz="8" w:space="0" w:color="000000"/>
            </w:tcBorders>
            <w:shd w:val="clear" w:color="auto" w:fill="auto"/>
            <w:vAlign w:val="center"/>
          </w:tcPr>
          <w:p w14:paraId="549EB9D9"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w:t>
            </w:r>
          </w:p>
        </w:tc>
        <w:tc>
          <w:tcPr>
            <w:tcW w:w="1192" w:type="dxa"/>
            <w:tcBorders>
              <w:top w:val="nil"/>
              <w:left w:val="nil"/>
              <w:bottom w:val="single" w:sz="8" w:space="0" w:color="000000"/>
              <w:right w:val="single" w:sz="8" w:space="0" w:color="000000"/>
            </w:tcBorders>
            <w:shd w:val="clear" w:color="auto" w:fill="auto"/>
            <w:vAlign w:val="center"/>
          </w:tcPr>
          <w:p w14:paraId="684C8E6D"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w:t>
            </w:r>
          </w:p>
        </w:tc>
        <w:tc>
          <w:tcPr>
            <w:tcW w:w="1192" w:type="dxa"/>
            <w:tcBorders>
              <w:top w:val="nil"/>
              <w:left w:val="nil"/>
              <w:bottom w:val="single" w:sz="8" w:space="0" w:color="000000"/>
              <w:right w:val="single" w:sz="8" w:space="0" w:color="000000"/>
            </w:tcBorders>
            <w:shd w:val="clear" w:color="auto" w:fill="auto"/>
            <w:vAlign w:val="center"/>
          </w:tcPr>
          <w:p w14:paraId="5C00C835"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 xml:space="preserve"> 1,260,000   </w:t>
            </w:r>
          </w:p>
        </w:tc>
        <w:tc>
          <w:tcPr>
            <w:tcW w:w="1192" w:type="dxa"/>
            <w:tcBorders>
              <w:top w:val="nil"/>
              <w:left w:val="nil"/>
              <w:bottom w:val="single" w:sz="8" w:space="0" w:color="000000"/>
              <w:right w:val="single" w:sz="8" w:space="0" w:color="000000"/>
            </w:tcBorders>
            <w:shd w:val="clear" w:color="auto" w:fill="auto"/>
            <w:vAlign w:val="center"/>
          </w:tcPr>
          <w:p w14:paraId="250D8694"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 xml:space="preserve"> 1,260,000   </w:t>
            </w:r>
          </w:p>
        </w:tc>
        <w:tc>
          <w:tcPr>
            <w:tcW w:w="1435" w:type="dxa"/>
            <w:tcBorders>
              <w:top w:val="nil"/>
              <w:left w:val="nil"/>
              <w:bottom w:val="single" w:sz="8" w:space="0" w:color="000000"/>
              <w:right w:val="single" w:sz="8" w:space="0" w:color="000000"/>
            </w:tcBorders>
            <w:shd w:val="clear" w:color="auto" w:fill="auto"/>
            <w:vAlign w:val="center"/>
          </w:tcPr>
          <w:p w14:paraId="12F08FC5" w14:textId="6FDF8D4C"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xml:space="preserve">      61,054,871   </w:t>
            </w:r>
          </w:p>
        </w:tc>
        <w:tc>
          <w:tcPr>
            <w:tcW w:w="1435" w:type="dxa"/>
            <w:tcBorders>
              <w:top w:val="nil"/>
              <w:left w:val="nil"/>
              <w:bottom w:val="single" w:sz="8" w:space="0" w:color="000000"/>
              <w:right w:val="single" w:sz="8" w:space="0" w:color="000000"/>
            </w:tcBorders>
            <w:shd w:val="clear" w:color="auto" w:fill="auto"/>
            <w:vAlign w:val="center"/>
          </w:tcPr>
          <w:p w14:paraId="31C82E4B"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xml:space="preserve">    61,054,871   </w:t>
            </w:r>
          </w:p>
        </w:tc>
        <w:tc>
          <w:tcPr>
            <w:tcW w:w="1435" w:type="dxa"/>
            <w:tcBorders>
              <w:top w:val="nil"/>
              <w:left w:val="nil"/>
              <w:bottom w:val="single" w:sz="8" w:space="0" w:color="000000"/>
              <w:right w:val="single" w:sz="8" w:space="0" w:color="000000"/>
            </w:tcBorders>
            <w:shd w:val="clear" w:color="auto" w:fill="auto"/>
            <w:vAlign w:val="center"/>
          </w:tcPr>
          <w:p w14:paraId="67A4AFC9"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 xml:space="preserve">    62,314,871   </w:t>
            </w:r>
          </w:p>
        </w:tc>
        <w:tc>
          <w:tcPr>
            <w:tcW w:w="1435" w:type="dxa"/>
            <w:tcBorders>
              <w:top w:val="nil"/>
              <w:left w:val="nil"/>
              <w:bottom w:val="single" w:sz="8" w:space="0" w:color="000000"/>
              <w:right w:val="single" w:sz="8" w:space="0" w:color="000000"/>
            </w:tcBorders>
            <w:shd w:val="clear" w:color="auto" w:fill="auto"/>
            <w:vAlign w:val="center"/>
          </w:tcPr>
          <w:p w14:paraId="33F8A93B"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 xml:space="preserve">    62,314,871   </w:t>
            </w:r>
          </w:p>
        </w:tc>
      </w:tr>
      <w:tr w:rsidR="000F31AD" w14:paraId="0964230B" w14:textId="77777777">
        <w:trPr>
          <w:trHeight w:val="410"/>
        </w:trPr>
        <w:tc>
          <w:tcPr>
            <w:tcW w:w="2062" w:type="dxa"/>
            <w:tcBorders>
              <w:top w:val="nil"/>
              <w:left w:val="single" w:sz="8" w:space="0" w:color="000000"/>
              <w:bottom w:val="single" w:sz="8" w:space="0" w:color="000000"/>
              <w:right w:val="single" w:sz="8" w:space="0" w:color="000000"/>
            </w:tcBorders>
            <w:shd w:val="clear" w:color="auto" w:fill="auto"/>
            <w:vAlign w:val="center"/>
          </w:tcPr>
          <w:p w14:paraId="2431EDC0"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 xml:space="preserve">Others </w:t>
            </w:r>
          </w:p>
        </w:tc>
        <w:tc>
          <w:tcPr>
            <w:tcW w:w="1192" w:type="dxa"/>
            <w:tcBorders>
              <w:top w:val="nil"/>
              <w:left w:val="nil"/>
              <w:bottom w:val="single" w:sz="8" w:space="0" w:color="000000"/>
              <w:right w:val="single" w:sz="8" w:space="0" w:color="000000"/>
            </w:tcBorders>
            <w:shd w:val="clear" w:color="auto" w:fill="auto"/>
            <w:vAlign w:val="center"/>
          </w:tcPr>
          <w:p w14:paraId="3E4DC9F4" w14:textId="77777777" w:rsidR="000F31AD" w:rsidRPr="00784644" w:rsidRDefault="00A317E5" w:rsidP="00845353">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5,334,221</w:t>
            </w:r>
          </w:p>
        </w:tc>
        <w:tc>
          <w:tcPr>
            <w:tcW w:w="1192" w:type="dxa"/>
            <w:tcBorders>
              <w:top w:val="nil"/>
              <w:left w:val="nil"/>
              <w:bottom w:val="single" w:sz="8" w:space="0" w:color="000000"/>
              <w:right w:val="single" w:sz="8" w:space="0" w:color="000000"/>
            </w:tcBorders>
            <w:shd w:val="clear" w:color="auto" w:fill="auto"/>
            <w:vAlign w:val="center"/>
          </w:tcPr>
          <w:p w14:paraId="21CDAD47" w14:textId="77777777" w:rsidR="000F31AD" w:rsidRPr="00784644" w:rsidRDefault="00A317E5" w:rsidP="00845353">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5,334,221</w:t>
            </w:r>
          </w:p>
        </w:tc>
        <w:tc>
          <w:tcPr>
            <w:tcW w:w="1192" w:type="dxa"/>
            <w:tcBorders>
              <w:top w:val="nil"/>
              <w:left w:val="nil"/>
              <w:bottom w:val="single" w:sz="8" w:space="0" w:color="000000"/>
              <w:right w:val="single" w:sz="8" w:space="0" w:color="000000"/>
            </w:tcBorders>
            <w:shd w:val="clear" w:color="auto" w:fill="auto"/>
            <w:vAlign w:val="center"/>
          </w:tcPr>
          <w:p w14:paraId="6A7D544F"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w:t>
            </w:r>
          </w:p>
        </w:tc>
        <w:tc>
          <w:tcPr>
            <w:tcW w:w="1192" w:type="dxa"/>
            <w:tcBorders>
              <w:top w:val="nil"/>
              <w:left w:val="nil"/>
              <w:bottom w:val="single" w:sz="8" w:space="0" w:color="000000"/>
              <w:right w:val="single" w:sz="8" w:space="0" w:color="000000"/>
            </w:tcBorders>
            <w:shd w:val="clear" w:color="auto" w:fill="auto"/>
            <w:vAlign w:val="center"/>
          </w:tcPr>
          <w:p w14:paraId="65183A88"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w:t>
            </w:r>
          </w:p>
        </w:tc>
        <w:tc>
          <w:tcPr>
            <w:tcW w:w="1435" w:type="dxa"/>
            <w:tcBorders>
              <w:top w:val="nil"/>
              <w:left w:val="nil"/>
              <w:bottom w:val="single" w:sz="8" w:space="0" w:color="000000"/>
              <w:right w:val="single" w:sz="8" w:space="0" w:color="000000"/>
            </w:tcBorders>
            <w:shd w:val="clear" w:color="auto" w:fill="auto"/>
            <w:vAlign w:val="center"/>
          </w:tcPr>
          <w:p w14:paraId="6D8A5975"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w:t>
            </w:r>
          </w:p>
        </w:tc>
        <w:tc>
          <w:tcPr>
            <w:tcW w:w="1435" w:type="dxa"/>
            <w:tcBorders>
              <w:top w:val="nil"/>
              <w:left w:val="nil"/>
              <w:bottom w:val="single" w:sz="8" w:space="0" w:color="000000"/>
              <w:right w:val="single" w:sz="8" w:space="0" w:color="000000"/>
            </w:tcBorders>
            <w:shd w:val="clear" w:color="auto" w:fill="auto"/>
            <w:vAlign w:val="center"/>
          </w:tcPr>
          <w:p w14:paraId="6F96C67A"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w:t>
            </w:r>
          </w:p>
        </w:tc>
        <w:tc>
          <w:tcPr>
            <w:tcW w:w="1435" w:type="dxa"/>
            <w:tcBorders>
              <w:top w:val="nil"/>
              <w:left w:val="nil"/>
              <w:bottom w:val="single" w:sz="8" w:space="0" w:color="000000"/>
              <w:right w:val="single" w:sz="8" w:space="0" w:color="000000"/>
            </w:tcBorders>
            <w:shd w:val="clear" w:color="auto" w:fill="auto"/>
            <w:vAlign w:val="center"/>
          </w:tcPr>
          <w:p w14:paraId="06492298"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xml:space="preserve">      5,334,221   </w:t>
            </w:r>
          </w:p>
        </w:tc>
        <w:tc>
          <w:tcPr>
            <w:tcW w:w="1435" w:type="dxa"/>
            <w:tcBorders>
              <w:top w:val="nil"/>
              <w:left w:val="nil"/>
              <w:bottom w:val="single" w:sz="8" w:space="0" w:color="000000"/>
              <w:right w:val="single" w:sz="8" w:space="0" w:color="000000"/>
            </w:tcBorders>
            <w:shd w:val="clear" w:color="auto" w:fill="auto"/>
            <w:vAlign w:val="center"/>
          </w:tcPr>
          <w:p w14:paraId="3EC0E6D4" w14:textId="77777777" w:rsidR="000F31AD" w:rsidRPr="00784644" w:rsidRDefault="00A317E5">
            <w:pPr>
              <w:rPr>
                <w:rFonts w:asciiTheme="minorHAnsi" w:eastAsia="Calibri" w:hAnsiTheme="minorHAnsi" w:cstheme="minorHAnsi"/>
                <w:sz w:val="20"/>
                <w:szCs w:val="20"/>
              </w:rPr>
            </w:pPr>
            <w:r w:rsidRPr="00784644">
              <w:rPr>
                <w:rFonts w:asciiTheme="minorHAnsi" w:eastAsia="Calibri" w:hAnsiTheme="minorHAnsi" w:cstheme="minorHAnsi"/>
                <w:sz w:val="20"/>
                <w:szCs w:val="20"/>
              </w:rPr>
              <w:t xml:space="preserve">      5,334,221   </w:t>
            </w:r>
          </w:p>
        </w:tc>
      </w:tr>
      <w:tr w:rsidR="000F31AD" w14:paraId="68FB2217" w14:textId="77777777">
        <w:trPr>
          <w:trHeight w:val="268"/>
        </w:trPr>
        <w:tc>
          <w:tcPr>
            <w:tcW w:w="2062" w:type="dxa"/>
            <w:tcBorders>
              <w:top w:val="nil"/>
              <w:left w:val="single" w:sz="8" w:space="0" w:color="000000"/>
              <w:bottom w:val="single" w:sz="8" w:space="0" w:color="000000"/>
              <w:right w:val="single" w:sz="8" w:space="0" w:color="000000"/>
            </w:tcBorders>
            <w:shd w:val="clear" w:color="auto" w:fill="auto"/>
            <w:vAlign w:val="center"/>
          </w:tcPr>
          <w:p w14:paraId="61A1102C" w14:textId="77777777" w:rsidR="000F31AD" w:rsidRPr="00784644" w:rsidRDefault="00A317E5">
            <w:pPr>
              <w:rPr>
                <w:rFonts w:asciiTheme="minorHAnsi" w:eastAsia="Calibri" w:hAnsiTheme="minorHAnsi" w:cstheme="minorHAnsi"/>
                <w:color w:val="000000"/>
                <w:sz w:val="20"/>
                <w:szCs w:val="20"/>
              </w:rPr>
            </w:pPr>
            <w:r w:rsidRPr="00784644">
              <w:rPr>
                <w:rFonts w:asciiTheme="minorHAnsi" w:eastAsia="Calibri" w:hAnsiTheme="minorHAnsi" w:cstheme="minorHAnsi"/>
                <w:color w:val="000000"/>
                <w:sz w:val="20"/>
                <w:szCs w:val="20"/>
              </w:rPr>
              <w:t>Totals</w:t>
            </w:r>
          </w:p>
        </w:tc>
        <w:tc>
          <w:tcPr>
            <w:tcW w:w="1192" w:type="dxa"/>
            <w:tcBorders>
              <w:top w:val="nil"/>
              <w:left w:val="nil"/>
              <w:bottom w:val="single" w:sz="8" w:space="0" w:color="000000"/>
              <w:right w:val="single" w:sz="8" w:space="0" w:color="000000"/>
            </w:tcBorders>
            <w:shd w:val="clear" w:color="auto" w:fill="auto"/>
            <w:vAlign w:val="center"/>
          </w:tcPr>
          <w:p w14:paraId="54A12950" w14:textId="77777777" w:rsidR="000F31AD" w:rsidRPr="00784644" w:rsidRDefault="00A317E5" w:rsidP="00845353">
            <w:pPr>
              <w:rPr>
                <w:rFonts w:asciiTheme="minorHAnsi" w:eastAsia="Calibri" w:hAnsiTheme="minorHAnsi" w:cstheme="minorHAnsi"/>
                <w:b/>
                <w:sz w:val="20"/>
                <w:szCs w:val="20"/>
              </w:rPr>
            </w:pPr>
            <w:r w:rsidRPr="00784644">
              <w:rPr>
                <w:rFonts w:asciiTheme="minorHAnsi" w:eastAsia="Calibri" w:hAnsiTheme="minorHAnsi" w:cstheme="minorHAnsi"/>
                <w:b/>
                <w:sz w:val="20"/>
                <w:szCs w:val="20"/>
              </w:rPr>
              <w:t>5,364,221</w:t>
            </w:r>
          </w:p>
        </w:tc>
        <w:tc>
          <w:tcPr>
            <w:tcW w:w="1192" w:type="dxa"/>
            <w:tcBorders>
              <w:top w:val="nil"/>
              <w:left w:val="nil"/>
              <w:bottom w:val="single" w:sz="8" w:space="0" w:color="000000"/>
              <w:right w:val="single" w:sz="8" w:space="0" w:color="000000"/>
            </w:tcBorders>
            <w:shd w:val="clear" w:color="auto" w:fill="auto"/>
            <w:vAlign w:val="center"/>
          </w:tcPr>
          <w:p w14:paraId="2B92F2E1" w14:textId="77777777" w:rsidR="000F31AD" w:rsidRPr="00784644" w:rsidRDefault="00A317E5" w:rsidP="00845353">
            <w:pPr>
              <w:rPr>
                <w:rFonts w:asciiTheme="minorHAnsi" w:eastAsia="Calibri" w:hAnsiTheme="minorHAnsi" w:cstheme="minorHAnsi"/>
                <w:b/>
                <w:sz w:val="20"/>
                <w:szCs w:val="20"/>
              </w:rPr>
            </w:pPr>
            <w:r w:rsidRPr="00784644">
              <w:rPr>
                <w:rFonts w:asciiTheme="minorHAnsi" w:eastAsia="Calibri" w:hAnsiTheme="minorHAnsi" w:cstheme="minorHAnsi"/>
                <w:b/>
                <w:sz w:val="20"/>
                <w:szCs w:val="20"/>
              </w:rPr>
              <w:t>5,364,221</w:t>
            </w:r>
          </w:p>
        </w:tc>
        <w:tc>
          <w:tcPr>
            <w:tcW w:w="1192" w:type="dxa"/>
            <w:tcBorders>
              <w:top w:val="nil"/>
              <w:left w:val="nil"/>
              <w:bottom w:val="single" w:sz="8" w:space="0" w:color="000000"/>
              <w:right w:val="single" w:sz="8" w:space="0" w:color="000000"/>
            </w:tcBorders>
            <w:shd w:val="clear" w:color="auto" w:fill="auto"/>
            <w:vAlign w:val="center"/>
          </w:tcPr>
          <w:p w14:paraId="3F7C6F4A" w14:textId="77777777" w:rsidR="000F31AD" w:rsidRPr="00784644" w:rsidRDefault="00A317E5">
            <w:pPr>
              <w:rPr>
                <w:rFonts w:asciiTheme="minorHAnsi" w:eastAsia="Calibri" w:hAnsiTheme="minorHAnsi" w:cstheme="minorHAnsi"/>
                <w:b/>
                <w:sz w:val="20"/>
                <w:szCs w:val="20"/>
              </w:rPr>
            </w:pPr>
            <w:r w:rsidRPr="00784644">
              <w:rPr>
                <w:rFonts w:asciiTheme="minorHAnsi" w:eastAsia="Calibri" w:hAnsiTheme="minorHAnsi" w:cstheme="minorHAnsi"/>
                <w:b/>
                <w:sz w:val="20"/>
                <w:szCs w:val="20"/>
              </w:rPr>
              <w:t xml:space="preserve"> 1,260,000   </w:t>
            </w:r>
          </w:p>
        </w:tc>
        <w:tc>
          <w:tcPr>
            <w:tcW w:w="1192" w:type="dxa"/>
            <w:tcBorders>
              <w:top w:val="nil"/>
              <w:left w:val="nil"/>
              <w:bottom w:val="single" w:sz="8" w:space="0" w:color="000000"/>
              <w:right w:val="single" w:sz="8" w:space="0" w:color="000000"/>
            </w:tcBorders>
            <w:shd w:val="clear" w:color="auto" w:fill="auto"/>
            <w:vAlign w:val="center"/>
          </w:tcPr>
          <w:p w14:paraId="23C643A6" w14:textId="77777777" w:rsidR="000F31AD" w:rsidRPr="00784644" w:rsidRDefault="00A317E5">
            <w:pPr>
              <w:rPr>
                <w:rFonts w:asciiTheme="minorHAnsi" w:eastAsia="Calibri" w:hAnsiTheme="minorHAnsi" w:cstheme="minorHAnsi"/>
                <w:b/>
                <w:sz w:val="20"/>
                <w:szCs w:val="20"/>
              </w:rPr>
            </w:pPr>
            <w:r w:rsidRPr="00784644">
              <w:rPr>
                <w:rFonts w:asciiTheme="minorHAnsi" w:eastAsia="Calibri" w:hAnsiTheme="minorHAnsi" w:cstheme="minorHAnsi"/>
                <w:b/>
                <w:sz w:val="20"/>
                <w:szCs w:val="20"/>
              </w:rPr>
              <w:t xml:space="preserve"> 1,260,000   </w:t>
            </w:r>
          </w:p>
        </w:tc>
        <w:tc>
          <w:tcPr>
            <w:tcW w:w="1435" w:type="dxa"/>
            <w:tcBorders>
              <w:top w:val="nil"/>
              <w:left w:val="nil"/>
              <w:bottom w:val="single" w:sz="8" w:space="0" w:color="000000"/>
              <w:right w:val="single" w:sz="8" w:space="0" w:color="000000"/>
            </w:tcBorders>
            <w:shd w:val="clear" w:color="auto" w:fill="auto"/>
            <w:vAlign w:val="center"/>
          </w:tcPr>
          <w:p w14:paraId="023FE43E" w14:textId="77777777" w:rsidR="000F31AD" w:rsidRPr="00784644" w:rsidRDefault="00A317E5" w:rsidP="00845353">
            <w:pPr>
              <w:rPr>
                <w:rFonts w:asciiTheme="minorHAnsi" w:eastAsia="Calibri" w:hAnsiTheme="minorHAnsi" w:cstheme="minorHAnsi"/>
                <w:b/>
                <w:sz w:val="20"/>
                <w:szCs w:val="20"/>
              </w:rPr>
            </w:pPr>
            <w:r w:rsidRPr="00784644">
              <w:rPr>
                <w:rFonts w:asciiTheme="minorHAnsi" w:eastAsia="Calibri" w:hAnsiTheme="minorHAnsi" w:cstheme="minorHAnsi"/>
                <w:b/>
                <w:sz w:val="20"/>
                <w:szCs w:val="20"/>
              </w:rPr>
              <w:t>223,054,871</w:t>
            </w:r>
          </w:p>
        </w:tc>
        <w:tc>
          <w:tcPr>
            <w:tcW w:w="1435" w:type="dxa"/>
            <w:tcBorders>
              <w:top w:val="nil"/>
              <w:left w:val="nil"/>
              <w:bottom w:val="single" w:sz="8" w:space="0" w:color="000000"/>
              <w:right w:val="single" w:sz="8" w:space="0" w:color="000000"/>
            </w:tcBorders>
            <w:shd w:val="clear" w:color="auto" w:fill="auto"/>
            <w:vAlign w:val="center"/>
          </w:tcPr>
          <w:p w14:paraId="3F70305E" w14:textId="77777777" w:rsidR="000F31AD" w:rsidRPr="00784644" w:rsidRDefault="00A317E5" w:rsidP="00845353">
            <w:pPr>
              <w:rPr>
                <w:rFonts w:asciiTheme="minorHAnsi" w:eastAsia="Calibri" w:hAnsiTheme="minorHAnsi" w:cstheme="minorHAnsi"/>
                <w:b/>
                <w:sz w:val="20"/>
                <w:szCs w:val="20"/>
              </w:rPr>
            </w:pPr>
            <w:r w:rsidRPr="00784644">
              <w:rPr>
                <w:rFonts w:asciiTheme="minorHAnsi" w:eastAsia="Calibri" w:hAnsiTheme="minorHAnsi" w:cstheme="minorHAnsi"/>
                <w:b/>
                <w:sz w:val="20"/>
                <w:szCs w:val="20"/>
              </w:rPr>
              <w:t>223,054,871</w:t>
            </w:r>
          </w:p>
        </w:tc>
        <w:tc>
          <w:tcPr>
            <w:tcW w:w="1435" w:type="dxa"/>
            <w:tcBorders>
              <w:top w:val="nil"/>
              <w:left w:val="nil"/>
              <w:bottom w:val="single" w:sz="8" w:space="0" w:color="000000"/>
              <w:right w:val="single" w:sz="8" w:space="0" w:color="000000"/>
            </w:tcBorders>
            <w:shd w:val="clear" w:color="auto" w:fill="auto"/>
            <w:vAlign w:val="center"/>
          </w:tcPr>
          <w:p w14:paraId="4DFC575F" w14:textId="77777777" w:rsidR="000F31AD" w:rsidRPr="00784644" w:rsidRDefault="00A317E5">
            <w:pPr>
              <w:rPr>
                <w:rFonts w:asciiTheme="minorHAnsi" w:eastAsia="Calibri" w:hAnsiTheme="minorHAnsi" w:cstheme="minorHAnsi"/>
                <w:b/>
                <w:sz w:val="20"/>
                <w:szCs w:val="20"/>
              </w:rPr>
            </w:pPr>
            <w:r w:rsidRPr="00784644">
              <w:rPr>
                <w:rFonts w:asciiTheme="minorHAnsi" w:eastAsia="Calibri" w:hAnsiTheme="minorHAnsi" w:cstheme="minorHAnsi"/>
                <w:b/>
                <w:sz w:val="20"/>
                <w:szCs w:val="20"/>
              </w:rPr>
              <w:t xml:space="preserve"> 229,679,092   </w:t>
            </w:r>
          </w:p>
        </w:tc>
        <w:tc>
          <w:tcPr>
            <w:tcW w:w="1435" w:type="dxa"/>
            <w:tcBorders>
              <w:top w:val="nil"/>
              <w:left w:val="nil"/>
              <w:bottom w:val="single" w:sz="8" w:space="0" w:color="000000"/>
              <w:right w:val="single" w:sz="8" w:space="0" w:color="000000"/>
            </w:tcBorders>
            <w:shd w:val="clear" w:color="auto" w:fill="auto"/>
            <w:vAlign w:val="center"/>
          </w:tcPr>
          <w:p w14:paraId="64B0AD74" w14:textId="77777777" w:rsidR="000F31AD" w:rsidRPr="00784644" w:rsidRDefault="00A317E5">
            <w:pPr>
              <w:rPr>
                <w:rFonts w:asciiTheme="minorHAnsi" w:eastAsia="Calibri" w:hAnsiTheme="minorHAnsi" w:cstheme="minorHAnsi"/>
                <w:b/>
                <w:sz w:val="20"/>
                <w:szCs w:val="20"/>
              </w:rPr>
            </w:pPr>
            <w:r w:rsidRPr="00784644">
              <w:rPr>
                <w:rFonts w:asciiTheme="minorHAnsi" w:eastAsia="Calibri" w:hAnsiTheme="minorHAnsi" w:cstheme="minorHAnsi"/>
                <w:b/>
                <w:sz w:val="20"/>
                <w:szCs w:val="20"/>
              </w:rPr>
              <w:t xml:space="preserve"> 229,679,092   </w:t>
            </w:r>
          </w:p>
        </w:tc>
      </w:tr>
    </w:tbl>
    <w:p w14:paraId="0557BC3A" w14:textId="77777777" w:rsidR="000F31AD" w:rsidRDefault="000F31AD"/>
    <w:p w14:paraId="11DCB7D1" w14:textId="77777777" w:rsidR="000F31AD" w:rsidRDefault="000F31AD"/>
    <w:p w14:paraId="5B848FFC" w14:textId="77777777" w:rsidR="000F31AD" w:rsidRDefault="00A317E5">
      <w:r>
        <w:br w:type="page"/>
      </w:r>
    </w:p>
    <w:p w14:paraId="0794A632" w14:textId="77777777" w:rsidR="000F31AD" w:rsidRDefault="00A317E5">
      <w:pPr>
        <w:rPr>
          <w:rFonts w:ascii="Calibri" w:eastAsia="Calibri" w:hAnsi="Calibri" w:cs="Calibri"/>
          <w:sz w:val="22"/>
          <w:szCs w:val="22"/>
        </w:rPr>
      </w:pPr>
      <w:r>
        <w:rPr>
          <w:rFonts w:ascii="Calibri" w:eastAsia="Calibri" w:hAnsi="Calibri" w:cs="Calibri"/>
          <w:b/>
          <w:color w:val="2F5496"/>
          <w:sz w:val="22"/>
          <w:szCs w:val="22"/>
        </w:rPr>
        <w:lastRenderedPageBreak/>
        <w:t>Confirmed Sources of Co-Financing at TE Stage</w:t>
      </w:r>
    </w:p>
    <w:p w14:paraId="6CB87200" w14:textId="77777777" w:rsidR="000F31AD" w:rsidRDefault="000F31AD"/>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7"/>
        <w:gridCol w:w="1834"/>
        <w:gridCol w:w="1817"/>
        <w:gridCol w:w="2074"/>
        <w:gridCol w:w="1808"/>
      </w:tblGrid>
      <w:tr w:rsidR="000F31AD" w14:paraId="2292DD3F" w14:textId="77777777">
        <w:tc>
          <w:tcPr>
            <w:tcW w:w="1817" w:type="dxa"/>
            <w:shd w:val="clear" w:color="auto" w:fill="F7CBAC"/>
          </w:tcPr>
          <w:p w14:paraId="7AFA5FC9" w14:textId="77777777" w:rsidR="000F31AD" w:rsidRDefault="00A317E5">
            <w:pPr>
              <w:rPr>
                <w:rFonts w:ascii="Calibri" w:eastAsia="Calibri" w:hAnsi="Calibri" w:cs="Calibri"/>
                <w:color w:val="000000"/>
                <w:sz w:val="22"/>
                <w:szCs w:val="22"/>
              </w:rPr>
            </w:pPr>
            <w:r>
              <w:rPr>
                <w:rFonts w:ascii="Calibri" w:eastAsia="Calibri" w:hAnsi="Calibri" w:cs="Calibri"/>
                <w:color w:val="000000"/>
                <w:sz w:val="22"/>
                <w:szCs w:val="22"/>
              </w:rPr>
              <w:t>Sources of Co-Financing</w:t>
            </w:r>
          </w:p>
        </w:tc>
        <w:tc>
          <w:tcPr>
            <w:tcW w:w="1834" w:type="dxa"/>
            <w:shd w:val="clear" w:color="auto" w:fill="F7CBAC"/>
          </w:tcPr>
          <w:p w14:paraId="72399089" w14:textId="77777777" w:rsidR="000F31AD" w:rsidRDefault="00A317E5">
            <w:pPr>
              <w:rPr>
                <w:rFonts w:ascii="Calibri" w:eastAsia="Calibri" w:hAnsi="Calibri" w:cs="Calibri"/>
                <w:color w:val="000000"/>
                <w:sz w:val="22"/>
                <w:szCs w:val="22"/>
              </w:rPr>
            </w:pPr>
            <w:r>
              <w:rPr>
                <w:rFonts w:ascii="Calibri" w:eastAsia="Calibri" w:hAnsi="Calibri" w:cs="Calibri"/>
                <w:color w:val="000000"/>
                <w:sz w:val="22"/>
                <w:szCs w:val="22"/>
              </w:rPr>
              <w:t>Name of Co-Financer</w:t>
            </w:r>
          </w:p>
        </w:tc>
        <w:tc>
          <w:tcPr>
            <w:tcW w:w="1817" w:type="dxa"/>
            <w:shd w:val="clear" w:color="auto" w:fill="F7CBAC"/>
          </w:tcPr>
          <w:p w14:paraId="256AD4FA" w14:textId="77777777" w:rsidR="000F31AD" w:rsidRDefault="00A317E5">
            <w:pPr>
              <w:rPr>
                <w:rFonts w:ascii="Calibri" w:eastAsia="Calibri" w:hAnsi="Calibri" w:cs="Calibri"/>
                <w:color w:val="000000"/>
                <w:sz w:val="22"/>
                <w:szCs w:val="22"/>
              </w:rPr>
            </w:pPr>
            <w:r>
              <w:rPr>
                <w:rFonts w:ascii="Calibri" w:eastAsia="Calibri" w:hAnsi="Calibri" w:cs="Calibri"/>
                <w:color w:val="000000"/>
                <w:sz w:val="22"/>
                <w:szCs w:val="22"/>
              </w:rPr>
              <w:t>Type of Co-Financing</w:t>
            </w:r>
          </w:p>
        </w:tc>
        <w:tc>
          <w:tcPr>
            <w:tcW w:w="2074" w:type="dxa"/>
            <w:shd w:val="clear" w:color="auto" w:fill="F7CBAC"/>
          </w:tcPr>
          <w:p w14:paraId="0E794261" w14:textId="77777777" w:rsidR="000F31AD" w:rsidRDefault="00A317E5">
            <w:pPr>
              <w:rPr>
                <w:rFonts w:ascii="Calibri" w:eastAsia="Calibri" w:hAnsi="Calibri" w:cs="Calibri"/>
                <w:color w:val="000000"/>
                <w:sz w:val="22"/>
                <w:szCs w:val="22"/>
              </w:rPr>
            </w:pPr>
            <w:r>
              <w:rPr>
                <w:rFonts w:ascii="Calibri" w:eastAsia="Calibri" w:hAnsi="Calibri" w:cs="Calibri"/>
                <w:color w:val="000000"/>
                <w:sz w:val="22"/>
                <w:szCs w:val="22"/>
              </w:rPr>
              <w:t>Investment Mobilized/Recurrent Expenditure</w:t>
            </w:r>
          </w:p>
        </w:tc>
        <w:tc>
          <w:tcPr>
            <w:tcW w:w="1808" w:type="dxa"/>
            <w:shd w:val="clear" w:color="auto" w:fill="F7CBAC"/>
          </w:tcPr>
          <w:p w14:paraId="5CF4489F" w14:textId="77777777" w:rsidR="000F31AD" w:rsidRDefault="00A317E5">
            <w:pPr>
              <w:rPr>
                <w:rFonts w:ascii="Calibri" w:eastAsia="Calibri" w:hAnsi="Calibri" w:cs="Calibri"/>
                <w:color w:val="000000"/>
                <w:sz w:val="22"/>
                <w:szCs w:val="22"/>
              </w:rPr>
            </w:pPr>
            <w:r>
              <w:rPr>
                <w:rFonts w:ascii="Calibri" w:eastAsia="Calibri" w:hAnsi="Calibri" w:cs="Calibri"/>
                <w:color w:val="000000"/>
                <w:sz w:val="22"/>
                <w:szCs w:val="22"/>
              </w:rPr>
              <w:t>Amount (US$)</w:t>
            </w:r>
          </w:p>
        </w:tc>
      </w:tr>
      <w:tr w:rsidR="000F31AD" w14:paraId="1849E43F" w14:textId="77777777">
        <w:tc>
          <w:tcPr>
            <w:tcW w:w="1817" w:type="dxa"/>
          </w:tcPr>
          <w:p w14:paraId="773E796C" w14:textId="77777777" w:rsidR="000F31AD" w:rsidRDefault="00A317E5">
            <w:pPr>
              <w:rPr>
                <w:rFonts w:ascii="Calibri" w:eastAsia="Calibri" w:hAnsi="Calibri" w:cs="Calibri"/>
                <w:sz w:val="20"/>
                <w:szCs w:val="20"/>
              </w:rPr>
            </w:pPr>
            <w:r>
              <w:rPr>
                <w:rFonts w:ascii="Calibri" w:eastAsia="Calibri" w:hAnsi="Calibri" w:cs="Calibri"/>
                <w:sz w:val="20"/>
                <w:szCs w:val="20"/>
              </w:rPr>
              <w:t>Implementing agency</w:t>
            </w:r>
          </w:p>
        </w:tc>
        <w:tc>
          <w:tcPr>
            <w:tcW w:w="1834" w:type="dxa"/>
          </w:tcPr>
          <w:p w14:paraId="32C525A3" w14:textId="77777777" w:rsidR="000F31AD" w:rsidRDefault="00A317E5">
            <w:pPr>
              <w:rPr>
                <w:rFonts w:ascii="Calibri" w:eastAsia="Calibri" w:hAnsi="Calibri" w:cs="Calibri"/>
                <w:sz w:val="20"/>
                <w:szCs w:val="20"/>
              </w:rPr>
            </w:pPr>
            <w:r>
              <w:rPr>
                <w:rFonts w:ascii="Calibri" w:eastAsia="Calibri" w:hAnsi="Calibri" w:cs="Calibri"/>
                <w:sz w:val="20"/>
                <w:szCs w:val="20"/>
              </w:rPr>
              <w:t>UNDP</w:t>
            </w:r>
          </w:p>
        </w:tc>
        <w:tc>
          <w:tcPr>
            <w:tcW w:w="1817" w:type="dxa"/>
          </w:tcPr>
          <w:p w14:paraId="5041AC5D" w14:textId="77777777" w:rsidR="000F31AD" w:rsidRDefault="00A317E5">
            <w:pPr>
              <w:rPr>
                <w:rFonts w:ascii="Calibri" w:eastAsia="Calibri" w:hAnsi="Calibri" w:cs="Calibri"/>
                <w:sz w:val="20"/>
                <w:szCs w:val="20"/>
              </w:rPr>
            </w:pPr>
            <w:r>
              <w:rPr>
                <w:rFonts w:ascii="Calibri" w:eastAsia="Calibri" w:hAnsi="Calibri" w:cs="Calibri"/>
                <w:sz w:val="20"/>
                <w:szCs w:val="20"/>
              </w:rPr>
              <w:t>In kind and cash</w:t>
            </w:r>
          </w:p>
        </w:tc>
        <w:tc>
          <w:tcPr>
            <w:tcW w:w="2074" w:type="dxa"/>
          </w:tcPr>
          <w:p w14:paraId="027E56F0" w14:textId="77777777" w:rsidR="000F31AD" w:rsidRDefault="00A317E5">
            <w:pPr>
              <w:rPr>
                <w:rFonts w:ascii="Calibri" w:eastAsia="Calibri" w:hAnsi="Calibri" w:cs="Calibri"/>
                <w:sz w:val="20"/>
                <w:szCs w:val="20"/>
              </w:rPr>
            </w:pPr>
            <w:r>
              <w:rPr>
                <w:rFonts w:ascii="Calibri" w:eastAsia="Calibri" w:hAnsi="Calibri" w:cs="Calibri"/>
                <w:sz w:val="20"/>
                <w:szCs w:val="20"/>
              </w:rPr>
              <w:t>Investment Mobilized</w:t>
            </w:r>
          </w:p>
        </w:tc>
        <w:tc>
          <w:tcPr>
            <w:tcW w:w="1808" w:type="dxa"/>
          </w:tcPr>
          <w:p w14:paraId="43D9DEEC" w14:textId="77777777" w:rsidR="000F31AD" w:rsidRDefault="00A317E5">
            <w:pPr>
              <w:rPr>
                <w:rFonts w:ascii="Calibri" w:eastAsia="Calibri" w:hAnsi="Calibri" w:cs="Calibri"/>
                <w:sz w:val="20"/>
                <w:szCs w:val="20"/>
              </w:rPr>
            </w:pPr>
            <w:r>
              <w:rPr>
                <w:rFonts w:ascii="Calibri" w:eastAsia="Calibri" w:hAnsi="Calibri" w:cs="Calibri"/>
                <w:sz w:val="20"/>
                <w:szCs w:val="20"/>
              </w:rPr>
              <w:t>5,364,221</w:t>
            </w:r>
          </w:p>
        </w:tc>
      </w:tr>
      <w:tr w:rsidR="000F31AD" w14:paraId="4BF2E513" w14:textId="77777777">
        <w:tc>
          <w:tcPr>
            <w:tcW w:w="1817" w:type="dxa"/>
          </w:tcPr>
          <w:p w14:paraId="65C60D91" w14:textId="77777777" w:rsidR="000F31AD" w:rsidRDefault="00A317E5">
            <w:pPr>
              <w:rPr>
                <w:rFonts w:ascii="Calibri" w:eastAsia="Calibri" w:hAnsi="Calibri" w:cs="Calibri"/>
                <w:sz w:val="20"/>
                <w:szCs w:val="20"/>
              </w:rPr>
            </w:pPr>
            <w:r>
              <w:rPr>
                <w:rFonts w:ascii="Calibri" w:eastAsia="Calibri" w:hAnsi="Calibri" w:cs="Calibri"/>
                <w:sz w:val="20"/>
                <w:szCs w:val="20"/>
              </w:rPr>
              <w:t>Recipient Government</w:t>
            </w:r>
          </w:p>
        </w:tc>
        <w:tc>
          <w:tcPr>
            <w:tcW w:w="1834" w:type="dxa"/>
          </w:tcPr>
          <w:p w14:paraId="7A0354DB" w14:textId="77777777" w:rsidR="000F31AD" w:rsidRDefault="00A317E5">
            <w:pPr>
              <w:rPr>
                <w:rFonts w:ascii="Calibri" w:eastAsia="Calibri" w:hAnsi="Calibri" w:cs="Calibri"/>
                <w:sz w:val="20"/>
                <w:szCs w:val="20"/>
              </w:rPr>
            </w:pPr>
            <w:r>
              <w:rPr>
                <w:rFonts w:ascii="Calibri" w:eastAsia="Calibri" w:hAnsi="Calibri" w:cs="Calibri"/>
                <w:sz w:val="20"/>
                <w:szCs w:val="20"/>
              </w:rPr>
              <w:t>Albania</w:t>
            </w:r>
          </w:p>
          <w:p w14:paraId="6CDB45F3" w14:textId="77777777" w:rsidR="000F31AD" w:rsidRDefault="00A317E5">
            <w:pPr>
              <w:rPr>
                <w:rFonts w:ascii="Calibri" w:eastAsia="Calibri" w:hAnsi="Calibri" w:cs="Calibri"/>
                <w:sz w:val="20"/>
                <w:szCs w:val="20"/>
              </w:rPr>
            </w:pPr>
            <w:r>
              <w:rPr>
                <w:rFonts w:ascii="Calibri" w:eastAsia="Calibri" w:hAnsi="Calibri" w:cs="Calibri"/>
                <w:sz w:val="20"/>
                <w:szCs w:val="20"/>
              </w:rPr>
              <w:t>Kosovo</w:t>
            </w:r>
          </w:p>
          <w:p w14:paraId="331766CD" w14:textId="77777777" w:rsidR="000F31AD" w:rsidRDefault="00A317E5">
            <w:pPr>
              <w:rPr>
                <w:rFonts w:ascii="Calibri" w:eastAsia="Calibri" w:hAnsi="Calibri" w:cs="Calibri"/>
                <w:sz w:val="20"/>
                <w:szCs w:val="20"/>
              </w:rPr>
            </w:pPr>
            <w:r>
              <w:rPr>
                <w:rFonts w:ascii="Calibri" w:eastAsia="Calibri" w:hAnsi="Calibri" w:cs="Calibri"/>
                <w:sz w:val="20"/>
                <w:szCs w:val="20"/>
              </w:rPr>
              <w:t>Montenegro</w:t>
            </w:r>
          </w:p>
          <w:p w14:paraId="23CF9320" w14:textId="77777777" w:rsidR="000F31AD" w:rsidRDefault="00A317E5">
            <w:pPr>
              <w:rPr>
                <w:rFonts w:ascii="Calibri" w:eastAsia="Calibri" w:hAnsi="Calibri" w:cs="Calibri"/>
                <w:sz w:val="20"/>
                <w:szCs w:val="20"/>
              </w:rPr>
            </w:pPr>
            <w:r>
              <w:rPr>
                <w:rFonts w:ascii="Calibri" w:eastAsia="Calibri" w:hAnsi="Calibri" w:cs="Calibri"/>
                <w:sz w:val="20"/>
                <w:szCs w:val="20"/>
              </w:rPr>
              <w:t>North Macedonia</w:t>
            </w:r>
          </w:p>
          <w:p w14:paraId="6D4C057E" w14:textId="77777777" w:rsidR="000F31AD" w:rsidRDefault="000F31AD">
            <w:pPr>
              <w:rPr>
                <w:rFonts w:ascii="Calibri" w:eastAsia="Calibri" w:hAnsi="Calibri" w:cs="Calibri"/>
                <w:sz w:val="20"/>
                <w:szCs w:val="20"/>
              </w:rPr>
            </w:pPr>
          </w:p>
          <w:p w14:paraId="187BAEEF" w14:textId="77777777" w:rsidR="000F31AD" w:rsidRDefault="000F31AD">
            <w:pPr>
              <w:rPr>
                <w:rFonts w:ascii="Calibri" w:eastAsia="Calibri" w:hAnsi="Calibri" w:cs="Calibri"/>
                <w:sz w:val="20"/>
                <w:szCs w:val="20"/>
              </w:rPr>
            </w:pPr>
          </w:p>
        </w:tc>
        <w:tc>
          <w:tcPr>
            <w:tcW w:w="1817" w:type="dxa"/>
          </w:tcPr>
          <w:p w14:paraId="5BF2B98D" w14:textId="77777777" w:rsidR="000F31AD" w:rsidRDefault="00A317E5">
            <w:pPr>
              <w:rPr>
                <w:rFonts w:ascii="Calibri" w:eastAsia="Calibri" w:hAnsi="Calibri" w:cs="Calibri"/>
                <w:sz w:val="20"/>
                <w:szCs w:val="20"/>
              </w:rPr>
            </w:pPr>
            <w:r>
              <w:rPr>
                <w:rFonts w:ascii="Calibri" w:eastAsia="Calibri" w:hAnsi="Calibri" w:cs="Calibri"/>
                <w:sz w:val="20"/>
                <w:szCs w:val="20"/>
              </w:rPr>
              <w:t>In kind</w:t>
            </w:r>
          </w:p>
        </w:tc>
        <w:tc>
          <w:tcPr>
            <w:tcW w:w="2074" w:type="dxa"/>
          </w:tcPr>
          <w:p w14:paraId="09C52EF1" w14:textId="77777777" w:rsidR="000F31AD" w:rsidRDefault="00A317E5">
            <w:pPr>
              <w:rPr>
                <w:rFonts w:ascii="Calibri" w:eastAsia="Calibri" w:hAnsi="Calibri" w:cs="Calibri"/>
                <w:sz w:val="20"/>
                <w:szCs w:val="20"/>
              </w:rPr>
            </w:pPr>
            <w:r>
              <w:rPr>
                <w:rFonts w:ascii="Calibri" w:eastAsia="Calibri" w:hAnsi="Calibri" w:cs="Calibri"/>
                <w:sz w:val="20"/>
                <w:szCs w:val="20"/>
              </w:rPr>
              <w:t>Investment Mobilized</w:t>
            </w:r>
          </w:p>
        </w:tc>
        <w:tc>
          <w:tcPr>
            <w:tcW w:w="1808" w:type="dxa"/>
          </w:tcPr>
          <w:p w14:paraId="6CA6896C"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1,260,000   </w:t>
            </w:r>
          </w:p>
        </w:tc>
      </w:tr>
      <w:tr w:rsidR="000F31AD" w14:paraId="10E8D1AB" w14:textId="77777777">
        <w:tc>
          <w:tcPr>
            <w:tcW w:w="1817" w:type="dxa"/>
          </w:tcPr>
          <w:p w14:paraId="404AF905" w14:textId="77777777" w:rsidR="000F31AD" w:rsidRDefault="00A317E5">
            <w:pPr>
              <w:rPr>
                <w:rFonts w:ascii="Calibri" w:eastAsia="Calibri" w:hAnsi="Calibri" w:cs="Calibri"/>
                <w:sz w:val="20"/>
                <w:szCs w:val="20"/>
              </w:rPr>
            </w:pPr>
            <w:r>
              <w:rPr>
                <w:rFonts w:ascii="Calibri" w:eastAsia="Calibri" w:hAnsi="Calibri" w:cs="Calibri"/>
                <w:sz w:val="20"/>
                <w:szCs w:val="20"/>
              </w:rPr>
              <w:t>Donor Agency</w:t>
            </w:r>
          </w:p>
        </w:tc>
        <w:tc>
          <w:tcPr>
            <w:tcW w:w="1834" w:type="dxa"/>
          </w:tcPr>
          <w:p w14:paraId="17401CF8" w14:textId="77777777" w:rsidR="000F31AD" w:rsidRDefault="00A317E5">
            <w:pPr>
              <w:rPr>
                <w:rFonts w:ascii="Calibri" w:eastAsia="Calibri" w:hAnsi="Calibri" w:cs="Calibri"/>
                <w:sz w:val="20"/>
                <w:szCs w:val="20"/>
              </w:rPr>
            </w:pPr>
            <w:r>
              <w:rPr>
                <w:rFonts w:ascii="Calibri" w:eastAsia="Calibri" w:hAnsi="Calibri" w:cs="Calibri"/>
                <w:sz w:val="20"/>
                <w:szCs w:val="20"/>
              </w:rPr>
              <w:t>World Bank</w:t>
            </w:r>
          </w:p>
          <w:p w14:paraId="11A41C01" w14:textId="77777777" w:rsidR="000F31AD" w:rsidRDefault="000F31AD">
            <w:pPr>
              <w:rPr>
                <w:rFonts w:ascii="Calibri" w:eastAsia="Calibri" w:hAnsi="Calibri" w:cs="Calibri"/>
                <w:sz w:val="20"/>
                <w:szCs w:val="20"/>
              </w:rPr>
            </w:pPr>
          </w:p>
        </w:tc>
        <w:tc>
          <w:tcPr>
            <w:tcW w:w="1817" w:type="dxa"/>
          </w:tcPr>
          <w:p w14:paraId="5FD317E5" w14:textId="77777777" w:rsidR="000F31AD" w:rsidRDefault="00A317E5">
            <w:pPr>
              <w:rPr>
                <w:rFonts w:ascii="Calibri" w:eastAsia="Calibri" w:hAnsi="Calibri" w:cs="Calibri"/>
                <w:sz w:val="20"/>
                <w:szCs w:val="20"/>
              </w:rPr>
            </w:pPr>
            <w:r>
              <w:rPr>
                <w:rFonts w:ascii="Calibri" w:eastAsia="Calibri" w:hAnsi="Calibri" w:cs="Calibri"/>
                <w:sz w:val="20"/>
                <w:szCs w:val="20"/>
              </w:rPr>
              <w:t>Loans</w:t>
            </w:r>
          </w:p>
        </w:tc>
        <w:tc>
          <w:tcPr>
            <w:tcW w:w="2074" w:type="dxa"/>
          </w:tcPr>
          <w:p w14:paraId="40489B9C" w14:textId="77777777" w:rsidR="000F31AD" w:rsidRDefault="00A317E5">
            <w:pPr>
              <w:rPr>
                <w:rFonts w:ascii="Calibri" w:eastAsia="Calibri" w:hAnsi="Calibri" w:cs="Calibri"/>
                <w:sz w:val="20"/>
                <w:szCs w:val="20"/>
              </w:rPr>
            </w:pPr>
            <w:r>
              <w:rPr>
                <w:rFonts w:ascii="Calibri" w:eastAsia="Calibri" w:hAnsi="Calibri" w:cs="Calibri"/>
                <w:sz w:val="20"/>
                <w:szCs w:val="20"/>
              </w:rPr>
              <w:t>Investment mobilised</w:t>
            </w:r>
          </w:p>
        </w:tc>
        <w:tc>
          <w:tcPr>
            <w:tcW w:w="1808" w:type="dxa"/>
          </w:tcPr>
          <w:p w14:paraId="3C868D55" w14:textId="77777777" w:rsidR="000F31AD" w:rsidRDefault="00A317E5">
            <w:pPr>
              <w:rPr>
                <w:rFonts w:ascii="Calibri" w:eastAsia="Calibri" w:hAnsi="Calibri" w:cs="Calibri"/>
                <w:sz w:val="20"/>
                <w:szCs w:val="20"/>
              </w:rPr>
            </w:pPr>
            <w:r>
              <w:rPr>
                <w:rFonts w:ascii="Calibri" w:eastAsia="Calibri" w:hAnsi="Calibri" w:cs="Calibri"/>
                <w:sz w:val="20"/>
                <w:szCs w:val="20"/>
              </w:rPr>
              <w:t>42,000,000</w:t>
            </w:r>
          </w:p>
        </w:tc>
      </w:tr>
      <w:tr w:rsidR="000F31AD" w14:paraId="0608553C" w14:textId="77777777">
        <w:tc>
          <w:tcPr>
            <w:tcW w:w="1817" w:type="dxa"/>
          </w:tcPr>
          <w:p w14:paraId="4EC05427" w14:textId="77777777" w:rsidR="000F31AD" w:rsidRDefault="00A317E5">
            <w:pPr>
              <w:rPr>
                <w:rFonts w:ascii="Calibri" w:eastAsia="Calibri" w:hAnsi="Calibri" w:cs="Calibri"/>
                <w:sz w:val="20"/>
                <w:szCs w:val="20"/>
              </w:rPr>
            </w:pPr>
            <w:r>
              <w:rPr>
                <w:rFonts w:ascii="Calibri" w:eastAsia="Calibri" w:hAnsi="Calibri" w:cs="Calibri"/>
                <w:sz w:val="20"/>
                <w:szCs w:val="20"/>
              </w:rPr>
              <w:t>Donor Agency</w:t>
            </w:r>
          </w:p>
        </w:tc>
        <w:tc>
          <w:tcPr>
            <w:tcW w:w="1834" w:type="dxa"/>
          </w:tcPr>
          <w:p w14:paraId="43693D80"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Swedish SIDA – Albania office </w:t>
            </w:r>
          </w:p>
        </w:tc>
        <w:tc>
          <w:tcPr>
            <w:tcW w:w="1817" w:type="dxa"/>
          </w:tcPr>
          <w:p w14:paraId="37692F77" w14:textId="77777777" w:rsidR="000F31AD" w:rsidRDefault="00A317E5">
            <w:pPr>
              <w:rPr>
                <w:rFonts w:ascii="Calibri" w:eastAsia="Calibri" w:hAnsi="Calibri" w:cs="Calibri"/>
                <w:sz w:val="20"/>
                <w:szCs w:val="20"/>
              </w:rPr>
            </w:pPr>
            <w:r>
              <w:rPr>
                <w:rFonts w:ascii="Calibri" w:eastAsia="Calibri" w:hAnsi="Calibri" w:cs="Calibri"/>
                <w:sz w:val="20"/>
                <w:szCs w:val="20"/>
              </w:rPr>
              <w:t>In kind</w:t>
            </w:r>
          </w:p>
        </w:tc>
        <w:tc>
          <w:tcPr>
            <w:tcW w:w="2074" w:type="dxa"/>
          </w:tcPr>
          <w:p w14:paraId="594ECB82" w14:textId="77777777" w:rsidR="000F31AD" w:rsidRDefault="00A317E5">
            <w:pPr>
              <w:rPr>
                <w:rFonts w:ascii="Calibri" w:eastAsia="Calibri" w:hAnsi="Calibri" w:cs="Calibri"/>
                <w:sz w:val="20"/>
                <w:szCs w:val="20"/>
              </w:rPr>
            </w:pPr>
            <w:r>
              <w:rPr>
                <w:rFonts w:ascii="Calibri" w:eastAsia="Calibri" w:hAnsi="Calibri" w:cs="Calibri"/>
                <w:sz w:val="20"/>
                <w:szCs w:val="20"/>
              </w:rPr>
              <w:t>Investment Mobilized</w:t>
            </w:r>
          </w:p>
        </w:tc>
        <w:tc>
          <w:tcPr>
            <w:tcW w:w="1808" w:type="dxa"/>
          </w:tcPr>
          <w:p w14:paraId="3EE22DEB"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6,800,000   </w:t>
            </w:r>
          </w:p>
        </w:tc>
      </w:tr>
      <w:tr w:rsidR="000F31AD" w14:paraId="304FFC25" w14:textId="77777777">
        <w:tc>
          <w:tcPr>
            <w:tcW w:w="1817" w:type="dxa"/>
          </w:tcPr>
          <w:p w14:paraId="08BA8F81" w14:textId="77777777" w:rsidR="000F31AD" w:rsidRDefault="00A317E5">
            <w:pPr>
              <w:rPr>
                <w:rFonts w:ascii="Calibri" w:eastAsia="Calibri" w:hAnsi="Calibri" w:cs="Calibri"/>
                <w:sz w:val="20"/>
                <w:szCs w:val="20"/>
              </w:rPr>
            </w:pPr>
            <w:r>
              <w:rPr>
                <w:rFonts w:ascii="Calibri" w:eastAsia="Calibri" w:hAnsi="Calibri" w:cs="Calibri"/>
                <w:sz w:val="20"/>
                <w:szCs w:val="20"/>
              </w:rPr>
              <w:t>Donor Agency</w:t>
            </w:r>
          </w:p>
        </w:tc>
        <w:tc>
          <w:tcPr>
            <w:tcW w:w="1834" w:type="dxa"/>
          </w:tcPr>
          <w:p w14:paraId="781FFDE2"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Swedish SIDA – Kosovo office </w:t>
            </w:r>
          </w:p>
        </w:tc>
        <w:tc>
          <w:tcPr>
            <w:tcW w:w="1817" w:type="dxa"/>
          </w:tcPr>
          <w:p w14:paraId="7E5BC5E0" w14:textId="77777777" w:rsidR="000F31AD" w:rsidRDefault="00A317E5">
            <w:pPr>
              <w:rPr>
                <w:rFonts w:ascii="Calibri" w:eastAsia="Calibri" w:hAnsi="Calibri" w:cs="Calibri"/>
                <w:sz w:val="20"/>
                <w:szCs w:val="20"/>
              </w:rPr>
            </w:pPr>
            <w:r>
              <w:rPr>
                <w:rFonts w:ascii="Calibri" w:eastAsia="Calibri" w:hAnsi="Calibri" w:cs="Calibri"/>
                <w:sz w:val="20"/>
                <w:szCs w:val="20"/>
              </w:rPr>
              <w:t>In kind</w:t>
            </w:r>
          </w:p>
        </w:tc>
        <w:tc>
          <w:tcPr>
            <w:tcW w:w="2074" w:type="dxa"/>
          </w:tcPr>
          <w:p w14:paraId="21C32F78" w14:textId="77777777" w:rsidR="000F31AD" w:rsidRDefault="00A317E5">
            <w:pPr>
              <w:rPr>
                <w:rFonts w:ascii="Calibri" w:eastAsia="Calibri" w:hAnsi="Calibri" w:cs="Calibri"/>
                <w:sz w:val="20"/>
                <w:szCs w:val="20"/>
              </w:rPr>
            </w:pPr>
            <w:r>
              <w:rPr>
                <w:rFonts w:ascii="Calibri" w:eastAsia="Calibri" w:hAnsi="Calibri" w:cs="Calibri"/>
                <w:sz w:val="20"/>
                <w:szCs w:val="20"/>
              </w:rPr>
              <w:t>Investment Mobilized</w:t>
            </w:r>
          </w:p>
        </w:tc>
        <w:tc>
          <w:tcPr>
            <w:tcW w:w="1808" w:type="dxa"/>
          </w:tcPr>
          <w:p w14:paraId="5800C344"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7,211,027   </w:t>
            </w:r>
          </w:p>
        </w:tc>
      </w:tr>
      <w:tr w:rsidR="000F31AD" w14:paraId="69DE75A6" w14:textId="77777777">
        <w:tc>
          <w:tcPr>
            <w:tcW w:w="1817" w:type="dxa"/>
          </w:tcPr>
          <w:p w14:paraId="0788D543" w14:textId="77777777" w:rsidR="000F31AD" w:rsidRDefault="00A317E5">
            <w:pPr>
              <w:rPr>
                <w:rFonts w:ascii="Calibri" w:eastAsia="Calibri" w:hAnsi="Calibri" w:cs="Calibri"/>
                <w:sz w:val="20"/>
                <w:szCs w:val="20"/>
              </w:rPr>
            </w:pPr>
            <w:r>
              <w:rPr>
                <w:rFonts w:ascii="Calibri" w:eastAsia="Calibri" w:hAnsi="Calibri" w:cs="Calibri"/>
                <w:sz w:val="20"/>
                <w:szCs w:val="20"/>
              </w:rPr>
              <w:t>Donor Agency</w:t>
            </w:r>
          </w:p>
        </w:tc>
        <w:tc>
          <w:tcPr>
            <w:tcW w:w="1834" w:type="dxa"/>
          </w:tcPr>
          <w:p w14:paraId="276A1933" w14:textId="77777777" w:rsidR="000F31AD" w:rsidRDefault="00A317E5">
            <w:pPr>
              <w:rPr>
                <w:rFonts w:ascii="Calibri" w:eastAsia="Calibri" w:hAnsi="Calibri" w:cs="Calibri"/>
                <w:sz w:val="20"/>
                <w:szCs w:val="20"/>
              </w:rPr>
            </w:pPr>
            <w:r>
              <w:rPr>
                <w:rFonts w:ascii="Calibri" w:eastAsia="Calibri" w:hAnsi="Calibri" w:cs="Calibri"/>
                <w:sz w:val="20"/>
                <w:szCs w:val="20"/>
              </w:rPr>
              <w:t>EU IPA pre-accession funds</w:t>
            </w:r>
          </w:p>
        </w:tc>
        <w:tc>
          <w:tcPr>
            <w:tcW w:w="1817" w:type="dxa"/>
          </w:tcPr>
          <w:p w14:paraId="2C55734C" w14:textId="77777777" w:rsidR="000F31AD" w:rsidRDefault="00A317E5">
            <w:pPr>
              <w:rPr>
                <w:rFonts w:ascii="Calibri" w:eastAsia="Calibri" w:hAnsi="Calibri" w:cs="Calibri"/>
                <w:sz w:val="20"/>
                <w:szCs w:val="20"/>
              </w:rPr>
            </w:pPr>
            <w:r>
              <w:rPr>
                <w:rFonts w:ascii="Calibri" w:eastAsia="Calibri" w:hAnsi="Calibri" w:cs="Calibri"/>
                <w:sz w:val="20"/>
                <w:szCs w:val="20"/>
              </w:rPr>
              <w:t>In kind</w:t>
            </w:r>
          </w:p>
        </w:tc>
        <w:tc>
          <w:tcPr>
            <w:tcW w:w="2074" w:type="dxa"/>
          </w:tcPr>
          <w:p w14:paraId="6535062B" w14:textId="77777777" w:rsidR="000F31AD" w:rsidRDefault="00A317E5">
            <w:pPr>
              <w:rPr>
                <w:rFonts w:ascii="Calibri" w:eastAsia="Calibri" w:hAnsi="Calibri" w:cs="Calibri"/>
                <w:sz w:val="20"/>
                <w:szCs w:val="20"/>
              </w:rPr>
            </w:pPr>
            <w:r>
              <w:rPr>
                <w:rFonts w:ascii="Calibri" w:eastAsia="Calibri" w:hAnsi="Calibri" w:cs="Calibri"/>
                <w:sz w:val="20"/>
                <w:szCs w:val="20"/>
              </w:rPr>
              <w:t>Recurrent Expenditure</w:t>
            </w:r>
          </w:p>
        </w:tc>
        <w:tc>
          <w:tcPr>
            <w:tcW w:w="1808" w:type="dxa"/>
          </w:tcPr>
          <w:p w14:paraId="3E3A9E7A"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2,700,000   </w:t>
            </w:r>
          </w:p>
        </w:tc>
      </w:tr>
      <w:tr w:rsidR="000F31AD" w14:paraId="6E9627C3" w14:textId="77777777">
        <w:tc>
          <w:tcPr>
            <w:tcW w:w="1817" w:type="dxa"/>
          </w:tcPr>
          <w:p w14:paraId="16545E83" w14:textId="77777777" w:rsidR="000F31AD" w:rsidRDefault="00A317E5">
            <w:pPr>
              <w:rPr>
                <w:rFonts w:ascii="Calibri" w:eastAsia="Calibri" w:hAnsi="Calibri" w:cs="Calibri"/>
                <w:sz w:val="20"/>
                <w:szCs w:val="20"/>
              </w:rPr>
            </w:pPr>
            <w:r>
              <w:rPr>
                <w:rFonts w:ascii="Calibri" w:eastAsia="Calibri" w:hAnsi="Calibri" w:cs="Calibri"/>
                <w:sz w:val="20"/>
                <w:szCs w:val="20"/>
              </w:rPr>
              <w:t>Donor Agency</w:t>
            </w:r>
          </w:p>
        </w:tc>
        <w:tc>
          <w:tcPr>
            <w:tcW w:w="1834" w:type="dxa"/>
          </w:tcPr>
          <w:p w14:paraId="3DBA8F12" w14:textId="77777777" w:rsidR="000F31AD" w:rsidRDefault="00A317E5">
            <w:pPr>
              <w:rPr>
                <w:rFonts w:ascii="Calibri" w:eastAsia="Calibri" w:hAnsi="Calibri" w:cs="Calibri"/>
                <w:sz w:val="20"/>
                <w:szCs w:val="20"/>
              </w:rPr>
            </w:pPr>
            <w:r>
              <w:rPr>
                <w:rFonts w:ascii="Calibri" w:eastAsia="Calibri" w:hAnsi="Calibri" w:cs="Calibri"/>
                <w:sz w:val="20"/>
                <w:szCs w:val="20"/>
              </w:rPr>
              <w:t>KfW</w:t>
            </w:r>
          </w:p>
          <w:p w14:paraId="390F8A52" w14:textId="77777777" w:rsidR="000F31AD" w:rsidRDefault="000F31AD">
            <w:pPr>
              <w:rPr>
                <w:rFonts w:ascii="Calibri" w:eastAsia="Calibri" w:hAnsi="Calibri" w:cs="Calibri"/>
                <w:sz w:val="20"/>
                <w:szCs w:val="20"/>
              </w:rPr>
            </w:pPr>
          </w:p>
        </w:tc>
        <w:tc>
          <w:tcPr>
            <w:tcW w:w="1817" w:type="dxa"/>
          </w:tcPr>
          <w:p w14:paraId="243A2B08" w14:textId="77777777" w:rsidR="000F31AD" w:rsidRDefault="00A317E5">
            <w:pPr>
              <w:rPr>
                <w:rFonts w:ascii="Calibri" w:eastAsia="Calibri" w:hAnsi="Calibri" w:cs="Calibri"/>
                <w:sz w:val="20"/>
                <w:szCs w:val="20"/>
              </w:rPr>
            </w:pPr>
            <w:r>
              <w:rPr>
                <w:rFonts w:ascii="Calibri" w:eastAsia="Calibri" w:hAnsi="Calibri" w:cs="Calibri"/>
                <w:sz w:val="20"/>
                <w:szCs w:val="20"/>
              </w:rPr>
              <w:t>Loans and in kind</w:t>
            </w:r>
          </w:p>
        </w:tc>
        <w:tc>
          <w:tcPr>
            <w:tcW w:w="2074" w:type="dxa"/>
          </w:tcPr>
          <w:p w14:paraId="66919112" w14:textId="77777777" w:rsidR="000F31AD" w:rsidRDefault="00A317E5">
            <w:pPr>
              <w:rPr>
                <w:rFonts w:ascii="Calibri" w:eastAsia="Calibri" w:hAnsi="Calibri" w:cs="Calibri"/>
                <w:sz w:val="20"/>
                <w:szCs w:val="20"/>
              </w:rPr>
            </w:pPr>
            <w:r>
              <w:rPr>
                <w:rFonts w:ascii="Calibri" w:eastAsia="Calibri" w:hAnsi="Calibri" w:cs="Calibri"/>
                <w:sz w:val="20"/>
                <w:szCs w:val="20"/>
              </w:rPr>
              <w:t>Investment Mobilized</w:t>
            </w:r>
          </w:p>
        </w:tc>
        <w:tc>
          <w:tcPr>
            <w:tcW w:w="1808" w:type="dxa"/>
          </w:tcPr>
          <w:p w14:paraId="79773E18" w14:textId="77777777" w:rsidR="000F31AD" w:rsidRDefault="00A317E5">
            <w:pPr>
              <w:rPr>
                <w:rFonts w:ascii="Calibri" w:eastAsia="Calibri" w:hAnsi="Calibri" w:cs="Calibri"/>
                <w:sz w:val="20"/>
                <w:szCs w:val="20"/>
              </w:rPr>
            </w:pPr>
            <w:r>
              <w:rPr>
                <w:rFonts w:ascii="Calibri" w:eastAsia="Calibri" w:hAnsi="Calibri" w:cs="Calibri"/>
                <w:sz w:val="20"/>
                <w:szCs w:val="20"/>
              </w:rPr>
              <w:t>123,578,000</w:t>
            </w:r>
          </w:p>
        </w:tc>
      </w:tr>
      <w:tr w:rsidR="000F31AD" w14:paraId="46958C06" w14:textId="77777777">
        <w:tc>
          <w:tcPr>
            <w:tcW w:w="1817" w:type="dxa"/>
          </w:tcPr>
          <w:p w14:paraId="11804639" w14:textId="77777777" w:rsidR="000F31AD" w:rsidRDefault="00A317E5">
            <w:pPr>
              <w:rPr>
                <w:rFonts w:ascii="Calibri" w:eastAsia="Calibri" w:hAnsi="Calibri" w:cs="Calibri"/>
                <w:sz w:val="20"/>
                <w:szCs w:val="20"/>
              </w:rPr>
            </w:pPr>
            <w:r>
              <w:rPr>
                <w:rFonts w:ascii="Calibri" w:eastAsia="Calibri" w:hAnsi="Calibri" w:cs="Calibri"/>
                <w:sz w:val="20"/>
                <w:szCs w:val="20"/>
              </w:rPr>
              <w:t>Donor Agency</w:t>
            </w:r>
          </w:p>
        </w:tc>
        <w:tc>
          <w:tcPr>
            <w:tcW w:w="1834" w:type="dxa"/>
          </w:tcPr>
          <w:p w14:paraId="0112BF38"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Swiss Cooperation </w:t>
            </w:r>
          </w:p>
          <w:p w14:paraId="473E77E6" w14:textId="77777777" w:rsidR="000F31AD" w:rsidRDefault="000F31AD">
            <w:pPr>
              <w:rPr>
                <w:rFonts w:ascii="Calibri" w:eastAsia="Calibri" w:hAnsi="Calibri" w:cs="Calibri"/>
                <w:sz w:val="20"/>
                <w:szCs w:val="20"/>
              </w:rPr>
            </w:pPr>
          </w:p>
        </w:tc>
        <w:tc>
          <w:tcPr>
            <w:tcW w:w="1817" w:type="dxa"/>
          </w:tcPr>
          <w:p w14:paraId="428A8102" w14:textId="77777777" w:rsidR="000F31AD" w:rsidRDefault="00A317E5">
            <w:pPr>
              <w:rPr>
                <w:rFonts w:ascii="Calibri" w:eastAsia="Calibri" w:hAnsi="Calibri" w:cs="Calibri"/>
                <w:sz w:val="20"/>
                <w:szCs w:val="20"/>
              </w:rPr>
            </w:pPr>
            <w:r>
              <w:rPr>
                <w:rFonts w:ascii="Calibri" w:eastAsia="Calibri" w:hAnsi="Calibri" w:cs="Calibri"/>
                <w:sz w:val="20"/>
                <w:szCs w:val="20"/>
              </w:rPr>
              <w:t>In kind</w:t>
            </w:r>
          </w:p>
        </w:tc>
        <w:tc>
          <w:tcPr>
            <w:tcW w:w="2074" w:type="dxa"/>
          </w:tcPr>
          <w:p w14:paraId="5683EF7C" w14:textId="77777777" w:rsidR="000F31AD" w:rsidRDefault="00A317E5">
            <w:pPr>
              <w:rPr>
                <w:rFonts w:ascii="Calibri" w:eastAsia="Calibri" w:hAnsi="Calibri" w:cs="Calibri"/>
                <w:sz w:val="20"/>
                <w:szCs w:val="20"/>
              </w:rPr>
            </w:pPr>
            <w:r>
              <w:rPr>
                <w:rFonts w:ascii="Calibri" w:eastAsia="Calibri" w:hAnsi="Calibri" w:cs="Calibri"/>
                <w:sz w:val="20"/>
                <w:szCs w:val="20"/>
              </w:rPr>
              <w:t>Investment Mobilized</w:t>
            </w:r>
          </w:p>
        </w:tc>
        <w:tc>
          <w:tcPr>
            <w:tcW w:w="1808" w:type="dxa"/>
          </w:tcPr>
          <w:p w14:paraId="1E874602"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33,000,000   </w:t>
            </w:r>
          </w:p>
        </w:tc>
      </w:tr>
      <w:tr w:rsidR="000F31AD" w14:paraId="08881914" w14:textId="77777777">
        <w:tc>
          <w:tcPr>
            <w:tcW w:w="1817" w:type="dxa"/>
          </w:tcPr>
          <w:p w14:paraId="72299F17" w14:textId="77777777" w:rsidR="000F31AD" w:rsidRDefault="00A317E5">
            <w:pPr>
              <w:rPr>
                <w:rFonts w:ascii="Calibri" w:eastAsia="Calibri" w:hAnsi="Calibri" w:cs="Calibri"/>
                <w:sz w:val="20"/>
                <w:szCs w:val="20"/>
              </w:rPr>
            </w:pPr>
            <w:r>
              <w:rPr>
                <w:rFonts w:ascii="Calibri" w:eastAsia="Calibri" w:hAnsi="Calibri" w:cs="Calibri"/>
                <w:sz w:val="20"/>
                <w:szCs w:val="20"/>
              </w:rPr>
              <w:t>Donor Agency</w:t>
            </w:r>
          </w:p>
        </w:tc>
        <w:tc>
          <w:tcPr>
            <w:tcW w:w="1834" w:type="dxa"/>
          </w:tcPr>
          <w:p w14:paraId="41C91830" w14:textId="77777777" w:rsidR="000F31AD" w:rsidRDefault="00A317E5">
            <w:pPr>
              <w:rPr>
                <w:rFonts w:ascii="Calibri" w:eastAsia="Calibri" w:hAnsi="Calibri" w:cs="Calibri"/>
                <w:sz w:val="20"/>
                <w:szCs w:val="20"/>
              </w:rPr>
            </w:pPr>
            <w:r>
              <w:rPr>
                <w:rFonts w:ascii="Calibri" w:eastAsia="Calibri" w:hAnsi="Calibri" w:cs="Calibri"/>
                <w:sz w:val="20"/>
                <w:szCs w:val="20"/>
              </w:rPr>
              <w:t>GIZ</w:t>
            </w:r>
          </w:p>
        </w:tc>
        <w:tc>
          <w:tcPr>
            <w:tcW w:w="1817" w:type="dxa"/>
          </w:tcPr>
          <w:p w14:paraId="5AB1B364" w14:textId="77777777" w:rsidR="000F31AD" w:rsidRDefault="00A317E5">
            <w:pPr>
              <w:rPr>
                <w:rFonts w:ascii="Calibri" w:eastAsia="Calibri" w:hAnsi="Calibri" w:cs="Calibri"/>
                <w:sz w:val="20"/>
                <w:szCs w:val="20"/>
              </w:rPr>
            </w:pPr>
            <w:r>
              <w:rPr>
                <w:rFonts w:ascii="Calibri" w:eastAsia="Calibri" w:hAnsi="Calibri" w:cs="Calibri"/>
                <w:sz w:val="20"/>
                <w:szCs w:val="20"/>
              </w:rPr>
              <w:t>In kind</w:t>
            </w:r>
          </w:p>
        </w:tc>
        <w:tc>
          <w:tcPr>
            <w:tcW w:w="2074" w:type="dxa"/>
          </w:tcPr>
          <w:p w14:paraId="6E3BE7E1" w14:textId="77777777" w:rsidR="000F31AD" w:rsidRDefault="00A317E5">
            <w:pPr>
              <w:rPr>
                <w:rFonts w:ascii="Calibri" w:eastAsia="Calibri" w:hAnsi="Calibri" w:cs="Calibri"/>
                <w:sz w:val="20"/>
                <w:szCs w:val="20"/>
              </w:rPr>
            </w:pPr>
            <w:r>
              <w:rPr>
                <w:rFonts w:ascii="Calibri" w:eastAsia="Calibri" w:hAnsi="Calibri" w:cs="Calibri"/>
                <w:sz w:val="20"/>
                <w:szCs w:val="20"/>
              </w:rPr>
              <w:t>Investment Mobilized</w:t>
            </w:r>
          </w:p>
        </w:tc>
        <w:tc>
          <w:tcPr>
            <w:tcW w:w="1808" w:type="dxa"/>
          </w:tcPr>
          <w:p w14:paraId="0B3B99CE"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6,790,000   </w:t>
            </w:r>
          </w:p>
        </w:tc>
      </w:tr>
      <w:tr w:rsidR="000F31AD" w14:paraId="539ABF94" w14:textId="77777777">
        <w:tc>
          <w:tcPr>
            <w:tcW w:w="1817" w:type="dxa"/>
          </w:tcPr>
          <w:p w14:paraId="6836D24E" w14:textId="77777777" w:rsidR="000F31AD" w:rsidRDefault="00A317E5">
            <w:pPr>
              <w:rPr>
                <w:rFonts w:ascii="Calibri" w:eastAsia="Calibri" w:hAnsi="Calibri" w:cs="Calibri"/>
                <w:sz w:val="20"/>
                <w:szCs w:val="20"/>
              </w:rPr>
            </w:pPr>
            <w:r>
              <w:rPr>
                <w:rFonts w:ascii="Calibri" w:eastAsia="Calibri" w:hAnsi="Calibri" w:cs="Calibri"/>
                <w:sz w:val="20"/>
                <w:szCs w:val="20"/>
              </w:rPr>
              <w:t>Donor Agency</w:t>
            </w:r>
          </w:p>
        </w:tc>
        <w:tc>
          <w:tcPr>
            <w:tcW w:w="1834" w:type="dxa"/>
          </w:tcPr>
          <w:p w14:paraId="1A2EE377" w14:textId="77777777" w:rsidR="000F31AD" w:rsidRDefault="00A317E5">
            <w:pPr>
              <w:rPr>
                <w:rFonts w:ascii="Calibri" w:eastAsia="Calibri" w:hAnsi="Calibri" w:cs="Calibri"/>
                <w:sz w:val="20"/>
                <w:szCs w:val="20"/>
              </w:rPr>
            </w:pPr>
            <w:r>
              <w:rPr>
                <w:rFonts w:ascii="Calibri" w:eastAsia="Calibri" w:hAnsi="Calibri" w:cs="Calibri"/>
                <w:sz w:val="20"/>
                <w:szCs w:val="20"/>
              </w:rPr>
              <w:t>JICA</w:t>
            </w:r>
          </w:p>
          <w:p w14:paraId="13D8F9A4" w14:textId="77777777" w:rsidR="000F31AD" w:rsidRDefault="000F31AD">
            <w:pPr>
              <w:rPr>
                <w:rFonts w:ascii="Calibri" w:eastAsia="Calibri" w:hAnsi="Calibri" w:cs="Calibri"/>
                <w:sz w:val="20"/>
                <w:szCs w:val="20"/>
              </w:rPr>
            </w:pPr>
          </w:p>
        </w:tc>
        <w:tc>
          <w:tcPr>
            <w:tcW w:w="1817" w:type="dxa"/>
          </w:tcPr>
          <w:p w14:paraId="05EDBEE8" w14:textId="77777777" w:rsidR="000F31AD" w:rsidRDefault="00A317E5">
            <w:pPr>
              <w:rPr>
                <w:rFonts w:ascii="Calibri" w:eastAsia="Calibri" w:hAnsi="Calibri" w:cs="Calibri"/>
                <w:sz w:val="20"/>
                <w:szCs w:val="20"/>
              </w:rPr>
            </w:pPr>
            <w:r>
              <w:rPr>
                <w:rFonts w:ascii="Calibri" w:eastAsia="Calibri" w:hAnsi="Calibri" w:cs="Calibri"/>
                <w:sz w:val="20"/>
                <w:szCs w:val="20"/>
              </w:rPr>
              <w:t>In kind</w:t>
            </w:r>
          </w:p>
        </w:tc>
        <w:tc>
          <w:tcPr>
            <w:tcW w:w="2074" w:type="dxa"/>
          </w:tcPr>
          <w:p w14:paraId="0CC171D9" w14:textId="77777777" w:rsidR="000F31AD" w:rsidRDefault="00A317E5">
            <w:pPr>
              <w:rPr>
                <w:rFonts w:ascii="Calibri" w:eastAsia="Calibri" w:hAnsi="Calibri" w:cs="Calibri"/>
                <w:sz w:val="20"/>
                <w:szCs w:val="20"/>
              </w:rPr>
            </w:pPr>
            <w:r>
              <w:rPr>
                <w:rFonts w:ascii="Calibri" w:eastAsia="Calibri" w:hAnsi="Calibri" w:cs="Calibri"/>
                <w:sz w:val="20"/>
                <w:szCs w:val="20"/>
              </w:rPr>
              <w:t>Investment Mobilized</w:t>
            </w:r>
          </w:p>
        </w:tc>
        <w:tc>
          <w:tcPr>
            <w:tcW w:w="1808" w:type="dxa"/>
          </w:tcPr>
          <w:p w14:paraId="743941B5"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332,344   </w:t>
            </w:r>
          </w:p>
        </w:tc>
      </w:tr>
      <w:tr w:rsidR="000F31AD" w14:paraId="61FAF7CB" w14:textId="77777777">
        <w:tc>
          <w:tcPr>
            <w:tcW w:w="1817" w:type="dxa"/>
          </w:tcPr>
          <w:p w14:paraId="72B4704C" w14:textId="77777777" w:rsidR="000F31AD" w:rsidRDefault="00A317E5">
            <w:pPr>
              <w:rPr>
                <w:rFonts w:ascii="Calibri" w:eastAsia="Calibri" w:hAnsi="Calibri" w:cs="Calibri"/>
                <w:sz w:val="20"/>
                <w:szCs w:val="20"/>
              </w:rPr>
            </w:pPr>
            <w:r>
              <w:rPr>
                <w:rFonts w:ascii="Calibri" w:eastAsia="Calibri" w:hAnsi="Calibri" w:cs="Calibri"/>
                <w:sz w:val="20"/>
                <w:szCs w:val="20"/>
              </w:rPr>
              <w:t xml:space="preserve">Other </w:t>
            </w:r>
          </w:p>
        </w:tc>
        <w:tc>
          <w:tcPr>
            <w:tcW w:w="1834" w:type="dxa"/>
          </w:tcPr>
          <w:p w14:paraId="0F450428" w14:textId="77777777" w:rsidR="000F31AD" w:rsidRDefault="00A317E5">
            <w:pPr>
              <w:rPr>
                <w:rFonts w:ascii="Calibri" w:eastAsia="Calibri" w:hAnsi="Calibri" w:cs="Calibri"/>
                <w:sz w:val="20"/>
                <w:szCs w:val="20"/>
              </w:rPr>
            </w:pPr>
            <w:r>
              <w:rPr>
                <w:rFonts w:ascii="Calibri" w:eastAsia="Calibri" w:hAnsi="Calibri" w:cs="Calibri"/>
                <w:sz w:val="20"/>
                <w:szCs w:val="20"/>
              </w:rPr>
              <w:t>UNECE</w:t>
            </w:r>
          </w:p>
        </w:tc>
        <w:tc>
          <w:tcPr>
            <w:tcW w:w="1817" w:type="dxa"/>
          </w:tcPr>
          <w:p w14:paraId="65BD1F69" w14:textId="77777777" w:rsidR="000F31AD" w:rsidRDefault="00A317E5">
            <w:pPr>
              <w:rPr>
                <w:rFonts w:ascii="Calibri" w:eastAsia="Calibri" w:hAnsi="Calibri" w:cs="Calibri"/>
                <w:sz w:val="20"/>
                <w:szCs w:val="20"/>
              </w:rPr>
            </w:pPr>
            <w:r>
              <w:rPr>
                <w:rFonts w:ascii="Calibri" w:eastAsia="Calibri" w:hAnsi="Calibri" w:cs="Calibri"/>
                <w:sz w:val="20"/>
                <w:szCs w:val="20"/>
              </w:rPr>
              <w:t>In kind</w:t>
            </w:r>
          </w:p>
        </w:tc>
        <w:tc>
          <w:tcPr>
            <w:tcW w:w="2074" w:type="dxa"/>
          </w:tcPr>
          <w:p w14:paraId="236AF7C8" w14:textId="77777777" w:rsidR="000F31AD" w:rsidRDefault="00A317E5">
            <w:pPr>
              <w:rPr>
                <w:rFonts w:ascii="Calibri" w:eastAsia="Calibri" w:hAnsi="Calibri" w:cs="Calibri"/>
                <w:sz w:val="20"/>
                <w:szCs w:val="20"/>
              </w:rPr>
            </w:pPr>
            <w:r>
              <w:rPr>
                <w:rFonts w:ascii="Calibri" w:eastAsia="Calibri" w:hAnsi="Calibri" w:cs="Calibri"/>
                <w:sz w:val="20"/>
                <w:szCs w:val="20"/>
              </w:rPr>
              <w:t>Recurrent Expenditure</w:t>
            </w:r>
          </w:p>
        </w:tc>
        <w:tc>
          <w:tcPr>
            <w:tcW w:w="1808" w:type="dxa"/>
          </w:tcPr>
          <w:p w14:paraId="59B07811" w14:textId="77777777" w:rsidR="000F31AD" w:rsidRDefault="00A317E5">
            <w:pPr>
              <w:rPr>
                <w:rFonts w:ascii="Calibri" w:eastAsia="Calibri" w:hAnsi="Calibri" w:cs="Calibri"/>
                <w:sz w:val="20"/>
                <w:szCs w:val="20"/>
              </w:rPr>
            </w:pPr>
            <w:r>
              <w:rPr>
                <w:rFonts w:ascii="Calibri" w:eastAsia="Calibri" w:hAnsi="Calibri" w:cs="Calibri"/>
                <w:sz w:val="20"/>
                <w:szCs w:val="20"/>
              </w:rPr>
              <w:t>130,000</w:t>
            </w:r>
          </w:p>
        </w:tc>
      </w:tr>
      <w:tr w:rsidR="000F31AD" w14:paraId="72AB6A38" w14:textId="77777777">
        <w:tc>
          <w:tcPr>
            <w:tcW w:w="1817" w:type="dxa"/>
          </w:tcPr>
          <w:p w14:paraId="74011BDB" w14:textId="77777777" w:rsidR="000F31AD" w:rsidRDefault="00A317E5">
            <w:pPr>
              <w:rPr>
                <w:rFonts w:ascii="Calibri" w:eastAsia="Calibri" w:hAnsi="Calibri" w:cs="Calibri"/>
                <w:sz w:val="20"/>
                <w:szCs w:val="20"/>
              </w:rPr>
            </w:pPr>
            <w:r>
              <w:rPr>
                <w:rFonts w:ascii="Calibri" w:eastAsia="Calibri" w:hAnsi="Calibri" w:cs="Calibri"/>
                <w:sz w:val="20"/>
                <w:szCs w:val="20"/>
              </w:rPr>
              <w:t>IGO</w:t>
            </w:r>
          </w:p>
        </w:tc>
        <w:tc>
          <w:tcPr>
            <w:tcW w:w="1834" w:type="dxa"/>
          </w:tcPr>
          <w:p w14:paraId="69969D16" w14:textId="77777777" w:rsidR="000F31AD" w:rsidRDefault="00A317E5">
            <w:pPr>
              <w:rPr>
                <w:rFonts w:ascii="Calibri" w:eastAsia="Calibri" w:hAnsi="Calibri" w:cs="Calibri"/>
                <w:sz w:val="20"/>
                <w:szCs w:val="20"/>
              </w:rPr>
            </w:pPr>
            <w:r>
              <w:rPr>
                <w:rFonts w:ascii="Calibri" w:eastAsia="Calibri" w:hAnsi="Calibri" w:cs="Calibri"/>
                <w:sz w:val="20"/>
                <w:szCs w:val="20"/>
              </w:rPr>
              <w:t>GWP</w:t>
            </w:r>
          </w:p>
        </w:tc>
        <w:tc>
          <w:tcPr>
            <w:tcW w:w="1817" w:type="dxa"/>
          </w:tcPr>
          <w:p w14:paraId="521550FF" w14:textId="77777777" w:rsidR="000F31AD" w:rsidRDefault="00A317E5">
            <w:pPr>
              <w:rPr>
                <w:rFonts w:ascii="Calibri" w:eastAsia="Calibri" w:hAnsi="Calibri" w:cs="Calibri"/>
                <w:sz w:val="20"/>
                <w:szCs w:val="20"/>
              </w:rPr>
            </w:pPr>
            <w:r>
              <w:rPr>
                <w:rFonts w:ascii="Calibri" w:eastAsia="Calibri" w:hAnsi="Calibri" w:cs="Calibri"/>
                <w:sz w:val="20"/>
                <w:szCs w:val="20"/>
              </w:rPr>
              <w:t>In kind</w:t>
            </w:r>
          </w:p>
        </w:tc>
        <w:tc>
          <w:tcPr>
            <w:tcW w:w="2074" w:type="dxa"/>
          </w:tcPr>
          <w:p w14:paraId="16D13815" w14:textId="77777777" w:rsidR="000F31AD" w:rsidRDefault="00A317E5">
            <w:pPr>
              <w:rPr>
                <w:rFonts w:ascii="Calibri" w:eastAsia="Calibri" w:hAnsi="Calibri" w:cs="Calibri"/>
                <w:sz w:val="20"/>
                <w:szCs w:val="20"/>
              </w:rPr>
            </w:pPr>
            <w:r>
              <w:rPr>
                <w:rFonts w:ascii="Calibri" w:eastAsia="Calibri" w:hAnsi="Calibri" w:cs="Calibri"/>
                <w:sz w:val="20"/>
                <w:szCs w:val="20"/>
              </w:rPr>
              <w:t>Investment Mobilized</w:t>
            </w:r>
          </w:p>
        </w:tc>
        <w:tc>
          <w:tcPr>
            <w:tcW w:w="1808" w:type="dxa"/>
          </w:tcPr>
          <w:p w14:paraId="73613140" w14:textId="77777777" w:rsidR="000F31AD" w:rsidRDefault="00A317E5">
            <w:pPr>
              <w:rPr>
                <w:rFonts w:ascii="Calibri" w:eastAsia="Calibri" w:hAnsi="Calibri" w:cs="Calibri"/>
                <w:sz w:val="20"/>
                <w:szCs w:val="20"/>
              </w:rPr>
            </w:pPr>
            <w:r>
              <w:rPr>
                <w:rFonts w:ascii="Calibri" w:eastAsia="Calibri" w:hAnsi="Calibri" w:cs="Calibri"/>
                <w:sz w:val="20"/>
                <w:szCs w:val="20"/>
              </w:rPr>
              <w:t>213,500</w:t>
            </w:r>
          </w:p>
        </w:tc>
      </w:tr>
      <w:tr w:rsidR="000F31AD" w14:paraId="4C50BAD6" w14:textId="77777777">
        <w:tc>
          <w:tcPr>
            <w:tcW w:w="1817" w:type="dxa"/>
          </w:tcPr>
          <w:p w14:paraId="3516DDDB" w14:textId="77777777" w:rsidR="000F31AD" w:rsidRDefault="00A317E5">
            <w:pPr>
              <w:rPr>
                <w:rFonts w:ascii="Calibri" w:eastAsia="Calibri" w:hAnsi="Calibri" w:cs="Calibri"/>
                <w:sz w:val="20"/>
                <w:szCs w:val="20"/>
              </w:rPr>
            </w:pPr>
            <w:r>
              <w:rPr>
                <w:rFonts w:ascii="Calibri" w:eastAsia="Calibri" w:hAnsi="Calibri" w:cs="Calibri"/>
                <w:sz w:val="20"/>
                <w:szCs w:val="20"/>
              </w:rPr>
              <w:t>Donor Agency</w:t>
            </w:r>
          </w:p>
        </w:tc>
        <w:tc>
          <w:tcPr>
            <w:tcW w:w="1834" w:type="dxa"/>
          </w:tcPr>
          <w:p w14:paraId="4949E99C" w14:textId="77777777" w:rsidR="000F31AD" w:rsidRDefault="00A317E5">
            <w:pPr>
              <w:rPr>
                <w:rFonts w:ascii="Calibri" w:eastAsia="Calibri" w:hAnsi="Calibri" w:cs="Calibri"/>
                <w:sz w:val="20"/>
                <w:szCs w:val="20"/>
              </w:rPr>
            </w:pPr>
            <w:r>
              <w:rPr>
                <w:rFonts w:ascii="Calibri" w:eastAsia="Calibri" w:hAnsi="Calibri" w:cs="Calibri"/>
                <w:sz w:val="20"/>
                <w:szCs w:val="20"/>
              </w:rPr>
              <w:t>ADA</w:t>
            </w:r>
          </w:p>
        </w:tc>
        <w:tc>
          <w:tcPr>
            <w:tcW w:w="1817" w:type="dxa"/>
          </w:tcPr>
          <w:p w14:paraId="3393D15A" w14:textId="77777777" w:rsidR="000F31AD" w:rsidRDefault="00A317E5">
            <w:pPr>
              <w:rPr>
                <w:rFonts w:ascii="Calibri" w:eastAsia="Calibri" w:hAnsi="Calibri" w:cs="Calibri"/>
                <w:sz w:val="20"/>
                <w:szCs w:val="20"/>
              </w:rPr>
            </w:pPr>
            <w:r>
              <w:rPr>
                <w:rFonts w:ascii="Calibri" w:eastAsia="Calibri" w:hAnsi="Calibri" w:cs="Calibri"/>
                <w:sz w:val="20"/>
                <w:szCs w:val="20"/>
              </w:rPr>
              <w:t>In kind</w:t>
            </w:r>
          </w:p>
        </w:tc>
        <w:tc>
          <w:tcPr>
            <w:tcW w:w="2074" w:type="dxa"/>
          </w:tcPr>
          <w:p w14:paraId="48D32EB4" w14:textId="77777777" w:rsidR="000F31AD" w:rsidRDefault="00A317E5">
            <w:pPr>
              <w:rPr>
                <w:rFonts w:ascii="Calibri" w:eastAsia="Calibri" w:hAnsi="Calibri" w:cs="Calibri"/>
                <w:sz w:val="20"/>
                <w:szCs w:val="20"/>
              </w:rPr>
            </w:pPr>
            <w:r>
              <w:rPr>
                <w:rFonts w:ascii="Calibri" w:eastAsia="Calibri" w:hAnsi="Calibri" w:cs="Calibri"/>
                <w:sz w:val="20"/>
                <w:szCs w:val="20"/>
              </w:rPr>
              <w:t>Recurrent Expenditure</w:t>
            </w:r>
          </w:p>
        </w:tc>
        <w:tc>
          <w:tcPr>
            <w:tcW w:w="1808" w:type="dxa"/>
          </w:tcPr>
          <w:p w14:paraId="68B39464" w14:textId="77777777" w:rsidR="000F31AD" w:rsidRDefault="00A317E5">
            <w:pPr>
              <w:rPr>
                <w:rFonts w:ascii="Calibri" w:eastAsia="Calibri" w:hAnsi="Calibri" w:cs="Calibri"/>
                <w:sz w:val="20"/>
                <w:szCs w:val="20"/>
              </w:rPr>
            </w:pPr>
            <w:r>
              <w:rPr>
                <w:rFonts w:ascii="Calibri" w:eastAsia="Calibri" w:hAnsi="Calibri" w:cs="Calibri"/>
                <w:sz w:val="20"/>
                <w:szCs w:val="20"/>
              </w:rPr>
              <w:t>300,000</w:t>
            </w:r>
          </w:p>
        </w:tc>
      </w:tr>
    </w:tbl>
    <w:p w14:paraId="501C7CE8" w14:textId="77777777" w:rsidR="000F31AD" w:rsidRDefault="00A317E5">
      <w:pPr>
        <w:sectPr w:rsidR="000F31AD">
          <w:pgSz w:w="16838" w:h="11906" w:orient="landscape"/>
          <w:pgMar w:top="1440" w:right="1440" w:bottom="1440" w:left="1440" w:header="708" w:footer="708" w:gutter="0"/>
          <w:cols w:space="720"/>
          <w:titlePg/>
        </w:sectPr>
      </w:pPr>
      <w:r>
        <w:br w:type="page"/>
      </w:r>
    </w:p>
    <w:p w14:paraId="216AC848" w14:textId="77777777" w:rsidR="000F31AD" w:rsidRDefault="00A317E5">
      <w:pPr>
        <w:pStyle w:val="Heading2"/>
      </w:pPr>
      <w:bookmarkStart w:id="78" w:name="_Toc81335893"/>
      <w:r>
        <w:lastRenderedPageBreak/>
        <w:t>Annex 9:</w:t>
      </w:r>
      <w:r>
        <w:tab/>
        <w:t>TE Rating scale</w:t>
      </w:r>
      <w:bookmarkEnd w:id="78"/>
    </w:p>
    <w:p w14:paraId="4F9AB5A3" w14:textId="5E020E3A" w:rsidR="008D7E24" w:rsidRDefault="008D7E24" w:rsidP="008D7E24"/>
    <w:p w14:paraId="0FE8B30C" w14:textId="77777777" w:rsidR="008D7E24" w:rsidRDefault="008D7E24" w:rsidP="008D7E24"/>
    <w:p w14:paraId="6FF0AFF6" w14:textId="68581C30" w:rsidR="008D7E24" w:rsidRPr="008D7E24" w:rsidRDefault="008D7E24" w:rsidP="00894841">
      <w:pPr>
        <w:sectPr w:rsidR="008D7E24" w:rsidRPr="008D7E24">
          <w:pgSz w:w="11906" w:h="16838"/>
          <w:pgMar w:top="1440" w:right="1440" w:bottom="1440" w:left="1440" w:header="708" w:footer="708" w:gutter="0"/>
          <w:cols w:space="720"/>
          <w:titlePg/>
        </w:sectPr>
      </w:pPr>
      <w:r w:rsidRPr="008D7E24">
        <w:drawing>
          <wp:inline distT="0" distB="0" distL="0" distR="0" wp14:anchorId="173E5660" wp14:editId="157A22CC">
            <wp:extent cx="5731510" cy="3554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554730"/>
                    </a:xfrm>
                    <a:prstGeom prst="rect">
                      <a:avLst/>
                    </a:prstGeom>
                  </pic:spPr>
                </pic:pic>
              </a:graphicData>
            </a:graphic>
          </wp:inline>
        </w:drawing>
      </w:r>
    </w:p>
    <w:p w14:paraId="71741B80" w14:textId="40E074B0" w:rsidR="000F31AD" w:rsidRDefault="00A317E5">
      <w:pPr>
        <w:pStyle w:val="Heading2"/>
      </w:pPr>
      <w:bookmarkStart w:id="79" w:name="_Toc81335894"/>
      <w:r>
        <w:lastRenderedPageBreak/>
        <w:t>Annex 1</w:t>
      </w:r>
      <w:r w:rsidR="00DB2DCE">
        <w:t>0</w:t>
      </w:r>
      <w:r>
        <w:t>:</w:t>
      </w:r>
      <w:r>
        <w:tab/>
        <w:t>Signed UNEG Code of Conduct form</w:t>
      </w:r>
      <w:bookmarkEnd w:id="79"/>
    </w:p>
    <w:p w14:paraId="2C60442D" w14:textId="77777777" w:rsidR="00DB2DCE" w:rsidRDefault="00DB2DCE" w:rsidP="00DB2DCE"/>
    <w:p w14:paraId="036ECFC1" w14:textId="77777777" w:rsidR="00DB2DCE" w:rsidRDefault="00DB2DCE" w:rsidP="00DB2DCE"/>
    <w:p w14:paraId="0A9869C3" w14:textId="77777777" w:rsidR="00DB2DCE" w:rsidRDefault="00DB2DCE" w:rsidP="00DB2DCE"/>
    <w:p w14:paraId="08F845B0" w14:textId="369ABF16" w:rsidR="00DB2DCE" w:rsidRPr="00DB2DCE" w:rsidRDefault="00DB2DCE" w:rsidP="00894841">
      <w:pPr>
        <w:sectPr w:rsidR="00DB2DCE" w:rsidRPr="00DB2DCE">
          <w:pgSz w:w="11906" w:h="16838"/>
          <w:pgMar w:top="1440" w:right="1440" w:bottom="1440" w:left="1440" w:header="708" w:footer="708" w:gutter="0"/>
          <w:cols w:space="720"/>
          <w:titlePg/>
        </w:sectPr>
      </w:pPr>
      <w:r w:rsidRPr="00DB2DCE">
        <w:drawing>
          <wp:inline distT="0" distB="0" distL="0" distR="0" wp14:anchorId="69A18C6D" wp14:editId="168DF941">
            <wp:extent cx="5731510" cy="5415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5415280"/>
                    </a:xfrm>
                    <a:prstGeom prst="rect">
                      <a:avLst/>
                    </a:prstGeom>
                  </pic:spPr>
                </pic:pic>
              </a:graphicData>
            </a:graphic>
          </wp:inline>
        </w:drawing>
      </w:r>
    </w:p>
    <w:p w14:paraId="37963619" w14:textId="0C2F6ABE" w:rsidR="000F31AD" w:rsidRDefault="00A317E5">
      <w:pPr>
        <w:pStyle w:val="Heading2"/>
      </w:pPr>
      <w:bookmarkStart w:id="80" w:name="_Toc81335895"/>
      <w:r>
        <w:lastRenderedPageBreak/>
        <w:t>Annex 1</w:t>
      </w:r>
      <w:r w:rsidR="00DB2DCE">
        <w:t>1</w:t>
      </w:r>
      <w:r>
        <w:t>:</w:t>
      </w:r>
      <w:r>
        <w:tab/>
        <w:t>Signed TE Report Clearance form</w:t>
      </w:r>
      <w:bookmarkEnd w:id="80"/>
    </w:p>
    <w:p w14:paraId="18A629A9" w14:textId="64A9EB78" w:rsidR="000F31AD" w:rsidRDefault="000F31AD">
      <w:pPr>
        <w:jc w:val="both"/>
        <w:rPr>
          <w:rFonts w:ascii="Calibri" w:eastAsia="Calibri" w:hAnsi="Calibri" w:cs="Calibri"/>
          <w:sz w:val="21"/>
          <w:szCs w:val="21"/>
        </w:rPr>
      </w:pPr>
    </w:p>
    <w:p w14:paraId="65BB3973" w14:textId="07A25F73" w:rsidR="008D7E24" w:rsidRDefault="008D7E24">
      <w:pPr>
        <w:jc w:val="both"/>
        <w:rPr>
          <w:rFonts w:ascii="Calibri" w:eastAsia="Calibri" w:hAnsi="Calibri" w:cs="Calibri"/>
          <w:sz w:val="21"/>
          <w:szCs w:val="21"/>
        </w:rPr>
      </w:pPr>
    </w:p>
    <w:p w14:paraId="7B34807C" w14:textId="7F00A900" w:rsidR="008D7E24" w:rsidRDefault="008D7E24">
      <w:pPr>
        <w:jc w:val="both"/>
        <w:rPr>
          <w:rFonts w:ascii="Calibri" w:eastAsia="Calibri" w:hAnsi="Calibri" w:cs="Calibri"/>
          <w:sz w:val="21"/>
          <w:szCs w:val="21"/>
        </w:rPr>
      </w:pPr>
      <w:r w:rsidRPr="008D7E24">
        <w:rPr>
          <w:rFonts w:ascii="Calibri" w:eastAsia="Calibri" w:hAnsi="Calibri" w:cs="Calibri"/>
          <w:sz w:val="21"/>
          <w:szCs w:val="21"/>
        </w:rPr>
        <w:drawing>
          <wp:inline distT="0" distB="0" distL="0" distR="0" wp14:anchorId="576065E0" wp14:editId="1AE66C7A">
            <wp:extent cx="5731510" cy="2478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478405"/>
                    </a:xfrm>
                    <a:prstGeom prst="rect">
                      <a:avLst/>
                    </a:prstGeom>
                  </pic:spPr>
                </pic:pic>
              </a:graphicData>
            </a:graphic>
          </wp:inline>
        </w:drawing>
      </w:r>
    </w:p>
    <w:sectPr w:rsidR="008D7E24">
      <w:pgSz w:w="11906" w:h="16838"/>
      <w:pgMar w:top="1440" w:right="1440" w:bottom="1440" w:left="1440" w:header="708" w:footer="708"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D0D06" w16cex:dateUtc="2021-08-10T11:34:00Z"/>
  <w16cex:commentExtensible w16cex:durableId="24B7E640" w16cex:dateUtc="2021-08-06T13:48:00Z"/>
  <w16cex:commentExtensible w16cex:durableId="24C7DCE1" w16cex:dateUtc="2021-08-18T17:24:00Z"/>
  <w16cex:commentExtensible w16cex:durableId="24B7EC29" w16cex:dateUtc="2021-08-06T14:13:00Z"/>
  <w16cex:commentExtensible w16cex:durableId="24B7EE25" w16cex:dateUtc="2021-08-06T14:21:00Z"/>
  <w16cex:commentExtensible w16cex:durableId="24BF7501" w16cex:dateUtc="2021-08-12T07:22:00Z"/>
  <w16cex:commentExtensible w16cex:durableId="24B7F09C" w16cex:dateUtc="2021-08-06T14:32:00Z"/>
  <w16cex:commentExtensible w16cex:durableId="24D2A2B8" w16cex:dateUtc="2021-08-26T21:31:00Z"/>
  <w16cex:commentExtensible w16cex:durableId="24D2A2F8" w16cex:dateUtc="2021-08-26T21:32:00Z"/>
  <w16cex:commentExtensible w16cex:durableId="24BF76D4" w16cex:dateUtc="2021-08-12T07:30:00Z"/>
  <w16cex:commentExtensible w16cex:durableId="24D2ABA9" w16cex:dateUtc="2021-08-26T22:09:00Z"/>
  <w16cex:commentExtensible w16cex:durableId="24C7F03F" w16cex:dateUtc="2021-08-18T18:46:00Z"/>
  <w16cex:commentExtensible w16cex:durableId="24C7F179" w16cex:dateUtc="2021-08-18T18:52:00Z"/>
  <w16cex:commentExtensible w16cex:durableId="24BF78B2" w16cex:dateUtc="2021-08-12T07:38:00Z"/>
  <w16cex:commentExtensible w16cex:durableId="24BBE0D9" w16cex:dateUtc="2021-08-09T14:14:00Z"/>
  <w16cex:commentExtensible w16cex:durableId="24B7F6DB" w16cex:dateUtc="2021-08-06T14:58:00Z"/>
  <w16cex:commentExtensible w16cex:durableId="24BBE0BD" w16cex:dateUtc="2021-08-09T14:13:00Z"/>
  <w16cex:commentExtensible w16cex:durableId="24B8049C" w16cex:dateUtc="2021-08-06T15:57:00Z"/>
  <w16cex:commentExtensible w16cex:durableId="24BBD70E" w16cex:dateUtc="2021-08-09T13:32:00Z"/>
  <w16cex:commentExtensible w16cex:durableId="24BF800F" w16cex:dateUtc="2021-08-12T08:10:00Z"/>
  <w16cex:commentExtensible w16cex:durableId="24BBD732" w16cex:dateUtc="2021-08-09T13:32:00Z"/>
  <w16cex:commentExtensible w16cex:durableId="24BBD750" w16cex:dateUtc="2021-08-09T13:33:00Z"/>
  <w16cex:commentExtensible w16cex:durableId="24BBD7F9" w16cex:dateUtc="2021-08-09T13:36:00Z"/>
  <w16cex:commentExtensible w16cex:durableId="24BBD809" w16cex:dateUtc="2021-08-09T13:36:00Z"/>
  <w16cex:commentExtensible w16cex:durableId="24BBD8E2" w16cex:dateUtc="2021-08-09T13:40:00Z"/>
  <w16cex:commentExtensible w16cex:durableId="24BBE0A1" w16cex:dateUtc="2021-08-09T14:13:00Z"/>
  <w16cex:commentExtensible w16cex:durableId="24BF83AA" w16cex:dateUtc="2021-08-12T08:25:00Z"/>
  <w16cex:commentExtensible w16cex:durableId="24BBDD8D" w16cex:dateUtc="2021-08-09T13:59:00Z"/>
  <w16cex:commentExtensible w16cex:durableId="24D375E9" w16cex:dateUtc="2021-08-27T12:32:00Z"/>
  <w16cex:commentExtensible w16cex:durableId="24BF877B" w16cex:dateUtc="2021-08-12T08:41:00Z"/>
  <w16cex:commentExtensible w16cex:durableId="24BBDE47" w16cex:dateUtc="2021-08-09T14:03:00Z"/>
  <w16cex:commentExtensible w16cex:durableId="24BBDF76" w16cex:dateUtc="2021-08-09T14:08:00Z"/>
  <w16cex:commentExtensible w16cex:durableId="24BBE08B" w16cex:dateUtc="2021-08-09T14:12:00Z"/>
  <w16cex:commentExtensible w16cex:durableId="24BBE286" w16cex:dateUtc="2021-08-09T14:21:00Z"/>
  <w16cex:commentExtensible w16cex:durableId="24BBE954" w16cex:dateUtc="2021-08-09T14:50:00Z"/>
  <w16cex:commentExtensible w16cex:durableId="24BF918A" w16cex:dateUtc="2021-08-12T09:24:00Z"/>
  <w16cex:commentExtensible w16cex:durableId="24BBEA25" w16cex:dateUtc="2021-08-09T14:53:00Z"/>
  <w16cex:commentExtensible w16cex:durableId="24BF9625" w16cex:dateUtc="2021-08-12T09:44:00Z"/>
  <w16cex:commentExtensible w16cex:durableId="24BF965A" w16cex:dateUtc="2021-08-12T09:45:00Z"/>
  <w16cex:commentExtensible w16cex:durableId="24CDFAFB" w16cex:dateUtc="2021-08-23T08:46:00Z"/>
  <w16cex:commentExtensible w16cex:durableId="24BF96EE" w16cex:dateUtc="2021-08-12T09:47:00Z"/>
  <w16cex:commentExtensible w16cex:durableId="24BBEBDE" w16cex:dateUtc="2021-08-09T15:01:00Z"/>
  <w16cex:commentExtensible w16cex:durableId="24BF98F4" w16cex:dateUtc="2021-08-12T09:56:00Z"/>
  <w16cex:commentExtensible w16cex:durableId="24BBF0D4" w16cex:dateUtc="2021-08-09T15:22:00Z"/>
  <w16cex:commentExtensible w16cex:durableId="24BBEE12" w16cex:dateUtc="2021-08-09T15:10:00Z"/>
  <w16cex:commentExtensible w16cex:durableId="24BFA844" w16cex:dateUtc="2021-08-12T11:01:00Z"/>
  <w16cex:commentExtensible w16cex:durableId="24BFA8D1" w16cex:dateUtc="2021-08-12T11:04:00Z"/>
  <w16cex:commentExtensible w16cex:durableId="24BFAA51" w16cex:dateUtc="2021-08-12T11:10:00Z"/>
  <w16cex:commentExtensible w16cex:durableId="24BFAAE6" w16cex:dateUtc="2021-08-12T11:12:00Z"/>
  <w16cex:commentExtensible w16cex:durableId="24BBF39A" w16cex:dateUtc="2021-08-09T15:34:00Z"/>
  <w16cex:commentExtensible w16cex:durableId="24BBF53B" w16cex:dateUtc="2021-08-09T15:40:00Z"/>
  <w16cex:commentExtensible w16cex:durableId="24BFAC40" w16cex:dateUtc="2021-08-12T11:18:00Z"/>
  <w16cex:commentExtensible w16cex:durableId="24BFAD4E" w16cex:dateUtc="2021-08-12T11:23:00Z"/>
  <w16cex:commentExtensible w16cex:durableId="24BFAD0B" w16cex:dateUtc="2021-08-12T11:22:00Z"/>
  <w16cex:commentExtensible w16cex:durableId="24BFACD6" w16cex:dateUtc="2021-08-12T11:21:00Z"/>
  <w16cex:commentExtensible w16cex:durableId="24BBFF80" w16cex:dateUtc="2021-08-09T16:24:00Z"/>
  <w16cex:commentExtensible w16cex:durableId="24BBF73C" w16cex:dateUtc="2021-08-09T15:49:00Z"/>
  <w16cex:commentExtensible w16cex:durableId="24BD0B04" w16cex:dateUtc="2021-08-10T11:26:00Z"/>
  <w16cex:commentExtensible w16cex:durableId="24BFB0C7" w16cex:dateUtc="2021-08-12T11:37:00Z"/>
  <w16cex:commentExtensible w16cex:durableId="24BFB7E7" w16cex:dateUtc="2021-08-12T12:08:00Z"/>
  <w16cex:commentExtensible w16cex:durableId="24BFB7D3" w16cex:dateUtc="2021-08-12T12:07:00Z"/>
  <w16cex:commentExtensible w16cex:durableId="24BFB823" w16cex:dateUtc="2021-08-12T12:09:00Z"/>
  <w16cex:commentExtensible w16cex:durableId="24BFB8A4" w16cex:dateUtc="2021-08-12T12:11:00Z"/>
  <w16cex:commentExtensible w16cex:durableId="24BFB978" w16cex:dateUtc="2021-08-12T12:15:00Z"/>
  <w16cex:commentExtensible w16cex:durableId="24BFB9D8" w16cex:dateUtc="2021-08-12T12:16:00Z"/>
  <w16cex:commentExtensible w16cex:durableId="24BFBDDA" w16cex:dateUtc="2021-08-12T12:33:00Z"/>
  <w16cex:commentExtensible w16cex:durableId="24BFBE65" w16cex:dateUtc="2021-08-12T12:36:00Z"/>
  <w16cex:commentExtensible w16cex:durableId="24BFBEEE" w16cex:dateUtc="2021-08-12T12:38:00Z"/>
  <w16cex:commentExtensible w16cex:durableId="24D29FFC" w16cex:dateUtc="2021-08-26T21:19:00Z"/>
  <w16cex:commentExtensible w16cex:durableId="24D37969" w16cex:dateUtc="2021-08-27T12:47:00Z"/>
  <w16cex:commentExtensible w16cex:durableId="24D2A0EE" w16cex:dateUtc="2021-08-26T21:23:00Z"/>
  <w16cex:commentExtensible w16cex:durableId="24BFBF5B" w16cex:dateUtc="2021-08-12T12:40:00Z"/>
  <w16cex:commentExtensible w16cex:durableId="24BFBFC0" w16cex:dateUtc="2021-08-12T12:41:00Z"/>
  <w16cex:commentExtensible w16cex:durableId="24BF7909" w16cex:dateUtc="2021-08-12T07: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D2761" w14:textId="77777777" w:rsidR="0052081C" w:rsidRDefault="0052081C">
      <w:r>
        <w:separator/>
      </w:r>
    </w:p>
  </w:endnote>
  <w:endnote w:type="continuationSeparator" w:id="0">
    <w:p w14:paraId="7081AB55" w14:textId="77777777" w:rsidR="0052081C" w:rsidRDefault="00520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Calibri"/>
    <w:panose1 w:val="020B0604020202020204"/>
    <w:charset w:val="00"/>
    <w:family w:val="swiss"/>
    <w:pitch w:val="variable"/>
    <w:sig w:usb0="E00002EF" w:usb1="4000205B" w:usb2="00000028" w:usb3="00000000" w:csb0="0000019F" w:csb1="00000000"/>
  </w:font>
  <w:font w:name="Roboto">
    <w:altName w:val="Arial"/>
    <w:panose1 w:val="020B0604020202020204"/>
    <w:charset w:val="00"/>
    <w:family w:val="auto"/>
    <w:pitch w:val="variable"/>
    <w:sig w:usb0="E00002FF" w:usb1="5000205B" w:usb2="00000020" w:usb3="00000000" w:csb0="0000019F" w:csb1="00000000"/>
  </w:font>
  <w:font w:name="BookAntiqua">
    <w:altName w:val="Cambria"/>
    <w:panose1 w:val="020B0604020202020204"/>
    <w:charset w:val="00"/>
    <w:family w:val="auto"/>
    <w:pitch w:val="default"/>
  </w:font>
  <w:font w:name="TimesNewRomanPSMT">
    <w:altName w:val="Times New Roman"/>
    <w:panose1 w:val="02020603050405020304"/>
    <w:charset w:val="00"/>
    <w:family w:val="roman"/>
    <w:pitch w:val="variable"/>
    <w:sig w:usb0="E0002AEF" w:usb1="C0007841" w:usb2="00000009" w:usb3="00000000" w:csb0="000001FF" w:csb1="00000000"/>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84C05" w14:textId="77777777" w:rsidR="00894841" w:rsidRDefault="00894841">
    <w:pPr>
      <w:pBdr>
        <w:top w:val="nil"/>
        <w:left w:val="nil"/>
        <w:bottom w:val="nil"/>
        <w:right w:val="nil"/>
        <w:between w:val="nil"/>
      </w:pBdr>
      <w:tabs>
        <w:tab w:val="center" w:pos="4513"/>
        <w:tab w:val="right" w:pos="9026"/>
      </w:tabs>
      <w:jc w:val="center"/>
      <w:rPr>
        <w:color w:val="000000"/>
      </w:rPr>
    </w:pPr>
  </w:p>
  <w:p w14:paraId="7A392FE2" w14:textId="77777777" w:rsidR="00894841" w:rsidRDefault="00894841">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DC46" w14:textId="77777777" w:rsidR="00894841" w:rsidRDefault="00894841">
    <w:pPr>
      <w:pBdr>
        <w:top w:val="nil"/>
        <w:left w:val="nil"/>
        <w:bottom w:val="nil"/>
        <w:right w:val="nil"/>
        <w:between w:val="nil"/>
      </w:pBdr>
      <w:tabs>
        <w:tab w:val="center" w:pos="4513"/>
        <w:tab w:val="right" w:pos="9026"/>
      </w:tabs>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p w14:paraId="06BD4838" w14:textId="77777777" w:rsidR="00894841" w:rsidRDefault="00894841">
    <w:pPr>
      <w:pBdr>
        <w:top w:val="nil"/>
        <w:left w:val="nil"/>
        <w:bottom w:val="nil"/>
        <w:right w:val="nil"/>
        <w:between w:val="nil"/>
      </w:pBdr>
      <w:tabs>
        <w:tab w:val="center" w:pos="4513"/>
        <w:tab w:val="right" w:pos="9026"/>
      </w:tabs>
      <w:rPr>
        <w:rFonts w:ascii="Calibri" w:eastAsia="Calibri" w:hAnsi="Calibri" w:cs="Calibri"/>
        <w:color w:val="000000"/>
        <w:sz w:val="20"/>
        <w:szCs w:val="20"/>
      </w:rPr>
    </w:pPr>
  </w:p>
  <w:p w14:paraId="26883734" w14:textId="77777777" w:rsidR="00894841" w:rsidRDefault="008948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08361" w14:textId="77777777" w:rsidR="00894841" w:rsidRDefault="00894841" w:rsidP="00894841">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701C0" w14:textId="77777777" w:rsidR="0052081C" w:rsidRDefault="0052081C">
      <w:r>
        <w:separator/>
      </w:r>
    </w:p>
  </w:footnote>
  <w:footnote w:type="continuationSeparator" w:id="0">
    <w:p w14:paraId="5867CFDB" w14:textId="77777777" w:rsidR="0052081C" w:rsidRDefault="0052081C">
      <w:r>
        <w:continuationSeparator/>
      </w:r>
    </w:p>
  </w:footnote>
  <w:footnote w:id="1">
    <w:p w14:paraId="58C391FE" w14:textId="77777777" w:rsidR="00894841" w:rsidRPr="00894841" w:rsidRDefault="00894841">
      <w:pPr>
        <w:pBdr>
          <w:top w:val="nil"/>
          <w:left w:val="nil"/>
          <w:bottom w:val="nil"/>
          <w:right w:val="nil"/>
          <w:between w:val="nil"/>
        </w:pBdr>
        <w:rPr>
          <w:rFonts w:asciiTheme="minorHAnsi" w:hAnsiTheme="minorHAnsi" w:cstheme="minorHAnsi"/>
          <w:color w:val="000000"/>
          <w:sz w:val="20"/>
          <w:szCs w:val="20"/>
        </w:rPr>
      </w:pPr>
      <w:r>
        <w:rPr>
          <w:rStyle w:val="FootnoteReference"/>
        </w:rPr>
        <w:footnoteRef/>
      </w:r>
      <w:r>
        <w:rPr>
          <w:color w:val="000000"/>
          <w:sz w:val="20"/>
          <w:szCs w:val="20"/>
        </w:rPr>
        <w:t xml:space="preserve"> </w:t>
      </w:r>
      <w:r w:rsidRPr="00894841">
        <w:rPr>
          <w:rFonts w:asciiTheme="minorHAnsi" w:hAnsiTheme="minorHAnsi" w:cstheme="minorHAnsi"/>
          <w:color w:val="000000"/>
          <w:sz w:val="20"/>
          <w:szCs w:val="20"/>
        </w:rPr>
        <w:t>Note the name North Macedonia become the official name for FYR Macedonia on 25 January 2019.</w:t>
      </w:r>
    </w:p>
  </w:footnote>
  <w:footnote w:id="2">
    <w:p w14:paraId="61C497DC" w14:textId="77777777" w:rsidR="00894841" w:rsidRPr="00894841" w:rsidRDefault="00894841">
      <w:pPr>
        <w:pBdr>
          <w:top w:val="nil"/>
          <w:left w:val="nil"/>
          <w:bottom w:val="nil"/>
          <w:right w:val="nil"/>
          <w:between w:val="nil"/>
        </w:pBdr>
        <w:rPr>
          <w:rFonts w:asciiTheme="minorHAnsi" w:eastAsia="Open Sans" w:hAnsiTheme="minorHAnsi" w:cstheme="minorHAnsi"/>
          <w:color w:val="000000"/>
          <w:sz w:val="20"/>
          <w:szCs w:val="20"/>
        </w:rPr>
      </w:pPr>
      <w:r w:rsidRPr="00894841">
        <w:rPr>
          <w:rStyle w:val="FootnoteReference"/>
          <w:rFonts w:asciiTheme="minorHAnsi" w:hAnsiTheme="minorHAnsi" w:cstheme="minorHAnsi"/>
          <w:sz w:val="20"/>
          <w:szCs w:val="20"/>
        </w:rPr>
        <w:footnoteRef/>
      </w:r>
      <w:r w:rsidRPr="00894841">
        <w:rPr>
          <w:rFonts w:asciiTheme="minorHAnsi" w:hAnsiTheme="minorHAnsi" w:cstheme="minorHAnsi"/>
          <w:color w:val="000000"/>
          <w:sz w:val="20"/>
          <w:szCs w:val="20"/>
        </w:rPr>
        <w:t xml:space="preserve"> </w:t>
      </w:r>
      <w:r w:rsidRPr="00894841">
        <w:rPr>
          <w:rFonts w:asciiTheme="minorHAnsi" w:eastAsia="Open Sans" w:hAnsiTheme="minorHAnsi" w:cstheme="minorHAnsi"/>
          <w:color w:val="000000"/>
          <w:sz w:val="20"/>
          <w:szCs w:val="20"/>
        </w:rPr>
        <w:t>References to Kosovo shall be understood to be in the context of Security Council Resolution 1244 (1999).</w:t>
      </w:r>
    </w:p>
  </w:footnote>
  <w:footnote w:id="3">
    <w:p w14:paraId="4E02C3EA" w14:textId="77777777" w:rsidR="00894841" w:rsidRDefault="00894841">
      <w:pPr>
        <w:pBdr>
          <w:top w:val="nil"/>
          <w:left w:val="nil"/>
          <w:bottom w:val="nil"/>
          <w:right w:val="nil"/>
          <w:between w:val="nil"/>
        </w:pBdr>
        <w:jc w:val="both"/>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Guidance for Conducting Evaluations of UNDP-Supported, GEF-Financed Projects, UNDP Evaluation Office, 2020</w:t>
      </w:r>
    </w:p>
  </w:footnote>
  <w:footnote w:id="4">
    <w:p w14:paraId="5B22BE8C" w14:textId="77777777" w:rsidR="00894841" w:rsidRDefault="00894841">
      <w:pPr>
        <w:pBdr>
          <w:top w:val="nil"/>
          <w:left w:val="nil"/>
          <w:bottom w:val="nil"/>
          <w:right w:val="nil"/>
          <w:between w:val="nil"/>
        </w:pBdr>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ibid</w:t>
      </w:r>
    </w:p>
  </w:footnote>
  <w:footnote w:id="5">
    <w:p w14:paraId="5EF4F931" w14:textId="4A375940" w:rsidR="00894841" w:rsidRDefault="00894841">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w:t>
      </w:r>
      <w:r>
        <w:rPr>
          <w:rFonts w:ascii="Calibri" w:eastAsia="Calibri" w:hAnsi="Calibri" w:cs="Calibri"/>
          <w:color w:val="000000"/>
          <w:sz w:val="18"/>
          <w:szCs w:val="18"/>
        </w:rPr>
        <w:t>Mid.Term Review Report, 2019 – updated list</w:t>
      </w:r>
    </w:p>
  </w:footnote>
  <w:footnote w:id="6">
    <w:p w14:paraId="7B03CC5D" w14:textId="77777777" w:rsidR="00894841" w:rsidRDefault="00894841" w:rsidP="000D36AC">
      <w:pPr>
        <w:pBdr>
          <w:top w:val="nil"/>
          <w:left w:val="nil"/>
          <w:bottom w:val="nil"/>
          <w:right w:val="nil"/>
          <w:between w:val="nil"/>
        </w:pBdr>
        <w:rPr>
          <w:rFonts w:ascii="Calibri" w:eastAsia="Calibri" w:hAnsi="Calibri" w:cs="Calibri"/>
          <w:color w:val="000000"/>
          <w:sz w:val="18"/>
          <w:szCs w:val="18"/>
        </w:rPr>
      </w:pPr>
      <w:r>
        <w:rPr>
          <w:rStyle w:val="FootnoteReference"/>
        </w:rPr>
        <w:footnoteRef/>
      </w:r>
      <w:r>
        <w:rPr>
          <w:color w:val="000000"/>
          <w:sz w:val="20"/>
          <w:szCs w:val="20"/>
        </w:rPr>
        <w:t xml:space="preserve"> </w:t>
      </w:r>
      <w:r>
        <w:rPr>
          <w:rFonts w:ascii="Calibri" w:eastAsia="Calibri" w:hAnsi="Calibri" w:cs="Calibri"/>
          <w:color w:val="000000"/>
          <w:sz w:val="18"/>
          <w:szCs w:val="18"/>
        </w:rPr>
        <w:t>ESSP, December 2012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5348"/>
    <w:multiLevelType w:val="multilevel"/>
    <w:tmpl w:val="597A0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4F5CD5"/>
    <w:multiLevelType w:val="multilevel"/>
    <w:tmpl w:val="26A28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771745"/>
    <w:multiLevelType w:val="multilevel"/>
    <w:tmpl w:val="CCF455E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9638E3"/>
    <w:multiLevelType w:val="hybridMultilevel"/>
    <w:tmpl w:val="499EA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A747F"/>
    <w:multiLevelType w:val="multilevel"/>
    <w:tmpl w:val="067E50F8"/>
    <w:lvl w:ilvl="0">
      <w:start w:val="1"/>
      <w:numFmt w:val="bullet"/>
      <w:lvlText w:val=""/>
      <w:lvlJc w:val="left"/>
      <w:pPr>
        <w:ind w:left="1080" w:hanging="360"/>
      </w:pPr>
      <w:rPr>
        <w:rFonts w:ascii="Symbol" w:hAnsi="Symbo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94419A"/>
    <w:multiLevelType w:val="hybridMultilevel"/>
    <w:tmpl w:val="FADE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3747C"/>
    <w:multiLevelType w:val="multilevel"/>
    <w:tmpl w:val="2494B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847B9F"/>
    <w:multiLevelType w:val="multilevel"/>
    <w:tmpl w:val="9992EA42"/>
    <w:lvl w:ilvl="0">
      <w:start w:val="1"/>
      <w:numFmt w:val="bullet"/>
      <w:lvlText w:val="●"/>
      <w:lvlJc w:val="left"/>
      <w:pPr>
        <w:ind w:left="675" w:hanging="360"/>
      </w:pPr>
      <w:rPr>
        <w:rFonts w:ascii="Noto Sans Symbols" w:eastAsia="Noto Sans Symbols" w:hAnsi="Noto Sans Symbols" w:cs="Noto Sans Symbols"/>
      </w:rPr>
    </w:lvl>
    <w:lvl w:ilvl="1">
      <w:start w:val="1"/>
      <w:numFmt w:val="bullet"/>
      <w:lvlText w:val="o"/>
      <w:lvlJc w:val="left"/>
      <w:pPr>
        <w:ind w:left="1395" w:hanging="360"/>
      </w:pPr>
      <w:rPr>
        <w:rFonts w:ascii="Courier New" w:eastAsia="Courier New" w:hAnsi="Courier New" w:cs="Courier New"/>
      </w:rPr>
    </w:lvl>
    <w:lvl w:ilvl="2">
      <w:start w:val="1"/>
      <w:numFmt w:val="bullet"/>
      <w:lvlText w:val="▪"/>
      <w:lvlJc w:val="left"/>
      <w:pPr>
        <w:ind w:left="2115" w:hanging="360"/>
      </w:pPr>
      <w:rPr>
        <w:rFonts w:ascii="Noto Sans Symbols" w:eastAsia="Noto Sans Symbols" w:hAnsi="Noto Sans Symbols" w:cs="Noto Sans Symbols"/>
      </w:rPr>
    </w:lvl>
    <w:lvl w:ilvl="3">
      <w:start w:val="1"/>
      <w:numFmt w:val="bullet"/>
      <w:lvlText w:val="●"/>
      <w:lvlJc w:val="left"/>
      <w:pPr>
        <w:ind w:left="2835" w:hanging="360"/>
      </w:pPr>
      <w:rPr>
        <w:rFonts w:ascii="Noto Sans Symbols" w:eastAsia="Noto Sans Symbols" w:hAnsi="Noto Sans Symbols" w:cs="Noto Sans Symbols"/>
      </w:rPr>
    </w:lvl>
    <w:lvl w:ilvl="4">
      <w:start w:val="1"/>
      <w:numFmt w:val="bullet"/>
      <w:lvlText w:val="o"/>
      <w:lvlJc w:val="left"/>
      <w:pPr>
        <w:ind w:left="3555" w:hanging="360"/>
      </w:pPr>
      <w:rPr>
        <w:rFonts w:ascii="Courier New" w:eastAsia="Courier New" w:hAnsi="Courier New" w:cs="Courier New"/>
      </w:rPr>
    </w:lvl>
    <w:lvl w:ilvl="5">
      <w:start w:val="1"/>
      <w:numFmt w:val="bullet"/>
      <w:lvlText w:val="▪"/>
      <w:lvlJc w:val="left"/>
      <w:pPr>
        <w:ind w:left="4275" w:hanging="360"/>
      </w:pPr>
      <w:rPr>
        <w:rFonts w:ascii="Noto Sans Symbols" w:eastAsia="Noto Sans Symbols" w:hAnsi="Noto Sans Symbols" w:cs="Noto Sans Symbols"/>
      </w:rPr>
    </w:lvl>
    <w:lvl w:ilvl="6">
      <w:start w:val="1"/>
      <w:numFmt w:val="bullet"/>
      <w:lvlText w:val="●"/>
      <w:lvlJc w:val="left"/>
      <w:pPr>
        <w:ind w:left="4995" w:hanging="360"/>
      </w:pPr>
      <w:rPr>
        <w:rFonts w:ascii="Noto Sans Symbols" w:eastAsia="Noto Sans Symbols" w:hAnsi="Noto Sans Symbols" w:cs="Noto Sans Symbols"/>
      </w:rPr>
    </w:lvl>
    <w:lvl w:ilvl="7">
      <w:start w:val="1"/>
      <w:numFmt w:val="bullet"/>
      <w:lvlText w:val="o"/>
      <w:lvlJc w:val="left"/>
      <w:pPr>
        <w:ind w:left="5715" w:hanging="360"/>
      </w:pPr>
      <w:rPr>
        <w:rFonts w:ascii="Courier New" w:eastAsia="Courier New" w:hAnsi="Courier New" w:cs="Courier New"/>
      </w:rPr>
    </w:lvl>
    <w:lvl w:ilvl="8">
      <w:start w:val="1"/>
      <w:numFmt w:val="bullet"/>
      <w:lvlText w:val="▪"/>
      <w:lvlJc w:val="left"/>
      <w:pPr>
        <w:ind w:left="6435" w:hanging="360"/>
      </w:pPr>
      <w:rPr>
        <w:rFonts w:ascii="Noto Sans Symbols" w:eastAsia="Noto Sans Symbols" w:hAnsi="Noto Sans Symbols" w:cs="Noto Sans Symbols"/>
      </w:rPr>
    </w:lvl>
  </w:abstractNum>
  <w:abstractNum w:abstractNumId="8" w15:restartNumberingAfterBreak="0">
    <w:nsid w:val="1B5E0F13"/>
    <w:multiLevelType w:val="multilevel"/>
    <w:tmpl w:val="8C867998"/>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505AB2"/>
    <w:multiLevelType w:val="multilevel"/>
    <w:tmpl w:val="514896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76802EB"/>
    <w:multiLevelType w:val="multilevel"/>
    <w:tmpl w:val="325C7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6242DA"/>
    <w:multiLevelType w:val="multilevel"/>
    <w:tmpl w:val="E81E7ACA"/>
    <w:lvl w:ilvl="0">
      <w:start w:val="1"/>
      <w:numFmt w:val="bullet"/>
      <w:lvlText w:val="•"/>
      <w:lvlJc w:val="left"/>
      <w:pPr>
        <w:ind w:left="1900" w:hanging="82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9F637D"/>
    <w:multiLevelType w:val="multilevel"/>
    <w:tmpl w:val="0406D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A442D9C"/>
    <w:multiLevelType w:val="multilevel"/>
    <w:tmpl w:val="C9685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045239"/>
    <w:multiLevelType w:val="multilevel"/>
    <w:tmpl w:val="3FA40072"/>
    <w:lvl w:ilvl="0">
      <w:start w:val="6"/>
      <w:numFmt w:val="decimal"/>
      <w:lvlText w:val="%1."/>
      <w:lvlJc w:val="left"/>
      <w:pPr>
        <w:tabs>
          <w:tab w:val="num" w:pos="720"/>
        </w:tabs>
        <w:ind w:left="720" w:hanging="360"/>
      </w:pPr>
      <w:rPr>
        <w:rFonts w:asciiTheme="minorHAnsi" w:hAnsiTheme="minorHAnsi" w:cstheme="minorHAnsi"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CA38A7"/>
    <w:multiLevelType w:val="hybridMultilevel"/>
    <w:tmpl w:val="4352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52D26"/>
    <w:multiLevelType w:val="multilevel"/>
    <w:tmpl w:val="8D7E865A"/>
    <w:lvl w:ilvl="0">
      <w:start w:val="1"/>
      <w:numFmt w:val="bullet"/>
      <w:lvlText w:val="•"/>
      <w:lvlJc w:val="left"/>
      <w:pPr>
        <w:ind w:left="1900" w:hanging="82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A894F61"/>
    <w:multiLevelType w:val="multilevel"/>
    <w:tmpl w:val="E72E6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5927AC"/>
    <w:multiLevelType w:val="multilevel"/>
    <w:tmpl w:val="6B82C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090605"/>
    <w:multiLevelType w:val="multilevel"/>
    <w:tmpl w:val="5BAA22A4"/>
    <w:lvl w:ilvl="0">
      <w:start w:val="1"/>
      <w:numFmt w:val="bullet"/>
      <w:lvlText w:val="•"/>
      <w:lvlJc w:val="left"/>
      <w:pPr>
        <w:ind w:left="1900" w:hanging="82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573FD1"/>
    <w:multiLevelType w:val="multilevel"/>
    <w:tmpl w:val="EBD60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0D1552F"/>
    <w:multiLevelType w:val="multilevel"/>
    <w:tmpl w:val="4D4A6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35C7396"/>
    <w:multiLevelType w:val="hybridMultilevel"/>
    <w:tmpl w:val="0A20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F55216"/>
    <w:multiLevelType w:val="hybridMultilevel"/>
    <w:tmpl w:val="CF7EC0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8430032"/>
    <w:multiLevelType w:val="multilevel"/>
    <w:tmpl w:val="5CF231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BC74EF0"/>
    <w:multiLevelType w:val="multilevel"/>
    <w:tmpl w:val="29EA7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09B12E1"/>
    <w:multiLevelType w:val="multilevel"/>
    <w:tmpl w:val="E90AB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876786"/>
    <w:multiLevelType w:val="multilevel"/>
    <w:tmpl w:val="A0985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6BD57B9"/>
    <w:multiLevelType w:val="hybridMultilevel"/>
    <w:tmpl w:val="CE9CD85E"/>
    <w:lvl w:ilvl="0" w:tplc="0696FF0A">
      <w:start w:val="4"/>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8FA4614"/>
    <w:multiLevelType w:val="hybridMultilevel"/>
    <w:tmpl w:val="578E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760C4"/>
    <w:multiLevelType w:val="multilevel"/>
    <w:tmpl w:val="E22E8226"/>
    <w:lvl w:ilvl="0">
      <w:start w:val="1"/>
      <w:numFmt w:val="bullet"/>
      <w:lvlText w:val="●"/>
      <w:lvlJc w:val="left"/>
      <w:pPr>
        <w:ind w:left="720" w:hanging="360"/>
      </w:pPr>
      <w:rPr>
        <w:rFonts w:asciiTheme="minorHAnsi" w:eastAsia="Noto Sans Symbols" w:hAnsiTheme="minorHAnsi" w:cstheme="minorHAnsi"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47061B2"/>
    <w:multiLevelType w:val="multilevel"/>
    <w:tmpl w:val="067E50F8"/>
    <w:lvl w:ilvl="0">
      <w:start w:val="1"/>
      <w:numFmt w:val="bullet"/>
      <w:lvlText w:val=""/>
      <w:lvlJc w:val="left"/>
      <w:pPr>
        <w:ind w:left="1080" w:hanging="360"/>
      </w:pPr>
      <w:rPr>
        <w:rFonts w:ascii="Symbol" w:hAnsi="Symbo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5A779B8"/>
    <w:multiLevelType w:val="hybridMultilevel"/>
    <w:tmpl w:val="CF3C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B50756"/>
    <w:multiLevelType w:val="hybridMultilevel"/>
    <w:tmpl w:val="0002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30"/>
  </w:num>
  <w:num w:numId="4">
    <w:abstractNumId w:val="19"/>
  </w:num>
  <w:num w:numId="5">
    <w:abstractNumId w:val="11"/>
  </w:num>
  <w:num w:numId="6">
    <w:abstractNumId w:val="2"/>
  </w:num>
  <w:num w:numId="7">
    <w:abstractNumId w:val="24"/>
  </w:num>
  <w:num w:numId="8">
    <w:abstractNumId w:val="12"/>
  </w:num>
  <w:num w:numId="9">
    <w:abstractNumId w:val="27"/>
  </w:num>
  <w:num w:numId="10">
    <w:abstractNumId w:val="5"/>
  </w:num>
  <w:num w:numId="11">
    <w:abstractNumId w:val="29"/>
  </w:num>
  <w:num w:numId="12">
    <w:abstractNumId w:val="3"/>
  </w:num>
  <w:num w:numId="13">
    <w:abstractNumId w:val="23"/>
  </w:num>
  <w:num w:numId="14">
    <w:abstractNumId w:val="4"/>
  </w:num>
  <w:num w:numId="15">
    <w:abstractNumId w:val="31"/>
  </w:num>
  <w:num w:numId="16">
    <w:abstractNumId w:val="22"/>
  </w:num>
  <w:num w:numId="17">
    <w:abstractNumId w:val="33"/>
  </w:num>
  <w:num w:numId="18">
    <w:abstractNumId w:val="32"/>
  </w:num>
  <w:num w:numId="19">
    <w:abstractNumId w:val="15"/>
  </w:num>
  <w:num w:numId="20">
    <w:abstractNumId w:val="13"/>
  </w:num>
  <w:num w:numId="21">
    <w:abstractNumId w:val="26"/>
  </w:num>
  <w:num w:numId="22">
    <w:abstractNumId w:val="9"/>
  </w:num>
  <w:num w:numId="23">
    <w:abstractNumId w:val="7"/>
  </w:num>
  <w:num w:numId="24">
    <w:abstractNumId w:val="17"/>
  </w:num>
  <w:num w:numId="25">
    <w:abstractNumId w:val="25"/>
  </w:num>
  <w:num w:numId="26">
    <w:abstractNumId w:val="6"/>
  </w:num>
  <w:num w:numId="27">
    <w:abstractNumId w:val="18"/>
  </w:num>
  <w:num w:numId="28">
    <w:abstractNumId w:val="10"/>
  </w:num>
  <w:num w:numId="29">
    <w:abstractNumId w:val="21"/>
  </w:num>
  <w:num w:numId="30">
    <w:abstractNumId w:val="20"/>
  </w:num>
  <w:num w:numId="31">
    <w:abstractNumId w:val="0"/>
  </w:num>
  <w:num w:numId="32">
    <w:abstractNumId w:val="8"/>
  </w:num>
  <w:num w:numId="33">
    <w:abstractNumId w:val="14"/>
  </w:num>
  <w:num w:numId="3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AD"/>
    <w:rsid w:val="00000774"/>
    <w:rsid w:val="00025D45"/>
    <w:rsid w:val="0002681F"/>
    <w:rsid w:val="00041202"/>
    <w:rsid w:val="00045528"/>
    <w:rsid w:val="00056CBE"/>
    <w:rsid w:val="00060EAE"/>
    <w:rsid w:val="00062BAA"/>
    <w:rsid w:val="00083021"/>
    <w:rsid w:val="000A5C3C"/>
    <w:rsid w:val="000A618B"/>
    <w:rsid w:val="000B4FC9"/>
    <w:rsid w:val="000C7033"/>
    <w:rsid w:val="000D1E68"/>
    <w:rsid w:val="000D36AC"/>
    <w:rsid w:val="000D49C6"/>
    <w:rsid w:val="000F31AD"/>
    <w:rsid w:val="000F6EFE"/>
    <w:rsid w:val="0013248A"/>
    <w:rsid w:val="00133F02"/>
    <w:rsid w:val="00135CED"/>
    <w:rsid w:val="00142ABE"/>
    <w:rsid w:val="00154ABB"/>
    <w:rsid w:val="00164CD3"/>
    <w:rsid w:val="001670E0"/>
    <w:rsid w:val="00184112"/>
    <w:rsid w:val="00190BC7"/>
    <w:rsid w:val="0019541D"/>
    <w:rsid w:val="001A3D0F"/>
    <w:rsid w:val="001A419C"/>
    <w:rsid w:val="001A4F39"/>
    <w:rsid w:val="001B7948"/>
    <w:rsid w:val="001C442C"/>
    <w:rsid w:val="00202E41"/>
    <w:rsid w:val="00204A3C"/>
    <w:rsid w:val="00207355"/>
    <w:rsid w:val="002104D0"/>
    <w:rsid w:val="002468B9"/>
    <w:rsid w:val="00263D43"/>
    <w:rsid w:val="002679B5"/>
    <w:rsid w:val="00282A0B"/>
    <w:rsid w:val="002873EE"/>
    <w:rsid w:val="002936C7"/>
    <w:rsid w:val="002A0510"/>
    <w:rsid w:val="002B0D75"/>
    <w:rsid w:val="002B5255"/>
    <w:rsid w:val="002C5B17"/>
    <w:rsid w:val="002D47EC"/>
    <w:rsid w:val="002E5BED"/>
    <w:rsid w:val="002F0AF6"/>
    <w:rsid w:val="002F4D95"/>
    <w:rsid w:val="00317424"/>
    <w:rsid w:val="00325C8C"/>
    <w:rsid w:val="003303A6"/>
    <w:rsid w:val="00341372"/>
    <w:rsid w:val="00355113"/>
    <w:rsid w:val="00362441"/>
    <w:rsid w:val="00374704"/>
    <w:rsid w:val="00393BBC"/>
    <w:rsid w:val="003946C8"/>
    <w:rsid w:val="00396C5F"/>
    <w:rsid w:val="003977F5"/>
    <w:rsid w:val="003A2B76"/>
    <w:rsid w:val="003C4A27"/>
    <w:rsid w:val="003D7D41"/>
    <w:rsid w:val="003E2363"/>
    <w:rsid w:val="003F0E5A"/>
    <w:rsid w:val="0040290B"/>
    <w:rsid w:val="00416672"/>
    <w:rsid w:val="00425FC0"/>
    <w:rsid w:val="00431FE1"/>
    <w:rsid w:val="00444D9E"/>
    <w:rsid w:val="0044670C"/>
    <w:rsid w:val="00453115"/>
    <w:rsid w:val="00453325"/>
    <w:rsid w:val="00453C19"/>
    <w:rsid w:val="004558C1"/>
    <w:rsid w:val="00456129"/>
    <w:rsid w:val="00475DC2"/>
    <w:rsid w:val="004853CD"/>
    <w:rsid w:val="00496F35"/>
    <w:rsid w:val="004A0ACB"/>
    <w:rsid w:val="004B712B"/>
    <w:rsid w:val="004C09B2"/>
    <w:rsid w:val="004D7ABC"/>
    <w:rsid w:val="004E20E4"/>
    <w:rsid w:val="004E2161"/>
    <w:rsid w:val="004E6BBF"/>
    <w:rsid w:val="004E75B7"/>
    <w:rsid w:val="004F68C6"/>
    <w:rsid w:val="0052081C"/>
    <w:rsid w:val="005238D9"/>
    <w:rsid w:val="005443E7"/>
    <w:rsid w:val="005562E8"/>
    <w:rsid w:val="00560C67"/>
    <w:rsid w:val="00561868"/>
    <w:rsid w:val="005662AE"/>
    <w:rsid w:val="00566E36"/>
    <w:rsid w:val="005729CA"/>
    <w:rsid w:val="005736B5"/>
    <w:rsid w:val="00577634"/>
    <w:rsid w:val="005A5A79"/>
    <w:rsid w:val="005B23BC"/>
    <w:rsid w:val="005B61C0"/>
    <w:rsid w:val="005D7A08"/>
    <w:rsid w:val="005E1575"/>
    <w:rsid w:val="005E5FAA"/>
    <w:rsid w:val="005E6E63"/>
    <w:rsid w:val="005F2DBC"/>
    <w:rsid w:val="005F3D88"/>
    <w:rsid w:val="005F72DC"/>
    <w:rsid w:val="0063131E"/>
    <w:rsid w:val="00637827"/>
    <w:rsid w:val="0066179B"/>
    <w:rsid w:val="00664487"/>
    <w:rsid w:val="00672A5A"/>
    <w:rsid w:val="00680E6E"/>
    <w:rsid w:val="00682806"/>
    <w:rsid w:val="0068698D"/>
    <w:rsid w:val="006959B3"/>
    <w:rsid w:val="006A037E"/>
    <w:rsid w:val="006A2BFB"/>
    <w:rsid w:val="006A2CB4"/>
    <w:rsid w:val="006A4B67"/>
    <w:rsid w:val="006A7E62"/>
    <w:rsid w:val="006B0898"/>
    <w:rsid w:val="006B2DF8"/>
    <w:rsid w:val="006D1A7F"/>
    <w:rsid w:val="006E1639"/>
    <w:rsid w:val="006F4ED4"/>
    <w:rsid w:val="00702D51"/>
    <w:rsid w:val="0072383F"/>
    <w:rsid w:val="007250BF"/>
    <w:rsid w:val="00727B48"/>
    <w:rsid w:val="00733BE5"/>
    <w:rsid w:val="00736B29"/>
    <w:rsid w:val="007407D6"/>
    <w:rsid w:val="0074390D"/>
    <w:rsid w:val="007555C1"/>
    <w:rsid w:val="00761BED"/>
    <w:rsid w:val="00764B51"/>
    <w:rsid w:val="00772184"/>
    <w:rsid w:val="00783D38"/>
    <w:rsid w:val="00784644"/>
    <w:rsid w:val="00794708"/>
    <w:rsid w:val="007956AD"/>
    <w:rsid w:val="00797611"/>
    <w:rsid w:val="007A0DBA"/>
    <w:rsid w:val="007D4F68"/>
    <w:rsid w:val="007E7BC3"/>
    <w:rsid w:val="007F59DF"/>
    <w:rsid w:val="008028AE"/>
    <w:rsid w:val="00810431"/>
    <w:rsid w:val="008110C2"/>
    <w:rsid w:val="00820EDD"/>
    <w:rsid w:val="00823714"/>
    <w:rsid w:val="008240ED"/>
    <w:rsid w:val="00827158"/>
    <w:rsid w:val="00827929"/>
    <w:rsid w:val="00845353"/>
    <w:rsid w:val="00846E77"/>
    <w:rsid w:val="00852610"/>
    <w:rsid w:val="008578A4"/>
    <w:rsid w:val="00873411"/>
    <w:rsid w:val="0087429F"/>
    <w:rsid w:val="0088559C"/>
    <w:rsid w:val="00894841"/>
    <w:rsid w:val="00894EE2"/>
    <w:rsid w:val="008A3F41"/>
    <w:rsid w:val="008A7B6B"/>
    <w:rsid w:val="008C038F"/>
    <w:rsid w:val="008C6AA2"/>
    <w:rsid w:val="008D1FF7"/>
    <w:rsid w:val="008D7E24"/>
    <w:rsid w:val="008E260E"/>
    <w:rsid w:val="008F21EA"/>
    <w:rsid w:val="008F2748"/>
    <w:rsid w:val="00914E41"/>
    <w:rsid w:val="00915B55"/>
    <w:rsid w:val="009174C6"/>
    <w:rsid w:val="00920D4F"/>
    <w:rsid w:val="0095008F"/>
    <w:rsid w:val="009511EC"/>
    <w:rsid w:val="009568D9"/>
    <w:rsid w:val="00962B7C"/>
    <w:rsid w:val="00966D49"/>
    <w:rsid w:val="00972AAE"/>
    <w:rsid w:val="00986A3A"/>
    <w:rsid w:val="009905DD"/>
    <w:rsid w:val="0099147D"/>
    <w:rsid w:val="009A1DB5"/>
    <w:rsid w:val="009B5A2F"/>
    <w:rsid w:val="009B5CF6"/>
    <w:rsid w:val="009C20DB"/>
    <w:rsid w:val="009D2E92"/>
    <w:rsid w:val="009D3520"/>
    <w:rsid w:val="009E5DB9"/>
    <w:rsid w:val="009F3EFA"/>
    <w:rsid w:val="009F75AB"/>
    <w:rsid w:val="00A0686F"/>
    <w:rsid w:val="00A06ACA"/>
    <w:rsid w:val="00A06DF1"/>
    <w:rsid w:val="00A0756F"/>
    <w:rsid w:val="00A11D95"/>
    <w:rsid w:val="00A14E08"/>
    <w:rsid w:val="00A17216"/>
    <w:rsid w:val="00A20D20"/>
    <w:rsid w:val="00A2227C"/>
    <w:rsid w:val="00A2727E"/>
    <w:rsid w:val="00A313E5"/>
    <w:rsid w:val="00A317E5"/>
    <w:rsid w:val="00A3516F"/>
    <w:rsid w:val="00A5171A"/>
    <w:rsid w:val="00A660F6"/>
    <w:rsid w:val="00A70D48"/>
    <w:rsid w:val="00A722CA"/>
    <w:rsid w:val="00A72459"/>
    <w:rsid w:val="00A84A6A"/>
    <w:rsid w:val="00A86AC9"/>
    <w:rsid w:val="00A95609"/>
    <w:rsid w:val="00AA0EBD"/>
    <w:rsid w:val="00AA14C5"/>
    <w:rsid w:val="00AA29F7"/>
    <w:rsid w:val="00AA6208"/>
    <w:rsid w:val="00AA715D"/>
    <w:rsid w:val="00AC31DD"/>
    <w:rsid w:val="00AC3243"/>
    <w:rsid w:val="00AD47F7"/>
    <w:rsid w:val="00AE47B0"/>
    <w:rsid w:val="00AF65EF"/>
    <w:rsid w:val="00B010A1"/>
    <w:rsid w:val="00B0696E"/>
    <w:rsid w:val="00B1224B"/>
    <w:rsid w:val="00B1547E"/>
    <w:rsid w:val="00B175B7"/>
    <w:rsid w:val="00B24CA4"/>
    <w:rsid w:val="00B25063"/>
    <w:rsid w:val="00B26F15"/>
    <w:rsid w:val="00B46B86"/>
    <w:rsid w:val="00B46C08"/>
    <w:rsid w:val="00B5080E"/>
    <w:rsid w:val="00B52F89"/>
    <w:rsid w:val="00B61039"/>
    <w:rsid w:val="00B63920"/>
    <w:rsid w:val="00B72E0E"/>
    <w:rsid w:val="00B76479"/>
    <w:rsid w:val="00BB0364"/>
    <w:rsid w:val="00BB67EC"/>
    <w:rsid w:val="00BD0F07"/>
    <w:rsid w:val="00BE64E7"/>
    <w:rsid w:val="00BF24AB"/>
    <w:rsid w:val="00BF45C4"/>
    <w:rsid w:val="00BF45F4"/>
    <w:rsid w:val="00BF5D1B"/>
    <w:rsid w:val="00C020F3"/>
    <w:rsid w:val="00C026F5"/>
    <w:rsid w:val="00C1236E"/>
    <w:rsid w:val="00C3341A"/>
    <w:rsid w:val="00C33FCA"/>
    <w:rsid w:val="00C470A7"/>
    <w:rsid w:val="00C47703"/>
    <w:rsid w:val="00C60B59"/>
    <w:rsid w:val="00C65AAF"/>
    <w:rsid w:val="00C70CBA"/>
    <w:rsid w:val="00C751C3"/>
    <w:rsid w:val="00C81836"/>
    <w:rsid w:val="00C96C97"/>
    <w:rsid w:val="00CB44AF"/>
    <w:rsid w:val="00CC0150"/>
    <w:rsid w:val="00CC7D25"/>
    <w:rsid w:val="00CD0148"/>
    <w:rsid w:val="00CD182D"/>
    <w:rsid w:val="00CD384D"/>
    <w:rsid w:val="00CD3C9D"/>
    <w:rsid w:val="00CF243E"/>
    <w:rsid w:val="00CF4902"/>
    <w:rsid w:val="00CF54F7"/>
    <w:rsid w:val="00CF5BEB"/>
    <w:rsid w:val="00D04471"/>
    <w:rsid w:val="00D10D6E"/>
    <w:rsid w:val="00D32758"/>
    <w:rsid w:val="00D419FF"/>
    <w:rsid w:val="00D65296"/>
    <w:rsid w:val="00D84387"/>
    <w:rsid w:val="00D906F6"/>
    <w:rsid w:val="00D96368"/>
    <w:rsid w:val="00D97A04"/>
    <w:rsid w:val="00DA1169"/>
    <w:rsid w:val="00DA3531"/>
    <w:rsid w:val="00DA7E87"/>
    <w:rsid w:val="00DB19A6"/>
    <w:rsid w:val="00DB2DCE"/>
    <w:rsid w:val="00DC117C"/>
    <w:rsid w:val="00DC255B"/>
    <w:rsid w:val="00DD6C6C"/>
    <w:rsid w:val="00DE3E8C"/>
    <w:rsid w:val="00DE591D"/>
    <w:rsid w:val="00DF2AC9"/>
    <w:rsid w:val="00DF5DC1"/>
    <w:rsid w:val="00E009B8"/>
    <w:rsid w:val="00E0477A"/>
    <w:rsid w:val="00E13732"/>
    <w:rsid w:val="00E2321F"/>
    <w:rsid w:val="00E57E68"/>
    <w:rsid w:val="00E602C9"/>
    <w:rsid w:val="00E73F89"/>
    <w:rsid w:val="00EB606A"/>
    <w:rsid w:val="00EC0C92"/>
    <w:rsid w:val="00ED7647"/>
    <w:rsid w:val="00EE4CCA"/>
    <w:rsid w:val="00EF38F2"/>
    <w:rsid w:val="00EF4BC6"/>
    <w:rsid w:val="00F00147"/>
    <w:rsid w:val="00F0114A"/>
    <w:rsid w:val="00F057FF"/>
    <w:rsid w:val="00F15DF6"/>
    <w:rsid w:val="00F25DC9"/>
    <w:rsid w:val="00F37EB0"/>
    <w:rsid w:val="00F4045E"/>
    <w:rsid w:val="00F437C4"/>
    <w:rsid w:val="00F4486A"/>
    <w:rsid w:val="00F54000"/>
    <w:rsid w:val="00F61A02"/>
    <w:rsid w:val="00F67947"/>
    <w:rsid w:val="00F72D73"/>
    <w:rsid w:val="00F860E3"/>
    <w:rsid w:val="00F96A2D"/>
    <w:rsid w:val="00F975E0"/>
    <w:rsid w:val="00FA59C0"/>
    <w:rsid w:val="00FB2CF2"/>
    <w:rsid w:val="00FC6C36"/>
    <w:rsid w:val="00FD2AF0"/>
    <w:rsid w:val="00FE1C29"/>
    <w:rsid w:val="00FE72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6905A"/>
  <w15:docId w15:val="{8516E691-B9C4-294C-B3B5-0E0763B0E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C43"/>
  </w:style>
  <w:style w:type="paragraph" w:styleId="Heading1">
    <w:name w:val="heading 1"/>
    <w:basedOn w:val="Normal"/>
    <w:next w:val="Normal"/>
    <w:link w:val="Heading1Char"/>
    <w:uiPriority w:val="9"/>
    <w:qFormat/>
    <w:rsid w:val="00924C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53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2BD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55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24C43"/>
    <w:rPr>
      <w:rFonts w:asciiTheme="majorHAnsi" w:eastAsiaTheme="majorEastAsia" w:hAnsiTheme="majorHAnsi" w:cstheme="majorBidi"/>
      <w:color w:val="2F5496" w:themeColor="accent1" w:themeShade="BF"/>
      <w:sz w:val="32"/>
      <w:szCs w:val="32"/>
      <w:lang w:val="en-GB" w:eastAsia="en-GB"/>
    </w:rPr>
  </w:style>
  <w:style w:type="paragraph" w:styleId="TOCHeading">
    <w:name w:val="TOC Heading"/>
    <w:basedOn w:val="Heading1"/>
    <w:next w:val="Normal"/>
    <w:uiPriority w:val="39"/>
    <w:unhideWhenUsed/>
    <w:qFormat/>
    <w:rsid w:val="00924C43"/>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DB2DCE"/>
    <w:pPr>
      <w:tabs>
        <w:tab w:val="right" w:pos="9016"/>
      </w:tabs>
      <w:spacing w:before="120"/>
    </w:pPr>
    <w:rPr>
      <w:rFonts w:asciiTheme="minorHAnsi" w:hAnsiTheme="minorHAnsi" w:cstheme="minorHAnsi"/>
      <w:b/>
      <w:bCs/>
      <w:i/>
      <w:iCs/>
    </w:rPr>
  </w:style>
  <w:style w:type="paragraph" w:styleId="TOC2">
    <w:name w:val="toc 2"/>
    <w:basedOn w:val="Normal"/>
    <w:next w:val="Normal"/>
    <w:autoRedefine/>
    <w:uiPriority w:val="39"/>
    <w:unhideWhenUsed/>
    <w:rsid w:val="00924C43"/>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924C43"/>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924C43"/>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924C43"/>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24C4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24C4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24C4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24C43"/>
    <w:pPr>
      <w:ind w:left="1920"/>
    </w:pPr>
    <w:rPr>
      <w:rFonts w:asciiTheme="minorHAnsi" w:hAnsiTheme="minorHAnsi" w:cstheme="minorHAnsi"/>
      <w:sz w:val="20"/>
      <w:szCs w:val="20"/>
    </w:rPr>
  </w:style>
  <w:style w:type="paragraph" w:styleId="Footer">
    <w:name w:val="footer"/>
    <w:basedOn w:val="Normal"/>
    <w:link w:val="FooterChar"/>
    <w:uiPriority w:val="99"/>
    <w:unhideWhenUsed/>
    <w:rsid w:val="00924C43"/>
    <w:pPr>
      <w:tabs>
        <w:tab w:val="center" w:pos="4513"/>
        <w:tab w:val="right" w:pos="9026"/>
      </w:tabs>
    </w:pPr>
  </w:style>
  <w:style w:type="character" w:customStyle="1" w:styleId="FooterChar">
    <w:name w:val="Footer Char"/>
    <w:basedOn w:val="DefaultParagraphFont"/>
    <w:link w:val="Footer"/>
    <w:uiPriority w:val="99"/>
    <w:rsid w:val="00924C43"/>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924C43"/>
  </w:style>
  <w:style w:type="character" w:styleId="Hyperlink">
    <w:name w:val="Hyperlink"/>
    <w:basedOn w:val="DefaultParagraphFont"/>
    <w:uiPriority w:val="99"/>
    <w:unhideWhenUsed/>
    <w:rsid w:val="00924C43"/>
    <w:rPr>
      <w:color w:val="0563C1" w:themeColor="hyperlink"/>
      <w:u w:val="single"/>
    </w:rPr>
  </w:style>
  <w:style w:type="character" w:customStyle="1" w:styleId="Heading2Char">
    <w:name w:val="Heading 2 Char"/>
    <w:basedOn w:val="DefaultParagraphFont"/>
    <w:link w:val="Heading2"/>
    <w:uiPriority w:val="9"/>
    <w:rsid w:val="006353FF"/>
    <w:rPr>
      <w:rFonts w:asciiTheme="majorHAnsi" w:eastAsiaTheme="majorEastAsia" w:hAnsiTheme="majorHAnsi" w:cstheme="majorBidi"/>
      <w:color w:val="2F5496" w:themeColor="accent1" w:themeShade="BF"/>
      <w:sz w:val="26"/>
      <w:szCs w:val="26"/>
      <w:lang w:val="en-GB" w:eastAsia="en-GB"/>
    </w:rPr>
  </w:style>
  <w:style w:type="paragraph" w:styleId="Header">
    <w:name w:val="header"/>
    <w:basedOn w:val="Normal"/>
    <w:link w:val="HeaderChar"/>
    <w:uiPriority w:val="99"/>
    <w:unhideWhenUsed/>
    <w:rsid w:val="006353FF"/>
    <w:pPr>
      <w:tabs>
        <w:tab w:val="center" w:pos="4513"/>
        <w:tab w:val="right" w:pos="9026"/>
      </w:tabs>
    </w:pPr>
  </w:style>
  <w:style w:type="character" w:customStyle="1" w:styleId="HeaderChar">
    <w:name w:val="Header Char"/>
    <w:basedOn w:val="DefaultParagraphFont"/>
    <w:link w:val="Header"/>
    <w:uiPriority w:val="99"/>
    <w:rsid w:val="006353FF"/>
    <w:rPr>
      <w:rFonts w:ascii="Times New Roman" w:eastAsia="Times New Roman" w:hAnsi="Times New Roman" w:cs="Times New Roman"/>
      <w:lang w:val="en-GB" w:eastAsia="en-GB"/>
    </w:rPr>
  </w:style>
  <w:style w:type="paragraph" w:styleId="NormalWeb">
    <w:name w:val="Normal (Web)"/>
    <w:basedOn w:val="Normal"/>
    <w:uiPriority w:val="99"/>
    <w:unhideWhenUsed/>
    <w:rsid w:val="002A2BDA"/>
    <w:pPr>
      <w:spacing w:before="100" w:beforeAutospacing="1" w:after="100" w:afterAutospacing="1"/>
    </w:pPr>
  </w:style>
  <w:style w:type="character" w:customStyle="1" w:styleId="Heading3Char">
    <w:name w:val="Heading 3 Char"/>
    <w:basedOn w:val="DefaultParagraphFont"/>
    <w:link w:val="Heading3"/>
    <w:uiPriority w:val="9"/>
    <w:rsid w:val="002A2BDA"/>
    <w:rPr>
      <w:rFonts w:asciiTheme="majorHAnsi" w:eastAsiaTheme="majorEastAsia" w:hAnsiTheme="majorHAnsi" w:cstheme="majorBidi"/>
      <w:color w:val="1F3763" w:themeColor="accent1" w:themeShade="7F"/>
      <w:lang w:val="en-GB" w:eastAsia="en-GB"/>
    </w:rPr>
  </w:style>
  <w:style w:type="character" w:customStyle="1" w:styleId="Heading4Char">
    <w:name w:val="Heading 4 Char"/>
    <w:basedOn w:val="DefaultParagraphFont"/>
    <w:link w:val="Heading4"/>
    <w:uiPriority w:val="9"/>
    <w:rsid w:val="003955E4"/>
    <w:rPr>
      <w:rFonts w:asciiTheme="majorHAnsi" w:eastAsiaTheme="majorEastAsia" w:hAnsiTheme="majorHAnsi" w:cstheme="majorBidi"/>
      <w:i/>
      <w:iCs/>
      <w:color w:val="2F5496" w:themeColor="accent1" w:themeShade="BF"/>
      <w:lang w:val="en-GB" w:eastAsia="en-GB"/>
    </w:rPr>
  </w:style>
  <w:style w:type="paragraph" w:styleId="ListParagraph">
    <w:name w:val="List Paragraph"/>
    <w:aliases w:val="List Paragraph1"/>
    <w:basedOn w:val="Normal"/>
    <w:link w:val="ListParagraphChar"/>
    <w:uiPriority w:val="34"/>
    <w:qFormat/>
    <w:rsid w:val="00171DC4"/>
    <w:pPr>
      <w:ind w:left="720"/>
      <w:contextualSpacing/>
    </w:pPr>
  </w:style>
  <w:style w:type="paragraph" w:styleId="FootnoteText">
    <w:name w:val="footnote text"/>
    <w:basedOn w:val="Normal"/>
    <w:link w:val="FootnoteTextChar"/>
    <w:uiPriority w:val="99"/>
    <w:semiHidden/>
    <w:unhideWhenUsed/>
    <w:rsid w:val="005C2F23"/>
    <w:rPr>
      <w:sz w:val="20"/>
      <w:szCs w:val="20"/>
    </w:rPr>
  </w:style>
  <w:style w:type="character" w:customStyle="1" w:styleId="FootnoteTextChar">
    <w:name w:val="Footnote Text Char"/>
    <w:basedOn w:val="DefaultParagraphFont"/>
    <w:link w:val="FootnoteText"/>
    <w:uiPriority w:val="99"/>
    <w:semiHidden/>
    <w:rsid w:val="005C2F23"/>
    <w:rPr>
      <w:rFonts w:ascii="Times New Roman" w:eastAsia="Times New Roman" w:hAnsi="Times New Roman" w:cs="Times New Roman"/>
      <w:sz w:val="20"/>
      <w:szCs w:val="20"/>
      <w:lang w:val="en-GB" w:eastAsia="en-GB"/>
    </w:rPr>
  </w:style>
  <w:style w:type="character" w:styleId="FootnoteReference">
    <w:name w:val="footnote reference"/>
    <w:aliases w:val="16 Point,Superscript 6 Point,Superscript 6 Point + 11 pt,ftref,fr,Footnote Ref in FtNote,Style 24,o,SUPERS,BVI fnr,BVI fnr Car Car,BVI fnr Car,BVI fnr Car Car Car Car,Footnote text,BVI fnr Car Car Car Car Char,Ref,de nota al pie"/>
    <w:basedOn w:val="DefaultParagraphFont"/>
    <w:unhideWhenUsed/>
    <w:rsid w:val="005C2F23"/>
    <w:rPr>
      <w:vertAlign w:val="superscript"/>
    </w:rPr>
  </w:style>
  <w:style w:type="table" w:styleId="TableGrid">
    <w:name w:val="Table Grid"/>
    <w:basedOn w:val="TableNormal"/>
    <w:uiPriority w:val="39"/>
    <w:rsid w:val="00D25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A42C9B"/>
  </w:style>
  <w:style w:type="character" w:styleId="Emphasis">
    <w:name w:val="Emphasis"/>
    <w:basedOn w:val="DefaultParagraphFont"/>
    <w:uiPriority w:val="20"/>
    <w:qFormat/>
    <w:rsid w:val="00C71086"/>
    <w:rPr>
      <w:i/>
      <w:iCs/>
    </w:rPr>
  </w:style>
  <w:style w:type="character" w:styleId="FollowedHyperlink">
    <w:name w:val="FollowedHyperlink"/>
    <w:basedOn w:val="DefaultParagraphFont"/>
    <w:uiPriority w:val="99"/>
    <w:semiHidden/>
    <w:unhideWhenUsed/>
    <w:rsid w:val="00C7108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20" w:type="dxa"/>
        <w:left w:w="20" w:type="dxa"/>
        <w:bottom w:w="20" w:type="dxa"/>
        <w:right w:w="2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character" w:styleId="CommentReference">
    <w:name w:val="annotation reference"/>
    <w:basedOn w:val="DefaultParagraphFont"/>
    <w:uiPriority w:val="99"/>
    <w:semiHidden/>
    <w:unhideWhenUsed/>
    <w:rsid w:val="008E260E"/>
    <w:rPr>
      <w:sz w:val="16"/>
      <w:szCs w:val="16"/>
    </w:rPr>
  </w:style>
  <w:style w:type="paragraph" w:styleId="CommentText">
    <w:name w:val="annotation text"/>
    <w:basedOn w:val="Normal"/>
    <w:link w:val="CommentTextChar"/>
    <w:uiPriority w:val="99"/>
    <w:unhideWhenUsed/>
    <w:rsid w:val="008E260E"/>
    <w:rPr>
      <w:sz w:val="20"/>
      <w:szCs w:val="20"/>
    </w:rPr>
  </w:style>
  <w:style w:type="character" w:customStyle="1" w:styleId="CommentTextChar">
    <w:name w:val="Comment Text Char"/>
    <w:basedOn w:val="DefaultParagraphFont"/>
    <w:link w:val="CommentText"/>
    <w:uiPriority w:val="99"/>
    <w:rsid w:val="008E260E"/>
    <w:rPr>
      <w:sz w:val="20"/>
      <w:szCs w:val="20"/>
    </w:rPr>
  </w:style>
  <w:style w:type="paragraph" w:styleId="CommentSubject">
    <w:name w:val="annotation subject"/>
    <w:basedOn w:val="CommentText"/>
    <w:next w:val="CommentText"/>
    <w:link w:val="CommentSubjectChar"/>
    <w:uiPriority w:val="99"/>
    <w:semiHidden/>
    <w:unhideWhenUsed/>
    <w:rsid w:val="008E260E"/>
    <w:rPr>
      <w:b/>
      <w:bCs/>
    </w:rPr>
  </w:style>
  <w:style w:type="character" w:customStyle="1" w:styleId="CommentSubjectChar">
    <w:name w:val="Comment Subject Char"/>
    <w:basedOn w:val="CommentTextChar"/>
    <w:link w:val="CommentSubject"/>
    <w:uiPriority w:val="99"/>
    <w:semiHidden/>
    <w:rsid w:val="008E260E"/>
    <w:rPr>
      <w:b/>
      <w:bCs/>
      <w:sz w:val="20"/>
      <w:szCs w:val="20"/>
    </w:rPr>
  </w:style>
  <w:style w:type="character" w:styleId="UnresolvedMention">
    <w:name w:val="Unresolved Mention"/>
    <w:basedOn w:val="DefaultParagraphFont"/>
    <w:uiPriority w:val="99"/>
    <w:semiHidden/>
    <w:unhideWhenUsed/>
    <w:rsid w:val="008E260E"/>
    <w:rPr>
      <w:color w:val="605E5C"/>
      <w:shd w:val="clear" w:color="auto" w:fill="E1DFDD"/>
    </w:rPr>
  </w:style>
  <w:style w:type="paragraph" w:customStyle="1" w:styleId="pf0">
    <w:name w:val="pf0"/>
    <w:basedOn w:val="Normal"/>
    <w:rsid w:val="005562E8"/>
    <w:pPr>
      <w:spacing w:before="100" w:beforeAutospacing="1" w:after="100" w:afterAutospacing="1"/>
    </w:pPr>
    <w:rPr>
      <w:lang w:val="el-GR" w:eastAsia="el-GR"/>
    </w:rPr>
  </w:style>
  <w:style w:type="character" w:customStyle="1" w:styleId="cf01">
    <w:name w:val="cf01"/>
    <w:basedOn w:val="DefaultParagraphFont"/>
    <w:rsid w:val="005562E8"/>
    <w:rPr>
      <w:rFonts w:ascii="Segoe UI" w:hAnsi="Segoe UI" w:cs="Segoe UI" w:hint="default"/>
      <w:sz w:val="18"/>
      <w:szCs w:val="18"/>
    </w:rPr>
  </w:style>
  <w:style w:type="paragraph" w:styleId="BalloonText">
    <w:name w:val="Balloon Text"/>
    <w:basedOn w:val="Normal"/>
    <w:link w:val="BalloonTextChar"/>
    <w:uiPriority w:val="99"/>
    <w:semiHidden/>
    <w:unhideWhenUsed/>
    <w:rsid w:val="006378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827"/>
    <w:rPr>
      <w:rFonts w:ascii="Segoe UI" w:hAnsi="Segoe UI" w:cs="Segoe UI"/>
      <w:sz w:val="18"/>
      <w:szCs w:val="18"/>
    </w:rPr>
  </w:style>
  <w:style w:type="paragraph" w:customStyle="1" w:styleId="Default">
    <w:name w:val="Default"/>
    <w:rsid w:val="00041202"/>
    <w:pPr>
      <w:autoSpaceDE w:val="0"/>
      <w:autoSpaceDN w:val="0"/>
      <w:adjustRightInd w:val="0"/>
    </w:pPr>
    <w:rPr>
      <w:rFonts w:ascii="Calibri" w:hAnsi="Calibri" w:cs="Calibri"/>
      <w:color w:val="000000"/>
      <w:lang w:val="en-US"/>
    </w:rPr>
  </w:style>
  <w:style w:type="paragraph" w:styleId="Revision">
    <w:name w:val="Revision"/>
    <w:hidden/>
    <w:uiPriority w:val="99"/>
    <w:semiHidden/>
    <w:rsid w:val="00431FE1"/>
  </w:style>
  <w:style w:type="character" w:customStyle="1" w:styleId="ListParagraphChar">
    <w:name w:val="List Paragraph Char"/>
    <w:aliases w:val="List Paragraph1 Char"/>
    <w:link w:val="ListParagraph"/>
    <w:uiPriority w:val="34"/>
    <w:rsid w:val="008D7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9172">
      <w:bodyDiv w:val="1"/>
      <w:marLeft w:val="0"/>
      <w:marRight w:val="0"/>
      <w:marTop w:val="0"/>
      <w:marBottom w:val="0"/>
      <w:divBdr>
        <w:top w:val="none" w:sz="0" w:space="0" w:color="auto"/>
        <w:left w:val="none" w:sz="0" w:space="0" w:color="auto"/>
        <w:bottom w:val="none" w:sz="0" w:space="0" w:color="auto"/>
        <w:right w:val="none" w:sz="0" w:space="0" w:color="auto"/>
      </w:divBdr>
      <w:divsChild>
        <w:div w:id="1870988205">
          <w:marLeft w:val="0"/>
          <w:marRight w:val="0"/>
          <w:marTop w:val="0"/>
          <w:marBottom w:val="0"/>
          <w:divBdr>
            <w:top w:val="none" w:sz="0" w:space="0" w:color="auto"/>
            <w:left w:val="none" w:sz="0" w:space="0" w:color="auto"/>
            <w:bottom w:val="none" w:sz="0" w:space="0" w:color="auto"/>
            <w:right w:val="none" w:sz="0" w:space="0" w:color="auto"/>
          </w:divBdr>
          <w:divsChild>
            <w:div w:id="1951085131">
              <w:marLeft w:val="0"/>
              <w:marRight w:val="0"/>
              <w:marTop w:val="0"/>
              <w:marBottom w:val="0"/>
              <w:divBdr>
                <w:top w:val="none" w:sz="0" w:space="0" w:color="auto"/>
                <w:left w:val="none" w:sz="0" w:space="0" w:color="auto"/>
                <w:bottom w:val="none" w:sz="0" w:space="0" w:color="auto"/>
                <w:right w:val="none" w:sz="0" w:space="0" w:color="auto"/>
              </w:divBdr>
              <w:divsChild>
                <w:div w:id="4024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88489">
      <w:bodyDiv w:val="1"/>
      <w:marLeft w:val="0"/>
      <w:marRight w:val="0"/>
      <w:marTop w:val="0"/>
      <w:marBottom w:val="0"/>
      <w:divBdr>
        <w:top w:val="none" w:sz="0" w:space="0" w:color="auto"/>
        <w:left w:val="none" w:sz="0" w:space="0" w:color="auto"/>
        <w:bottom w:val="none" w:sz="0" w:space="0" w:color="auto"/>
        <w:right w:val="none" w:sz="0" w:space="0" w:color="auto"/>
      </w:divBdr>
      <w:divsChild>
        <w:div w:id="937756152">
          <w:marLeft w:val="0"/>
          <w:marRight w:val="0"/>
          <w:marTop w:val="0"/>
          <w:marBottom w:val="0"/>
          <w:divBdr>
            <w:top w:val="none" w:sz="0" w:space="0" w:color="auto"/>
            <w:left w:val="none" w:sz="0" w:space="0" w:color="auto"/>
            <w:bottom w:val="none" w:sz="0" w:space="0" w:color="auto"/>
            <w:right w:val="none" w:sz="0" w:space="0" w:color="auto"/>
          </w:divBdr>
          <w:divsChild>
            <w:div w:id="1341354754">
              <w:marLeft w:val="0"/>
              <w:marRight w:val="0"/>
              <w:marTop w:val="0"/>
              <w:marBottom w:val="0"/>
              <w:divBdr>
                <w:top w:val="none" w:sz="0" w:space="0" w:color="auto"/>
                <w:left w:val="none" w:sz="0" w:space="0" w:color="auto"/>
                <w:bottom w:val="none" w:sz="0" w:space="0" w:color="auto"/>
                <w:right w:val="none" w:sz="0" w:space="0" w:color="auto"/>
              </w:divBdr>
              <w:divsChild>
                <w:div w:id="3710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41911">
      <w:bodyDiv w:val="1"/>
      <w:marLeft w:val="0"/>
      <w:marRight w:val="0"/>
      <w:marTop w:val="0"/>
      <w:marBottom w:val="0"/>
      <w:divBdr>
        <w:top w:val="none" w:sz="0" w:space="0" w:color="auto"/>
        <w:left w:val="none" w:sz="0" w:space="0" w:color="auto"/>
        <w:bottom w:val="none" w:sz="0" w:space="0" w:color="auto"/>
        <w:right w:val="none" w:sz="0" w:space="0" w:color="auto"/>
      </w:divBdr>
      <w:divsChild>
        <w:div w:id="533538966">
          <w:marLeft w:val="0"/>
          <w:marRight w:val="0"/>
          <w:marTop w:val="0"/>
          <w:marBottom w:val="0"/>
          <w:divBdr>
            <w:top w:val="none" w:sz="0" w:space="0" w:color="auto"/>
            <w:left w:val="none" w:sz="0" w:space="0" w:color="auto"/>
            <w:bottom w:val="none" w:sz="0" w:space="0" w:color="auto"/>
            <w:right w:val="none" w:sz="0" w:space="0" w:color="auto"/>
          </w:divBdr>
          <w:divsChild>
            <w:div w:id="2010521182">
              <w:marLeft w:val="0"/>
              <w:marRight w:val="0"/>
              <w:marTop w:val="0"/>
              <w:marBottom w:val="0"/>
              <w:divBdr>
                <w:top w:val="none" w:sz="0" w:space="0" w:color="auto"/>
                <w:left w:val="none" w:sz="0" w:space="0" w:color="auto"/>
                <w:bottom w:val="none" w:sz="0" w:space="0" w:color="auto"/>
                <w:right w:val="none" w:sz="0" w:space="0" w:color="auto"/>
              </w:divBdr>
              <w:divsChild>
                <w:div w:id="19687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74389">
      <w:bodyDiv w:val="1"/>
      <w:marLeft w:val="0"/>
      <w:marRight w:val="0"/>
      <w:marTop w:val="0"/>
      <w:marBottom w:val="0"/>
      <w:divBdr>
        <w:top w:val="none" w:sz="0" w:space="0" w:color="auto"/>
        <w:left w:val="none" w:sz="0" w:space="0" w:color="auto"/>
        <w:bottom w:val="none" w:sz="0" w:space="0" w:color="auto"/>
        <w:right w:val="none" w:sz="0" w:space="0" w:color="auto"/>
      </w:divBdr>
      <w:divsChild>
        <w:div w:id="317420419">
          <w:marLeft w:val="0"/>
          <w:marRight w:val="0"/>
          <w:marTop w:val="0"/>
          <w:marBottom w:val="0"/>
          <w:divBdr>
            <w:top w:val="none" w:sz="0" w:space="0" w:color="auto"/>
            <w:left w:val="none" w:sz="0" w:space="0" w:color="auto"/>
            <w:bottom w:val="none" w:sz="0" w:space="0" w:color="auto"/>
            <w:right w:val="none" w:sz="0" w:space="0" w:color="auto"/>
          </w:divBdr>
          <w:divsChild>
            <w:div w:id="1751735299">
              <w:marLeft w:val="0"/>
              <w:marRight w:val="0"/>
              <w:marTop w:val="0"/>
              <w:marBottom w:val="0"/>
              <w:divBdr>
                <w:top w:val="none" w:sz="0" w:space="0" w:color="auto"/>
                <w:left w:val="none" w:sz="0" w:space="0" w:color="auto"/>
                <w:bottom w:val="none" w:sz="0" w:space="0" w:color="auto"/>
                <w:right w:val="none" w:sz="0" w:space="0" w:color="auto"/>
              </w:divBdr>
              <w:divsChild>
                <w:div w:id="20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95307">
      <w:bodyDiv w:val="1"/>
      <w:marLeft w:val="0"/>
      <w:marRight w:val="0"/>
      <w:marTop w:val="0"/>
      <w:marBottom w:val="0"/>
      <w:divBdr>
        <w:top w:val="none" w:sz="0" w:space="0" w:color="auto"/>
        <w:left w:val="none" w:sz="0" w:space="0" w:color="auto"/>
        <w:bottom w:val="none" w:sz="0" w:space="0" w:color="auto"/>
        <w:right w:val="none" w:sz="0" w:space="0" w:color="auto"/>
      </w:divBdr>
      <w:divsChild>
        <w:div w:id="1062676425">
          <w:marLeft w:val="0"/>
          <w:marRight w:val="0"/>
          <w:marTop w:val="0"/>
          <w:marBottom w:val="0"/>
          <w:divBdr>
            <w:top w:val="none" w:sz="0" w:space="0" w:color="auto"/>
            <w:left w:val="none" w:sz="0" w:space="0" w:color="auto"/>
            <w:bottom w:val="none" w:sz="0" w:space="0" w:color="auto"/>
            <w:right w:val="none" w:sz="0" w:space="0" w:color="auto"/>
          </w:divBdr>
          <w:divsChild>
            <w:div w:id="1546061666">
              <w:marLeft w:val="0"/>
              <w:marRight w:val="0"/>
              <w:marTop w:val="0"/>
              <w:marBottom w:val="0"/>
              <w:divBdr>
                <w:top w:val="none" w:sz="0" w:space="0" w:color="auto"/>
                <w:left w:val="none" w:sz="0" w:space="0" w:color="auto"/>
                <w:bottom w:val="none" w:sz="0" w:space="0" w:color="auto"/>
                <w:right w:val="none" w:sz="0" w:space="0" w:color="auto"/>
              </w:divBdr>
              <w:divsChild>
                <w:div w:id="896404056">
                  <w:marLeft w:val="0"/>
                  <w:marRight w:val="0"/>
                  <w:marTop w:val="0"/>
                  <w:marBottom w:val="0"/>
                  <w:divBdr>
                    <w:top w:val="none" w:sz="0" w:space="0" w:color="auto"/>
                    <w:left w:val="none" w:sz="0" w:space="0" w:color="auto"/>
                    <w:bottom w:val="none" w:sz="0" w:space="0" w:color="auto"/>
                    <w:right w:val="none" w:sz="0" w:space="0" w:color="auto"/>
                  </w:divBdr>
                </w:div>
              </w:divsChild>
            </w:div>
            <w:div w:id="1720281123">
              <w:marLeft w:val="0"/>
              <w:marRight w:val="0"/>
              <w:marTop w:val="0"/>
              <w:marBottom w:val="0"/>
              <w:divBdr>
                <w:top w:val="none" w:sz="0" w:space="0" w:color="auto"/>
                <w:left w:val="none" w:sz="0" w:space="0" w:color="auto"/>
                <w:bottom w:val="none" w:sz="0" w:space="0" w:color="auto"/>
                <w:right w:val="none" w:sz="0" w:space="0" w:color="auto"/>
              </w:divBdr>
              <w:divsChild>
                <w:div w:id="13749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24918">
          <w:marLeft w:val="0"/>
          <w:marRight w:val="0"/>
          <w:marTop w:val="0"/>
          <w:marBottom w:val="0"/>
          <w:divBdr>
            <w:top w:val="none" w:sz="0" w:space="0" w:color="auto"/>
            <w:left w:val="none" w:sz="0" w:space="0" w:color="auto"/>
            <w:bottom w:val="none" w:sz="0" w:space="0" w:color="auto"/>
            <w:right w:val="none" w:sz="0" w:space="0" w:color="auto"/>
          </w:divBdr>
          <w:divsChild>
            <w:div w:id="1711805552">
              <w:marLeft w:val="0"/>
              <w:marRight w:val="0"/>
              <w:marTop w:val="0"/>
              <w:marBottom w:val="0"/>
              <w:divBdr>
                <w:top w:val="none" w:sz="0" w:space="0" w:color="auto"/>
                <w:left w:val="none" w:sz="0" w:space="0" w:color="auto"/>
                <w:bottom w:val="none" w:sz="0" w:space="0" w:color="auto"/>
                <w:right w:val="none" w:sz="0" w:space="0" w:color="auto"/>
              </w:divBdr>
              <w:divsChild>
                <w:div w:id="1796557828">
                  <w:marLeft w:val="0"/>
                  <w:marRight w:val="0"/>
                  <w:marTop w:val="0"/>
                  <w:marBottom w:val="0"/>
                  <w:divBdr>
                    <w:top w:val="none" w:sz="0" w:space="0" w:color="auto"/>
                    <w:left w:val="none" w:sz="0" w:space="0" w:color="auto"/>
                    <w:bottom w:val="none" w:sz="0" w:space="0" w:color="auto"/>
                    <w:right w:val="none" w:sz="0" w:space="0" w:color="auto"/>
                  </w:divBdr>
                </w:div>
              </w:divsChild>
            </w:div>
            <w:div w:id="213929428">
              <w:marLeft w:val="0"/>
              <w:marRight w:val="0"/>
              <w:marTop w:val="0"/>
              <w:marBottom w:val="0"/>
              <w:divBdr>
                <w:top w:val="none" w:sz="0" w:space="0" w:color="auto"/>
                <w:left w:val="none" w:sz="0" w:space="0" w:color="auto"/>
                <w:bottom w:val="none" w:sz="0" w:space="0" w:color="auto"/>
                <w:right w:val="none" w:sz="0" w:space="0" w:color="auto"/>
              </w:divBdr>
              <w:divsChild>
                <w:div w:id="14570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31974">
      <w:bodyDiv w:val="1"/>
      <w:marLeft w:val="0"/>
      <w:marRight w:val="0"/>
      <w:marTop w:val="0"/>
      <w:marBottom w:val="0"/>
      <w:divBdr>
        <w:top w:val="none" w:sz="0" w:space="0" w:color="auto"/>
        <w:left w:val="none" w:sz="0" w:space="0" w:color="auto"/>
        <w:bottom w:val="none" w:sz="0" w:space="0" w:color="auto"/>
        <w:right w:val="none" w:sz="0" w:space="0" w:color="auto"/>
      </w:divBdr>
      <w:divsChild>
        <w:div w:id="2129230741">
          <w:marLeft w:val="0"/>
          <w:marRight w:val="0"/>
          <w:marTop w:val="0"/>
          <w:marBottom w:val="0"/>
          <w:divBdr>
            <w:top w:val="none" w:sz="0" w:space="0" w:color="auto"/>
            <w:left w:val="none" w:sz="0" w:space="0" w:color="auto"/>
            <w:bottom w:val="none" w:sz="0" w:space="0" w:color="auto"/>
            <w:right w:val="none" w:sz="0" w:space="0" w:color="auto"/>
          </w:divBdr>
          <w:divsChild>
            <w:div w:id="687216805">
              <w:marLeft w:val="0"/>
              <w:marRight w:val="0"/>
              <w:marTop w:val="0"/>
              <w:marBottom w:val="0"/>
              <w:divBdr>
                <w:top w:val="none" w:sz="0" w:space="0" w:color="auto"/>
                <w:left w:val="none" w:sz="0" w:space="0" w:color="auto"/>
                <w:bottom w:val="none" w:sz="0" w:space="0" w:color="auto"/>
                <w:right w:val="none" w:sz="0" w:space="0" w:color="auto"/>
              </w:divBdr>
              <w:divsChild>
                <w:div w:id="1938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0845">
      <w:bodyDiv w:val="1"/>
      <w:marLeft w:val="0"/>
      <w:marRight w:val="0"/>
      <w:marTop w:val="0"/>
      <w:marBottom w:val="0"/>
      <w:divBdr>
        <w:top w:val="none" w:sz="0" w:space="0" w:color="auto"/>
        <w:left w:val="none" w:sz="0" w:space="0" w:color="auto"/>
        <w:bottom w:val="none" w:sz="0" w:space="0" w:color="auto"/>
        <w:right w:val="none" w:sz="0" w:space="0" w:color="auto"/>
      </w:divBdr>
      <w:divsChild>
        <w:div w:id="1993947388">
          <w:marLeft w:val="0"/>
          <w:marRight w:val="0"/>
          <w:marTop w:val="0"/>
          <w:marBottom w:val="0"/>
          <w:divBdr>
            <w:top w:val="none" w:sz="0" w:space="0" w:color="auto"/>
            <w:left w:val="none" w:sz="0" w:space="0" w:color="auto"/>
            <w:bottom w:val="none" w:sz="0" w:space="0" w:color="auto"/>
            <w:right w:val="none" w:sz="0" w:space="0" w:color="auto"/>
          </w:divBdr>
          <w:divsChild>
            <w:div w:id="1088619563">
              <w:marLeft w:val="0"/>
              <w:marRight w:val="0"/>
              <w:marTop w:val="0"/>
              <w:marBottom w:val="0"/>
              <w:divBdr>
                <w:top w:val="none" w:sz="0" w:space="0" w:color="auto"/>
                <w:left w:val="none" w:sz="0" w:space="0" w:color="auto"/>
                <w:bottom w:val="none" w:sz="0" w:space="0" w:color="auto"/>
                <w:right w:val="none" w:sz="0" w:space="0" w:color="auto"/>
              </w:divBdr>
              <w:divsChild>
                <w:div w:id="1415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66764">
      <w:bodyDiv w:val="1"/>
      <w:marLeft w:val="0"/>
      <w:marRight w:val="0"/>
      <w:marTop w:val="0"/>
      <w:marBottom w:val="0"/>
      <w:divBdr>
        <w:top w:val="none" w:sz="0" w:space="0" w:color="auto"/>
        <w:left w:val="none" w:sz="0" w:space="0" w:color="auto"/>
        <w:bottom w:val="none" w:sz="0" w:space="0" w:color="auto"/>
        <w:right w:val="none" w:sz="0" w:space="0" w:color="auto"/>
      </w:divBdr>
      <w:divsChild>
        <w:div w:id="1354498970">
          <w:marLeft w:val="0"/>
          <w:marRight w:val="0"/>
          <w:marTop w:val="0"/>
          <w:marBottom w:val="0"/>
          <w:divBdr>
            <w:top w:val="none" w:sz="0" w:space="0" w:color="auto"/>
            <w:left w:val="none" w:sz="0" w:space="0" w:color="auto"/>
            <w:bottom w:val="none" w:sz="0" w:space="0" w:color="auto"/>
            <w:right w:val="none" w:sz="0" w:space="0" w:color="auto"/>
          </w:divBdr>
          <w:divsChild>
            <w:div w:id="2142263885">
              <w:marLeft w:val="0"/>
              <w:marRight w:val="0"/>
              <w:marTop w:val="0"/>
              <w:marBottom w:val="0"/>
              <w:divBdr>
                <w:top w:val="none" w:sz="0" w:space="0" w:color="auto"/>
                <w:left w:val="none" w:sz="0" w:space="0" w:color="auto"/>
                <w:bottom w:val="none" w:sz="0" w:space="0" w:color="auto"/>
                <w:right w:val="none" w:sz="0" w:space="0" w:color="auto"/>
              </w:divBdr>
              <w:divsChild>
                <w:div w:id="5323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8326">
      <w:bodyDiv w:val="1"/>
      <w:marLeft w:val="0"/>
      <w:marRight w:val="0"/>
      <w:marTop w:val="0"/>
      <w:marBottom w:val="0"/>
      <w:divBdr>
        <w:top w:val="none" w:sz="0" w:space="0" w:color="auto"/>
        <w:left w:val="none" w:sz="0" w:space="0" w:color="auto"/>
        <w:bottom w:val="none" w:sz="0" w:space="0" w:color="auto"/>
        <w:right w:val="none" w:sz="0" w:space="0" w:color="auto"/>
      </w:divBdr>
      <w:divsChild>
        <w:div w:id="1065831548">
          <w:marLeft w:val="0"/>
          <w:marRight w:val="0"/>
          <w:marTop w:val="0"/>
          <w:marBottom w:val="0"/>
          <w:divBdr>
            <w:top w:val="none" w:sz="0" w:space="0" w:color="auto"/>
            <w:left w:val="none" w:sz="0" w:space="0" w:color="auto"/>
            <w:bottom w:val="none" w:sz="0" w:space="0" w:color="auto"/>
            <w:right w:val="none" w:sz="0" w:space="0" w:color="auto"/>
          </w:divBdr>
          <w:divsChild>
            <w:div w:id="486475781">
              <w:marLeft w:val="0"/>
              <w:marRight w:val="0"/>
              <w:marTop w:val="0"/>
              <w:marBottom w:val="0"/>
              <w:divBdr>
                <w:top w:val="none" w:sz="0" w:space="0" w:color="auto"/>
                <w:left w:val="none" w:sz="0" w:space="0" w:color="auto"/>
                <w:bottom w:val="none" w:sz="0" w:space="0" w:color="auto"/>
                <w:right w:val="none" w:sz="0" w:space="0" w:color="auto"/>
              </w:divBdr>
              <w:divsChild>
                <w:div w:id="25717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1839">
      <w:bodyDiv w:val="1"/>
      <w:marLeft w:val="0"/>
      <w:marRight w:val="0"/>
      <w:marTop w:val="0"/>
      <w:marBottom w:val="0"/>
      <w:divBdr>
        <w:top w:val="none" w:sz="0" w:space="0" w:color="auto"/>
        <w:left w:val="none" w:sz="0" w:space="0" w:color="auto"/>
        <w:bottom w:val="none" w:sz="0" w:space="0" w:color="auto"/>
        <w:right w:val="none" w:sz="0" w:space="0" w:color="auto"/>
      </w:divBdr>
      <w:divsChild>
        <w:div w:id="84621245">
          <w:marLeft w:val="0"/>
          <w:marRight w:val="0"/>
          <w:marTop w:val="0"/>
          <w:marBottom w:val="0"/>
          <w:divBdr>
            <w:top w:val="none" w:sz="0" w:space="0" w:color="auto"/>
            <w:left w:val="none" w:sz="0" w:space="0" w:color="auto"/>
            <w:bottom w:val="none" w:sz="0" w:space="0" w:color="auto"/>
            <w:right w:val="none" w:sz="0" w:space="0" w:color="auto"/>
          </w:divBdr>
          <w:divsChild>
            <w:div w:id="1104958490">
              <w:marLeft w:val="0"/>
              <w:marRight w:val="0"/>
              <w:marTop w:val="0"/>
              <w:marBottom w:val="0"/>
              <w:divBdr>
                <w:top w:val="none" w:sz="0" w:space="0" w:color="auto"/>
                <w:left w:val="none" w:sz="0" w:space="0" w:color="auto"/>
                <w:bottom w:val="none" w:sz="0" w:space="0" w:color="auto"/>
                <w:right w:val="none" w:sz="0" w:space="0" w:color="auto"/>
              </w:divBdr>
              <w:divsChild>
                <w:div w:id="6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02951">
      <w:bodyDiv w:val="1"/>
      <w:marLeft w:val="0"/>
      <w:marRight w:val="0"/>
      <w:marTop w:val="0"/>
      <w:marBottom w:val="0"/>
      <w:divBdr>
        <w:top w:val="none" w:sz="0" w:space="0" w:color="auto"/>
        <w:left w:val="none" w:sz="0" w:space="0" w:color="auto"/>
        <w:bottom w:val="none" w:sz="0" w:space="0" w:color="auto"/>
        <w:right w:val="none" w:sz="0" w:space="0" w:color="auto"/>
      </w:divBdr>
      <w:divsChild>
        <w:div w:id="651910743">
          <w:marLeft w:val="0"/>
          <w:marRight w:val="0"/>
          <w:marTop w:val="0"/>
          <w:marBottom w:val="0"/>
          <w:divBdr>
            <w:top w:val="none" w:sz="0" w:space="0" w:color="auto"/>
            <w:left w:val="none" w:sz="0" w:space="0" w:color="auto"/>
            <w:bottom w:val="none" w:sz="0" w:space="0" w:color="auto"/>
            <w:right w:val="none" w:sz="0" w:space="0" w:color="auto"/>
          </w:divBdr>
          <w:divsChild>
            <w:div w:id="461077420">
              <w:marLeft w:val="0"/>
              <w:marRight w:val="0"/>
              <w:marTop w:val="0"/>
              <w:marBottom w:val="0"/>
              <w:divBdr>
                <w:top w:val="none" w:sz="0" w:space="0" w:color="auto"/>
                <w:left w:val="none" w:sz="0" w:space="0" w:color="auto"/>
                <w:bottom w:val="none" w:sz="0" w:space="0" w:color="auto"/>
                <w:right w:val="none" w:sz="0" w:space="0" w:color="auto"/>
              </w:divBdr>
              <w:divsChild>
                <w:div w:id="13968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537">
      <w:bodyDiv w:val="1"/>
      <w:marLeft w:val="0"/>
      <w:marRight w:val="0"/>
      <w:marTop w:val="0"/>
      <w:marBottom w:val="0"/>
      <w:divBdr>
        <w:top w:val="none" w:sz="0" w:space="0" w:color="auto"/>
        <w:left w:val="none" w:sz="0" w:space="0" w:color="auto"/>
        <w:bottom w:val="none" w:sz="0" w:space="0" w:color="auto"/>
        <w:right w:val="none" w:sz="0" w:space="0" w:color="auto"/>
      </w:divBdr>
      <w:divsChild>
        <w:div w:id="1444768484">
          <w:marLeft w:val="0"/>
          <w:marRight w:val="0"/>
          <w:marTop w:val="0"/>
          <w:marBottom w:val="0"/>
          <w:divBdr>
            <w:top w:val="none" w:sz="0" w:space="0" w:color="auto"/>
            <w:left w:val="none" w:sz="0" w:space="0" w:color="auto"/>
            <w:bottom w:val="none" w:sz="0" w:space="0" w:color="auto"/>
            <w:right w:val="none" w:sz="0" w:space="0" w:color="auto"/>
          </w:divBdr>
          <w:divsChild>
            <w:div w:id="646133396">
              <w:marLeft w:val="0"/>
              <w:marRight w:val="0"/>
              <w:marTop w:val="0"/>
              <w:marBottom w:val="0"/>
              <w:divBdr>
                <w:top w:val="none" w:sz="0" w:space="0" w:color="auto"/>
                <w:left w:val="none" w:sz="0" w:space="0" w:color="auto"/>
                <w:bottom w:val="none" w:sz="0" w:space="0" w:color="auto"/>
                <w:right w:val="none" w:sz="0" w:space="0" w:color="auto"/>
              </w:divBdr>
              <w:divsChild>
                <w:div w:id="20613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2254">
      <w:bodyDiv w:val="1"/>
      <w:marLeft w:val="0"/>
      <w:marRight w:val="0"/>
      <w:marTop w:val="0"/>
      <w:marBottom w:val="0"/>
      <w:divBdr>
        <w:top w:val="none" w:sz="0" w:space="0" w:color="auto"/>
        <w:left w:val="none" w:sz="0" w:space="0" w:color="auto"/>
        <w:bottom w:val="none" w:sz="0" w:space="0" w:color="auto"/>
        <w:right w:val="none" w:sz="0" w:space="0" w:color="auto"/>
      </w:divBdr>
    </w:div>
    <w:div w:id="1678381494">
      <w:bodyDiv w:val="1"/>
      <w:marLeft w:val="0"/>
      <w:marRight w:val="0"/>
      <w:marTop w:val="0"/>
      <w:marBottom w:val="0"/>
      <w:divBdr>
        <w:top w:val="none" w:sz="0" w:space="0" w:color="auto"/>
        <w:left w:val="none" w:sz="0" w:space="0" w:color="auto"/>
        <w:bottom w:val="none" w:sz="0" w:space="0" w:color="auto"/>
        <w:right w:val="none" w:sz="0" w:space="0" w:color="auto"/>
      </w:divBdr>
    </w:div>
    <w:div w:id="1736774592">
      <w:bodyDiv w:val="1"/>
      <w:marLeft w:val="0"/>
      <w:marRight w:val="0"/>
      <w:marTop w:val="0"/>
      <w:marBottom w:val="0"/>
      <w:divBdr>
        <w:top w:val="none" w:sz="0" w:space="0" w:color="auto"/>
        <w:left w:val="none" w:sz="0" w:space="0" w:color="auto"/>
        <w:bottom w:val="none" w:sz="0" w:space="0" w:color="auto"/>
        <w:right w:val="none" w:sz="0" w:space="0" w:color="auto"/>
      </w:divBdr>
      <w:divsChild>
        <w:div w:id="993485023">
          <w:marLeft w:val="0"/>
          <w:marRight w:val="0"/>
          <w:marTop w:val="0"/>
          <w:marBottom w:val="0"/>
          <w:divBdr>
            <w:top w:val="none" w:sz="0" w:space="0" w:color="auto"/>
            <w:left w:val="none" w:sz="0" w:space="0" w:color="auto"/>
            <w:bottom w:val="none" w:sz="0" w:space="0" w:color="auto"/>
            <w:right w:val="none" w:sz="0" w:space="0" w:color="auto"/>
          </w:divBdr>
          <w:divsChild>
            <w:div w:id="1050350221">
              <w:marLeft w:val="0"/>
              <w:marRight w:val="0"/>
              <w:marTop w:val="0"/>
              <w:marBottom w:val="0"/>
              <w:divBdr>
                <w:top w:val="none" w:sz="0" w:space="0" w:color="auto"/>
                <w:left w:val="none" w:sz="0" w:space="0" w:color="auto"/>
                <w:bottom w:val="none" w:sz="0" w:space="0" w:color="auto"/>
                <w:right w:val="none" w:sz="0" w:space="0" w:color="auto"/>
              </w:divBdr>
              <w:divsChild>
                <w:div w:id="1724212800">
                  <w:marLeft w:val="0"/>
                  <w:marRight w:val="0"/>
                  <w:marTop w:val="0"/>
                  <w:marBottom w:val="0"/>
                  <w:divBdr>
                    <w:top w:val="none" w:sz="0" w:space="0" w:color="auto"/>
                    <w:left w:val="none" w:sz="0" w:space="0" w:color="auto"/>
                    <w:bottom w:val="none" w:sz="0" w:space="0" w:color="auto"/>
                    <w:right w:val="none" w:sz="0" w:space="0" w:color="auto"/>
                  </w:divBdr>
                  <w:divsChild>
                    <w:div w:id="6565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38183">
      <w:bodyDiv w:val="1"/>
      <w:marLeft w:val="0"/>
      <w:marRight w:val="0"/>
      <w:marTop w:val="0"/>
      <w:marBottom w:val="0"/>
      <w:divBdr>
        <w:top w:val="none" w:sz="0" w:space="0" w:color="auto"/>
        <w:left w:val="none" w:sz="0" w:space="0" w:color="auto"/>
        <w:bottom w:val="none" w:sz="0" w:space="0" w:color="auto"/>
        <w:right w:val="none" w:sz="0" w:space="0" w:color="auto"/>
      </w:divBdr>
      <w:divsChild>
        <w:div w:id="1830897522">
          <w:marLeft w:val="0"/>
          <w:marRight w:val="0"/>
          <w:marTop w:val="0"/>
          <w:marBottom w:val="0"/>
          <w:divBdr>
            <w:top w:val="none" w:sz="0" w:space="0" w:color="auto"/>
            <w:left w:val="none" w:sz="0" w:space="0" w:color="auto"/>
            <w:bottom w:val="none" w:sz="0" w:space="0" w:color="auto"/>
            <w:right w:val="none" w:sz="0" w:space="0" w:color="auto"/>
          </w:divBdr>
          <w:divsChild>
            <w:div w:id="711348923">
              <w:marLeft w:val="0"/>
              <w:marRight w:val="0"/>
              <w:marTop w:val="0"/>
              <w:marBottom w:val="0"/>
              <w:divBdr>
                <w:top w:val="none" w:sz="0" w:space="0" w:color="auto"/>
                <w:left w:val="none" w:sz="0" w:space="0" w:color="auto"/>
                <w:bottom w:val="none" w:sz="0" w:space="0" w:color="auto"/>
                <w:right w:val="none" w:sz="0" w:space="0" w:color="auto"/>
              </w:divBdr>
              <w:divsChild>
                <w:div w:id="4108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4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jobs.undp.org/cj_view_job.cfm?cur_job_id=98371" TargetMode="External"/><Relationship Id="rId21" Type="http://schemas.openxmlformats.org/officeDocument/2006/relationships/footer" Target="footer1.xml"/><Relationship Id="rId34" Type="http://schemas.openxmlformats.org/officeDocument/2006/relationships/image" Target="media/image7.emf"/><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drincorda.iwlearn.org/library-main/Docs/major-issues-problems-and-drivers-in-the-drin-basin/view" TargetMode="External"/><Relationship Id="rId25" Type="http://schemas.openxmlformats.org/officeDocument/2006/relationships/hyperlink" Target="about:blank" TargetMode="External"/><Relationship Id="rId33" Type="http://schemas.openxmlformats.org/officeDocument/2006/relationships/image" Target="media/image6.emf"/><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drincorda.iwlearn.org/drin-coordinated-action/the-drin-mou-implementation-1/the-drin-mou-implementation" TargetMode="External"/><Relationship Id="rId29" Type="http://schemas.openxmlformats.org/officeDocument/2006/relationships/hyperlink" Target="http://web.undp.org/evaluation/guideline/section-6.s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jobs.undp.org/cj_view_job.cfm?cur_job_id=98371" TargetMode="External"/><Relationship Id="rId32" Type="http://schemas.openxmlformats.org/officeDocument/2006/relationships/hyperlink" Target="http://on.undp.org/t7fJs"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ringis.org/" TargetMode="External"/><Relationship Id="rId23" Type="http://schemas.openxmlformats.org/officeDocument/2006/relationships/footer" Target="footer3.xml"/><Relationship Id="rId28" Type="http://schemas.openxmlformats.org/officeDocument/2006/relationships/hyperlink" Target="https://jobs.undp.org/cj_view_job.cfm?cur_job_id=98371"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drincorda.iwlearn.org/drin-coordinated-action/drin-dialogue" TargetMode="External"/><Relationship Id="rId31" Type="http://schemas.openxmlformats.org/officeDocument/2006/relationships/hyperlink" Target="https://www.undp.org/content/dam/albania/docs/misc/P11%20for%20SCs%20and%20ICs.do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s://jobs.undp.org/cj_view_job.cfm?cur_job_id=98371" TargetMode="External"/><Relationship Id="rId30" Type="http://schemas.openxmlformats.org/officeDocument/2006/relationships/hyperlink" Target="https://procurement-notices.undp.org/view_file.cfm?doc_id=234643" TargetMode="External"/><Relationship Id="rId35" Type="http://schemas.openxmlformats.org/officeDocument/2006/relationships/image" Target="media/image8.emf"/><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842923EB2C2D45B931C9ADB9AD1609" ma:contentTypeVersion="" ma:contentTypeDescription="Create a new document." ma:contentTypeScope="" ma:versionID="8b5a6bdb7e990a9d5eb3798c915602df">
  <xsd:schema xmlns:xsd="http://www.w3.org/2001/XMLSchema" xmlns:xs="http://www.w3.org/2001/XMLSchema" xmlns:p="http://schemas.microsoft.com/office/2006/metadata/properties" xmlns:ns1="http://schemas.microsoft.com/sharepoint/v3" xmlns:ns2="5b7400bd-2d7f-43ed-9f40-423a054868e1" xmlns:ns3="6aef3318-6945-45fc-9e62-0378fdb594fd" xmlns:ns4="7cd52198-bb8f-4ac0-a767-f92c0a276c9b" xmlns:ns5="36dd7e98-b6ca-47a9-8ba8-b2d7c651af03" targetNamespace="http://schemas.microsoft.com/office/2006/metadata/properties" ma:root="true" ma:fieldsID="8a4580495aedb5e2bd116ccfa9bb1628" ns1:_="" ns2:_="" ns3:_="" ns4:_="" ns5:_="">
    <xsd:import namespace="http://schemas.microsoft.com/sharepoint/v3"/>
    <xsd:import namespace="5b7400bd-2d7f-43ed-9f40-423a054868e1"/>
    <xsd:import namespace="6aef3318-6945-45fc-9e62-0378fdb594fd"/>
    <xsd:import namespace="7cd52198-bb8f-4ac0-a767-f92c0a276c9b"/>
    <xsd:import namespace="36dd7e98-b6ca-47a9-8ba8-b2d7c651af03"/>
    <xsd:element name="properties">
      <xsd:complexType>
        <xsd:sequence>
          <xsd:element name="documentManagement">
            <xsd:complexType>
              <xsd:all>
                <xsd:element ref="ns1:PublishingStartDate" minOccurs="0"/>
                <xsd:element ref="ns1:PublishingExpirationDate" minOccurs="0"/>
                <xsd:element ref="ns2:SharedWithUsers" minOccurs="0"/>
                <xsd:element ref="ns3:SharedWithDetails" minOccurs="0"/>
                <xsd:element ref="ns4:LastSharedByUser" minOccurs="0"/>
                <xsd:element ref="ns4:LastSharedByTime" minOccurs="0"/>
                <xsd:element ref="ns5:MediaServiceMetadata" minOccurs="0"/>
                <xsd:element ref="ns5:MediaServiceFastMetadata" minOccurs="0"/>
                <xsd:element ref="ns5:MediaServiceDateTaken" minOccurs="0"/>
                <xsd:element ref="ns5:MediaServiceAutoTags" minOccurs="0"/>
                <xsd:element ref="ns5:MediaServiceLocation" minOccurs="0"/>
                <xsd:element ref="ns5:MediaServiceOCR" minOccurs="0"/>
                <xsd:element ref="ns5:MediaServiceGenerationTime" minOccurs="0"/>
                <xsd:element ref="ns5:MediaServiceEventHashCode" minOccurs="0"/>
                <xsd:element ref="ns5:MediaServiceAutoKeyPoints" minOccurs="0"/>
                <xsd:element ref="ns5:MediaServiceKeyPoints"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7400bd-2d7f-43ed-9f40-423a054868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ef3318-6945-45fc-9e62-0378fdb594fd" elementFormDefault="qualified">
    <xsd:import namespace="http://schemas.microsoft.com/office/2006/documentManagement/types"/>
    <xsd:import namespace="http://schemas.microsoft.com/office/infopath/2007/PartnerControls"/>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d52198-bb8f-4ac0-a767-f92c0a276c9b"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6dd7e98-b6ca-47a9-8ba8-b2d7c651af03"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hfFw6tU6iCBYl70WRuB3w6y/IzYQ==">AMUW2mWWtk3Kbz7aFJMZPj0MCSbG+sjuHiq1AlkULTVhGKF/z4D29VWyOUzRXWoOQ8WkVYxL+XUIdgSNHKxTJiJFfz7nFQ9/G4UpG3/7e7mnuheR4T7ojL1POKZYl64O4fdrrqdYyraHtcpXbS2ZaK17Sug0Qyy3rD6nvC0GrXJVGHRzyJqDZ5OfqCmSeGMn2FvUt/XcumYg27rabbrR7VKM/yWYDw2mMWQf7d5OCtbzGZxAb29wyIUfhh+2dfK29WHECzKeApnFhkzjquZDXI3VYR1N2q5I/DsTDss8646z+TG7MFAa4Qnws6BlUJYwGsjrtaNjmqp7cOW+bLMYxeS/IPHXDBOnDMiUnQWsIv1rw1jycnwsQ8sbU1mtHcbt+L0Y9F+PoFkEHn4U6+WH4wXrjNxzizXtav/u9mEvqlwykABPZ7jLYTwqGP9GmgGjWMSBiFwdCkbjpB897fxj44Mermezkhkeu0AI/oUSc7WtA6LdsnszXj+yAv2Ff8r/2yPgoJkI/RKjqmZqdqf6qijgCzcNYOY/hnbRwVZ6fnhI7yjqjIgWyC9Ldt1dtPaFPdfYRd1mhJwzW7QxogbSxylZ/7fmMdvj55GKqaynDBRbVtC2ZU4kB3PPJgaK4Teen1YSGDAuTxB5TgPmsvgtyTFYUhU9p8hXYgR/skQpLMpPJbeZgc6fJwlavFucPwRBMjGQJnu6S/hhmxb4agL24jH2KHP12SLQXSsVZVWQVmu/bxaO12t3GNL+3OD/MiKm3XXNyZBfq5Yh3vfIkIY80NqDo7VAWjuokqXL6hLqKZcbpYvpzFR56rknaMXOr2hByfltH0zydYfAmZwf5ls9xeYEBxK8YpZ5nqqfirZt6DyZEk9DYnh/auwLUcZD5KnI0aWIB6aBThJmfZEDOm2kXkndZu4JR3n83flS754b1MKQsGvcB8lIjLR8nKqiIji5+uop3ZfqZTUMoGgPRe9fWVnoKWlcYozjvm7oGcmGJXbJq95nHMc/xagWI85IhNpyRLzsvi0hbiUhvgqaEl5CRLEBE8wyQJgrojEcbKblN2BG5Fkzn7PEN4UPuzLPfNC/bZFc1Dzfiy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48050-472C-4AE4-967C-7DFE3AAC5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7400bd-2d7f-43ed-9f40-423a054868e1"/>
    <ds:schemaRef ds:uri="6aef3318-6945-45fc-9e62-0378fdb594fd"/>
    <ds:schemaRef ds:uri="7cd52198-bb8f-4ac0-a767-f92c0a276c9b"/>
    <ds:schemaRef ds:uri="36dd7e98-b6ca-47a9-8ba8-b2d7c651a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B06DBE-66EC-4F1A-9D8C-D58A7752EAF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CD65A64-FA5F-4ED4-8186-CC801F398E2F}">
  <ds:schemaRefs>
    <ds:schemaRef ds:uri="http://schemas.microsoft.com/sharepoint/v3/contenttype/forms"/>
  </ds:schemaRefs>
</ds:datastoreItem>
</file>

<file path=customXml/itemProps5.xml><?xml version="1.0" encoding="utf-8"?>
<ds:datastoreItem xmlns:ds="http://schemas.openxmlformats.org/officeDocument/2006/customXml" ds:itemID="{B0C8CCBC-8BF1-9D4F-8CD7-4B0DFAB04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3955</TotalTime>
  <Pages>89</Pages>
  <Words>33780</Words>
  <Characters>192546</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ivica trumbuc</dc:creator>
  <cp:lastModifiedBy>Microsoft Office User</cp:lastModifiedBy>
  <cp:revision>57</cp:revision>
  <cp:lastPrinted>2021-08-06T14:52:00Z</cp:lastPrinted>
  <dcterms:created xsi:type="dcterms:W3CDTF">2021-08-25T21:31:00Z</dcterms:created>
  <dcterms:modified xsi:type="dcterms:W3CDTF">2021-08-31T19:16:00Z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0x0101004A842923EB2C2D45B931C9ADB9AD1609</vt:lpwstr>
  </property>
</Properties>
</file>