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6CC64" w14:textId="170CBF37" w:rsidR="00936BDA" w:rsidRDefault="00167B2D" w:rsidP="00167B2D">
      <w:pPr>
        <w:rPr>
          <w:b/>
          <w:bCs/>
          <w:sz w:val="32"/>
          <w:szCs w:val="32"/>
        </w:rPr>
      </w:pPr>
      <w:r>
        <w:rPr>
          <w:noProof/>
        </w:rPr>
        <w:drawing>
          <wp:inline distT="0" distB="0" distL="0" distR="0" wp14:anchorId="21C86F1B" wp14:editId="3C857F3D">
            <wp:extent cx="610870" cy="13237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2099" b="1"/>
                    <a:stretch/>
                  </pic:blipFill>
                  <pic:spPr bwMode="auto">
                    <a:xfrm>
                      <a:off x="0" y="0"/>
                      <a:ext cx="610997" cy="1324005"/>
                    </a:xfrm>
                    <a:prstGeom prst="rect">
                      <a:avLst/>
                    </a:prstGeom>
                    <a:ln>
                      <a:noFill/>
                    </a:ln>
                    <a:extLst>
                      <a:ext uri="{53640926-AAD7-44D8-BBD7-CCE9431645EC}">
                        <a14:shadowObscured xmlns:a14="http://schemas.microsoft.com/office/drawing/2010/main"/>
                      </a:ext>
                    </a:extLst>
                  </pic:spPr>
                </pic:pic>
              </a:graphicData>
            </a:graphic>
          </wp:inline>
        </w:drawing>
      </w:r>
      <w:r w:rsidRPr="00167B2D">
        <w:rPr>
          <w:noProof/>
        </w:rPr>
        <w:t xml:space="preserve"> </w:t>
      </w:r>
      <w:r>
        <w:rPr>
          <w:noProof/>
        </w:rPr>
        <w:t xml:space="preserve">                                             </w:t>
      </w:r>
      <w:r>
        <w:rPr>
          <w:noProof/>
        </w:rPr>
        <w:drawing>
          <wp:inline distT="0" distB="0" distL="0" distR="0" wp14:anchorId="2362DB34" wp14:editId="58C25214">
            <wp:extent cx="1628775" cy="113109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658494" cy="1151732"/>
                    </a:xfrm>
                    <a:prstGeom prst="rect">
                      <a:avLst/>
                    </a:prstGeom>
                  </pic:spPr>
                </pic:pic>
              </a:graphicData>
            </a:graphic>
          </wp:inline>
        </w:drawing>
      </w:r>
      <w:r>
        <w:rPr>
          <w:noProof/>
        </w:rPr>
        <w:t xml:space="preserve">                           </w:t>
      </w:r>
      <w:r>
        <w:rPr>
          <w:noProof/>
        </w:rPr>
        <w:drawing>
          <wp:inline distT="0" distB="0" distL="0" distR="0" wp14:anchorId="6CAADBDD" wp14:editId="4DA28F19">
            <wp:extent cx="877311"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7199" cy="1042278"/>
                    </a:xfrm>
                    <a:prstGeom prst="rect">
                      <a:avLst/>
                    </a:prstGeom>
                  </pic:spPr>
                </pic:pic>
              </a:graphicData>
            </a:graphic>
          </wp:inline>
        </w:drawing>
      </w:r>
    </w:p>
    <w:p w14:paraId="4B4D3869" w14:textId="77777777" w:rsidR="00167B2D" w:rsidRDefault="00167B2D" w:rsidP="00936BDA">
      <w:pPr>
        <w:jc w:val="center"/>
        <w:rPr>
          <w:b/>
          <w:bCs/>
          <w:sz w:val="32"/>
          <w:szCs w:val="32"/>
        </w:rPr>
      </w:pPr>
    </w:p>
    <w:p w14:paraId="1FF96600" w14:textId="55C6EBB4" w:rsidR="00936BDA" w:rsidRDefault="00167B2D" w:rsidP="00936BDA">
      <w:pPr>
        <w:jc w:val="center"/>
        <w:rPr>
          <w:b/>
          <w:bCs/>
          <w:sz w:val="32"/>
          <w:szCs w:val="32"/>
        </w:rPr>
      </w:pPr>
      <w:r>
        <w:rPr>
          <w:b/>
          <w:bCs/>
          <w:sz w:val="32"/>
          <w:szCs w:val="32"/>
        </w:rPr>
        <w:t>Global Environment Facility (GEF)</w:t>
      </w:r>
    </w:p>
    <w:p w14:paraId="1E4766A0" w14:textId="018511F0" w:rsidR="00167B2D" w:rsidRDefault="00167B2D" w:rsidP="00936BDA">
      <w:pPr>
        <w:jc w:val="center"/>
        <w:rPr>
          <w:b/>
          <w:bCs/>
          <w:sz w:val="32"/>
          <w:szCs w:val="32"/>
        </w:rPr>
      </w:pPr>
      <w:r>
        <w:rPr>
          <w:b/>
          <w:bCs/>
          <w:sz w:val="32"/>
          <w:szCs w:val="32"/>
        </w:rPr>
        <w:t>United Nations Development Programme (UNDP)</w:t>
      </w:r>
    </w:p>
    <w:p w14:paraId="690DD437" w14:textId="4151E714" w:rsidR="00167B2D" w:rsidRDefault="00167B2D" w:rsidP="00936BDA">
      <w:pPr>
        <w:jc w:val="center"/>
        <w:rPr>
          <w:b/>
          <w:bCs/>
          <w:sz w:val="32"/>
          <w:szCs w:val="32"/>
        </w:rPr>
      </w:pPr>
      <w:r w:rsidRPr="00167B2D">
        <w:rPr>
          <w:b/>
          <w:bCs/>
          <w:sz w:val="32"/>
          <w:szCs w:val="32"/>
        </w:rPr>
        <w:t>Zhejiang Provincial Development and Reform Commission (ZPDRC</w:t>
      </w:r>
      <w:r>
        <w:rPr>
          <w:b/>
          <w:bCs/>
          <w:sz w:val="32"/>
          <w:szCs w:val="32"/>
        </w:rPr>
        <w:t>)</w:t>
      </w:r>
    </w:p>
    <w:p w14:paraId="4151DEF5" w14:textId="77777777" w:rsidR="00167B2D" w:rsidRDefault="00167B2D" w:rsidP="00936BDA">
      <w:pPr>
        <w:jc w:val="center"/>
        <w:rPr>
          <w:b/>
          <w:bCs/>
          <w:sz w:val="32"/>
          <w:szCs w:val="32"/>
        </w:rPr>
      </w:pPr>
    </w:p>
    <w:p w14:paraId="4D0651CC" w14:textId="19365E28" w:rsidR="00167B2D" w:rsidRPr="00936BDA" w:rsidRDefault="00936BDA" w:rsidP="00167B2D">
      <w:pPr>
        <w:jc w:val="center"/>
        <w:rPr>
          <w:b/>
          <w:bCs/>
          <w:sz w:val="32"/>
          <w:szCs w:val="32"/>
        </w:rPr>
      </w:pPr>
      <w:r w:rsidRPr="00936BDA">
        <w:rPr>
          <w:b/>
          <w:bCs/>
          <w:sz w:val="32"/>
          <w:szCs w:val="32"/>
        </w:rPr>
        <w:t>Terminal Evaluation of the project on</w:t>
      </w:r>
      <w:r w:rsidR="00167B2D">
        <w:rPr>
          <w:b/>
          <w:bCs/>
          <w:sz w:val="32"/>
          <w:szCs w:val="32"/>
        </w:rPr>
        <w:t>:</w:t>
      </w:r>
    </w:p>
    <w:p w14:paraId="3793BF24" w14:textId="77777777" w:rsidR="00936BDA" w:rsidRPr="00936BDA" w:rsidRDefault="00936BDA" w:rsidP="00936BDA">
      <w:pPr>
        <w:jc w:val="center"/>
        <w:rPr>
          <w:b/>
          <w:bCs/>
          <w:sz w:val="32"/>
          <w:szCs w:val="32"/>
        </w:rPr>
      </w:pPr>
      <w:r w:rsidRPr="00936BDA">
        <w:rPr>
          <w:b/>
          <w:bCs/>
          <w:sz w:val="32"/>
          <w:szCs w:val="32"/>
        </w:rPr>
        <w:t>“Greening the Logistics Industry in Zhejiang Province (GLIZP)”</w:t>
      </w:r>
    </w:p>
    <w:p w14:paraId="3A1888BE" w14:textId="686F1353" w:rsidR="00936BDA" w:rsidRDefault="00936BDA" w:rsidP="00936BDA"/>
    <w:p w14:paraId="08453651" w14:textId="7CE33B43" w:rsidR="00167B2D" w:rsidRDefault="00167B2D" w:rsidP="00936BDA"/>
    <w:p w14:paraId="7F5B6091" w14:textId="19400CBD" w:rsidR="00936BDA" w:rsidRPr="00936BDA" w:rsidRDefault="00167B2D" w:rsidP="00936BDA">
      <w:pPr>
        <w:jc w:val="center"/>
        <w:rPr>
          <w:b/>
          <w:bCs/>
          <w:sz w:val="28"/>
          <w:szCs w:val="28"/>
        </w:rPr>
      </w:pPr>
      <w:r>
        <w:rPr>
          <w:b/>
          <w:bCs/>
          <w:sz w:val="28"/>
          <w:szCs w:val="28"/>
        </w:rPr>
        <w:t>D</w:t>
      </w:r>
      <w:r w:rsidR="008E2C94">
        <w:rPr>
          <w:b/>
          <w:bCs/>
          <w:sz w:val="28"/>
          <w:szCs w:val="28"/>
        </w:rPr>
        <w:t>raft Terminal Evaluation</w:t>
      </w:r>
      <w:r w:rsidR="00936BDA" w:rsidRPr="00936BDA">
        <w:rPr>
          <w:b/>
          <w:bCs/>
          <w:sz w:val="28"/>
          <w:szCs w:val="28"/>
        </w:rPr>
        <w:t xml:space="preserve"> Report</w:t>
      </w:r>
    </w:p>
    <w:p w14:paraId="6F949EFF" w14:textId="77777777" w:rsidR="00936BDA" w:rsidRDefault="00936BDA" w:rsidP="00936BDA"/>
    <w:p w14:paraId="33A49473" w14:textId="493568BB" w:rsidR="00936BDA" w:rsidRDefault="00936BDA" w:rsidP="00936BDA"/>
    <w:p w14:paraId="30AFCD23" w14:textId="77777777" w:rsidR="00167B2D" w:rsidRDefault="00167B2D" w:rsidP="000942BD">
      <w:pPr>
        <w:ind w:left="2977"/>
      </w:pPr>
      <w:r>
        <w:t xml:space="preserve">GEF Project ID: </w:t>
      </w:r>
      <w:r>
        <w:tab/>
        <w:t>5373</w:t>
      </w:r>
    </w:p>
    <w:p w14:paraId="35EBD43C" w14:textId="0ABADDD0" w:rsidR="00167B2D" w:rsidRDefault="00167B2D" w:rsidP="000942BD">
      <w:pPr>
        <w:ind w:left="2977"/>
      </w:pPr>
      <w:r>
        <w:t xml:space="preserve">UNDP Project ID: </w:t>
      </w:r>
      <w:r>
        <w:tab/>
        <w:t>5238</w:t>
      </w:r>
    </w:p>
    <w:p w14:paraId="3DDC251E" w14:textId="02A84829" w:rsidR="00D91D66" w:rsidRDefault="00D91D66" w:rsidP="000942BD">
      <w:pPr>
        <w:ind w:left="2977"/>
      </w:pPr>
      <w:r>
        <w:t>Project ID:</w:t>
      </w:r>
      <w:r>
        <w:tab/>
      </w:r>
      <w:r>
        <w:tab/>
      </w:r>
      <w:r w:rsidRPr="00D91D66">
        <w:t>00094664</w:t>
      </w:r>
    </w:p>
    <w:p w14:paraId="4BDFC456" w14:textId="36CCDBCC" w:rsidR="00936BDA" w:rsidRDefault="00167B2D" w:rsidP="000942BD">
      <w:pPr>
        <w:ind w:left="2977"/>
      </w:pPr>
      <w:r>
        <w:t>Focal Area:</w:t>
      </w:r>
      <w:r>
        <w:tab/>
      </w:r>
      <w:r>
        <w:tab/>
        <w:t>Climate change</w:t>
      </w:r>
    </w:p>
    <w:p w14:paraId="484F0235" w14:textId="1F816057" w:rsidR="00936BDA" w:rsidRDefault="00167B2D" w:rsidP="000942BD">
      <w:pPr>
        <w:ind w:left="2977"/>
      </w:pPr>
      <w:r>
        <w:t xml:space="preserve">Evaluation timeframe: </w:t>
      </w:r>
      <w:r>
        <w:tab/>
        <w:t xml:space="preserve">December 2020 – </w:t>
      </w:r>
      <w:r w:rsidR="007B6387">
        <w:t>March</w:t>
      </w:r>
      <w:r>
        <w:t xml:space="preserve"> 2021</w:t>
      </w:r>
    </w:p>
    <w:p w14:paraId="1A148FE3" w14:textId="5318EF14" w:rsidR="00936BDA" w:rsidRDefault="00936BDA" w:rsidP="00936BDA"/>
    <w:p w14:paraId="7E98B697" w14:textId="77777777" w:rsidR="00E87478" w:rsidRDefault="00E87478" w:rsidP="00936BDA"/>
    <w:p w14:paraId="21E0A8C5" w14:textId="77777777" w:rsidR="00936BDA" w:rsidRDefault="00936BDA" w:rsidP="00936BDA">
      <w:pPr>
        <w:jc w:val="center"/>
      </w:pPr>
    </w:p>
    <w:p w14:paraId="6EC1B18D" w14:textId="785BB401" w:rsidR="00936BDA" w:rsidRDefault="007B6387" w:rsidP="00936BDA">
      <w:pPr>
        <w:jc w:val="center"/>
        <w:rPr>
          <w:b/>
          <w:bCs/>
          <w:sz w:val="28"/>
          <w:szCs w:val="28"/>
        </w:rPr>
      </w:pPr>
      <w:r>
        <w:rPr>
          <w:b/>
          <w:bCs/>
          <w:sz w:val="28"/>
          <w:szCs w:val="28"/>
        </w:rPr>
        <w:t>March</w:t>
      </w:r>
      <w:r w:rsidR="00936BDA" w:rsidRPr="00936BDA">
        <w:rPr>
          <w:b/>
          <w:bCs/>
          <w:sz w:val="28"/>
          <w:szCs w:val="28"/>
        </w:rPr>
        <w:t xml:space="preserve"> 202</w:t>
      </w:r>
      <w:r w:rsidR="009E09CA">
        <w:rPr>
          <w:b/>
          <w:bCs/>
          <w:sz w:val="28"/>
          <w:szCs w:val="28"/>
        </w:rPr>
        <w:t>1</w:t>
      </w:r>
      <w:r w:rsidR="00936BDA">
        <w:rPr>
          <w:b/>
          <w:bCs/>
          <w:sz w:val="28"/>
          <w:szCs w:val="28"/>
        </w:rPr>
        <w:br w:type="page"/>
      </w:r>
    </w:p>
    <w:p w14:paraId="70B54564" w14:textId="77777777" w:rsidR="008E2C94" w:rsidRDefault="008E2C94" w:rsidP="00936BDA">
      <w:pPr>
        <w:jc w:val="center"/>
        <w:rPr>
          <w:b/>
          <w:bCs/>
          <w:sz w:val="28"/>
          <w:szCs w:val="28"/>
        </w:rPr>
      </w:pPr>
      <w:r>
        <w:rPr>
          <w:b/>
          <w:bCs/>
          <w:sz w:val="28"/>
          <w:szCs w:val="28"/>
        </w:rPr>
        <w:lastRenderedPageBreak/>
        <w:br w:type="page"/>
      </w:r>
    </w:p>
    <w:p w14:paraId="7533F16E" w14:textId="77777777" w:rsidR="008E2C94" w:rsidRPr="008E2C94" w:rsidRDefault="008E2C94" w:rsidP="008E2C94">
      <w:pPr>
        <w:rPr>
          <w:rFonts w:asciiTheme="majorHAnsi" w:hAnsiTheme="majorHAnsi" w:cstheme="majorHAnsi"/>
          <w:color w:val="2E75B6" w:themeColor="accent5"/>
          <w:sz w:val="32"/>
          <w:szCs w:val="32"/>
        </w:rPr>
      </w:pPr>
      <w:r w:rsidRPr="008E2C94">
        <w:rPr>
          <w:rFonts w:asciiTheme="majorHAnsi" w:hAnsiTheme="majorHAnsi" w:cstheme="majorHAnsi"/>
          <w:color w:val="2E75B6" w:themeColor="accent5"/>
          <w:sz w:val="32"/>
          <w:szCs w:val="32"/>
        </w:rPr>
        <w:lastRenderedPageBreak/>
        <w:t xml:space="preserve">Acknowledgements </w:t>
      </w:r>
    </w:p>
    <w:p w14:paraId="325F8379" w14:textId="2FC94630" w:rsidR="006C36FD" w:rsidRDefault="009717BB" w:rsidP="006C36FD">
      <w:pPr>
        <w:jc w:val="both"/>
      </w:pPr>
      <w:r>
        <w:t>The evaluation team would like to thank all the individuals and organization</w:t>
      </w:r>
      <w:r w:rsidR="0071350E">
        <w:t>s</w:t>
      </w:r>
      <w:r>
        <w:t xml:space="preserve"> that contributed their time, knowledge and honest views to this terminal evaluation. The team expresses their </w:t>
      </w:r>
      <w:r w:rsidR="006C36FD">
        <w:t xml:space="preserve">sincere </w:t>
      </w:r>
      <w:r>
        <w:t xml:space="preserve">appreciation to the members of the project team at </w:t>
      </w:r>
      <w:r w:rsidRPr="009717BB">
        <w:t>Zhejiang Provincial Development and Reform Commission (ZPDRC)</w:t>
      </w:r>
      <w:r>
        <w:t xml:space="preserve">, </w:t>
      </w:r>
      <w:r w:rsidR="006C36FD">
        <w:t xml:space="preserve">members of </w:t>
      </w:r>
      <w:r>
        <w:t xml:space="preserve">the Project </w:t>
      </w:r>
      <w:r w:rsidR="006C36FD">
        <w:t xml:space="preserve">Steering Committee, representatives from </w:t>
      </w:r>
      <w:r w:rsidR="006C36FD" w:rsidRPr="006C36FD">
        <w:t>Zhejiang Fuyang Port International Co. Ltd.</w:t>
      </w:r>
      <w:r w:rsidR="006C36FD">
        <w:t xml:space="preserve">, </w:t>
      </w:r>
      <w:r w:rsidR="006C36FD" w:rsidRPr="006C36FD">
        <w:t xml:space="preserve">Fuyang Hangzhou </w:t>
      </w:r>
      <w:r w:rsidR="009442F5">
        <w:t>Transf</w:t>
      </w:r>
      <w:r w:rsidR="005E1E85">
        <w:t>a</w:t>
      </w:r>
      <w:r w:rsidR="009442F5">
        <w:t>r</w:t>
      </w:r>
      <w:r w:rsidR="005E1E85">
        <w:t xml:space="preserve"> </w:t>
      </w:r>
      <w:r w:rsidR="006C36FD" w:rsidRPr="006C36FD">
        <w:t>Logistics Base Co., Ltd.</w:t>
      </w:r>
      <w:r w:rsidR="006C36FD">
        <w:t>, and all the stakeholders that contributed to the evaluation.</w:t>
      </w:r>
    </w:p>
    <w:p w14:paraId="3ADADF6A" w14:textId="79B9C5F0" w:rsidR="006C36FD" w:rsidRDefault="006C36FD" w:rsidP="006C36FD">
      <w:pPr>
        <w:jc w:val="both"/>
      </w:pPr>
    </w:p>
    <w:p w14:paraId="66EB7F9F" w14:textId="64919739" w:rsidR="006C36FD" w:rsidRPr="006C36FD" w:rsidRDefault="006C36FD" w:rsidP="006C36FD">
      <w:pPr>
        <w:rPr>
          <w:rFonts w:asciiTheme="majorHAnsi" w:hAnsiTheme="majorHAnsi" w:cstheme="majorHAnsi"/>
          <w:color w:val="2E75B6" w:themeColor="accent5"/>
          <w:sz w:val="32"/>
          <w:szCs w:val="32"/>
        </w:rPr>
      </w:pPr>
      <w:r w:rsidRPr="006C36FD">
        <w:rPr>
          <w:rFonts w:asciiTheme="majorHAnsi" w:hAnsiTheme="majorHAnsi" w:cstheme="majorHAnsi"/>
          <w:color w:val="2E75B6" w:themeColor="accent5"/>
          <w:sz w:val="32"/>
          <w:szCs w:val="32"/>
        </w:rPr>
        <w:t>Evaluation team</w:t>
      </w:r>
    </w:p>
    <w:p w14:paraId="4947E0A2" w14:textId="58C78E4E" w:rsidR="006C36FD" w:rsidRDefault="006C36FD" w:rsidP="006C36FD">
      <w:pPr>
        <w:spacing w:after="0"/>
        <w:jc w:val="both"/>
      </w:pPr>
      <w:r w:rsidRPr="006C36FD">
        <w:t xml:space="preserve">Francisco Arango </w:t>
      </w:r>
      <w:r w:rsidR="005E1E85">
        <w:rPr>
          <w:rFonts w:ascii="Calibri" w:hAnsi="Calibri" w:cs="Calibri"/>
        </w:rPr>
        <w:t>−</w:t>
      </w:r>
      <w:r w:rsidR="005E1E85">
        <w:t xml:space="preserve"> lead</w:t>
      </w:r>
      <w:r>
        <w:t xml:space="preserve"> </w:t>
      </w:r>
      <w:r w:rsidRPr="006C36FD">
        <w:t>international consultant</w:t>
      </w:r>
    </w:p>
    <w:p w14:paraId="30A2D5A8" w14:textId="2202080F" w:rsidR="005E1E85" w:rsidRDefault="005E1E85" w:rsidP="005E1E85">
      <w:pPr>
        <w:spacing w:after="0"/>
        <w:jc w:val="both"/>
      </w:pPr>
      <w:r w:rsidRPr="006C36FD">
        <w:t xml:space="preserve">Jianhong Cheng </w:t>
      </w:r>
      <w:r>
        <w:rPr>
          <w:rFonts w:ascii="Calibri" w:hAnsi="Calibri" w:cs="Calibri"/>
        </w:rPr>
        <w:t>−</w:t>
      </w:r>
      <w:r>
        <w:t xml:space="preserve"> </w:t>
      </w:r>
      <w:r w:rsidRPr="006C36FD">
        <w:t>national consultant</w:t>
      </w:r>
    </w:p>
    <w:p w14:paraId="538DB9C1" w14:textId="635068F3" w:rsidR="006C36FD" w:rsidRDefault="006C36FD" w:rsidP="006C36FD">
      <w:pPr>
        <w:spacing w:after="0"/>
        <w:jc w:val="both"/>
      </w:pPr>
      <w:r w:rsidRPr="006C36FD">
        <w:t>Wang Kan</w:t>
      </w:r>
      <w:r>
        <w:t xml:space="preserve"> </w:t>
      </w:r>
      <w:r w:rsidR="005E1E85">
        <w:rPr>
          <w:rFonts w:ascii="Calibri" w:hAnsi="Calibri" w:cs="Calibri"/>
        </w:rPr>
        <w:t>−</w:t>
      </w:r>
      <w:r>
        <w:t xml:space="preserve"> </w:t>
      </w:r>
      <w:r w:rsidRPr="006C36FD">
        <w:t>national consultant</w:t>
      </w:r>
    </w:p>
    <w:p w14:paraId="0C80D183" w14:textId="5D921250" w:rsidR="006C36FD" w:rsidRDefault="006C36FD" w:rsidP="006C36FD">
      <w:pPr>
        <w:spacing w:after="0"/>
        <w:jc w:val="both"/>
      </w:pPr>
      <w:r>
        <w:br w:type="page"/>
      </w:r>
    </w:p>
    <w:p w14:paraId="47D57A74" w14:textId="77777777" w:rsidR="006C36FD" w:rsidRDefault="006C36FD" w:rsidP="006C36FD">
      <w:pPr>
        <w:spacing w:after="0"/>
        <w:jc w:val="both"/>
        <w:rPr>
          <w:b/>
          <w:bCs/>
          <w:sz w:val="28"/>
          <w:szCs w:val="28"/>
        </w:rPr>
      </w:pPr>
    </w:p>
    <w:bookmarkStart w:id="0" w:name="_Toc64632031" w:displacedByCustomXml="next"/>
    <w:sdt>
      <w:sdtPr>
        <w:rPr>
          <w:rFonts w:eastAsiaTheme="minorHAnsi" w:cstheme="minorBidi"/>
          <w:color w:val="auto"/>
          <w:sz w:val="22"/>
          <w:szCs w:val="22"/>
        </w:rPr>
        <w:id w:val="203677090"/>
        <w:docPartObj>
          <w:docPartGallery w:val="Table of Contents"/>
          <w:docPartUnique/>
        </w:docPartObj>
      </w:sdtPr>
      <w:sdtEndPr>
        <w:rPr>
          <w:b/>
          <w:bCs/>
          <w:noProof/>
        </w:rPr>
      </w:sdtEndPr>
      <w:sdtContent>
        <w:p w14:paraId="3A835847" w14:textId="5A083E2E" w:rsidR="00936BDA" w:rsidRPr="00080463" w:rsidRDefault="00936BDA" w:rsidP="00080463">
          <w:pPr>
            <w:pStyle w:val="Heading1"/>
            <w:numPr>
              <w:ilvl w:val="0"/>
              <w:numId w:val="0"/>
            </w:numPr>
          </w:pPr>
          <w:r w:rsidRPr="00080463">
            <w:t>Contents</w:t>
          </w:r>
          <w:bookmarkEnd w:id="0"/>
        </w:p>
        <w:p w14:paraId="2A0F75F0" w14:textId="13595543" w:rsidR="00563AA6" w:rsidRDefault="00E90328">
          <w:pPr>
            <w:pStyle w:val="TOC1"/>
            <w:tabs>
              <w:tab w:val="right" w:leader="dot" w:pos="9350"/>
            </w:tabs>
            <w:rPr>
              <w:rFonts w:asciiTheme="minorHAnsi" w:eastAsiaTheme="minorEastAsia" w:hAnsiTheme="minorHAnsi"/>
              <w:noProof/>
            </w:rPr>
          </w:pPr>
          <w:r>
            <w:fldChar w:fldCharType="begin"/>
          </w:r>
          <w:r>
            <w:instrText xml:space="preserve"> TOC \o "1-3" \h \z \u </w:instrText>
          </w:r>
          <w:r>
            <w:fldChar w:fldCharType="separate"/>
          </w:r>
          <w:hyperlink w:anchor="_Toc64632031" w:history="1">
            <w:r w:rsidR="00563AA6" w:rsidRPr="008A0765">
              <w:rPr>
                <w:rStyle w:val="Hyperlink"/>
                <w:noProof/>
              </w:rPr>
              <w:t>Contents</w:t>
            </w:r>
            <w:r w:rsidR="00563AA6">
              <w:rPr>
                <w:noProof/>
                <w:webHidden/>
              </w:rPr>
              <w:tab/>
            </w:r>
            <w:r w:rsidR="00563AA6">
              <w:rPr>
                <w:noProof/>
                <w:webHidden/>
              </w:rPr>
              <w:fldChar w:fldCharType="begin"/>
            </w:r>
            <w:r w:rsidR="00563AA6">
              <w:rPr>
                <w:noProof/>
                <w:webHidden/>
              </w:rPr>
              <w:instrText xml:space="preserve"> PAGEREF _Toc64632031 \h </w:instrText>
            </w:r>
            <w:r w:rsidR="00563AA6">
              <w:rPr>
                <w:noProof/>
                <w:webHidden/>
              </w:rPr>
            </w:r>
            <w:r w:rsidR="00563AA6">
              <w:rPr>
                <w:noProof/>
                <w:webHidden/>
              </w:rPr>
              <w:fldChar w:fldCharType="separate"/>
            </w:r>
            <w:r w:rsidR="00563AA6">
              <w:rPr>
                <w:noProof/>
                <w:webHidden/>
              </w:rPr>
              <w:t>4</w:t>
            </w:r>
            <w:r w:rsidR="00563AA6">
              <w:rPr>
                <w:noProof/>
                <w:webHidden/>
              </w:rPr>
              <w:fldChar w:fldCharType="end"/>
            </w:r>
          </w:hyperlink>
        </w:p>
        <w:p w14:paraId="2E2C3CF9" w14:textId="6C667485" w:rsidR="00563AA6" w:rsidRDefault="009E09CA">
          <w:pPr>
            <w:pStyle w:val="TOC1"/>
            <w:tabs>
              <w:tab w:val="right" w:leader="dot" w:pos="9350"/>
            </w:tabs>
            <w:rPr>
              <w:rFonts w:asciiTheme="minorHAnsi" w:eastAsiaTheme="minorEastAsia" w:hAnsiTheme="minorHAnsi"/>
              <w:noProof/>
            </w:rPr>
          </w:pPr>
          <w:hyperlink w:anchor="_Toc64632032" w:history="1">
            <w:r w:rsidR="00563AA6" w:rsidRPr="008A0765">
              <w:rPr>
                <w:rStyle w:val="Hyperlink"/>
                <w:noProof/>
              </w:rPr>
              <w:t>Acronyms and abbreviations</w:t>
            </w:r>
            <w:r w:rsidR="00563AA6">
              <w:rPr>
                <w:noProof/>
                <w:webHidden/>
              </w:rPr>
              <w:tab/>
            </w:r>
            <w:r w:rsidR="00563AA6">
              <w:rPr>
                <w:noProof/>
                <w:webHidden/>
              </w:rPr>
              <w:fldChar w:fldCharType="begin"/>
            </w:r>
            <w:r w:rsidR="00563AA6">
              <w:rPr>
                <w:noProof/>
                <w:webHidden/>
              </w:rPr>
              <w:instrText xml:space="preserve"> PAGEREF _Toc64632032 \h </w:instrText>
            </w:r>
            <w:r w:rsidR="00563AA6">
              <w:rPr>
                <w:noProof/>
                <w:webHidden/>
              </w:rPr>
            </w:r>
            <w:r w:rsidR="00563AA6">
              <w:rPr>
                <w:noProof/>
                <w:webHidden/>
              </w:rPr>
              <w:fldChar w:fldCharType="separate"/>
            </w:r>
            <w:r w:rsidR="00563AA6">
              <w:rPr>
                <w:noProof/>
                <w:webHidden/>
              </w:rPr>
              <w:t>6</w:t>
            </w:r>
            <w:r w:rsidR="00563AA6">
              <w:rPr>
                <w:noProof/>
                <w:webHidden/>
              </w:rPr>
              <w:fldChar w:fldCharType="end"/>
            </w:r>
          </w:hyperlink>
        </w:p>
        <w:p w14:paraId="722BEC8D" w14:textId="635C169E" w:rsidR="00563AA6" w:rsidRDefault="009E09CA">
          <w:pPr>
            <w:pStyle w:val="TOC1"/>
            <w:tabs>
              <w:tab w:val="left" w:pos="440"/>
              <w:tab w:val="right" w:leader="dot" w:pos="9350"/>
            </w:tabs>
            <w:rPr>
              <w:rFonts w:asciiTheme="minorHAnsi" w:eastAsiaTheme="minorEastAsia" w:hAnsiTheme="minorHAnsi"/>
              <w:noProof/>
            </w:rPr>
          </w:pPr>
          <w:hyperlink w:anchor="_Toc64632033" w:history="1">
            <w:r w:rsidR="00563AA6" w:rsidRPr="008A0765">
              <w:rPr>
                <w:rStyle w:val="Hyperlink"/>
                <w:noProof/>
              </w:rPr>
              <w:t>1.</w:t>
            </w:r>
            <w:r w:rsidR="00563AA6">
              <w:rPr>
                <w:rFonts w:asciiTheme="minorHAnsi" w:eastAsiaTheme="minorEastAsia" w:hAnsiTheme="minorHAnsi"/>
                <w:noProof/>
              </w:rPr>
              <w:tab/>
            </w:r>
            <w:r w:rsidR="00563AA6" w:rsidRPr="008A0765">
              <w:rPr>
                <w:rStyle w:val="Hyperlink"/>
                <w:noProof/>
              </w:rPr>
              <w:t>Executive Summary</w:t>
            </w:r>
            <w:r w:rsidR="00563AA6">
              <w:rPr>
                <w:noProof/>
                <w:webHidden/>
              </w:rPr>
              <w:tab/>
            </w:r>
            <w:r w:rsidR="00563AA6">
              <w:rPr>
                <w:noProof/>
                <w:webHidden/>
              </w:rPr>
              <w:fldChar w:fldCharType="begin"/>
            </w:r>
            <w:r w:rsidR="00563AA6">
              <w:rPr>
                <w:noProof/>
                <w:webHidden/>
              </w:rPr>
              <w:instrText xml:space="preserve"> PAGEREF _Toc64632033 \h </w:instrText>
            </w:r>
            <w:r w:rsidR="00563AA6">
              <w:rPr>
                <w:noProof/>
                <w:webHidden/>
              </w:rPr>
            </w:r>
            <w:r w:rsidR="00563AA6">
              <w:rPr>
                <w:noProof/>
                <w:webHidden/>
              </w:rPr>
              <w:fldChar w:fldCharType="separate"/>
            </w:r>
            <w:r w:rsidR="00563AA6">
              <w:rPr>
                <w:noProof/>
                <w:webHidden/>
              </w:rPr>
              <w:t>1</w:t>
            </w:r>
            <w:r w:rsidR="00563AA6">
              <w:rPr>
                <w:noProof/>
                <w:webHidden/>
              </w:rPr>
              <w:fldChar w:fldCharType="end"/>
            </w:r>
          </w:hyperlink>
        </w:p>
        <w:p w14:paraId="1A1EE419" w14:textId="0EFFFD6D" w:rsidR="00563AA6" w:rsidRDefault="009E09CA">
          <w:pPr>
            <w:pStyle w:val="TOC2"/>
            <w:tabs>
              <w:tab w:val="left" w:pos="880"/>
              <w:tab w:val="right" w:leader="dot" w:pos="9350"/>
            </w:tabs>
            <w:rPr>
              <w:rFonts w:asciiTheme="minorHAnsi" w:eastAsiaTheme="minorEastAsia" w:hAnsiTheme="minorHAnsi"/>
              <w:noProof/>
            </w:rPr>
          </w:pPr>
          <w:hyperlink w:anchor="_Toc64632034" w:history="1">
            <w:r w:rsidR="00563AA6" w:rsidRPr="008A0765">
              <w:rPr>
                <w:rStyle w:val="Hyperlink"/>
                <w:noProof/>
              </w:rPr>
              <w:t>1.1.</w:t>
            </w:r>
            <w:r w:rsidR="00563AA6">
              <w:rPr>
                <w:rFonts w:asciiTheme="minorHAnsi" w:eastAsiaTheme="minorEastAsia" w:hAnsiTheme="minorHAnsi"/>
                <w:noProof/>
              </w:rPr>
              <w:tab/>
            </w:r>
            <w:r w:rsidR="00563AA6" w:rsidRPr="008A0765">
              <w:rPr>
                <w:rStyle w:val="Hyperlink"/>
                <w:rFonts w:cs="Calibri"/>
                <w:noProof/>
              </w:rPr>
              <w:t xml:space="preserve">Project </w:t>
            </w:r>
            <w:r w:rsidR="00563AA6" w:rsidRPr="008A0765">
              <w:rPr>
                <w:rStyle w:val="Hyperlink"/>
                <w:noProof/>
              </w:rPr>
              <w:t>description</w:t>
            </w:r>
            <w:r w:rsidR="00563AA6">
              <w:rPr>
                <w:noProof/>
                <w:webHidden/>
              </w:rPr>
              <w:tab/>
            </w:r>
            <w:r w:rsidR="00563AA6">
              <w:rPr>
                <w:noProof/>
                <w:webHidden/>
              </w:rPr>
              <w:fldChar w:fldCharType="begin"/>
            </w:r>
            <w:r w:rsidR="00563AA6">
              <w:rPr>
                <w:noProof/>
                <w:webHidden/>
              </w:rPr>
              <w:instrText xml:space="preserve"> PAGEREF _Toc64632034 \h </w:instrText>
            </w:r>
            <w:r w:rsidR="00563AA6">
              <w:rPr>
                <w:noProof/>
                <w:webHidden/>
              </w:rPr>
            </w:r>
            <w:r w:rsidR="00563AA6">
              <w:rPr>
                <w:noProof/>
                <w:webHidden/>
              </w:rPr>
              <w:fldChar w:fldCharType="separate"/>
            </w:r>
            <w:r w:rsidR="00563AA6">
              <w:rPr>
                <w:noProof/>
                <w:webHidden/>
              </w:rPr>
              <w:t>2</w:t>
            </w:r>
            <w:r w:rsidR="00563AA6">
              <w:rPr>
                <w:noProof/>
                <w:webHidden/>
              </w:rPr>
              <w:fldChar w:fldCharType="end"/>
            </w:r>
          </w:hyperlink>
        </w:p>
        <w:p w14:paraId="2E2144C3" w14:textId="17D1FA2C" w:rsidR="00563AA6" w:rsidRDefault="009E09CA">
          <w:pPr>
            <w:pStyle w:val="TOC2"/>
            <w:tabs>
              <w:tab w:val="left" w:pos="880"/>
              <w:tab w:val="right" w:leader="dot" w:pos="9350"/>
            </w:tabs>
            <w:rPr>
              <w:rFonts w:asciiTheme="minorHAnsi" w:eastAsiaTheme="minorEastAsia" w:hAnsiTheme="minorHAnsi"/>
              <w:noProof/>
            </w:rPr>
          </w:pPr>
          <w:hyperlink w:anchor="_Toc64632035" w:history="1">
            <w:r w:rsidR="00563AA6" w:rsidRPr="008A0765">
              <w:rPr>
                <w:rStyle w:val="Hyperlink"/>
                <w:rFonts w:cs="Calibri"/>
                <w:noProof/>
              </w:rPr>
              <w:t>1.2.</w:t>
            </w:r>
            <w:r w:rsidR="00563AA6">
              <w:rPr>
                <w:rFonts w:asciiTheme="minorHAnsi" w:eastAsiaTheme="minorEastAsia" w:hAnsiTheme="minorHAnsi"/>
                <w:noProof/>
              </w:rPr>
              <w:tab/>
            </w:r>
            <w:r w:rsidR="00563AA6" w:rsidRPr="008A0765">
              <w:rPr>
                <w:rStyle w:val="Hyperlink"/>
                <w:rFonts w:cs="Calibri"/>
                <w:noProof/>
              </w:rPr>
              <w:t>Evaluation ratings table</w:t>
            </w:r>
            <w:r w:rsidR="00563AA6">
              <w:rPr>
                <w:noProof/>
                <w:webHidden/>
              </w:rPr>
              <w:tab/>
            </w:r>
            <w:r w:rsidR="00563AA6">
              <w:rPr>
                <w:noProof/>
                <w:webHidden/>
              </w:rPr>
              <w:fldChar w:fldCharType="begin"/>
            </w:r>
            <w:r w:rsidR="00563AA6">
              <w:rPr>
                <w:noProof/>
                <w:webHidden/>
              </w:rPr>
              <w:instrText xml:space="preserve"> PAGEREF _Toc64632035 \h </w:instrText>
            </w:r>
            <w:r w:rsidR="00563AA6">
              <w:rPr>
                <w:noProof/>
                <w:webHidden/>
              </w:rPr>
            </w:r>
            <w:r w:rsidR="00563AA6">
              <w:rPr>
                <w:noProof/>
                <w:webHidden/>
              </w:rPr>
              <w:fldChar w:fldCharType="separate"/>
            </w:r>
            <w:r w:rsidR="00563AA6">
              <w:rPr>
                <w:noProof/>
                <w:webHidden/>
              </w:rPr>
              <w:t>3</w:t>
            </w:r>
            <w:r w:rsidR="00563AA6">
              <w:rPr>
                <w:noProof/>
                <w:webHidden/>
              </w:rPr>
              <w:fldChar w:fldCharType="end"/>
            </w:r>
          </w:hyperlink>
        </w:p>
        <w:p w14:paraId="4D57B0B9" w14:textId="76CC6DC6" w:rsidR="00563AA6" w:rsidRDefault="009E09CA">
          <w:pPr>
            <w:pStyle w:val="TOC2"/>
            <w:tabs>
              <w:tab w:val="left" w:pos="880"/>
              <w:tab w:val="right" w:leader="dot" w:pos="9350"/>
            </w:tabs>
            <w:rPr>
              <w:rFonts w:asciiTheme="minorHAnsi" w:eastAsiaTheme="minorEastAsia" w:hAnsiTheme="minorHAnsi"/>
              <w:noProof/>
            </w:rPr>
          </w:pPr>
          <w:hyperlink w:anchor="_Toc64632036" w:history="1">
            <w:r w:rsidR="00563AA6" w:rsidRPr="008A0765">
              <w:rPr>
                <w:rStyle w:val="Hyperlink"/>
                <w:rFonts w:cs="Calibri"/>
                <w:noProof/>
              </w:rPr>
              <w:t>1.3.</w:t>
            </w:r>
            <w:r w:rsidR="00563AA6">
              <w:rPr>
                <w:rFonts w:asciiTheme="minorHAnsi" w:eastAsiaTheme="minorEastAsia" w:hAnsiTheme="minorHAnsi"/>
                <w:noProof/>
              </w:rPr>
              <w:tab/>
            </w:r>
            <w:r w:rsidR="00563AA6" w:rsidRPr="008A0765">
              <w:rPr>
                <w:rStyle w:val="Hyperlink"/>
                <w:rFonts w:cs="Calibri"/>
                <w:noProof/>
              </w:rPr>
              <w:t>Summary of findings and conclusions</w:t>
            </w:r>
            <w:r w:rsidR="00563AA6">
              <w:rPr>
                <w:noProof/>
                <w:webHidden/>
              </w:rPr>
              <w:tab/>
            </w:r>
            <w:r w:rsidR="00563AA6">
              <w:rPr>
                <w:noProof/>
                <w:webHidden/>
              </w:rPr>
              <w:fldChar w:fldCharType="begin"/>
            </w:r>
            <w:r w:rsidR="00563AA6">
              <w:rPr>
                <w:noProof/>
                <w:webHidden/>
              </w:rPr>
              <w:instrText xml:space="preserve"> PAGEREF _Toc64632036 \h </w:instrText>
            </w:r>
            <w:r w:rsidR="00563AA6">
              <w:rPr>
                <w:noProof/>
                <w:webHidden/>
              </w:rPr>
            </w:r>
            <w:r w:rsidR="00563AA6">
              <w:rPr>
                <w:noProof/>
                <w:webHidden/>
              </w:rPr>
              <w:fldChar w:fldCharType="separate"/>
            </w:r>
            <w:r w:rsidR="00563AA6">
              <w:rPr>
                <w:noProof/>
                <w:webHidden/>
              </w:rPr>
              <w:t>3</w:t>
            </w:r>
            <w:r w:rsidR="00563AA6">
              <w:rPr>
                <w:noProof/>
                <w:webHidden/>
              </w:rPr>
              <w:fldChar w:fldCharType="end"/>
            </w:r>
          </w:hyperlink>
        </w:p>
        <w:p w14:paraId="382398C7" w14:textId="2148B4F2" w:rsidR="00563AA6" w:rsidRDefault="009E09CA">
          <w:pPr>
            <w:pStyle w:val="TOC2"/>
            <w:tabs>
              <w:tab w:val="left" w:pos="880"/>
              <w:tab w:val="right" w:leader="dot" w:pos="9350"/>
            </w:tabs>
            <w:rPr>
              <w:rFonts w:asciiTheme="minorHAnsi" w:eastAsiaTheme="minorEastAsia" w:hAnsiTheme="minorHAnsi"/>
              <w:noProof/>
            </w:rPr>
          </w:pPr>
          <w:hyperlink w:anchor="_Toc64632037" w:history="1">
            <w:r w:rsidR="00563AA6" w:rsidRPr="008A0765">
              <w:rPr>
                <w:rStyle w:val="Hyperlink"/>
                <w:rFonts w:cs="Calibri"/>
                <w:noProof/>
              </w:rPr>
              <w:t>1.4.</w:t>
            </w:r>
            <w:r w:rsidR="00563AA6">
              <w:rPr>
                <w:rFonts w:asciiTheme="minorHAnsi" w:eastAsiaTheme="minorEastAsia" w:hAnsiTheme="minorHAnsi"/>
                <w:noProof/>
              </w:rPr>
              <w:tab/>
            </w:r>
            <w:r w:rsidR="00563AA6" w:rsidRPr="008A0765">
              <w:rPr>
                <w:rStyle w:val="Hyperlink"/>
                <w:rFonts w:cs="Calibri"/>
                <w:noProof/>
              </w:rPr>
              <w:t>Synthesis of lessons learned</w:t>
            </w:r>
            <w:r w:rsidR="00563AA6">
              <w:rPr>
                <w:noProof/>
                <w:webHidden/>
              </w:rPr>
              <w:tab/>
            </w:r>
            <w:r w:rsidR="00563AA6">
              <w:rPr>
                <w:noProof/>
                <w:webHidden/>
              </w:rPr>
              <w:fldChar w:fldCharType="begin"/>
            </w:r>
            <w:r w:rsidR="00563AA6">
              <w:rPr>
                <w:noProof/>
                <w:webHidden/>
              </w:rPr>
              <w:instrText xml:space="preserve"> PAGEREF _Toc64632037 \h </w:instrText>
            </w:r>
            <w:r w:rsidR="00563AA6">
              <w:rPr>
                <w:noProof/>
                <w:webHidden/>
              </w:rPr>
            </w:r>
            <w:r w:rsidR="00563AA6">
              <w:rPr>
                <w:noProof/>
                <w:webHidden/>
              </w:rPr>
              <w:fldChar w:fldCharType="separate"/>
            </w:r>
            <w:r w:rsidR="00563AA6">
              <w:rPr>
                <w:noProof/>
                <w:webHidden/>
              </w:rPr>
              <w:t>4</w:t>
            </w:r>
            <w:r w:rsidR="00563AA6">
              <w:rPr>
                <w:noProof/>
                <w:webHidden/>
              </w:rPr>
              <w:fldChar w:fldCharType="end"/>
            </w:r>
          </w:hyperlink>
        </w:p>
        <w:p w14:paraId="48A8CF87" w14:textId="2B4403A4" w:rsidR="00563AA6" w:rsidRDefault="009E09CA">
          <w:pPr>
            <w:pStyle w:val="TOC2"/>
            <w:tabs>
              <w:tab w:val="left" w:pos="880"/>
              <w:tab w:val="right" w:leader="dot" w:pos="9350"/>
            </w:tabs>
            <w:rPr>
              <w:rFonts w:asciiTheme="minorHAnsi" w:eastAsiaTheme="minorEastAsia" w:hAnsiTheme="minorHAnsi"/>
              <w:noProof/>
            </w:rPr>
          </w:pPr>
          <w:hyperlink w:anchor="_Toc64632038" w:history="1">
            <w:r w:rsidR="00563AA6" w:rsidRPr="008A0765">
              <w:rPr>
                <w:rStyle w:val="Hyperlink"/>
                <w:rFonts w:cs="Calibri"/>
                <w:noProof/>
              </w:rPr>
              <w:t>1.5.</w:t>
            </w:r>
            <w:r w:rsidR="00563AA6">
              <w:rPr>
                <w:rFonts w:asciiTheme="minorHAnsi" w:eastAsiaTheme="minorEastAsia" w:hAnsiTheme="minorHAnsi"/>
                <w:noProof/>
              </w:rPr>
              <w:tab/>
            </w:r>
            <w:r w:rsidR="00563AA6" w:rsidRPr="008A0765">
              <w:rPr>
                <w:rStyle w:val="Hyperlink"/>
                <w:rFonts w:cs="Calibri"/>
                <w:noProof/>
              </w:rPr>
              <w:t>Recommendations</w:t>
            </w:r>
            <w:r w:rsidR="00563AA6">
              <w:rPr>
                <w:noProof/>
                <w:webHidden/>
              </w:rPr>
              <w:tab/>
            </w:r>
            <w:r w:rsidR="00563AA6">
              <w:rPr>
                <w:noProof/>
                <w:webHidden/>
              </w:rPr>
              <w:fldChar w:fldCharType="begin"/>
            </w:r>
            <w:r w:rsidR="00563AA6">
              <w:rPr>
                <w:noProof/>
                <w:webHidden/>
              </w:rPr>
              <w:instrText xml:space="preserve"> PAGEREF _Toc64632038 \h </w:instrText>
            </w:r>
            <w:r w:rsidR="00563AA6">
              <w:rPr>
                <w:noProof/>
                <w:webHidden/>
              </w:rPr>
            </w:r>
            <w:r w:rsidR="00563AA6">
              <w:rPr>
                <w:noProof/>
                <w:webHidden/>
              </w:rPr>
              <w:fldChar w:fldCharType="separate"/>
            </w:r>
            <w:r w:rsidR="00563AA6">
              <w:rPr>
                <w:noProof/>
                <w:webHidden/>
              </w:rPr>
              <w:t>4</w:t>
            </w:r>
            <w:r w:rsidR="00563AA6">
              <w:rPr>
                <w:noProof/>
                <w:webHidden/>
              </w:rPr>
              <w:fldChar w:fldCharType="end"/>
            </w:r>
          </w:hyperlink>
        </w:p>
        <w:p w14:paraId="0F2E4197" w14:textId="4878E3BB" w:rsidR="00563AA6" w:rsidRDefault="009E09CA">
          <w:pPr>
            <w:pStyle w:val="TOC1"/>
            <w:tabs>
              <w:tab w:val="left" w:pos="440"/>
              <w:tab w:val="right" w:leader="dot" w:pos="9350"/>
            </w:tabs>
            <w:rPr>
              <w:rFonts w:asciiTheme="minorHAnsi" w:eastAsiaTheme="minorEastAsia" w:hAnsiTheme="minorHAnsi"/>
              <w:noProof/>
            </w:rPr>
          </w:pPr>
          <w:hyperlink w:anchor="_Toc64632039" w:history="1">
            <w:r w:rsidR="00563AA6" w:rsidRPr="008A0765">
              <w:rPr>
                <w:rStyle w:val="Hyperlink"/>
                <w:noProof/>
              </w:rPr>
              <w:t>2.</w:t>
            </w:r>
            <w:r w:rsidR="00563AA6">
              <w:rPr>
                <w:rFonts w:asciiTheme="minorHAnsi" w:eastAsiaTheme="minorEastAsia" w:hAnsiTheme="minorHAnsi"/>
                <w:noProof/>
              </w:rPr>
              <w:tab/>
            </w:r>
            <w:r w:rsidR="00563AA6" w:rsidRPr="008A0765">
              <w:rPr>
                <w:rStyle w:val="Hyperlink"/>
                <w:noProof/>
              </w:rPr>
              <w:t>Introduction</w:t>
            </w:r>
            <w:r w:rsidR="00563AA6">
              <w:rPr>
                <w:noProof/>
                <w:webHidden/>
              </w:rPr>
              <w:tab/>
            </w:r>
            <w:r w:rsidR="00563AA6">
              <w:rPr>
                <w:noProof/>
                <w:webHidden/>
              </w:rPr>
              <w:fldChar w:fldCharType="begin"/>
            </w:r>
            <w:r w:rsidR="00563AA6">
              <w:rPr>
                <w:noProof/>
                <w:webHidden/>
              </w:rPr>
              <w:instrText xml:space="preserve"> PAGEREF _Toc64632039 \h </w:instrText>
            </w:r>
            <w:r w:rsidR="00563AA6">
              <w:rPr>
                <w:noProof/>
                <w:webHidden/>
              </w:rPr>
            </w:r>
            <w:r w:rsidR="00563AA6">
              <w:rPr>
                <w:noProof/>
                <w:webHidden/>
              </w:rPr>
              <w:fldChar w:fldCharType="separate"/>
            </w:r>
            <w:r w:rsidR="00563AA6">
              <w:rPr>
                <w:noProof/>
                <w:webHidden/>
              </w:rPr>
              <w:t>6</w:t>
            </w:r>
            <w:r w:rsidR="00563AA6">
              <w:rPr>
                <w:noProof/>
                <w:webHidden/>
              </w:rPr>
              <w:fldChar w:fldCharType="end"/>
            </w:r>
          </w:hyperlink>
        </w:p>
        <w:p w14:paraId="7C9705A2" w14:textId="682AC3A3" w:rsidR="00563AA6" w:rsidRDefault="009E09CA">
          <w:pPr>
            <w:pStyle w:val="TOC2"/>
            <w:tabs>
              <w:tab w:val="left" w:pos="880"/>
              <w:tab w:val="right" w:leader="dot" w:pos="9350"/>
            </w:tabs>
            <w:rPr>
              <w:rFonts w:asciiTheme="minorHAnsi" w:eastAsiaTheme="minorEastAsia" w:hAnsiTheme="minorHAnsi"/>
              <w:noProof/>
            </w:rPr>
          </w:pPr>
          <w:hyperlink w:anchor="_Toc64632040" w:history="1">
            <w:r w:rsidR="00563AA6" w:rsidRPr="008A0765">
              <w:rPr>
                <w:rStyle w:val="Hyperlink"/>
                <w:noProof/>
              </w:rPr>
              <w:t>2.1.</w:t>
            </w:r>
            <w:r w:rsidR="00563AA6">
              <w:rPr>
                <w:rFonts w:asciiTheme="minorHAnsi" w:eastAsiaTheme="minorEastAsia" w:hAnsiTheme="minorHAnsi"/>
                <w:noProof/>
              </w:rPr>
              <w:tab/>
            </w:r>
            <w:r w:rsidR="00563AA6" w:rsidRPr="008A0765">
              <w:rPr>
                <w:rStyle w:val="Hyperlink"/>
                <w:noProof/>
              </w:rPr>
              <w:t>Purpose of the TE</w:t>
            </w:r>
            <w:r w:rsidR="00563AA6">
              <w:rPr>
                <w:noProof/>
                <w:webHidden/>
              </w:rPr>
              <w:tab/>
            </w:r>
            <w:r w:rsidR="00563AA6">
              <w:rPr>
                <w:noProof/>
                <w:webHidden/>
              </w:rPr>
              <w:fldChar w:fldCharType="begin"/>
            </w:r>
            <w:r w:rsidR="00563AA6">
              <w:rPr>
                <w:noProof/>
                <w:webHidden/>
              </w:rPr>
              <w:instrText xml:space="preserve"> PAGEREF _Toc64632040 \h </w:instrText>
            </w:r>
            <w:r w:rsidR="00563AA6">
              <w:rPr>
                <w:noProof/>
                <w:webHidden/>
              </w:rPr>
            </w:r>
            <w:r w:rsidR="00563AA6">
              <w:rPr>
                <w:noProof/>
                <w:webHidden/>
              </w:rPr>
              <w:fldChar w:fldCharType="separate"/>
            </w:r>
            <w:r w:rsidR="00563AA6">
              <w:rPr>
                <w:noProof/>
                <w:webHidden/>
              </w:rPr>
              <w:t>6</w:t>
            </w:r>
            <w:r w:rsidR="00563AA6">
              <w:rPr>
                <w:noProof/>
                <w:webHidden/>
              </w:rPr>
              <w:fldChar w:fldCharType="end"/>
            </w:r>
          </w:hyperlink>
        </w:p>
        <w:p w14:paraId="48C01881" w14:textId="084CABFA" w:rsidR="00563AA6" w:rsidRDefault="009E09CA">
          <w:pPr>
            <w:pStyle w:val="TOC2"/>
            <w:tabs>
              <w:tab w:val="left" w:pos="880"/>
              <w:tab w:val="right" w:leader="dot" w:pos="9350"/>
            </w:tabs>
            <w:rPr>
              <w:rFonts w:asciiTheme="minorHAnsi" w:eastAsiaTheme="minorEastAsia" w:hAnsiTheme="minorHAnsi"/>
              <w:noProof/>
            </w:rPr>
          </w:pPr>
          <w:hyperlink w:anchor="_Toc64632041" w:history="1">
            <w:r w:rsidR="00563AA6" w:rsidRPr="008A0765">
              <w:rPr>
                <w:rStyle w:val="Hyperlink"/>
                <w:noProof/>
              </w:rPr>
              <w:t>2.2.</w:t>
            </w:r>
            <w:r w:rsidR="00563AA6">
              <w:rPr>
                <w:rFonts w:asciiTheme="minorHAnsi" w:eastAsiaTheme="minorEastAsia" w:hAnsiTheme="minorHAnsi"/>
                <w:noProof/>
              </w:rPr>
              <w:tab/>
            </w:r>
            <w:r w:rsidR="00563AA6" w:rsidRPr="008A0765">
              <w:rPr>
                <w:rStyle w:val="Hyperlink"/>
                <w:noProof/>
              </w:rPr>
              <w:t>Scope and methodology</w:t>
            </w:r>
            <w:r w:rsidR="00563AA6">
              <w:rPr>
                <w:noProof/>
                <w:webHidden/>
              </w:rPr>
              <w:tab/>
            </w:r>
            <w:r w:rsidR="00563AA6">
              <w:rPr>
                <w:noProof/>
                <w:webHidden/>
              </w:rPr>
              <w:fldChar w:fldCharType="begin"/>
            </w:r>
            <w:r w:rsidR="00563AA6">
              <w:rPr>
                <w:noProof/>
                <w:webHidden/>
              </w:rPr>
              <w:instrText xml:space="preserve"> PAGEREF _Toc64632041 \h </w:instrText>
            </w:r>
            <w:r w:rsidR="00563AA6">
              <w:rPr>
                <w:noProof/>
                <w:webHidden/>
              </w:rPr>
            </w:r>
            <w:r w:rsidR="00563AA6">
              <w:rPr>
                <w:noProof/>
                <w:webHidden/>
              </w:rPr>
              <w:fldChar w:fldCharType="separate"/>
            </w:r>
            <w:r w:rsidR="00563AA6">
              <w:rPr>
                <w:noProof/>
                <w:webHidden/>
              </w:rPr>
              <w:t>6</w:t>
            </w:r>
            <w:r w:rsidR="00563AA6">
              <w:rPr>
                <w:noProof/>
                <w:webHidden/>
              </w:rPr>
              <w:fldChar w:fldCharType="end"/>
            </w:r>
          </w:hyperlink>
        </w:p>
        <w:p w14:paraId="0C78E20F" w14:textId="3DD3471E" w:rsidR="00563AA6" w:rsidRDefault="009E09CA">
          <w:pPr>
            <w:pStyle w:val="TOC2"/>
            <w:tabs>
              <w:tab w:val="left" w:pos="880"/>
              <w:tab w:val="right" w:leader="dot" w:pos="9350"/>
            </w:tabs>
            <w:rPr>
              <w:rFonts w:asciiTheme="minorHAnsi" w:eastAsiaTheme="minorEastAsia" w:hAnsiTheme="minorHAnsi"/>
              <w:noProof/>
            </w:rPr>
          </w:pPr>
          <w:hyperlink w:anchor="_Toc64632042" w:history="1">
            <w:r w:rsidR="00563AA6" w:rsidRPr="008A0765">
              <w:rPr>
                <w:rStyle w:val="Hyperlink"/>
                <w:noProof/>
              </w:rPr>
              <w:t>2.3.</w:t>
            </w:r>
            <w:r w:rsidR="00563AA6">
              <w:rPr>
                <w:rFonts w:asciiTheme="minorHAnsi" w:eastAsiaTheme="minorEastAsia" w:hAnsiTheme="minorHAnsi"/>
                <w:noProof/>
              </w:rPr>
              <w:tab/>
            </w:r>
            <w:r w:rsidR="00563AA6" w:rsidRPr="008A0765">
              <w:rPr>
                <w:rStyle w:val="Hyperlink"/>
                <w:noProof/>
              </w:rPr>
              <w:t>Data collection and analysis</w:t>
            </w:r>
            <w:r w:rsidR="00563AA6">
              <w:rPr>
                <w:noProof/>
                <w:webHidden/>
              </w:rPr>
              <w:tab/>
            </w:r>
            <w:r w:rsidR="00563AA6">
              <w:rPr>
                <w:noProof/>
                <w:webHidden/>
              </w:rPr>
              <w:fldChar w:fldCharType="begin"/>
            </w:r>
            <w:r w:rsidR="00563AA6">
              <w:rPr>
                <w:noProof/>
                <w:webHidden/>
              </w:rPr>
              <w:instrText xml:space="preserve"> PAGEREF _Toc64632042 \h </w:instrText>
            </w:r>
            <w:r w:rsidR="00563AA6">
              <w:rPr>
                <w:noProof/>
                <w:webHidden/>
              </w:rPr>
            </w:r>
            <w:r w:rsidR="00563AA6">
              <w:rPr>
                <w:noProof/>
                <w:webHidden/>
              </w:rPr>
              <w:fldChar w:fldCharType="separate"/>
            </w:r>
            <w:r w:rsidR="00563AA6">
              <w:rPr>
                <w:noProof/>
                <w:webHidden/>
              </w:rPr>
              <w:t>6</w:t>
            </w:r>
            <w:r w:rsidR="00563AA6">
              <w:rPr>
                <w:noProof/>
                <w:webHidden/>
              </w:rPr>
              <w:fldChar w:fldCharType="end"/>
            </w:r>
          </w:hyperlink>
        </w:p>
        <w:p w14:paraId="14852115" w14:textId="28548FE0" w:rsidR="00563AA6" w:rsidRDefault="009E09CA">
          <w:pPr>
            <w:pStyle w:val="TOC2"/>
            <w:tabs>
              <w:tab w:val="left" w:pos="880"/>
              <w:tab w:val="right" w:leader="dot" w:pos="9350"/>
            </w:tabs>
            <w:rPr>
              <w:rFonts w:asciiTheme="minorHAnsi" w:eastAsiaTheme="minorEastAsia" w:hAnsiTheme="minorHAnsi"/>
              <w:noProof/>
            </w:rPr>
          </w:pPr>
          <w:hyperlink w:anchor="_Toc64632043" w:history="1">
            <w:r w:rsidR="00563AA6" w:rsidRPr="008A0765">
              <w:rPr>
                <w:rStyle w:val="Hyperlink"/>
                <w:noProof/>
              </w:rPr>
              <w:t>2.4.</w:t>
            </w:r>
            <w:r w:rsidR="00563AA6">
              <w:rPr>
                <w:rFonts w:asciiTheme="minorHAnsi" w:eastAsiaTheme="minorEastAsia" w:hAnsiTheme="minorHAnsi"/>
                <w:noProof/>
              </w:rPr>
              <w:tab/>
            </w:r>
            <w:r w:rsidR="00563AA6" w:rsidRPr="008A0765">
              <w:rPr>
                <w:rStyle w:val="Hyperlink"/>
                <w:noProof/>
              </w:rPr>
              <w:t>Ethics</w:t>
            </w:r>
            <w:r w:rsidR="00563AA6">
              <w:rPr>
                <w:noProof/>
                <w:webHidden/>
              </w:rPr>
              <w:tab/>
            </w:r>
            <w:r w:rsidR="00563AA6">
              <w:rPr>
                <w:noProof/>
                <w:webHidden/>
              </w:rPr>
              <w:fldChar w:fldCharType="begin"/>
            </w:r>
            <w:r w:rsidR="00563AA6">
              <w:rPr>
                <w:noProof/>
                <w:webHidden/>
              </w:rPr>
              <w:instrText xml:space="preserve"> PAGEREF _Toc64632043 \h </w:instrText>
            </w:r>
            <w:r w:rsidR="00563AA6">
              <w:rPr>
                <w:noProof/>
                <w:webHidden/>
              </w:rPr>
            </w:r>
            <w:r w:rsidR="00563AA6">
              <w:rPr>
                <w:noProof/>
                <w:webHidden/>
              </w:rPr>
              <w:fldChar w:fldCharType="separate"/>
            </w:r>
            <w:r w:rsidR="00563AA6">
              <w:rPr>
                <w:noProof/>
                <w:webHidden/>
              </w:rPr>
              <w:t>7</w:t>
            </w:r>
            <w:r w:rsidR="00563AA6">
              <w:rPr>
                <w:noProof/>
                <w:webHidden/>
              </w:rPr>
              <w:fldChar w:fldCharType="end"/>
            </w:r>
          </w:hyperlink>
        </w:p>
        <w:p w14:paraId="5252EEFB" w14:textId="51B4AA22" w:rsidR="00563AA6" w:rsidRDefault="009E09CA">
          <w:pPr>
            <w:pStyle w:val="TOC2"/>
            <w:tabs>
              <w:tab w:val="left" w:pos="880"/>
              <w:tab w:val="right" w:leader="dot" w:pos="9350"/>
            </w:tabs>
            <w:rPr>
              <w:rFonts w:asciiTheme="minorHAnsi" w:eastAsiaTheme="minorEastAsia" w:hAnsiTheme="minorHAnsi"/>
              <w:noProof/>
            </w:rPr>
          </w:pPr>
          <w:hyperlink w:anchor="_Toc64632044" w:history="1">
            <w:r w:rsidR="00563AA6" w:rsidRPr="008A0765">
              <w:rPr>
                <w:rStyle w:val="Hyperlink"/>
                <w:noProof/>
              </w:rPr>
              <w:t>2.5.</w:t>
            </w:r>
            <w:r w:rsidR="00563AA6">
              <w:rPr>
                <w:rFonts w:asciiTheme="minorHAnsi" w:eastAsiaTheme="minorEastAsia" w:hAnsiTheme="minorHAnsi"/>
                <w:noProof/>
              </w:rPr>
              <w:tab/>
            </w:r>
            <w:r w:rsidR="00563AA6" w:rsidRPr="008A0765">
              <w:rPr>
                <w:rStyle w:val="Hyperlink"/>
                <w:noProof/>
              </w:rPr>
              <w:t>Limitations to the evaluation</w:t>
            </w:r>
            <w:r w:rsidR="00563AA6">
              <w:rPr>
                <w:noProof/>
                <w:webHidden/>
              </w:rPr>
              <w:tab/>
            </w:r>
            <w:r w:rsidR="00563AA6">
              <w:rPr>
                <w:noProof/>
                <w:webHidden/>
              </w:rPr>
              <w:fldChar w:fldCharType="begin"/>
            </w:r>
            <w:r w:rsidR="00563AA6">
              <w:rPr>
                <w:noProof/>
                <w:webHidden/>
              </w:rPr>
              <w:instrText xml:space="preserve"> PAGEREF _Toc64632044 \h </w:instrText>
            </w:r>
            <w:r w:rsidR="00563AA6">
              <w:rPr>
                <w:noProof/>
                <w:webHidden/>
              </w:rPr>
            </w:r>
            <w:r w:rsidR="00563AA6">
              <w:rPr>
                <w:noProof/>
                <w:webHidden/>
              </w:rPr>
              <w:fldChar w:fldCharType="separate"/>
            </w:r>
            <w:r w:rsidR="00563AA6">
              <w:rPr>
                <w:noProof/>
                <w:webHidden/>
              </w:rPr>
              <w:t>7</w:t>
            </w:r>
            <w:r w:rsidR="00563AA6">
              <w:rPr>
                <w:noProof/>
                <w:webHidden/>
              </w:rPr>
              <w:fldChar w:fldCharType="end"/>
            </w:r>
          </w:hyperlink>
        </w:p>
        <w:p w14:paraId="52A6F08B" w14:textId="702206CB" w:rsidR="00563AA6" w:rsidRDefault="009E09CA">
          <w:pPr>
            <w:pStyle w:val="TOC1"/>
            <w:tabs>
              <w:tab w:val="left" w:pos="440"/>
              <w:tab w:val="right" w:leader="dot" w:pos="9350"/>
            </w:tabs>
            <w:rPr>
              <w:rFonts w:asciiTheme="minorHAnsi" w:eastAsiaTheme="minorEastAsia" w:hAnsiTheme="minorHAnsi"/>
              <w:noProof/>
            </w:rPr>
          </w:pPr>
          <w:hyperlink w:anchor="_Toc64632045" w:history="1">
            <w:r w:rsidR="00563AA6" w:rsidRPr="008A0765">
              <w:rPr>
                <w:rStyle w:val="Hyperlink"/>
                <w:noProof/>
              </w:rPr>
              <w:t>3.</w:t>
            </w:r>
            <w:r w:rsidR="00563AA6">
              <w:rPr>
                <w:rFonts w:asciiTheme="minorHAnsi" w:eastAsiaTheme="minorEastAsia" w:hAnsiTheme="minorHAnsi"/>
                <w:noProof/>
              </w:rPr>
              <w:tab/>
            </w:r>
            <w:r w:rsidR="00563AA6" w:rsidRPr="008A0765">
              <w:rPr>
                <w:rStyle w:val="Hyperlink"/>
                <w:noProof/>
              </w:rPr>
              <w:t>Project Description</w:t>
            </w:r>
            <w:r w:rsidR="00563AA6">
              <w:rPr>
                <w:noProof/>
                <w:webHidden/>
              </w:rPr>
              <w:tab/>
            </w:r>
            <w:r w:rsidR="00563AA6">
              <w:rPr>
                <w:noProof/>
                <w:webHidden/>
              </w:rPr>
              <w:fldChar w:fldCharType="begin"/>
            </w:r>
            <w:r w:rsidR="00563AA6">
              <w:rPr>
                <w:noProof/>
                <w:webHidden/>
              </w:rPr>
              <w:instrText xml:space="preserve"> PAGEREF _Toc64632045 \h </w:instrText>
            </w:r>
            <w:r w:rsidR="00563AA6">
              <w:rPr>
                <w:noProof/>
                <w:webHidden/>
              </w:rPr>
            </w:r>
            <w:r w:rsidR="00563AA6">
              <w:rPr>
                <w:noProof/>
                <w:webHidden/>
              </w:rPr>
              <w:fldChar w:fldCharType="separate"/>
            </w:r>
            <w:r w:rsidR="00563AA6">
              <w:rPr>
                <w:noProof/>
                <w:webHidden/>
              </w:rPr>
              <w:t>8</w:t>
            </w:r>
            <w:r w:rsidR="00563AA6">
              <w:rPr>
                <w:noProof/>
                <w:webHidden/>
              </w:rPr>
              <w:fldChar w:fldCharType="end"/>
            </w:r>
          </w:hyperlink>
        </w:p>
        <w:p w14:paraId="6966EAC5" w14:textId="6886E5AE" w:rsidR="00563AA6" w:rsidRDefault="009E09CA">
          <w:pPr>
            <w:pStyle w:val="TOC2"/>
            <w:tabs>
              <w:tab w:val="left" w:pos="880"/>
              <w:tab w:val="right" w:leader="dot" w:pos="9350"/>
            </w:tabs>
            <w:rPr>
              <w:rFonts w:asciiTheme="minorHAnsi" w:eastAsiaTheme="minorEastAsia" w:hAnsiTheme="minorHAnsi"/>
              <w:noProof/>
            </w:rPr>
          </w:pPr>
          <w:hyperlink w:anchor="_Toc64632046" w:history="1">
            <w:r w:rsidR="00563AA6" w:rsidRPr="008A0765">
              <w:rPr>
                <w:rStyle w:val="Hyperlink"/>
                <w:noProof/>
              </w:rPr>
              <w:t>3.1.</w:t>
            </w:r>
            <w:r w:rsidR="00563AA6">
              <w:rPr>
                <w:rFonts w:asciiTheme="minorHAnsi" w:eastAsiaTheme="minorEastAsia" w:hAnsiTheme="minorHAnsi"/>
                <w:noProof/>
              </w:rPr>
              <w:tab/>
            </w:r>
            <w:r w:rsidR="00563AA6" w:rsidRPr="008A0765">
              <w:rPr>
                <w:rStyle w:val="Hyperlink"/>
                <w:noProof/>
              </w:rPr>
              <w:t>Project start and duration, including milestones</w:t>
            </w:r>
            <w:r w:rsidR="00563AA6">
              <w:rPr>
                <w:noProof/>
                <w:webHidden/>
              </w:rPr>
              <w:tab/>
            </w:r>
            <w:r w:rsidR="00563AA6">
              <w:rPr>
                <w:noProof/>
                <w:webHidden/>
              </w:rPr>
              <w:fldChar w:fldCharType="begin"/>
            </w:r>
            <w:r w:rsidR="00563AA6">
              <w:rPr>
                <w:noProof/>
                <w:webHidden/>
              </w:rPr>
              <w:instrText xml:space="preserve"> PAGEREF _Toc64632046 \h </w:instrText>
            </w:r>
            <w:r w:rsidR="00563AA6">
              <w:rPr>
                <w:noProof/>
                <w:webHidden/>
              </w:rPr>
            </w:r>
            <w:r w:rsidR="00563AA6">
              <w:rPr>
                <w:noProof/>
                <w:webHidden/>
              </w:rPr>
              <w:fldChar w:fldCharType="separate"/>
            </w:r>
            <w:r w:rsidR="00563AA6">
              <w:rPr>
                <w:noProof/>
                <w:webHidden/>
              </w:rPr>
              <w:t>8</w:t>
            </w:r>
            <w:r w:rsidR="00563AA6">
              <w:rPr>
                <w:noProof/>
                <w:webHidden/>
              </w:rPr>
              <w:fldChar w:fldCharType="end"/>
            </w:r>
          </w:hyperlink>
        </w:p>
        <w:p w14:paraId="2C498573" w14:textId="61ED5FD4" w:rsidR="00563AA6" w:rsidRDefault="009E09CA">
          <w:pPr>
            <w:pStyle w:val="TOC2"/>
            <w:tabs>
              <w:tab w:val="left" w:pos="880"/>
              <w:tab w:val="right" w:leader="dot" w:pos="9350"/>
            </w:tabs>
            <w:rPr>
              <w:rFonts w:asciiTheme="minorHAnsi" w:eastAsiaTheme="minorEastAsia" w:hAnsiTheme="minorHAnsi"/>
              <w:noProof/>
            </w:rPr>
          </w:pPr>
          <w:hyperlink w:anchor="_Toc64632047" w:history="1">
            <w:r w:rsidR="00563AA6" w:rsidRPr="008A0765">
              <w:rPr>
                <w:rStyle w:val="Hyperlink"/>
                <w:noProof/>
              </w:rPr>
              <w:t>3.2.</w:t>
            </w:r>
            <w:r w:rsidR="00563AA6">
              <w:rPr>
                <w:rFonts w:asciiTheme="minorHAnsi" w:eastAsiaTheme="minorEastAsia" w:hAnsiTheme="minorHAnsi"/>
                <w:noProof/>
              </w:rPr>
              <w:tab/>
            </w:r>
            <w:r w:rsidR="00563AA6" w:rsidRPr="008A0765">
              <w:rPr>
                <w:rStyle w:val="Hyperlink"/>
                <w:noProof/>
              </w:rPr>
              <w:t>Development context</w:t>
            </w:r>
            <w:r w:rsidR="00563AA6">
              <w:rPr>
                <w:noProof/>
                <w:webHidden/>
              </w:rPr>
              <w:tab/>
            </w:r>
            <w:r w:rsidR="00563AA6">
              <w:rPr>
                <w:noProof/>
                <w:webHidden/>
              </w:rPr>
              <w:fldChar w:fldCharType="begin"/>
            </w:r>
            <w:r w:rsidR="00563AA6">
              <w:rPr>
                <w:noProof/>
                <w:webHidden/>
              </w:rPr>
              <w:instrText xml:space="preserve"> PAGEREF _Toc64632047 \h </w:instrText>
            </w:r>
            <w:r w:rsidR="00563AA6">
              <w:rPr>
                <w:noProof/>
                <w:webHidden/>
              </w:rPr>
            </w:r>
            <w:r w:rsidR="00563AA6">
              <w:rPr>
                <w:noProof/>
                <w:webHidden/>
              </w:rPr>
              <w:fldChar w:fldCharType="separate"/>
            </w:r>
            <w:r w:rsidR="00563AA6">
              <w:rPr>
                <w:noProof/>
                <w:webHidden/>
              </w:rPr>
              <w:t>8</w:t>
            </w:r>
            <w:r w:rsidR="00563AA6">
              <w:rPr>
                <w:noProof/>
                <w:webHidden/>
              </w:rPr>
              <w:fldChar w:fldCharType="end"/>
            </w:r>
          </w:hyperlink>
        </w:p>
        <w:p w14:paraId="1B914640" w14:textId="02919F0F" w:rsidR="00563AA6" w:rsidRDefault="009E09CA">
          <w:pPr>
            <w:pStyle w:val="TOC2"/>
            <w:tabs>
              <w:tab w:val="left" w:pos="880"/>
              <w:tab w:val="right" w:leader="dot" w:pos="9350"/>
            </w:tabs>
            <w:rPr>
              <w:rFonts w:asciiTheme="minorHAnsi" w:eastAsiaTheme="minorEastAsia" w:hAnsiTheme="minorHAnsi"/>
              <w:noProof/>
            </w:rPr>
          </w:pPr>
          <w:hyperlink w:anchor="_Toc64632048" w:history="1">
            <w:r w:rsidR="00563AA6" w:rsidRPr="008A0765">
              <w:rPr>
                <w:rStyle w:val="Hyperlink"/>
                <w:noProof/>
              </w:rPr>
              <w:t>3.3.</w:t>
            </w:r>
            <w:r w:rsidR="00563AA6">
              <w:rPr>
                <w:rFonts w:asciiTheme="minorHAnsi" w:eastAsiaTheme="minorEastAsia" w:hAnsiTheme="minorHAnsi"/>
                <w:noProof/>
              </w:rPr>
              <w:tab/>
            </w:r>
            <w:r w:rsidR="00563AA6" w:rsidRPr="008A0765">
              <w:rPr>
                <w:rStyle w:val="Hyperlink"/>
                <w:noProof/>
              </w:rPr>
              <w:t>Problems that the project sought to address</w:t>
            </w:r>
            <w:r w:rsidR="00563AA6">
              <w:rPr>
                <w:noProof/>
                <w:webHidden/>
              </w:rPr>
              <w:tab/>
            </w:r>
            <w:r w:rsidR="00563AA6">
              <w:rPr>
                <w:noProof/>
                <w:webHidden/>
              </w:rPr>
              <w:fldChar w:fldCharType="begin"/>
            </w:r>
            <w:r w:rsidR="00563AA6">
              <w:rPr>
                <w:noProof/>
                <w:webHidden/>
              </w:rPr>
              <w:instrText xml:space="preserve"> PAGEREF _Toc64632048 \h </w:instrText>
            </w:r>
            <w:r w:rsidR="00563AA6">
              <w:rPr>
                <w:noProof/>
                <w:webHidden/>
              </w:rPr>
            </w:r>
            <w:r w:rsidR="00563AA6">
              <w:rPr>
                <w:noProof/>
                <w:webHidden/>
              </w:rPr>
              <w:fldChar w:fldCharType="separate"/>
            </w:r>
            <w:r w:rsidR="00563AA6">
              <w:rPr>
                <w:noProof/>
                <w:webHidden/>
              </w:rPr>
              <w:t>9</w:t>
            </w:r>
            <w:r w:rsidR="00563AA6">
              <w:rPr>
                <w:noProof/>
                <w:webHidden/>
              </w:rPr>
              <w:fldChar w:fldCharType="end"/>
            </w:r>
          </w:hyperlink>
        </w:p>
        <w:p w14:paraId="2F40C4F1" w14:textId="595BD81C" w:rsidR="00563AA6" w:rsidRDefault="009E09CA">
          <w:pPr>
            <w:pStyle w:val="TOC2"/>
            <w:tabs>
              <w:tab w:val="left" w:pos="880"/>
              <w:tab w:val="right" w:leader="dot" w:pos="9350"/>
            </w:tabs>
            <w:rPr>
              <w:rFonts w:asciiTheme="minorHAnsi" w:eastAsiaTheme="minorEastAsia" w:hAnsiTheme="minorHAnsi"/>
              <w:noProof/>
            </w:rPr>
          </w:pPr>
          <w:hyperlink w:anchor="_Toc64632049" w:history="1">
            <w:r w:rsidR="00563AA6" w:rsidRPr="008A0765">
              <w:rPr>
                <w:rStyle w:val="Hyperlink"/>
                <w:noProof/>
              </w:rPr>
              <w:t>3.4.</w:t>
            </w:r>
            <w:r w:rsidR="00563AA6">
              <w:rPr>
                <w:rFonts w:asciiTheme="minorHAnsi" w:eastAsiaTheme="minorEastAsia" w:hAnsiTheme="minorHAnsi"/>
                <w:noProof/>
              </w:rPr>
              <w:tab/>
            </w:r>
            <w:r w:rsidR="00563AA6" w:rsidRPr="008A0765">
              <w:rPr>
                <w:rStyle w:val="Hyperlink"/>
                <w:noProof/>
              </w:rPr>
              <w:t>Immediate and development objectives of the project</w:t>
            </w:r>
            <w:r w:rsidR="00563AA6">
              <w:rPr>
                <w:noProof/>
                <w:webHidden/>
              </w:rPr>
              <w:tab/>
            </w:r>
            <w:r w:rsidR="00563AA6">
              <w:rPr>
                <w:noProof/>
                <w:webHidden/>
              </w:rPr>
              <w:fldChar w:fldCharType="begin"/>
            </w:r>
            <w:r w:rsidR="00563AA6">
              <w:rPr>
                <w:noProof/>
                <w:webHidden/>
              </w:rPr>
              <w:instrText xml:space="preserve"> PAGEREF _Toc64632049 \h </w:instrText>
            </w:r>
            <w:r w:rsidR="00563AA6">
              <w:rPr>
                <w:noProof/>
                <w:webHidden/>
              </w:rPr>
            </w:r>
            <w:r w:rsidR="00563AA6">
              <w:rPr>
                <w:noProof/>
                <w:webHidden/>
              </w:rPr>
              <w:fldChar w:fldCharType="separate"/>
            </w:r>
            <w:r w:rsidR="00563AA6">
              <w:rPr>
                <w:noProof/>
                <w:webHidden/>
              </w:rPr>
              <w:t>10</w:t>
            </w:r>
            <w:r w:rsidR="00563AA6">
              <w:rPr>
                <w:noProof/>
                <w:webHidden/>
              </w:rPr>
              <w:fldChar w:fldCharType="end"/>
            </w:r>
          </w:hyperlink>
        </w:p>
        <w:p w14:paraId="62D01429" w14:textId="4957FCA1" w:rsidR="00563AA6" w:rsidRDefault="009E09CA">
          <w:pPr>
            <w:pStyle w:val="TOC2"/>
            <w:tabs>
              <w:tab w:val="left" w:pos="880"/>
              <w:tab w:val="right" w:leader="dot" w:pos="9350"/>
            </w:tabs>
            <w:rPr>
              <w:rFonts w:asciiTheme="minorHAnsi" w:eastAsiaTheme="minorEastAsia" w:hAnsiTheme="minorHAnsi"/>
              <w:noProof/>
            </w:rPr>
          </w:pPr>
          <w:hyperlink w:anchor="_Toc64632050" w:history="1">
            <w:r w:rsidR="00563AA6" w:rsidRPr="008A0765">
              <w:rPr>
                <w:rStyle w:val="Hyperlink"/>
                <w:noProof/>
              </w:rPr>
              <w:t>3.5.</w:t>
            </w:r>
            <w:r w:rsidR="00563AA6">
              <w:rPr>
                <w:rFonts w:asciiTheme="minorHAnsi" w:eastAsiaTheme="minorEastAsia" w:hAnsiTheme="minorHAnsi"/>
                <w:noProof/>
              </w:rPr>
              <w:tab/>
            </w:r>
            <w:r w:rsidR="00563AA6" w:rsidRPr="008A0765">
              <w:rPr>
                <w:rStyle w:val="Hyperlink"/>
                <w:noProof/>
              </w:rPr>
              <w:t>Expected results</w:t>
            </w:r>
            <w:r w:rsidR="00563AA6">
              <w:rPr>
                <w:noProof/>
                <w:webHidden/>
              </w:rPr>
              <w:tab/>
            </w:r>
            <w:r w:rsidR="00563AA6">
              <w:rPr>
                <w:noProof/>
                <w:webHidden/>
              </w:rPr>
              <w:fldChar w:fldCharType="begin"/>
            </w:r>
            <w:r w:rsidR="00563AA6">
              <w:rPr>
                <w:noProof/>
                <w:webHidden/>
              </w:rPr>
              <w:instrText xml:space="preserve"> PAGEREF _Toc64632050 \h </w:instrText>
            </w:r>
            <w:r w:rsidR="00563AA6">
              <w:rPr>
                <w:noProof/>
                <w:webHidden/>
              </w:rPr>
            </w:r>
            <w:r w:rsidR="00563AA6">
              <w:rPr>
                <w:noProof/>
                <w:webHidden/>
              </w:rPr>
              <w:fldChar w:fldCharType="separate"/>
            </w:r>
            <w:r w:rsidR="00563AA6">
              <w:rPr>
                <w:noProof/>
                <w:webHidden/>
              </w:rPr>
              <w:t>10</w:t>
            </w:r>
            <w:r w:rsidR="00563AA6">
              <w:rPr>
                <w:noProof/>
                <w:webHidden/>
              </w:rPr>
              <w:fldChar w:fldCharType="end"/>
            </w:r>
          </w:hyperlink>
        </w:p>
        <w:p w14:paraId="63A25517" w14:textId="15F7B79D" w:rsidR="00563AA6" w:rsidRDefault="009E09CA">
          <w:pPr>
            <w:pStyle w:val="TOC2"/>
            <w:tabs>
              <w:tab w:val="left" w:pos="880"/>
              <w:tab w:val="right" w:leader="dot" w:pos="9350"/>
            </w:tabs>
            <w:rPr>
              <w:rFonts w:asciiTheme="minorHAnsi" w:eastAsiaTheme="minorEastAsia" w:hAnsiTheme="minorHAnsi"/>
              <w:noProof/>
            </w:rPr>
          </w:pPr>
          <w:hyperlink w:anchor="_Toc64632051" w:history="1">
            <w:r w:rsidR="00563AA6" w:rsidRPr="008A0765">
              <w:rPr>
                <w:rStyle w:val="Hyperlink"/>
                <w:noProof/>
              </w:rPr>
              <w:t>3.6.</w:t>
            </w:r>
            <w:r w:rsidR="00563AA6">
              <w:rPr>
                <w:rFonts w:asciiTheme="minorHAnsi" w:eastAsiaTheme="minorEastAsia" w:hAnsiTheme="minorHAnsi"/>
                <w:noProof/>
              </w:rPr>
              <w:tab/>
            </w:r>
            <w:r w:rsidR="00563AA6" w:rsidRPr="008A0765">
              <w:rPr>
                <w:rStyle w:val="Hyperlink"/>
                <w:noProof/>
              </w:rPr>
              <w:t>Main stakeholders</w:t>
            </w:r>
            <w:r w:rsidR="00563AA6">
              <w:rPr>
                <w:noProof/>
                <w:webHidden/>
              </w:rPr>
              <w:tab/>
            </w:r>
            <w:r w:rsidR="00563AA6">
              <w:rPr>
                <w:noProof/>
                <w:webHidden/>
              </w:rPr>
              <w:fldChar w:fldCharType="begin"/>
            </w:r>
            <w:r w:rsidR="00563AA6">
              <w:rPr>
                <w:noProof/>
                <w:webHidden/>
              </w:rPr>
              <w:instrText xml:space="preserve"> PAGEREF _Toc64632051 \h </w:instrText>
            </w:r>
            <w:r w:rsidR="00563AA6">
              <w:rPr>
                <w:noProof/>
                <w:webHidden/>
              </w:rPr>
            </w:r>
            <w:r w:rsidR="00563AA6">
              <w:rPr>
                <w:noProof/>
                <w:webHidden/>
              </w:rPr>
              <w:fldChar w:fldCharType="separate"/>
            </w:r>
            <w:r w:rsidR="00563AA6">
              <w:rPr>
                <w:noProof/>
                <w:webHidden/>
              </w:rPr>
              <w:t>10</w:t>
            </w:r>
            <w:r w:rsidR="00563AA6">
              <w:rPr>
                <w:noProof/>
                <w:webHidden/>
              </w:rPr>
              <w:fldChar w:fldCharType="end"/>
            </w:r>
          </w:hyperlink>
        </w:p>
        <w:p w14:paraId="65A73848" w14:textId="5C4F4054" w:rsidR="00563AA6" w:rsidRDefault="009E09CA">
          <w:pPr>
            <w:pStyle w:val="TOC2"/>
            <w:tabs>
              <w:tab w:val="left" w:pos="880"/>
              <w:tab w:val="right" w:leader="dot" w:pos="9350"/>
            </w:tabs>
            <w:rPr>
              <w:rFonts w:asciiTheme="minorHAnsi" w:eastAsiaTheme="minorEastAsia" w:hAnsiTheme="minorHAnsi"/>
              <w:noProof/>
            </w:rPr>
          </w:pPr>
          <w:hyperlink w:anchor="_Toc64632052" w:history="1">
            <w:r w:rsidR="00563AA6" w:rsidRPr="008A0765">
              <w:rPr>
                <w:rStyle w:val="Hyperlink"/>
                <w:noProof/>
              </w:rPr>
              <w:t>3.7.</w:t>
            </w:r>
            <w:r w:rsidR="00563AA6">
              <w:rPr>
                <w:rFonts w:asciiTheme="minorHAnsi" w:eastAsiaTheme="minorEastAsia" w:hAnsiTheme="minorHAnsi"/>
                <w:noProof/>
              </w:rPr>
              <w:tab/>
            </w:r>
            <w:r w:rsidR="00563AA6" w:rsidRPr="008A0765">
              <w:rPr>
                <w:rStyle w:val="Hyperlink"/>
                <w:noProof/>
              </w:rPr>
              <w:t>Theory of change</w:t>
            </w:r>
            <w:r w:rsidR="00563AA6">
              <w:rPr>
                <w:noProof/>
                <w:webHidden/>
              </w:rPr>
              <w:tab/>
            </w:r>
            <w:r w:rsidR="00563AA6">
              <w:rPr>
                <w:noProof/>
                <w:webHidden/>
              </w:rPr>
              <w:fldChar w:fldCharType="begin"/>
            </w:r>
            <w:r w:rsidR="00563AA6">
              <w:rPr>
                <w:noProof/>
                <w:webHidden/>
              </w:rPr>
              <w:instrText xml:space="preserve"> PAGEREF _Toc64632052 \h </w:instrText>
            </w:r>
            <w:r w:rsidR="00563AA6">
              <w:rPr>
                <w:noProof/>
                <w:webHidden/>
              </w:rPr>
            </w:r>
            <w:r w:rsidR="00563AA6">
              <w:rPr>
                <w:noProof/>
                <w:webHidden/>
              </w:rPr>
              <w:fldChar w:fldCharType="separate"/>
            </w:r>
            <w:r w:rsidR="00563AA6">
              <w:rPr>
                <w:noProof/>
                <w:webHidden/>
              </w:rPr>
              <w:t>12</w:t>
            </w:r>
            <w:r w:rsidR="00563AA6">
              <w:rPr>
                <w:noProof/>
                <w:webHidden/>
              </w:rPr>
              <w:fldChar w:fldCharType="end"/>
            </w:r>
          </w:hyperlink>
        </w:p>
        <w:p w14:paraId="5B2715B2" w14:textId="0453408B" w:rsidR="00563AA6" w:rsidRDefault="009E09CA">
          <w:pPr>
            <w:pStyle w:val="TOC1"/>
            <w:tabs>
              <w:tab w:val="left" w:pos="440"/>
              <w:tab w:val="right" w:leader="dot" w:pos="9350"/>
            </w:tabs>
            <w:rPr>
              <w:rFonts w:asciiTheme="minorHAnsi" w:eastAsiaTheme="minorEastAsia" w:hAnsiTheme="minorHAnsi"/>
              <w:noProof/>
            </w:rPr>
          </w:pPr>
          <w:hyperlink w:anchor="_Toc64632053" w:history="1">
            <w:r w:rsidR="00563AA6" w:rsidRPr="008A0765">
              <w:rPr>
                <w:rStyle w:val="Hyperlink"/>
                <w:noProof/>
              </w:rPr>
              <w:t>4.</w:t>
            </w:r>
            <w:r w:rsidR="00563AA6">
              <w:rPr>
                <w:rFonts w:asciiTheme="minorHAnsi" w:eastAsiaTheme="minorEastAsia" w:hAnsiTheme="minorHAnsi"/>
                <w:noProof/>
              </w:rPr>
              <w:tab/>
            </w:r>
            <w:r w:rsidR="00563AA6" w:rsidRPr="008A0765">
              <w:rPr>
                <w:rStyle w:val="Hyperlink"/>
                <w:noProof/>
              </w:rPr>
              <w:t>Findings</w:t>
            </w:r>
            <w:r w:rsidR="00563AA6">
              <w:rPr>
                <w:noProof/>
                <w:webHidden/>
              </w:rPr>
              <w:tab/>
            </w:r>
            <w:r w:rsidR="00563AA6">
              <w:rPr>
                <w:noProof/>
                <w:webHidden/>
              </w:rPr>
              <w:fldChar w:fldCharType="begin"/>
            </w:r>
            <w:r w:rsidR="00563AA6">
              <w:rPr>
                <w:noProof/>
                <w:webHidden/>
              </w:rPr>
              <w:instrText xml:space="preserve"> PAGEREF _Toc64632053 \h </w:instrText>
            </w:r>
            <w:r w:rsidR="00563AA6">
              <w:rPr>
                <w:noProof/>
                <w:webHidden/>
              </w:rPr>
            </w:r>
            <w:r w:rsidR="00563AA6">
              <w:rPr>
                <w:noProof/>
                <w:webHidden/>
              </w:rPr>
              <w:fldChar w:fldCharType="separate"/>
            </w:r>
            <w:r w:rsidR="00563AA6">
              <w:rPr>
                <w:noProof/>
                <w:webHidden/>
              </w:rPr>
              <w:t>18</w:t>
            </w:r>
            <w:r w:rsidR="00563AA6">
              <w:rPr>
                <w:noProof/>
                <w:webHidden/>
              </w:rPr>
              <w:fldChar w:fldCharType="end"/>
            </w:r>
          </w:hyperlink>
        </w:p>
        <w:p w14:paraId="05782AF4" w14:textId="432D62D4" w:rsidR="00563AA6" w:rsidRDefault="009E09CA">
          <w:pPr>
            <w:pStyle w:val="TOC2"/>
            <w:tabs>
              <w:tab w:val="left" w:pos="880"/>
              <w:tab w:val="right" w:leader="dot" w:pos="9350"/>
            </w:tabs>
            <w:rPr>
              <w:rFonts w:asciiTheme="minorHAnsi" w:eastAsiaTheme="minorEastAsia" w:hAnsiTheme="minorHAnsi"/>
              <w:noProof/>
            </w:rPr>
          </w:pPr>
          <w:hyperlink w:anchor="_Toc64632054" w:history="1">
            <w:r w:rsidR="00563AA6" w:rsidRPr="008A0765">
              <w:rPr>
                <w:rStyle w:val="Hyperlink"/>
                <w:noProof/>
              </w:rPr>
              <w:t>4.1.</w:t>
            </w:r>
            <w:r w:rsidR="00563AA6">
              <w:rPr>
                <w:rFonts w:asciiTheme="minorHAnsi" w:eastAsiaTheme="minorEastAsia" w:hAnsiTheme="minorHAnsi"/>
                <w:noProof/>
              </w:rPr>
              <w:tab/>
            </w:r>
            <w:r w:rsidR="00563AA6" w:rsidRPr="008A0765">
              <w:rPr>
                <w:rStyle w:val="Hyperlink"/>
                <w:noProof/>
              </w:rPr>
              <w:t>Project Design/Formulation</w:t>
            </w:r>
            <w:r w:rsidR="00563AA6">
              <w:rPr>
                <w:noProof/>
                <w:webHidden/>
              </w:rPr>
              <w:tab/>
            </w:r>
            <w:r w:rsidR="00563AA6">
              <w:rPr>
                <w:noProof/>
                <w:webHidden/>
              </w:rPr>
              <w:fldChar w:fldCharType="begin"/>
            </w:r>
            <w:r w:rsidR="00563AA6">
              <w:rPr>
                <w:noProof/>
                <w:webHidden/>
              </w:rPr>
              <w:instrText xml:space="preserve"> PAGEREF _Toc64632054 \h </w:instrText>
            </w:r>
            <w:r w:rsidR="00563AA6">
              <w:rPr>
                <w:noProof/>
                <w:webHidden/>
              </w:rPr>
            </w:r>
            <w:r w:rsidR="00563AA6">
              <w:rPr>
                <w:noProof/>
                <w:webHidden/>
              </w:rPr>
              <w:fldChar w:fldCharType="separate"/>
            </w:r>
            <w:r w:rsidR="00563AA6">
              <w:rPr>
                <w:noProof/>
                <w:webHidden/>
              </w:rPr>
              <w:t>18</w:t>
            </w:r>
            <w:r w:rsidR="00563AA6">
              <w:rPr>
                <w:noProof/>
                <w:webHidden/>
              </w:rPr>
              <w:fldChar w:fldCharType="end"/>
            </w:r>
          </w:hyperlink>
        </w:p>
        <w:p w14:paraId="6E148B95" w14:textId="71A03436" w:rsidR="00563AA6" w:rsidRDefault="009E09CA">
          <w:pPr>
            <w:pStyle w:val="TOC2"/>
            <w:tabs>
              <w:tab w:val="left" w:pos="880"/>
              <w:tab w:val="right" w:leader="dot" w:pos="9350"/>
            </w:tabs>
            <w:rPr>
              <w:rFonts w:asciiTheme="minorHAnsi" w:eastAsiaTheme="minorEastAsia" w:hAnsiTheme="minorHAnsi"/>
              <w:noProof/>
            </w:rPr>
          </w:pPr>
          <w:hyperlink w:anchor="_Toc64632055" w:history="1">
            <w:r w:rsidR="00563AA6" w:rsidRPr="008A0765">
              <w:rPr>
                <w:rStyle w:val="Hyperlink"/>
                <w:noProof/>
              </w:rPr>
              <w:t>4.2.</w:t>
            </w:r>
            <w:r w:rsidR="00563AA6">
              <w:rPr>
                <w:rFonts w:asciiTheme="minorHAnsi" w:eastAsiaTheme="minorEastAsia" w:hAnsiTheme="minorHAnsi"/>
                <w:noProof/>
              </w:rPr>
              <w:tab/>
            </w:r>
            <w:r w:rsidR="00563AA6" w:rsidRPr="008A0765">
              <w:rPr>
                <w:rStyle w:val="Hyperlink"/>
                <w:noProof/>
              </w:rPr>
              <w:t>Project Implementation</w:t>
            </w:r>
            <w:r w:rsidR="00563AA6">
              <w:rPr>
                <w:noProof/>
                <w:webHidden/>
              </w:rPr>
              <w:tab/>
            </w:r>
            <w:r w:rsidR="00563AA6">
              <w:rPr>
                <w:noProof/>
                <w:webHidden/>
              </w:rPr>
              <w:fldChar w:fldCharType="begin"/>
            </w:r>
            <w:r w:rsidR="00563AA6">
              <w:rPr>
                <w:noProof/>
                <w:webHidden/>
              </w:rPr>
              <w:instrText xml:space="preserve"> PAGEREF _Toc64632055 \h </w:instrText>
            </w:r>
            <w:r w:rsidR="00563AA6">
              <w:rPr>
                <w:noProof/>
                <w:webHidden/>
              </w:rPr>
            </w:r>
            <w:r w:rsidR="00563AA6">
              <w:rPr>
                <w:noProof/>
                <w:webHidden/>
              </w:rPr>
              <w:fldChar w:fldCharType="separate"/>
            </w:r>
            <w:r w:rsidR="00563AA6">
              <w:rPr>
                <w:noProof/>
                <w:webHidden/>
              </w:rPr>
              <w:t>20</w:t>
            </w:r>
            <w:r w:rsidR="00563AA6">
              <w:rPr>
                <w:noProof/>
                <w:webHidden/>
              </w:rPr>
              <w:fldChar w:fldCharType="end"/>
            </w:r>
          </w:hyperlink>
        </w:p>
        <w:p w14:paraId="253BD522" w14:textId="6358F3AA" w:rsidR="00563AA6" w:rsidRDefault="009E09CA">
          <w:pPr>
            <w:pStyle w:val="TOC2"/>
            <w:tabs>
              <w:tab w:val="left" w:pos="880"/>
              <w:tab w:val="right" w:leader="dot" w:pos="9350"/>
            </w:tabs>
            <w:rPr>
              <w:rFonts w:asciiTheme="minorHAnsi" w:eastAsiaTheme="minorEastAsia" w:hAnsiTheme="minorHAnsi"/>
              <w:noProof/>
            </w:rPr>
          </w:pPr>
          <w:hyperlink w:anchor="_Toc64632056" w:history="1">
            <w:r w:rsidR="00563AA6" w:rsidRPr="008A0765">
              <w:rPr>
                <w:rStyle w:val="Hyperlink"/>
                <w:noProof/>
              </w:rPr>
              <w:t>4.3.</w:t>
            </w:r>
            <w:r w:rsidR="00563AA6">
              <w:rPr>
                <w:rFonts w:asciiTheme="minorHAnsi" w:eastAsiaTheme="minorEastAsia" w:hAnsiTheme="minorHAnsi"/>
                <w:noProof/>
              </w:rPr>
              <w:tab/>
            </w:r>
            <w:r w:rsidR="00563AA6" w:rsidRPr="008A0765">
              <w:rPr>
                <w:rStyle w:val="Hyperlink"/>
                <w:noProof/>
              </w:rPr>
              <w:t>Project Results</w:t>
            </w:r>
            <w:r w:rsidR="00563AA6">
              <w:rPr>
                <w:noProof/>
                <w:webHidden/>
              </w:rPr>
              <w:tab/>
            </w:r>
            <w:r w:rsidR="00563AA6">
              <w:rPr>
                <w:noProof/>
                <w:webHidden/>
              </w:rPr>
              <w:fldChar w:fldCharType="begin"/>
            </w:r>
            <w:r w:rsidR="00563AA6">
              <w:rPr>
                <w:noProof/>
                <w:webHidden/>
              </w:rPr>
              <w:instrText xml:space="preserve"> PAGEREF _Toc64632056 \h </w:instrText>
            </w:r>
            <w:r w:rsidR="00563AA6">
              <w:rPr>
                <w:noProof/>
                <w:webHidden/>
              </w:rPr>
            </w:r>
            <w:r w:rsidR="00563AA6">
              <w:rPr>
                <w:noProof/>
                <w:webHidden/>
              </w:rPr>
              <w:fldChar w:fldCharType="separate"/>
            </w:r>
            <w:r w:rsidR="00563AA6">
              <w:rPr>
                <w:noProof/>
                <w:webHidden/>
              </w:rPr>
              <w:t>29</w:t>
            </w:r>
            <w:r w:rsidR="00563AA6">
              <w:rPr>
                <w:noProof/>
                <w:webHidden/>
              </w:rPr>
              <w:fldChar w:fldCharType="end"/>
            </w:r>
          </w:hyperlink>
        </w:p>
        <w:p w14:paraId="036C3287" w14:textId="48AFB364" w:rsidR="00563AA6" w:rsidRDefault="009E09CA">
          <w:pPr>
            <w:pStyle w:val="TOC1"/>
            <w:tabs>
              <w:tab w:val="left" w:pos="440"/>
              <w:tab w:val="right" w:leader="dot" w:pos="9350"/>
            </w:tabs>
            <w:rPr>
              <w:rFonts w:asciiTheme="minorHAnsi" w:eastAsiaTheme="minorEastAsia" w:hAnsiTheme="minorHAnsi"/>
              <w:noProof/>
            </w:rPr>
          </w:pPr>
          <w:hyperlink w:anchor="_Toc64632057" w:history="1">
            <w:r w:rsidR="00563AA6" w:rsidRPr="008A0765">
              <w:rPr>
                <w:rStyle w:val="Hyperlink"/>
                <w:noProof/>
              </w:rPr>
              <w:t>5.</w:t>
            </w:r>
            <w:r w:rsidR="00563AA6">
              <w:rPr>
                <w:rFonts w:asciiTheme="minorHAnsi" w:eastAsiaTheme="minorEastAsia" w:hAnsiTheme="minorHAnsi"/>
                <w:noProof/>
              </w:rPr>
              <w:tab/>
            </w:r>
            <w:r w:rsidR="00563AA6" w:rsidRPr="008A0765">
              <w:rPr>
                <w:rStyle w:val="Hyperlink"/>
                <w:noProof/>
              </w:rPr>
              <w:t>Conclusions, recommendations and lessons</w:t>
            </w:r>
            <w:r w:rsidR="00563AA6">
              <w:rPr>
                <w:noProof/>
                <w:webHidden/>
              </w:rPr>
              <w:tab/>
            </w:r>
            <w:r w:rsidR="00563AA6">
              <w:rPr>
                <w:noProof/>
                <w:webHidden/>
              </w:rPr>
              <w:fldChar w:fldCharType="begin"/>
            </w:r>
            <w:r w:rsidR="00563AA6">
              <w:rPr>
                <w:noProof/>
                <w:webHidden/>
              </w:rPr>
              <w:instrText xml:space="preserve"> PAGEREF _Toc64632057 \h </w:instrText>
            </w:r>
            <w:r w:rsidR="00563AA6">
              <w:rPr>
                <w:noProof/>
                <w:webHidden/>
              </w:rPr>
            </w:r>
            <w:r w:rsidR="00563AA6">
              <w:rPr>
                <w:noProof/>
                <w:webHidden/>
              </w:rPr>
              <w:fldChar w:fldCharType="separate"/>
            </w:r>
            <w:r w:rsidR="00563AA6">
              <w:rPr>
                <w:noProof/>
                <w:webHidden/>
              </w:rPr>
              <w:t>47</w:t>
            </w:r>
            <w:r w:rsidR="00563AA6">
              <w:rPr>
                <w:noProof/>
                <w:webHidden/>
              </w:rPr>
              <w:fldChar w:fldCharType="end"/>
            </w:r>
          </w:hyperlink>
        </w:p>
        <w:p w14:paraId="68DB08DB" w14:textId="6FE7F676" w:rsidR="00563AA6" w:rsidRDefault="009E09CA">
          <w:pPr>
            <w:pStyle w:val="TOC2"/>
            <w:tabs>
              <w:tab w:val="left" w:pos="880"/>
              <w:tab w:val="right" w:leader="dot" w:pos="9350"/>
            </w:tabs>
            <w:rPr>
              <w:rFonts w:asciiTheme="minorHAnsi" w:eastAsiaTheme="minorEastAsia" w:hAnsiTheme="minorHAnsi"/>
              <w:noProof/>
            </w:rPr>
          </w:pPr>
          <w:hyperlink w:anchor="_Toc64632058" w:history="1">
            <w:r w:rsidR="00563AA6" w:rsidRPr="008A0765">
              <w:rPr>
                <w:rStyle w:val="Hyperlink"/>
                <w:noProof/>
              </w:rPr>
              <w:t>5.1.</w:t>
            </w:r>
            <w:r w:rsidR="00563AA6">
              <w:rPr>
                <w:rFonts w:asciiTheme="minorHAnsi" w:eastAsiaTheme="minorEastAsia" w:hAnsiTheme="minorHAnsi"/>
                <w:noProof/>
              </w:rPr>
              <w:tab/>
            </w:r>
            <w:r w:rsidR="00563AA6" w:rsidRPr="008A0765">
              <w:rPr>
                <w:rStyle w:val="Hyperlink"/>
                <w:noProof/>
              </w:rPr>
              <w:t>Conclusions</w:t>
            </w:r>
            <w:r w:rsidR="00563AA6">
              <w:rPr>
                <w:noProof/>
                <w:webHidden/>
              </w:rPr>
              <w:tab/>
            </w:r>
            <w:r w:rsidR="00563AA6">
              <w:rPr>
                <w:noProof/>
                <w:webHidden/>
              </w:rPr>
              <w:fldChar w:fldCharType="begin"/>
            </w:r>
            <w:r w:rsidR="00563AA6">
              <w:rPr>
                <w:noProof/>
                <w:webHidden/>
              </w:rPr>
              <w:instrText xml:space="preserve"> PAGEREF _Toc64632058 \h </w:instrText>
            </w:r>
            <w:r w:rsidR="00563AA6">
              <w:rPr>
                <w:noProof/>
                <w:webHidden/>
              </w:rPr>
            </w:r>
            <w:r w:rsidR="00563AA6">
              <w:rPr>
                <w:noProof/>
                <w:webHidden/>
              </w:rPr>
              <w:fldChar w:fldCharType="separate"/>
            </w:r>
            <w:r w:rsidR="00563AA6">
              <w:rPr>
                <w:noProof/>
                <w:webHidden/>
              </w:rPr>
              <w:t>47</w:t>
            </w:r>
            <w:r w:rsidR="00563AA6">
              <w:rPr>
                <w:noProof/>
                <w:webHidden/>
              </w:rPr>
              <w:fldChar w:fldCharType="end"/>
            </w:r>
          </w:hyperlink>
        </w:p>
        <w:p w14:paraId="35EFB305" w14:textId="61C48898" w:rsidR="00563AA6" w:rsidRDefault="009E09CA">
          <w:pPr>
            <w:pStyle w:val="TOC2"/>
            <w:tabs>
              <w:tab w:val="left" w:pos="880"/>
              <w:tab w:val="right" w:leader="dot" w:pos="9350"/>
            </w:tabs>
            <w:rPr>
              <w:rFonts w:asciiTheme="minorHAnsi" w:eastAsiaTheme="minorEastAsia" w:hAnsiTheme="minorHAnsi"/>
              <w:noProof/>
            </w:rPr>
          </w:pPr>
          <w:hyperlink w:anchor="_Toc64632059" w:history="1">
            <w:r w:rsidR="00563AA6" w:rsidRPr="008A0765">
              <w:rPr>
                <w:rStyle w:val="Hyperlink"/>
                <w:rFonts w:cs="Times New Roman"/>
                <w:noProof/>
              </w:rPr>
              <w:t>5.2.</w:t>
            </w:r>
            <w:r w:rsidR="00563AA6">
              <w:rPr>
                <w:rFonts w:asciiTheme="minorHAnsi" w:eastAsiaTheme="minorEastAsia" w:hAnsiTheme="minorHAnsi"/>
                <w:noProof/>
              </w:rPr>
              <w:tab/>
            </w:r>
            <w:r w:rsidR="00563AA6" w:rsidRPr="008A0765">
              <w:rPr>
                <w:rStyle w:val="Hyperlink"/>
                <w:noProof/>
              </w:rPr>
              <w:t>Recommendations</w:t>
            </w:r>
            <w:r w:rsidR="00563AA6">
              <w:rPr>
                <w:noProof/>
                <w:webHidden/>
              </w:rPr>
              <w:tab/>
            </w:r>
            <w:r w:rsidR="00563AA6">
              <w:rPr>
                <w:noProof/>
                <w:webHidden/>
              </w:rPr>
              <w:fldChar w:fldCharType="begin"/>
            </w:r>
            <w:r w:rsidR="00563AA6">
              <w:rPr>
                <w:noProof/>
                <w:webHidden/>
              </w:rPr>
              <w:instrText xml:space="preserve"> PAGEREF _Toc64632059 \h </w:instrText>
            </w:r>
            <w:r w:rsidR="00563AA6">
              <w:rPr>
                <w:noProof/>
                <w:webHidden/>
              </w:rPr>
            </w:r>
            <w:r w:rsidR="00563AA6">
              <w:rPr>
                <w:noProof/>
                <w:webHidden/>
              </w:rPr>
              <w:fldChar w:fldCharType="separate"/>
            </w:r>
            <w:r w:rsidR="00563AA6">
              <w:rPr>
                <w:noProof/>
                <w:webHidden/>
              </w:rPr>
              <w:t>48</w:t>
            </w:r>
            <w:r w:rsidR="00563AA6">
              <w:rPr>
                <w:noProof/>
                <w:webHidden/>
              </w:rPr>
              <w:fldChar w:fldCharType="end"/>
            </w:r>
          </w:hyperlink>
        </w:p>
        <w:p w14:paraId="47B38B27" w14:textId="36554C43" w:rsidR="00563AA6" w:rsidRDefault="009E09CA">
          <w:pPr>
            <w:pStyle w:val="TOC2"/>
            <w:tabs>
              <w:tab w:val="left" w:pos="880"/>
              <w:tab w:val="right" w:leader="dot" w:pos="9350"/>
            </w:tabs>
            <w:rPr>
              <w:rFonts w:asciiTheme="minorHAnsi" w:eastAsiaTheme="minorEastAsia" w:hAnsiTheme="minorHAnsi"/>
              <w:noProof/>
            </w:rPr>
          </w:pPr>
          <w:hyperlink w:anchor="_Toc64632060" w:history="1">
            <w:r w:rsidR="00563AA6" w:rsidRPr="008A0765">
              <w:rPr>
                <w:rStyle w:val="Hyperlink"/>
                <w:noProof/>
              </w:rPr>
              <w:t>5.3.</w:t>
            </w:r>
            <w:r w:rsidR="00563AA6">
              <w:rPr>
                <w:rFonts w:asciiTheme="minorHAnsi" w:eastAsiaTheme="minorEastAsia" w:hAnsiTheme="minorHAnsi"/>
                <w:noProof/>
              </w:rPr>
              <w:tab/>
            </w:r>
            <w:r w:rsidR="00563AA6" w:rsidRPr="008A0765">
              <w:rPr>
                <w:rStyle w:val="Hyperlink"/>
                <w:noProof/>
              </w:rPr>
              <w:t>Lessons learned</w:t>
            </w:r>
            <w:r w:rsidR="00563AA6">
              <w:rPr>
                <w:noProof/>
                <w:webHidden/>
              </w:rPr>
              <w:tab/>
            </w:r>
            <w:r w:rsidR="00563AA6">
              <w:rPr>
                <w:noProof/>
                <w:webHidden/>
              </w:rPr>
              <w:fldChar w:fldCharType="begin"/>
            </w:r>
            <w:r w:rsidR="00563AA6">
              <w:rPr>
                <w:noProof/>
                <w:webHidden/>
              </w:rPr>
              <w:instrText xml:space="preserve"> PAGEREF _Toc64632060 \h </w:instrText>
            </w:r>
            <w:r w:rsidR="00563AA6">
              <w:rPr>
                <w:noProof/>
                <w:webHidden/>
              </w:rPr>
            </w:r>
            <w:r w:rsidR="00563AA6">
              <w:rPr>
                <w:noProof/>
                <w:webHidden/>
              </w:rPr>
              <w:fldChar w:fldCharType="separate"/>
            </w:r>
            <w:r w:rsidR="00563AA6">
              <w:rPr>
                <w:noProof/>
                <w:webHidden/>
              </w:rPr>
              <w:t>49</w:t>
            </w:r>
            <w:r w:rsidR="00563AA6">
              <w:rPr>
                <w:noProof/>
                <w:webHidden/>
              </w:rPr>
              <w:fldChar w:fldCharType="end"/>
            </w:r>
          </w:hyperlink>
        </w:p>
        <w:p w14:paraId="4DEE23D2" w14:textId="44DE8A43" w:rsidR="00563AA6" w:rsidRDefault="009E09CA">
          <w:pPr>
            <w:pStyle w:val="TOC1"/>
            <w:tabs>
              <w:tab w:val="left" w:pos="1100"/>
              <w:tab w:val="right" w:leader="dot" w:pos="9350"/>
            </w:tabs>
            <w:rPr>
              <w:rFonts w:asciiTheme="minorHAnsi" w:eastAsiaTheme="minorEastAsia" w:hAnsiTheme="minorHAnsi"/>
              <w:noProof/>
            </w:rPr>
          </w:pPr>
          <w:hyperlink w:anchor="_Toc64632061" w:history="1">
            <w:r w:rsidR="00563AA6" w:rsidRPr="008A0765">
              <w:rPr>
                <w:rStyle w:val="Hyperlink"/>
                <w:noProof/>
              </w:rPr>
              <w:t>Annex A.</w:t>
            </w:r>
            <w:r w:rsidR="00563AA6">
              <w:rPr>
                <w:rFonts w:asciiTheme="minorHAnsi" w:eastAsiaTheme="minorEastAsia" w:hAnsiTheme="minorHAnsi"/>
                <w:noProof/>
              </w:rPr>
              <w:tab/>
            </w:r>
            <w:r w:rsidR="00563AA6" w:rsidRPr="008A0765">
              <w:rPr>
                <w:rStyle w:val="Hyperlink"/>
                <w:noProof/>
              </w:rPr>
              <w:t>Terminal evaluation terms of reference</w:t>
            </w:r>
            <w:r w:rsidR="00563AA6">
              <w:rPr>
                <w:noProof/>
                <w:webHidden/>
              </w:rPr>
              <w:tab/>
            </w:r>
            <w:r w:rsidR="00563AA6">
              <w:rPr>
                <w:noProof/>
                <w:webHidden/>
              </w:rPr>
              <w:fldChar w:fldCharType="begin"/>
            </w:r>
            <w:r w:rsidR="00563AA6">
              <w:rPr>
                <w:noProof/>
                <w:webHidden/>
              </w:rPr>
              <w:instrText xml:space="preserve"> PAGEREF _Toc64632061 \h </w:instrText>
            </w:r>
            <w:r w:rsidR="00563AA6">
              <w:rPr>
                <w:noProof/>
                <w:webHidden/>
              </w:rPr>
            </w:r>
            <w:r w:rsidR="00563AA6">
              <w:rPr>
                <w:noProof/>
                <w:webHidden/>
              </w:rPr>
              <w:fldChar w:fldCharType="separate"/>
            </w:r>
            <w:r w:rsidR="00563AA6">
              <w:rPr>
                <w:noProof/>
                <w:webHidden/>
              </w:rPr>
              <w:t>51</w:t>
            </w:r>
            <w:r w:rsidR="00563AA6">
              <w:rPr>
                <w:noProof/>
                <w:webHidden/>
              </w:rPr>
              <w:fldChar w:fldCharType="end"/>
            </w:r>
          </w:hyperlink>
        </w:p>
        <w:p w14:paraId="43E10229" w14:textId="220C778A" w:rsidR="00563AA6" w:rsidRDefault="009E09CA">
          <w:pPr>
            <w:pStyle w:val="TOC1"/>
            <w:tabs>
              <w:tab w:val="left" w:pos="1100"/>
              <w:tab w:val="right" w:leader="dot" w:pos="9350"/>
            </w:tabs>
            <w:rPr>
              <w:rFonts w:asciiTheme="minorHAnsi" w:eastAsiaTheme="minorEastAsia" w:hAnsiTheme="minorHAnsi"/>
              <w:noProof/>
            </w:rPr>
          </w:pPr>
          <w:hyperlink w:anchor="_Toc64632062" w:history="1">
            <w:r w:rsidR="00563AA6" w:rsidRPr="008A0765">
              <w:rPr>
                <w:rStyle w:val="Hyperlink"/>
                <w:noProof/>
              </w:rPr>
              <w:t>Annex B.</w:t>
            </w:r>
            <w:r w:rsidR="00563AA6">
              <w:rPr>
                <w:rFonts w:asciiTheme="minorHAnsi" w:eastAsiaTheme="minorEastAsia" w:hAnsiTheme="minorHAnsi"/>
                <w:noProof/>
              </w:rPr>
              <w:tab/>
            </w:r>
            <w:r w:rsidR="00563AA6" w:rsidRPr="008A0765">
              <w:rPr>
                <w:rStyle w:val="Hyperlink"/>
                <w:noProof/>
              </w:rPr>
              <w:t>List of persons interviewed</w:t>
            </w:r>
            <w:r w:rsidR="00563AA6">
              <w:rPr>
                <w:noProof/>
                <w:webHidden/>
              </w:rPr>
              <w:tab/>
            </w:r>
            <w:r w:rsidR="00563AA6">
              <w:rPr>
                <w:noProof/>
                <w:webHidden/>
              </w:rPr>
              <w:fldChar w:fldCharType="begin"/>
            </w:r>
            <w:r w:rsidR="00563AA6">
              <w:rPr>
                <w:noProof/>
                <w:webHidden/>
              </w:rPr>
              <w:instrText xml:space="preserve"> PAGEREF _Toc64632062 \h </w:instrText>
            </w:r>
            <w:r w:rsidR="00563AA6">
              <w:rPr>
                <w:noProof/>
                <w:webHidden/>
              </w:rPr>
            </w:r>
            <w:r w:rsidR="00563AA6">
              <w:rPr>
                <w:noProof/>
                <w:webHidden/>
              </w:rPr>
              <w:fldChar w:fldCharType="separate"/>
            </w:r>
            <w:r w:rsidR="00563AA6">
              <w:rPr>
                <w:noProof/>
                <w:webHidden/>
              </w:rPr>
              <w:t>72</w:t>
            </w:r>
            <w:r w:rsidR="00563AA6">
              <w:rPr>
                <w:noProof/>
                <w:webHidden/>
              </w:rPr>
              <w:fldChar w:fldCharType="end"/>
            </w:r>
          </w:hyperlink>
        </w:p>
        <w:p w14:paraId="2A1CB4B0" w14:textId="56FCC727" w:rsidR="00563AA6" w:rsidRDefault="009E09CA">
          <w:pPr>
            <w:pStyle w:val="TOC1"/>
            <w:tabs>
              <w:tab w:val="left" w:pos="1100"/>
              <w:tab w:val="right" w:leader="dot" w:pos="9350"/>
            </w:tabs>
            <w:rPr>
              <w:rFonts w:asciiTheme="minorHAnsi" w:eastAsiaTheme="minorEastAsia" w:hAnsiTheme="minorHAnsi"/>
              <w:noProof/>
            </w:rPr>
          </w:pPr>
          <w:hyperlink w:anchor="_Toc64632063" w:history="1">
            <w:r w:rsidR="00563AA6" w:rsidRPr="008A0765">
              <w:rPr>
                <w:rStyle w:val="Hyperlink"/>
                <w:noProof/>
              </w:rPr>
              <w:t>Annex C.</w:t>
            </w:r>
            <w:r w:rsidR="00563AA6">
              <w:rPr>
                <w:rFonts w:asciiTheme="minorHAnsi" w:eastAsiaTheme="minorEastAsia" w:hAnsiTheme="minorHAnsi"/>
                <w:noProof/>
              </w:rPr>
              <w:tab/>
            </w:r>
            <w:r w:rsidR="00563AA6" w:rsidRPr="008A0765">
              <w:rPr>
                <w:rStyle w:val="Hyperlink"/>
                <w:noProof/>
              </w:rPr>
              <w:t>List of documents reviewed</w:t>
            </w:r>
            <w:r w:rsidR="00563AA6">
              <w:rPr>
                <w:noProof/>
                <w:webHidden/>
              </w:rPr>
              <w:tab/>
            </w:r>
            <w:r w:rsidR="00563AA6">
              <w:rPr>
                <w:noProof/>
                <w:webHidden/>
              </w:rPr>
              <w:fldChar w:fldCharType="begin"/>
            </w:r>
            <w:r w:rsidR="00563AA6">
              <w:rPr>
                <w:noProof/>
                <w:webHidden/>
              </w:rPr>
              <w:instrText xml:space="preserve"> PAGEREF _Toc64632063 \h </w:instrText>
            </w:r>
            <w:r w:rsidR="00563AA6">
              <w:rPr>
                <w:noProof/>
                <w:webHidden/>
              </w:rPr>
            </w:r>
            <w:r w:rsidR="00563AA6">
              <w:rPr>
                <w:noProof/>
                <w:webHidden/>
              </w:rPr>
              <w:fldChar w:fldCharType="separate"/>
            </w:r>
            <w:r w:rsidR="00563AA6">
              <w:rPr>
                <w:noProof/>
                <w:webHidden/>
              </w:rPr>
              <w:t>73</w:t>
            </w:r>
            <w:r w:rsidR="00563AA6">
              <w:rPr>
                <w:noProof/>
                <w:webHidden/>
              </w:rPr>
              <w:fldChar w:fldCharType="end"/>
            </w:r>
          </w:hyperlink>
        </w:p>
        <w:p w14:paraId="2A4C9CF4" w14:textId="3FA476FB" w:rsidR="00563AA6" w:rsidRDefault="009E09CA">
          <w:pPr>
            <w:pStyle w:val="TOC1"/>
            <w:tabs>
              <w:tab w:val="left" w:pos="1100"/>
              <w:tab w:val="right" w:leader="dot" w:pos="9350"/>
            </w:tabs>
            <w:rPr>
              <w:rFonts w:asciiTheme="minorHAnsi" w:eastAsiaTheme="minorEastAsia" w:hAnsiTheme="minorHAnsi"/>
              <w:noProof/>
            </w:rPr>
          </w:pPr>
          <w:hyperlink w:anchor="_Toc64632064" w:history="1">
            <w:r w:rsidR="00563AA6" w:rsidRPr="008A0765">
              <w:rPr>
                <w:rStyle w:val="Hyperlink"/>
                <w:noProof/>
              </w:rPr>
              <w:t>Annex D.</w:t>
            </w:r>
            <w:r w:rsidR="00563AA6">
              <w:rPr>
                <w:rFonts w:asciiTheme="minorHAnsi" w:eastAsiaTheme="minorEastAsia" w:hAnsiTheme="minorHAnsi"/>
                <w:noProof/>
              </w:rPr>
              <w:tab/>
            </w:r>
            <w:r w:rsidR="00563AA6" w:rsidRPr="008A0765">
              <w:rPr>
                <w:rStyle w:val="Hyperlink"/>
                <w:noProof/>
              </w:rPr>
              <w:t>Evaluation criteria matrix</w:t>
            </w:r>
            <w:r w:rsidR="00563AA6">
              <w:rPr>
                <w:noProof/>
                <w:webHidden/>
              </w:rPr>
              <w:tab/>
            </w:r>
            <w:r w:rsidR="00563AA6">
              <w:rPr>
                <w:noProof/>
                <w:webHidden/>
              </w:rPr>
              <w:fldChar w:fldCharType="begin"/>
            </w:r>
            <w:r w:rsidR="00563AA6">
              <w:rPr>
                <w:noProof/>
                <w:webHidden/>
              </w:rPr>
              <w:instrText xml:space="preserve"> PAGEREF _Toc64632064 \h </w:instrText>
            </w:r>
            <w:r w:rsidR="00563AA6">
              <w:rPr>
                <w:noProof/>
                <w:webHidden/>
              </w:rPr>
            </w:r>
            <w:r w:rsidR="00563AA6">
              <w:rPr>
                <w:noProof/>
                <w:webHidden/>
              </w:rPr>
              <w:fldChar w:fldCharType="separate"/>
            </w:r>
            <w:r w:rsidR="00563AA6">
              <w:rPr>
                <w:noProof/>
                <w:webHidden/>
              </w:rPr>
              <w:t>74</w:t>
            </w:r>
            <w:r w:rsidR="00563AA6">
              <w:rPr>
                <w:noProof/>
                <w:webHidden/>
              </w:rPr>
              <w:fldChar w:fldCharType="end"/>
            </w:r>
          </w:hyperlink>
        </w:p>
        <w:p w14:paraId="582E0E63" w14:textId="52FCB42D" w:rsidR="00563AA6" w:rsidRDefault="009E09CA">
          <w:pPr>
            <w:pStyle w:val="TOC1"/>
            <w:tabs>
              <w:tab w:val="left" w:pos="1100"/>
              <w:tab w:val="right" w:leader="dot" w:pos="9350"/>
            </w:tabs>
            <w:rPr>
              <w:rFonts w:asciiTheme="minorHAnsi" w:eastAsiaTheme="minorEastAsia" w:hAnsiTheme="minorHAnsi"/>
              <w:noProof/>
            </w:rPr>
          </w:pPr>
          <w:hyperlink w:anchor="_Toc64632065" w:history="1">
            <w:r w:rsidR="00563AA6" w:rsidRPr="008A0765">
              <w:rPr>
                <w:rStyle w:val="Hyperlink"/>
                <w:noProof/>
              </w:rPr>
              <w:t>Annex E.</w:t>
            </w:r>
            <w:r w:rsidR="00563AA6">
              <w:rPr>
                <w:rFonts w:asciiTheme="minorHAnsi" w:eastAsiaTheme="minorEastAsia" w:hAnsiTheme="minorHAnsi"/>
                <w:noProof/>
              </w:rPr>
              <w:tab/>
            </w:r>
            <w:r w:rsidR="00563AA6" w:rsidRPr="008A0765">
              <w:rPr>
                <w:rStyle w:val="Hyperlink"/>
                <w:noProof/>
              </w:rPr>
              <w:t>TE rating scales</w:t>
            </w:r>
            <w:r w:rsidR="00563AA6">
              <w:rPr>
                <w:noProof/>
                <w:webHidden/>
              </w:rPr>
              <w:tab/>
            </w:r>
            <w:r w:rsidR="00563AA6">
              <w:rPr>
                <w:noProof/>
                <w:webHidden/>
              </w:rPr>
              <w:fldChar w:fldCharType="begin"/>
            </w:r>
            <w:r w:rsidR="00563AA6">
              <w:rPr>
                <w:noProof/>
                <w:webHidden/>
              </w:rPr>
              <w:instrText xml:space="preserve"> PAGEREF _Toc64632065 \h </w:instrText>
            </w:r>
            <w:r w:rsidR="00563AA6">
              <w:rPr>
                <w:noProof/>
                <w:webHidden/>
              </w:rPr>
            </w:r>
            <w:r w:rsidR="00563AA6">
              <w:rPr>
                <w:noProof/>
                <w:webHidden/>
              </w:rPr>
              <w:fldChar w:fldCharType="separate"/>
            </w:r>
            <w:r w:rsidR="00563AA6">
              <w:rPr>
                <w:noProof/>
                <w:webHidden/>
              </w:rPr>
              <w:t>81</w:t>
            </w:r>
            <w:r w:rsidR="00563AA6">
              <w:rPr>
                <w:noProof/>
                <w:webHidden/>
              </w:rPr>
              <w:fldChar w:fldCharType="end"/>
            </w:r>
          </w:hyperlink>
        </w:p>
        <w:p w14:paraId="79EACC52" w14:textId="341AA308" w:rsidR="00563AA6" w:rsidRDefault="009E09CA">
          <w:pPr>
            <w:pStyle w:val="TOC1"/>
            <w:tabs>
              <w:tab w:val="left" w:pos="1100"/>
              <w:tab w:val="right" w:leader="dot" w:pos="9350"/>
            </w:tabs>
            <w:rPr>
              <w:rFonts w:asciiTheme="minorHAnsi" w:eastAsiaTheme="minorEastAsia" w:hAnsiTheme="minorHAnsi"/>
              <w:noProof/>
            </w:rPr>
          </w:pPr>
          <w:hyperlink w:anchor="_Toc64632066" w:history="1">
            <w:r w:rsidR="00563AA6" w:rsidRPr="008A0765">
              <w:rPr>
                <w:rStyle w:val="Hyperlink"/>
                <w:noProof/>
              </w:rPr>
              <w:t>Annex F.</w:t>
            </w:r>
            <w:r w:rsidR="00563AA6">
              <w:rPr>
                <w:rFonts w:asciiTheme="minorHAnsi" w:eastAsiaTheme="minorEastAsia" w:hAnsiTheme="minorHAnsi"/>
                <w:noProof/>
              </w:rPr>
              <w:tab/>
            </w:r>
            <w:r w:rsidR="00563AA6" w:rsidRPr="008A0765">
              <w:rPr>
                <w:rStyle w:val="Hyperlink"/>
                <w:noProof/>
              </w:rPr>
              <w:t>Signed UNEG Code of Conduct form</w:t>
            </w:r>
            <w:r w:rsidR="00563AA6">
              <w:rPr>
                <w:noProof/>
                <w:webHidden/>
              </w:rPr>
              <w:tab/>
            </w:r>
            <w:r w:rsidR="00563AA6">
              <w:rPr>
                <w:noProof/>
                <w:webHidden/>
              </w:rPr>
              <w:fldChar w:fldCharType="begin"/>
            </w:r>
            <w:r w:rsidR="00563AA6">
              <w:rPr>
                <w:noProof/>
                <w:webHidden/>
              </w:rPr>
              <w:instrText xml:space="preserve"> PAGEREF _Toc64632066 \h </w:instrText>
            </w:r>
            <w:r w:rsidR="00563AA6">
              <w:rPr>
                <w:noProof/>
                <w:webHidden/>
              </w:rPr>
            </w:r>
            <w:r w:rsidR="00563AA6">
              <w:rPr>
                <w:noProof/>
                <w:webHidden/>
              </w:rPr>
              <w:fldChar w:fldCharType="separate"/>
            </w:r>
            <w:r w:rsidR="00563AA6">
              <w:rPr>
                <w:noProof/>
                <w:webHidden/>
              </w:rPr>
              <w:t>83</w:t>
            </w:r>
            <w:r w:rsidR="00563AA6">
              <w:rPr>
                <w:noProof/>
                <w:webHidden/>
              </w:rPr>
              <w:fldChar w:fldCharType="end"/>
            </w:r>
          </w:hyperlink>
        </w:p>
        <w:p w14:paraId="3FAD5642" w14:textId="0491299C" w:rsidR="00563AA6" w:rsidRDefault="009E09CA">
          <w:pPr>
            <w:pStyle w:val="TOC1"/>
            <w:tabs>
              <w:tab w:val="left" w:pos="1100"/>
              <w:tab w:val="right" w:leader="dot" w:pos="9350"/>
            </w:tabs>
            <w:rPr>
              <w:rFonts w:asciiTheme="minorHAnsi" w:eastAsiaTheme="minorEastAsia" w:hAnsiTheme="minorHAnsi"/>
              <w:noProof/>
            </w:rPr>
          </w:pPr>
          <w:hyperlink w:anchor="_Toc64632067" w:history="1">
            <w:r w:rsidR="00563AA6" w:rsidRPr="008A0765">
              <w:rPr>
                <w:rStyle w:val="Hyperlink"/>
                <w:noProof/>
              </w:rPr>
              <w:t>Annex G.</w:t>
            </w:r>
            <w:r w:rsidR="00563AA6">
              <w:rPr>
                <w:rFonts w:asciiTheme="minorHAnsi" w:eastAsiaTheme="minorEastAsia" w:hAnsiTheme="minorHAnsi"/>
                <w:noProof/>
              </w:rPr>
              <w:tab/>
            </w:r>
            <w:r w:rsidR="00563AA6" w:rsidRPr="008A0765">
              <w:rPr>
                <w:rStyle w:val="Hyperlink"/>
                <w:noProof/>
              </w:rPr>
              <w:t>Signed TE report clearance form</w:t>
            </w:r>
            <w:r w:rsidR="00563AA6">
              <w:rPr>
                <w:noProof/>
                <w:webHidden/>
              </w:rPr>
              <w:tab/>
            </w:r>
            <w:r w:rsidR="00563AA6">
              <w:rPr>
                <w:noProof/>
                <w:webHidden/>
              </w:rPr>
              <w:fldChar w:fldCharType="begin"/>
            </w:r>
            <w:r w:rsidR="00563AA6">
              <w:rPr>
                <w:noProof/>
                <w:webHidden/>
              </w:rPr>
              <w:instrText xml:space="preserve"> PAGEREF _Toc64632067 \h </w:instrText>
            </w:r>
            <w:r w:rsidR="00563AA6">
              <w:rPr>
                <w:noProof/>
                <w:webHidden/>
              </w:rPr>
            </w:r>
            <w:r w:rsidR="00563AA6">
              <w:rPr>
                <w:noProof/>
                <w:webHidden/>
              </w:rPr>
              <w:fldChar w:fldCharType="separate"/>
            </w:r>
            <w:r w:rsidR="00563AA6">
              <w:rPr>
                <w:noProof/>
                <w:webHidden/>
              </w:rPr>
              <w:t>84</w:t>
            </w:r>
            <w:r w:rsidR="00563AA6">
              <w:rPr>
                <w:noProof/>
                <w:webHidden/>
              </w:rPr>
              <w:fldChar w:fldCharType="end"/>
            </w:r>
          </w:hyperlink>
        </w:p>
        <w:p w14:paraId="77D2EE2D" w14:textId="3F258ECF" w:rsidR="00563AA6" w:rsidRDefault="009E09CA">
          <w:pPr>
            <w:pStyle w:val="TOC1"/>
            <w:tabs>
              <w:tab w:val="left" w:pos="1100"/>
              <w:tab w:val="right" w:leader="dot" w:pos="9350"/>
            </w:tabs>
            <w:rPr>
              <w:rFonts w:asciiTheme="minorHAnsi" w:eastAsiaTheme="minorEastAsia" w:hAnsiTheme="minorHAnsi"/>
              <w:noProof/>
            </w:rPr>
          </w:pPr>
          <w:hyperlink w:anchor="_Toc64632068" w:history="1">
            <w:r w:rsidR="00563AA6" w:rsidRPr="008A0765">
              <w:rPr>
                <w:rStyle w:val="Hyperlink"/>
                <w:noProof/>
              </w:rPr>
              <w:t>Annex H.</w:t>
            </w:r>
            <w:r w:rsidR="00563AA6">
              <w:rPr>
                <w:rFonts w:asciiTheme="minorHAnsi" w:eastAsiaTheme="minorEastAsia" w:hAnsiTheme="minorHAnsi"/>
                <w:noProof/>
              </w:rPr>
              <w:tab/>
            </w:r>
            <w:r w:rsidR="00563AA6" w:rsidRPr="008A0765">
              <w:rPr>
                <w:rStyle w:val="Hyperlink"/>
                <w:noProof/>
              </w:rPr>
              <w:t>TE audit trail (in separate file)</w:t>
            </w:r>
            <w:r w:rsidR="00563AA6">
              <w:rPr>
                <w:noProof/>
                <w:webHidden/>
              </w:rPr>
              <w:tab/>
            </w:r>
            <w:r w:rsidR="00563AA6">
              <w:rPr>
                <w:noProof/>
                <w:webHidden/>
              </w:rPr>
              <w:fldChar w:fldCharType="begin"/>
            </w:r>
            <w:r w:rsidR="00563AA6">
              <w:rPr>
                <w:noProof/>
                <w:webHidden/>
              </w:rPr>
              <w:instrText xml:space="preserve"> PAGEREF _Toc64632068 \h </w:instrText>
            </w:r>
            <w:r w:rsidR="00563AA6">
              <w:rPr>
                <w:noProof/>
                <w:webHidden/>
              </w:rPr>
            </w:r>
            <w:r w:rsidR="00563AA6">
              <w:rPr>
                <w:noProof/>
                <w:webHidden/>
              </w:rPr>
              <w:fldChar w:fldCharType="separate"/>
            </w:r>
            <w:r w:rsidR="00563AA6">
              <w:rPr>
                <w:noProof/>
                <w:webHidden/>
              </w:rPr>
              <w:t>85</w:t>
            </w:r>
            <w:r w:rsidR="00563AA6">
              <w:rPr>
                <w:noProof/>
                <w:webHidden/>
              </w:rPr>
              <w:fldChar w:fldCharType="end"/>
            </w:r>
          </w:hyperlink>
        </w:p>
        <w:p w14:paraId="72082A22" w14:textId="653C9797" w:rsidR="00563AA6" w:rsidRDefault="009E09CA">
          <w:pPr>
            <w:pStyle w:val="TOC1"/>
            <w:tabs>
              <w:tab w:val="left" w:pos="1100"/>
              <w:tab w:val="right" w:leader="dot" w:pos="9350"/>
            </w:tabs>
            <w:rPr>
              <w:rFonts w:asciiTheme="minorHAnsi" w:eastAsiaTheme="minorEastAsia" w:hAnsiTheme="minorHAnsi"/>
              <w:noProof/>
            </w:rPr>
          </w:pPr>
          <w:hyperlink w:anchor="_Toc64632069" w:history="1">
            <w:r w:rsidR="00563AA6" w:rsidRPr="008A0765">
              <w:rPr>
                <w:rStyle w:val="Hyperlink"/>
                <w:noProof/>
              </w:rPr>
              <w:t>Annex I.</w:t>
            </w:r>
            <w:r w:rsidR="00563AA6">
              <w:rPr>
                <w:rFonts w:asciiTheme="minorHAnsi" w:eastAsiaTheme="minorEastAsia" w:hAnsiTheme="minorHAnsi"/>
                <w:noProof/>
              </w:rPr>
              <w:tab/>
            </w:r>
            <w:r w:rsidR="00563AA6" w:rsidRPr="008A0765">
              <w:rPr>
                <w:rStyle w:val="Hyperlink"/>
                <w:noProof/>
              </w:rPr>
              <w:t>GEF CCM Tracking Tool (in separate file)</w:t>
            </w:r>
            <w:r w:rsidR="00563AA6">
              <w:rPr>
                <w:noProof/>
                <w:webHidden/>
              </w:rPr>
              <w:tab/>
            </w:r>
            <w:r w:rsidR="00563AA6">
              <w:rPr>
                <w:noProof/>
                <w:webHidden/>
              </w:rPr>
              <w:fldChar w:fldCharType="begin"/>
            </w:r>
            <w:r w:rsidR="00563AA6">
              <w:rPr>
                <w:noProof/>
                <w:webHidden/>
              </w:rPr>
              <w:instrText xml:space="preserve"> PAGEREF _Toc64632069 \h </w:instrText>
            </w:r>
            <w:r w:rsidR="00563AA6">
              <w:rPr>
                <w:noProof/>
                <w:webHidden/>
              </w:rPr>
            </w:r>
            <w:r w:rsidR="00563AA6">
              <w:rPr>
                <w:noProof/>
                <w:webHidden/>
              </w:rPr>
              <w:fldChar w:fldCharType="separate"/>
            </w:r>
            <w:r w:rsidR="00563AA6">
              <w:rPr>
                <w:noProof/>
                <w:webHidden/>
              </w:rPr>
              <w:t>86</w:t>
            </w:r>
            <w:r w:rsidR="00563AA6">
              <w:rPr>
                <w:noProof/>
                <w:webHidden/>
              </w:rPr>
              <w:fldChar w:fldCharType="end"/>
            </w:r>
          </w:hyperlink>
        </w:p>
        <w:p w14:paraId="3E4548DF" w14:textId="1AD161A5" w:rsidR="00563AA6" w:rsidRDefault="009E09CA">
          <w:pPr>
            <w:pStyle w:val="TOC1"/>
            <w:tabs>
              <w:tab w:val="right" w:leader="dot" w:pos="9350"/>
            </w:tabs>
            <w:rPr>
              <w:rFonts w:asciiTheme="minorHAnsi" w:eastAsiaTheme="minorEastAsia" w:hAnsiTheme="minorHAnsi"/>
              <w:noProof/>
            </w:rPr>
          </w:pPr>
          <w:hyperlink w:anchor="_Toc64632070" w:history="1">
            <w:r w:rsidR="00563AA6" w:rsidRPr="008A0765">
              <w:rPr>
                <w:rStyle w:val="Hyperlink"/>
                <w:noProof/>
              </w:rPr>
              <w:t>Annex J. Terminal evaluation schedule</w:t>
            </w:r>
            <w:r w:rsidR="00563AA6">
              <w:rPr>
                <w:noProof/>
                <w:webHidden/>
              </w:rPr>
              <w:tab/>
            </w:r>
            <w:r w:rsidR="00563AA6">
              <w:rPr>
                <w:noProof/>
                <w:webHidden/>
              </w:rPr>
              <w:fldChar w:fldCharType="begin"/>
            </w:r>
            <w:r w:rsidR="00563AA6">
              <w:rPr>
                <w:noProof/>
                <w:webHidden/>
              </w:rPr>
              <w:instrText xml:space="preserve"> PAGEREF _Toc64632070 \h </w:instrText>
            </w:r>
            <w:r w:rsidR="00563AA6">
              <w:rPr>
                <w:noProof/>
                <w:webHidden/>
              </w:rPr>
            </w:r>
            <w:r w:rsidR="00563AA6">
              <w:rPr>
                <w:noProof/>
                <w:webHidden/>
              </w:rPr>
              <w:fldChar w:fldCharType="separate"/>
            </w:r>
            <w:r w:rsidR="00563AA6">
              <w:rPr>
                <w:noProof/>
                <w:webHidden/>
              </w:rPr>
              <w:t>87</w:t>
            </w:r>
            <w:r w:rsidR="00563AA6">
              <w:rPr>
                <w:noProof/>
                <w:webHidden/>
              </w:rPr>
              <w:fldChar w:fldCharType="end"/>
            </w:r>
          </w:hyperlink>
        </w:p>
        <w:p w14:paraId="030969DC" w14:textId="02023FFD" w:rsidR="00563AA6" w:rsidRDefault="009E09CA">
          <w:pPr>
            <w:pStyle w:val="TOC1"/>
            <w:tabs>
              <w:tab w:val="right" w:leader="dot" w:pos="9350"/>
            </w:tabs>
            <w:rPr>
              <w:rFonts w:asciiTheme="minorHAnsi" w:eastAsiaTheme="minorEastAsia" w:hAnsiTheme="minorHAnsi"/>
              <w:noProof/>
            </w:rPr>
          </w:pPr>
          <w:hyperlink w:anchor="_Toc64632071" w:history="1">
            <w:r w:rsidR="00563AA6" w:rsidRPr="008A0765">
              <w:rPr>
                <w:rStyle w:val="Hyperlink"/>
                <w:noProof/>
              </w:rPr>
              <w:t>Annex K. Project components, outcomes, outputs, and activities</w:t>
            </w:r>
            <w:r w:rsidR="00563AA6">
              <w:rPr>
                <w:noProof/>
                <w:webHidden/>
              </w:rPr>
              <w:tab/>
            </w:r>
            <w:r w:rsidR="00563AA6">
              <w:rPr>
                <w:noProof/>
                <w:webHidden/>
              </w:rPr>
              <w:fldChar w:fldCharType="begin"/>
            </w:r>
            <w:r w:rsidR="00563AA6">
              <w:rPr>
                <w:noProof/>
                <w:webHidden/>
              </w:rPr>
              <w:instrText xml:space="preserve"> PAGEREF _Toc64632071 \h </w:instrText>
            </w:r>
            <w:r w:rsidR="00563AA6">
              <w:rPr>
                <w:noProof/>
                <w:webHidden/>
              </w:rPr>
            </w:r>
            <w:r w:rsidR="00563AA6">
              <w:rPr>
                <w:noProof/>
                <w:webHidden/>
              </w:rPr>
              <w:fldChar w:fldCharType="separate"/>
            </w:r>
            <w:r w:rsidR="00563AA6">
              <w:rPr>
                <w:noProof/>
                <w:webHidden/>
              </w:rPr>
              <w:t>88</w:t>
            </w:r>
            <w:r w:rsidR="00563AA6">
              <w:rPr>
                <w:noProof/>
                <w:webHidden/>
              </w:rPr>
              <w:fldChar w:fldCharType="end"/>
            </w:r>
          </w:hyperlink>
        </w:p>
        <w:p w14:paraId="1B2EBE0B" w14:textId="20D81918" w:rsidR="00563AA6" w:rsidRDefault="009E09CA">
          <w:pPr>
            <w:pStyle w:val="TOC1"/>
            <w:tabs>
              <w:tab w:val="right" w:leader="dot" w:pos="9350"/>
            </w:tabs>
            <w:rPr>
              <w:rFonts w:asciiTheme="minorHAnsi" w:eastAsiaTheme="minorEastAsia" w:hAnsiTheme="minorHAnsi"/>
              <w:noProof/>
            </w:rPr>
          </w:pPr>
          <w:hyperlink w:anchor="_Toc64632072" w:history="1">
            <w:r w:rsidR="00563AA6" w:rsidRPr="008A0765">
              <w:rPr>
                <w:rStyle w:val="Hyperlink"/>
                <w:noProof/>
              </w:rPr>
              <w:t>Annex L. Project results framework</w:t>
            </w:r>
            <w:r w:rsidR="00563AA6">
              <w:rPr>
                <w:noProof/>
                <w:webHidden/>
              </w:rPr>
              <w:tab/>
            </w:r>
            <w:r w:rsidR="00563AA6">
              <w:rPr>
                <w:noProof/>
                <w:webHidden/>
              </w:rPr>
              <w:fldChar w:fldCharType="begin"/>
            </w:r>
            <w:r w:rsidR="00563AA6">
              <w:rPr>
                <w:noProof/>
                <w:webHidden/>
              </w:rPr>
              <w:instrText xml:space="preserve"> PAGEREF _Toc64632072 \h </w:instrText>
            </w:r>
            <w:r w:rsidR="00563AA6">
              <w:rPr>
                <w:noProof/>
                <w:webHidden/>
              </w:rPr>
            </w:r>
            <w:r w:rsidR="00563AA6">
              <w:rPr>
                <w:noProof/>
                <w:webHidden/>
              </w:rPr>
              <w:fldChar w:fldCharType="separate"/>
            </w:r>
            <w:r w:rsidR="00563AA6">
              <w:rPr>
                <w:noProof/>
                <w:webHidden/>
              </w:rPr>
              <w:t>91</w:t>
            </w:r>
            <w:r w:rsidR="00563AA6">
              <w:rPr>
                <w:noProof/>
                <w:webHidden/>
              </w:rPr>
              <w:fldChar w:fldCharType="end"/>
            </w:r>
          </w:hyperlink>
        </w:p>
        <w:p w14:paraId="6B3D6A69" w14:textId="7243BC07" w:rsidR="00563AA6" w:rsidRDefault="009E09CA">
          <w:pPr>
            <w:pStyle w:val="TOC1"/>
            <w:tabs>
              <w:tab w:val="right" w:leader="dot" w:pos="9350"/>
            </w:tabs>
            <w:rPr>
              <w:rFonts w:asciiTheme="minorHAnsi" w:eastAsiaTheme="minorEastAsia" w:hAnsiTheme="minorHAnsi"/>
              <w:noProof/>
            </w:rPr>
          </w:pPr>
          <w:hyperlink w:anchor="_Toc64632073" w:history="1">
            <w:r w:rsidR="00563AA6" w:rsidRPr="008A0765">
              <w:rPr>
                <w:rStyle w:val="Hyperlink"/>
                <w:noProof/>
              </w:rPr>
              <w:t>Annex M. Project financing</w:t>
            </w:r>
            <w:r w:rsidR="00563AA6">
              <w:rPr>
                <w:noProof/>
                <w:webHidden/>
              </w:rPr>
              <w:tab/>
            </w:r>
            <w:r w:rsidR="00563AA6">
              <w:rPr>
                <w:noProof/>
                <w:webHidden/>
              </w:rPr>
              <w:fldChar w:fldCharType="begin"/>
            </w:r>
            <w:r w:rsidR="00563AA6">
              <w:rPr>
                <w:noProof/>
                <w:webHidden/>
              </w:rPr>
              <w:instrText xml:space="preserve"> PAGEREF _Toc64632073 \h </w:instrText>
            </w:r>
            <w:r w:rsidR="00563AA6">
              <w:rPr>
                <w:noProof/>
                <w:webHidden/>
              </w:rPr>
            </w:r>
            <w:r w:rsidR="00563AA6">
              <w:rPr>
                <w:noProof/>
                <w:webHidden/>
              </w:rPr>
              <w:fldChar w:fldCharType="separate"/>
            </w:r>
            <w:r w:rsidR="00563AA6">
              <w:rPr>
                <w:noProof/>
                <w:webHidden/>
              </w:rPr>
              <w:t>95</w:t>
            </w:r>
            <w:r w:rsidR="00563AA6">
              <w:rPr>
                <w:noProof/>
                <w:webHidden/>
              </w:rPr>
              <w:fldChar w:fldCharType="end"/>
            </w:r>
          </w:hyperlink>
        </w:p>
        <w:p w14:paraId="5BDE75C8" w14:textId="2E283AC0" w:rsidR="00936BDA" w:rsidRDefault="00E90328">
          <w:r>
            <w:rPr>
              <w:b/>
              <w:bCs/>
              <w:noProof/>
            </w:rPr>
            <w:fldChar w:fldCharType="end"/>
          </w:r>
        </w:p>
      </w:sdtContent>
    </w:sdt>
    <w:p w14:paraId="6E06BA25" w14:textId="51AB6731" w:rsidR="00936BDA" w:rsidRDefault="00936BDA" w:rsidP="00936BDA">
      <w:pPr>
        <w:jc w:val="center"/>
        <w:rPr>
          <w:b/>
          <w:bCs/>
          <w:sz w:val="28"/>
          <w:szCs w:val="28"/>
        </w:rPr>
      </w:pPr>
      <w:r>
        <w:rPr>
          <w:b/>
          <w:bCs/>
          <w:sz w:val="28"/>
          <w:szCs w:val="28"/>
        </w:rPr>
        <w:br w:type="page"/>
      </w:r>
    </w:p>
    <w:p w14:paraId="0D4343AD" w14:textId="67267505" w:rsidR="00936BDA" w:rsidRPr="00936BDA" w:rsidRDefault="00242A59" w:rsidP="00080463">
      <w:pPr>
        <w:pStyle w:val="Heading1"/>
        <w:numPr>
          <w:ilvl w:val="0"/>
          <w:numId w:val="0"/>
        </w:numPr>
      </w:pPr>
      <w:bookmarkStart w:id="1" w:name="_Toc64632032"/>
      <w:r>
        <w:lastRenderedPageBreak/>
        <w:t>Acronyms and abbreviations</w:t>
      </w:r>
      <w:bookmarkEnd w:id="1"/>
    </w:p>
    <w:p w14:paraId="68880B1A" w14:textId="77777777" w:rsidR="00936BDA" w:rsidRPr="00936BDA" w:rsidRDefault="00936BDA" w:rsidP="00936BDA"/>
    <w:p w14:paraId="0A0470FE" w14:textId="65EBE340" w:rsidR="00080463" w:rsidRDefault="00080463" w:rsidP="00080463">
      <w:bookmarkStart w:id="2" w:name="_Hlk64276884"/>
      <w:r>
        <w:t xml:space="preserve">APR </w:t>
      </w:r>
      <w:r>
        <w:tab/>
      </w:r>
      <w:r>
        <w:tab/>
        <w:t>Annual Project Reports</w:t>
      </w:r>
    </w:p>
    <w:p w14:paraId="1DF185C7" w14:textId="6E136C43" w:rsidR="00080463" w:rsidRDefault="00080463" w:rsidP="00936BDA">
      <w:r>
        <w:t>AWP</w:t>
      </w:r>
      <w:r>
        <w:tab/>
      </w:r>
      <w:r>
        <w:tab/>
        <w:t xml:space="preserve">Annual Work Plans </w:t>
      </w:r>
    </w:p>
    <w:p w14:paraId="7A2D3F92" w14:textId="20D0659F" w:rsidR="00285C2C" w:rsidRDefault="00285C2C" w:rsidP="00936BDA">
      <w:r>
        <w:t xml:space="preserve">CPD </w:t>
      </w:r>
      <w:r>
        <w:tab/>
      </w:r>
      <w:r>
        <w:tab/>
        <w:t>Country Programme Document</w:t>
      </w:r>
    </w:p>
    <w:p w14:paraId="75D758FA" w14:textId="42930603" w:rsidR="00853620" w:rsidRDefault="00853620" w:rsidP="00936BDA">
      <w:r>
        <w:t>CTA</w:t>
      </w:r>
      <w:r>
        <w:tab/>
      </w:r>
      <w:r>
        <w:tab/>
        <w:t>C</w:t>
      </w:r>
      <w:r w:rsidRPr="00853620">
        <w:t xml:space="preserve">hief </w:t>
      </w:r>
      <w:r>
        <w:t>T</w:t>
      </w:r>
      <w:r w:rsidRPr="00853620">
        <w:t xml:space="preserve">echnical </w:t>
      </w:r>
      <w:r>
        <w:t>A</w:t>
      </w:r>
      <w:r w:rsidRPr="00853620">
        <w:t>dvisor</w:t>
      </w:r>
    </w:p>
    <w:p w14:paraId="3E299DC1" w14:textId="3A95BFF2" w:rsidR="00936BDA" w:rsidRDefault="00936BDA" w:rsidP="00936BDA">
      <w:r w:rsidRPr="00936BDA">
        <w:t>GEF</w:t>
      </w:r>
      <w:r w:rsidRPr="00936BDA">
        <w:tab/>
      </w:r>
      <w:r w:rsidRPr="00936BDA">
        <w:tab/>
        <w:t xml:space="preserve">Global Environment Facility </w:t>
      </w:r>
    </w:p>
    <w:p w14:paraId="10C9C158" w14:textId="71D7C164" w:rsidR="00BB2069" w:rsidRDefault="00BB2069" w:rsidP="00936BDA">
      <w:r>
        <w:t>GHG</w:t>
      </w:r>
      <w:r>
        <w:tab/>
      </w:r>
      <w:r>
        <w:tab/>
        <w:t>Greenhouse gas</w:t>
      </w:r>
    </w:p>
    <w:p w14:paraId="7D230766" w14:textId="548D9BCC" w:rsidR="00080463" w:rsidRDefault="00080463" w:rsidP="00936BDA">
      <w:r w:rsidRPr="00BB2069">
        <w:t xml:space="preserve">GLIZP </w:t>
      </w:r>
      <w:r>
        <w:tab/>
      </w:r>
      <w:r>
        <w:tab/>
      </w:r>
      <w:r w:rsidRPr="00BB2069">
        <w:t>Greening the Logistics Industry in Zhejiang Province</w:t>
      </w:r>
    </w:p>
    <w:p w14:paraId="3957A3EB" w14:textId="5379C711" w:rsidR="00763B0B" w:rsidRDefault="00763B0B" w:rsidP="00936BDA">
      <w:r>
        <w:t>IP</w:t>
      </w:r>
      <w:r>
        <w:tab/>
      </w:r>
      <w:r>
        <w:tab/>
        <w:t>I</w:t>
      </w:r>
      <w:r w:rsidRPr="00763B0B">
        <w:t xml:space="preserve">mplementing partner </w:t>
      </w:r>
    </w:p>
    <w:p w14:paraId="01D6BAFC" w14:textId="6582BF9D" w:rsidR="0060391B" w:rsidRPr="00936BDA" w:rsidRDefault="0060391B" w:rsidP="00936BDA">
      <w:r>
        <w:t>LSP</w:t>
      </w:r>
      <w:r>
        <w:tab/>
      </w:r>
      <w:r>
        <w:tab/>
        <w:t>Lo</w:t>
      </w:r>
      <w:r w:rsidRPr="0060391B">
        <w:t>gistics service providers</w:t>
      </w:r>
    </w:p>
    <w:p w14:paraId="5D95B7DF" w14:textId="77777777" w:rsidR="00936BDA" w:rsidRPr="00936BDA" w:rsidRDefault="00936BDA" w:rsidP="00936BDA">
      <w:r w:rsidRPr="00936BDA">
        <w:t>M&amp;E</w:t>
      </w:r>
      <w:r w:rsidRPr="00936BDA">
        <w:tab/>
      </w:r>
      <w:r w:rsidRPr="00936BDA">
        <w:tab/>
        <w:t xml:space="preserve">Monitoring and Evaluation </w:t>
      </w:r>
    </w:p>
    <w:p w14:paraId="53BBE025" w14:textId="77777777" w:rsidR="00936BDA" w:rsidRPr="00936BDA" w:rsidRDefault="00936BDA" w:rsidP="00936BDA">
      <w:r w:rsidRPr="00936BDA">
        <w:t>MTR</w:t>
      </w:r>
      <w:r w:rsidRPr="00936BDA">
        <w:tab/>
      </w:r>
      <w:r w:rsidRPr="00936BDA">
        <w:tab/>
        <w:t>Mid-term Review</w:t>
      </w:r>
    </w:p>
    <w:p w14:paraId="3F1467EA" w14:textId="651E42EB" w:rsidR="00936BDA" w:rsidRPr="00936BDA" w:rsidRDefault="00936BDA" w:rsidP="00936BDA">
      <w:r w:rsidRPr="00936BDA">
        <w:t>PIR</w:t>
      </w:r>
      <w:r w:rsidRPr="00936BDA">
        <w:tab/>
      </w:r>
      <w:r w:rsidRPr="00936BDA">
        <w:tab/>
        <w:t xml:space="preserve">Project Implementation </w:t>
      </w:r>
      <w:r w:rsidR="00A44647">
        <w:t>Review</w:t>
      </w:r>
    </w:p>
    <w:p w14:paraId="67674E80" w14:textId="4F761266" w:rsidR="00936BDA" w:rsidRDefault="00936BDA" w:rsidP="00936BDA">
      <w:r w:rsidRPr="00936BDA">
        <w:t>PRF</w:t>
      </w:r>
      <w:r w:rsidRPr="00936BDA">
        <w:tab/>
      </w:r>
      <w:r w:rsidRPr="00936BDA">
        <w:tab/>
        <w:t>Project Results Framework</w:t>
      </w:r>
    </w:p>
    <w:p w14:paraId="7FACA120" w14:textId="1159B027" w:rsidR="001C65BB" w:rsidRDefault="001C65BB" w:rsidP="00936BDA">
      <w:r>
        <w:t xml:space="preserve">ProDoc </w:t>
      </w:r>
      <w:r>
        <w:tab/>
        <w:t xml:space="preserve">Project </w:t>
      </w:r>
      <w:r w:rsidR="007F5946">
        <w:t>D</w:t>
      </w:r>
      <w:r>
        <w:t>ocument</w:t>
      </w:r>
    </w:p>
    <w:p w14:paraId="2BF894D3" w14:textId="111131A0" w:rsidR="00300426" w:rsidRPr="00936BDA" w:rsidRDefault="00300426" w:rsidP="00936BDA">
      <w:r>
        <w:t>PSC</w:t>
      </w:r>
      <w:r>
        <w:tab/>
      </w:r>
      <w:r>
        <w:tab/>
        <w:t>Project Steering Committee</w:t>
      </w:r>
    </w:p>
    <w:p w14:paraId="5EEF5225" w14:textId="77777777" w:rsidR="00936BDA" w:rsidRPr="00936BDA" w:rsidRDefault="00936BDA" w:rsidP="00936BDA">
      <w:r w:rsidRPr="00936BDA">
        <w:t>TE</w:t>
      </w:r>
      <w:r w:rsidRPr="00936BDA">
        <w:tab/>
      </w:r>
      <w:r w:rsidRPr="00936BDA">
        <w:tab/>
        <w:t>Terminal Evaluation</w:t>
      </w:r>
    </w:p>
    <w:p w14:paraId="1E2F3F65" w14:textId="77777777" w:rsidR="00936BDA" w:rsidRPr="00936BDA" w:rsidRDefault="00936BDA" w:rsidP="00936BDA">
      <w:r w:rsidRPr="00936BDA">
        <w:t>ToC</w:t>
      </w:r>
      <w:r w:rsidRPr="00936BDA">
        <w:tab/>
      </w:r>
      <w:r w:rsidRPr="00936BDA">
        <w:tab/>
        <w:t>Theory of Change</w:t>
      </w:r>
    </w:p>
    <w:p w14:paraId="159FBE7D" w14:textId="4473513B" w:rsidR="00936BDA" w:rsidRPr="00936BDA" w:rsidRDefault="00936BDA" w:rsidP="00936BDA">
      <w:r w:rsidRPr="00936BDA">
        <w:t>ToR</w:t>
      </w:r>
      <w:r w:rsidR="00181D48">
        <w:t>s</w:t>
      </w:r>
      <w:r w:rsidRPr="00936BDA">
        <w:tab/>
      </w:r>
      <w:r w:rsidRPr="00936BDA">
        <w:tab/>
        <w:t xml:space="preserve">Terms of Reference </w:t>
      </w:r>
    </w:p>
    <w:p w14:paraId="2C5B8F1D" w14:textId="7D199BB5" w:rsidR="00936BDA" w:rsidRDefault="00936BDA" w:rsidP="00936BDA">
      <w:r w:rsidRPr="00936BDA">
        <w:t xml:space="preserve">UNDP </w:t>
      </w:r>
      <w:r w:rsidRPr="00936BDA">
        <w:tab/>
      </w:r>
      <w:r w:rsidRPr="00936BDA">
        <w:tab/>
        <w:t xml:space="preserve">United Nations Development Programme </w:t>
      </w:r>
    </w:p>
    <w:p w14:paraId="5A7776AC" w14:textId="4CAD773D" w:rsidR="00602949" w:rsidRDefault="00602949" w:rsidP="00936BDA">
      <w:r>
        <w:t>UNEG</w:t>
      </w:r>
      <w:r>
        <w:tab/>
      </w:r>
      <w:r>
        <w:tab/>
      </w:r>
      <w:r w:rsidRPr="00602949">
        <w:t>United Nations Evaluation Group</w:t>
      </w:r>
    </w:p>
    <w:p w14:paraId="7FAA0BDB" w14:textId="0E92769D" w:rsidR="00080463" w:rsidRDefault="00080463" w:rsidP="00936BDA">
      <w:pPr>
        <w:rPr>
          <w:lang w:val="en-GB"/>
        </w:rPr>
      </w:pPr>
      <w:r>
        <w:rPr>
          <w:lang w:val="en-GB"/>
        </w:rPr>
        <w:t>ZPDRC</w:t>
      </w:r>
      <w:r w:rsidRPr="008A4910">
        <w:rPr>
          <w:lang w:val="en-GB"/>
        </w:rPr>
        <w:t xml:space="preserve"> </w:t>
      </w:r>
      <w:r>
        <w:rPr>
          <w:lang w:val="en-GB"/>
        </w:rPr>
        <w:tab/>
      </w:r>
      <w:r w:rsidRPr="008A4910">
        <w:rPr>
          <w:lang w:val="en-GB"/>
        </w:rPr>
        <w:t>Zhejiang Provincial Development and Reform Commission</w:t>
      </w:r>
    </w:p>
    <w:bookmarkEnd w:id="2"/>
    <w:p w14:paraId="23DD155E" w14:textId="738970B1" w:rsidR="0071350E" w:rsidRDefault="0071350E" w:rsidP="00936BDA">
      <w:pPr>
        <w:rPr>
          <w:lang w:val="en-GB"/>
        </w:rPr>
      </w:pPr>
    </w:p>
    <w:p w14:paraId="0F5050B7" w14:textId="77777777" w:rsidR="0071350E" w:rsidRDefault="0071350E" w:rsidP="00936BDA">
      <w:pPr>
        <w:sectPr w:rsidR="0071350E" w:rsidSect="0071350E">
          <w:footerReference w:type="default" r:id="rId11"/>
          <w:pgSz w:w="12240" w:h="15840"/>
          <w:pgMar w:top="1440" w:right="1440" w:bottom="1440" w:left="1440" w:header="720" w:footer="720" w:gutter="0"/>
          <w:cols w:space="720"/>
          <w:titlePg/>
          <w:docGrid w:linePitch="360"/>
        </w:sectPr>
      </w:pPr>
    </w:p>
    <w:p w14:paraId="7AB52351" w14:textId="3C6F27A2" w:rsidR="0071350E" w:rsidRPr="00936BDA" w:rsidRDefault="0071350E" w:rsidP="00936BDA"/>
    <w:p w14:paraId="24B68301" w14:textId="08CC842D" w:rsidR="00936BDA" w:rsidRDefault="00936BDA" w:rsidP="00936BDA"/>
    <w:p w14:paraId="28F7586A" w14:textId="22713C1D" w:rsidR="00936BDA" w:rsidRDefault="00936BDA" w:rsidP="00936BDA">
      <w:r>
        <w:br w:type="page"/>
      </w:r>
    </w:p>
    <w:p w14:paraId="3E373AF0" w14:textId="051AFFB2" w:rsidR="008E2C94" w:rsidRDefault="008E2C94" w:rsidP="00DE67CF">
      <w:pPr>
        <w:pStyle w:val="Heading1"/>
        <w:numPr>
          <w:ilvl w:val="0"/>
          <w:numId w:val="47"/>
        </w:numPr>
      </w:pPr>
      <w:bookmarkStart w:id="3" w:name="_Toc64632033"/>
      <w:r w:rsidRPr="008E2C94">
        <w:lastRenderedPageBreak/>
        <w:t>Executive Summary</w:t>
      </w:r>
      <w:bookmarkEnd w:id="3"/>
    </w:p>
    <w:p w14:paraId="5EFB9009" w14:textId="634C21B4" w:rsidR="001654E4" w:rsidRDefault="001654E4" w:rsidP="001654E4">
      <w:pPr>
        <w:pStyle w:val="Caption"/>
      </w:pPr>
      <w:bookmarkStart w:id="4" w:name="_Ref61514738"/>
      <w:r>
        <w:t xml:space="preserve">Table </w:t>
      </w:r>
      <w:r>
        <w:fldChar w:fldCharType="begin"/>
      </w:r>
      <w:r>
        <w:instrText xml:space="preserve"> SEQ Table \* ARABIC </w:instrText>
      </w:r>
      <w:r>
        <w:fldChar w:fldCharType="separate"/>
      </w:r>
      <w:r w:rsidR="004718D8">
        <w:rPr>
          <w:noProof/>
        </w:rPr>
        <w:t>1</w:t>
      </w:r>
      <w:r>
        <w:fldChar w:fldCharType="end"/>
      </w:r>
      <w:bookmarkEnd w:id="4"/>
      <w:r>
        <w:t xml:space="preserve">. </w:t>
      </w:r>
      <w:r w:rsidRPr="004D19B1">
        <w:t>Project information table</w:t>
      </w:r>
    </w:p>
    <w:tbl>
      <w:tblPr>
        <w:tblStyle w:val="TableGrid"/>
        <w:tblW w:w="0" w:type="auto"/>
        <w:tblLook w:val="04A0" w:firstRow="1" w:lastRow="0" w:firstColumn="1" w:lastColumn="0" w:noHBand="0" w:noVBand="1"/>
      </w:tblPr>
      <w:tblGrid>
        <w:gridCol w:w="2547"/>
        <w:gridCol w:w="425"/>
        <w:gridCol w:w="1418"/>
        <w:gridCol w:w="708"/>
        <w:gridCol w:w="851"/>
        <w:gridCol w:w="1559"/>
        <w:gridCol w:w="284"/>
        <w:gridCol w:w="1558"/>
      </w:tblGrid>
      <w:tr w:rsidR="000942BD" w:rsidRPr="000942BD" w14:paraId="11E75390" w14:textId="77777777" w:rsidTr="002D5420">
        <w:tc>
          <w:tcPr>
            <w:tcW w:w="2972" w:type="dxa"/>
            <w:gridSpan w:val="2"/>
            <w:shd w:val="clear" w:color="auto" w:fill="2E75B6" w:themeFill="accent5"/>
          </w:tcPr>
          <w:p w14:paraId="25B11A9E" w14:textId="41D35BC6" w:rsidR="000942BD" w:rsidRPr="000942BD" w:rsidRDefault="000942BD" w:rsidP="000942BD">
            <w:pPr>
              <w:rPr>
                <w:rFonts w:cs="Times New Roman"/>
                <w:b/>
                <w:bCs/>
                <w:color w:val="FFFFFF" w:themeColor="background1"/>
                <w:sz w:val="20"/>
                <w:szCs w:val="20"/>
              </w:rPr>
            </w:pPr>
            <w:r w:rsidRPr="000942BD">
              <w:rPr>
                <w:rFonts w:cs="Times New Roman"/>
                <w:b/>
                <w:bCs/>
                <w:color w:val="FFFFFF" w:themeColor="background1"/>
                <w:sz w:val="20"/>
                <w:szCs w:val="20"/>
              </w:rPr>
              <w:t>Project details</w:t>
            </w:r>
          </w:p>
        </w:tc>
        <w:tc>
          <w:tcPr>
            <w:tcW w:w="1418" w:type="dxa"/>
            <w:shd w:val="clear" w:color="auto" w:fill="2E75B6" w:themeFill="accent5"/>
          </w:tcPr>
          <w:p w14:paraId="1656E828" w14:textId="77777777" w:rsidR="000942BD" w:rsidRPr="000942BD" w:rsidRDefault="000942BD" w:rsidP="000942BD">
            <w:pPr>
              <w:rPr>
                <w:rFonts w:cs="Times New Roman"/>
                <w:b/>
                <w:bCs/>
                <w:color w:val="FFFFFF" w:themeColor="background1"/>
                <w:sz w:val="20"/>
                <w:szCs w:val="20"/>
              </w:rPr>
            </w:pPr>
          </w:p>
        </w:tc>
        <w:tc>
          <w:tcPr>
            <w:tcW w:w="3402" w:type="dxa"/>
            <w:gridSpan w:val="4"/>
            <w:shd w:val="clear" w:color="auto" w:fill="2E75B6" w:themeFill="accent5"/>
          </w:tcPr>
          <w:p w14:paraId="1F150852" w14:textId="629DA2EA" w:rsidR="000942BD" w:rsidRPr="000942BD" w:rsidRDefault="000942BD" w:rsidP="000942BD">
            <w:pPr>
              <w:rPr>
                <w:rFonts w:cs="Times New Roman"/>
                <w:b/>
                <w:bCs/>
                <w:color w:val="FFFFFF" w:themeColor="background1"/>
                <w:sz w:val="20"/>
                <w:szCs w:val="20"/>
              </w:rPr>
            </w:pPr>
            <w:r w:rsidRPr="000942BD">
              <w:rPr>
                <w:rFonts w:cs="Times New Roman"/>
                <w:b/>
                <w:bCs/>
                <w:color w:val="FFFFFF" w:themeColor="background1"/>
                <w:sz w:val="20"/>
                <w:szCs w:val="20"/>
              </w:rPr>
              <w:t>Project milestones</w:t>
            </w:r>
          </w:p>
        </w:tc>
        <w:tc>
          <w:tcPr>
            <w:tcW w:w="1558" w:type="dxa"/>
            <w:shd w:val="clear" w:color="auto" w:fill="2E75B6" w:themeFill="accent5"/>
          </w:tcPr>
          <w:p w14:paraId="04ECF7B3" w14:textId="77777777" w:rsidR="000942BD" w:rsidRPr="000942BD" w:rsidRDefault="000942BD" w:rsidP="000942BD">
            <w:pPr>
              <w:rPr>
                <w:rFonts w:cs="Times New Roman"/>
                <w:b/>
                <w:bCs/>
                <w:color w:val="FFFFFF" w:themeColor="background1"/>
                <w:sz w:val="20"/>
                <w:szCs w:val="20"/>
              </w:rPr>
            </w:pPr>
          </w:p>
        </w:tc>
      </w:tr>
      <w:tr w:rsidR="009C583C" w14:paraId="100E25D1" w14:textId="77777777" w:rsidTr="00273E4A">
        <w:tc>
          <w:tcPr>
            <w:tcW w:w="2547" w:type="dxa"/>
            <w:shd w:val="clear" w:color="auto" w:fill="D1E3F3" w:themeFill="accent5" w:themeFillTint="33"/>
            <w:vAlign w:val="center"/>
          </w:tcPr>
          <w:p w14:paraId="727D845D" w14:textId="58603410" w:rsidR="009C583C" w:rsidRPr="000942BD" w:rsidRDefault="009C583C" w:rsidP="00273E4A">
            <w:pPr>
              <w:pStyle w:val="Default"/>
              <w:rPr>
                <w:rFonts w:ascii="Times New Roman" w:hAnsi="Times New Roman" w:cs="Times New Roman"/>
                <w:sz w:val="20"/>
                <w:szCs w:val="20"/>
              </w:rPr>
            </w:pPr>
            <w:r w:rsidRPr="000942BD">
              <w:rPr>
                <w:rFonts w:ascii="Times New Roman" w:hAnsi="Times New Roman" w:cs="Times New Roman"/>
                <w:sz w:val="20"/>
                <w:szCs w:val="20"/>
              </w:rPr>
              <w:t xml:space="preserve">Project Title </w:t>
            </w:r>
          </w:p>
        </w:tc>
        <w:tc>
          <w:tcPr>
            <w:tcW w:w="2551" w:type="dxa"/>
            <w:gridSpan w:val="3"/>
            <w:vAlign w:val="center"/>
          </w:tcPr>
          <w:p w14:paraId="544BE7CF" w14:textId="2F6685A0" w:rsidR="009C583C" w:rsidRPr="000942BD" w:rsidRDefault="009C583C" w:rsidP="00273E4A">
            <w:pPr>
              <w:rPr>
                <w:rFonts w:cs="Times New Roman"/>
                <w:sz w:val="20"/>
                <w:szCs w:val="20"/>
              </w:rPr>
            </w:pPr>
            <w:r w:rsidRPr="001654E4">
              <w:rPr>
                <w:rFonts w:cs="Times New Roman"/>
                <w:sz w:val="20"/>
                <w:szCs w:val="20"/>
              </w:rPr>
              <w:t>Greening the Logistics Industry in Zhejiang Province (GLIZP)</w:t>
            </w:r>
          </w:p>
        </w:tc>
        <w:tc>
          <w:tcPr>
            <w:tcW w:w="2410" w:type="dxa"/>
            <w:gridSpan w:val="2"/>
            <w:shd w:val="clear" w:color="auto" w:fill="D1E3F3" w:themeFill="accent5" w:themeFillTint="33"/>
            <w:vAlign w:val="center"/>
          </w:tcPr>
          <w:p w14:paraId="7F08CC22" w14:textId="211CD7AD" w:rsidR="009C583C" w:rsidRPr="00771AA6" w:rsidRDefault="009C583C" w:rsidP="00273E4A">
            <w:pPr>
              <w:pStyle w:val="Default"/>
              <w:rPr>
                <w:rFonts w:cs="Times New Roman"/>
                <w:sz w:val="20"/>
                <w:szCs w:val="20"/>
              </w:rPr>
            </w:pPr>
            <w:r w:rsidRPr="00771AA6">
              <w:rPr>
                <w:rFonts w:ascii="Times New Roman" w:hAnsi="Times New Roman" w:cs="Times New Roman"/>
                <w:sz w:val="20"/>
                <w:szCs w:val="20"/>
              </w:rPr>
              <w:t xml:space="preserve">PIF Approval Date: </w:t>
            </w:r>
          </w:p>
        </w:tc>
        <w:tc>
          <w:tcPr>
            <w:tcW w:w="1842" w:type="dxa"/>
            <w:gridSpan w:val="2"/>
            <w:vAlign w:val="center"/>
          </w:tcPr>
          <w:p w14:paraId="0F8C2FB0" w14:textId="5C9993FC" w:rsidR="009C583C" w:rsidRPr="000942BD" w:rsidRDefault="009C583C" w:rsidP="009C583C">
            <w:pPr>
              <w:jc w:val="center"/>
              <w:rPr>
                <w:rFonts w:cs="Times New Roman"/>
                <w:sz w:val="20"/>
                <w:szCs w:val="20"/>
              </w:rPr>
            </w:pPr>
            <w:r w:rsidRPr="009C583C">
              <w:rPr>
                <w:rFonts w:cs="Times New Roman"/>
                <w:sz w:val="20"/>
                <w:szCs w:val="20"/>
              </w:rPr>
              <w:t>21 March 2014</w:t>
            </w:r>
          </w:p>
        </w:tc>
      </w:tr>
      <w:tr w:rsidR="009C583C" w14:paraId="618545E2" w14:textId="77777777" w:rsidTr="00273E4A">
        <w:tc>
          <w:tcPr>
            <w:tcW w:w="2547" w:type="dxa"/>
            <w:shd w:val="clear" w:color="auto" w:fill="D1E3F3" w:themeFill="accent5" w:themeFillTint="33"/>
            <w:vAlign w:val="center"/>
          </w:tcPr>
          <w:p w14:paraId="09CD8338" w14:textId="7EDDF21F" w:rsidR="009C583C" w:rsidRPr="000942BD" w:rsidRDefault="009C583C" w:rsidP="00273E4A">
            <w:pPr>
              <w:pStyle w:val="Default"/>
              <w:rPr>
                <w:rFonts w:cs="Times New Roman"/>
                <w:sz w:val="20"/>
                <w:szCs w:val="20"/>
              </w:rPr>
            </w:pPr>
            <w:r w:rsidRPr="000942BD">
              <w:rPr>
                <w:rFonts w:ascii="Times New Roman" w:hAnsi="Times New Roman" w:cs="Times New Roman"/>
                <w:sz w:val="20"/>
                <w:szCs w:val="20"/>
              </w:rPr>
              <w:t>UNDP Project ID (PIMS #):</w:t>
            </w:r>
          </w:p>
        </w:tc>
        <w:tc>
          <w:tcPr>
            <w:tcW w:w="2551" w:type="dxa"/>
            <w:gridSpan w:val="3"/>
            <w:vAlign w:val="center"/>
          </w:tcPr>
          <w:p w14:paraId="2C2FA8FA" w14:textId="0E2FD076" w:rsidR="009C583C" w:rsidRPr="000942BD" w:rsidRDefault="009C583C" w:rsidP="00273E4A">
            <w:pPr>
              <w:rPr>
                <w:rFonts w:cs="Times New Roman"/>
                <w:sz w:val="20"/>
                <w:szCs w:val="20"/>
              </w:rPr>
            </w:pPr>
            <w:r>
              <w:t>5238</w:t>
            </w:r>
          </w:p>
        </w:tc>
        <w:tc>
          <w:tcPr>
            <w:tcW w:w="2410" w:type="dxa"/>
            <w:gridSpan w:val="2"/>
            <w:shd w:val="clear" w:color="auto" w:fill="D1E3F3" w:themeFill="accent5" w:themeFillTint="33"/>
            <w:vAlign w:val="center"/>
          </w:tcPr>
          <w:p w14:paraId="3B724A0D" w14:textId="43D33030" w:rsidR="009C583C" w:rsidRPr="00771AA6" w:rsidRDefault="009C583C" w:rsidP="00273E4A">
            <w:pPr>
              <w:pStyle w:val="Default"/>
              <w:rPr>
                <w:rFonts w:cs="Times New Roman"/>
                <w:sz w:val="20"/>
                <w:szCs w:val="20"/>
              </w:rPr>
            </w:pPr>
            <w:r w:rsidRPr="00771AA6">
              <w:rPr>
                <w:rFonts w:ascii="Times New Roman" w:hAnsi="Times New Roman" w:cs="Times New Roman"/>
                <w:sz w:val="20"/>
                <w:szCs w:val="20"/>
              </w:rPr>
              <w:t>CEO Endorsement Date:</w:t>
            </w:r>
          </w:p>
        </w:tc>
        <w:tc>
          <w:tcPr>
            <w:tcW w:w="1842" w:type="dxa"/>
            <w:gridSpan w:val="2"/>
            <w:vAlign w:val="center"/>
          </w:tcPr>
          <w:p w14:paraId="2A8F9649" w14:textId="0ACF1253" w:rsidR="009C583C" w:rsidRPr="000942BD" w:rsidRDefault="009C583C" w:rsidP="009C583C">
            <w:pPr>
              <w:jc w:val="center"/>
              <w:rPr>
                <w:rFonts w:cs="Times New Roman"/>
                <w:sz w:val="20"/>
                <w:szCs w:val="20"/>
              </w:rPr>
            </w:pPr>
            <w:r w:rsidRPr="009C583C">
              <w:rPr>
                <w:rFonts w:cs="Times New Roman"/>
                <w:sz w:val="20"/>
                <w:szCs w:val="20"/>
              </w:rPr>
              <w:t>15 November 2016</w:t>
            </w:r>
          </w:p>
        </w:tc>
      </w:tr>
      <w:tr w:rsidR="009C583C" w14:paraId="3C3CE244" w14:textId="77777777" w:rsidTr="00273E4A">
        <w:tc>
          <w:tcPr>
            <w:tcW w:w="2547" w:type="dxa"/>
            <w:shd w:val="clear" w:color="auto" w:fill="D1E3F3" w:themeFill="accent5" w:themeFillTint="33"/>
            <w:vAlign w:val="center"/>
          </w:tcPr>
          <w:p w14:paraId="50D6E75C" w14:textId="239E96F5" w:rsidR="009C583C" w:rsidRPr="000942BD" w:rsidRDefault="009C583C" w:rsidP="00273E4A">
            <w:pPr>
              <w:pStyle w:val="Default"/>
              <w:rPr>
                <w:rFonts w:cs="Times New Roman"/>
                <w:sz w:val="20"/>
                <w:szCs w:val="20"/>
              </w:rPr>
            </w:pPr>
            <w:r w:rsidRPr="000942BD">
              <w:rPr>
                <w:rFonts w:ascii="Times New Roman" w:hAnsi="Times New Roman" w:cs="Times New Roman"/>
                <w:sz w:val="20"/>
                <w:szCs w:val="20"/>
              </w:rPr>
              <w:t xml:space="preserve">GEF Project ID: </w:t>
            </w:r>
          </w:p>
        </w:tc>
        <w:tc>
          <w:tcPr>
            <w:tcW w:w="2551" w:type="dxa"/>
            <w:gridSpan w:val="3"/>
            <w:vAlign w:val="center"/>
          </w:tcPr>
          <w:p w14:paraId="5F76A2B7" w14:textId="05F0A5B9" w:rsidR="009C583C" w:rsidRPr="000942BD" w:rsidRDefault="009C583C" w:rsidP="00273E4A">
            <w:pPr>
              <w:rPr>
                <w:rFonts w:cs="Times New Roman"/>
                <w:sz w:val="20"/>
                <w:szCs w:val="20"/>
              </w:rPr>
            </w:pPr>
            <w:r>
              <w:t>5373</w:t>
            </w:r>
          </w:p>
        </w:tc>
        <w:tc>
          <w:tcPr>
            <w:tcW w:w="2410" w:type="dxa"/>
            <w:gridSpan w:val="2"/>
            <w:shd w:val="clear" w:color="auto" w:fill="D1E3F3" w:themeFill="accent5" w:themeFillTint="33"/>
            <w:vAlign w:val="center"/>
          </w:tcPr>
          <w:p w14:paraId="654D2EB4" w14:textId="033AC3DC" w:rsidR="009C583C" w:rsidRPr="00771AA6" w:rsidRDefault="009C583C" w:rsidP="00273E4A">
            <w:pPr>
              <w:pStyle w:val="Default"/>
              <w:rPr>
                <w:rFonts w:cs="Times New Roman"/>
                <w:sz w:val="20"/>
                <w:szCs w:val="20"/>
              </w:rPr>
            </w:pPr>
            <w:r w:rsidRPr="00771AA6">
              <w:rPr>
                <w:rFonts w:ascii="Times New Roman" w:hAnsi="Times New Roman" w:cs="Times New Roman"/>
                <w:sz w:val="20"/>
                <w:szCs w:val="20"/>
              </w:rPr>
              <w:t xml:space="preserve">ProDoc Signature Date: </w:t>
            </w:r>
          </w:p>
        </w:tc>
        <w:tc>
          <w:tcPr>
            <w:tcW w:w="1842" w:type="dxa"/>
            <w:gridSpan w:val="2"/>
            <w:vAlign w:val="center"/>
          </w:tcPr>
          <w:p w14:paraId="5D05A2A1" w14:textId="4F6833A1" w:rsidR="009C583C" w:rsidRPr="000942BD" w:rsidRDefault="009C583C" w:rsidP="009C583C">
            <w:pPr>
              <w:jc w:val="center"/>
              <w:rPr>
                <w:rFonts w:cs="Times New Roman"/>
                <w:sz w:val="20"/>
                <w:szCs w:val="20"/>
              </w:rPr>
            </w:pPr>
            <w:r w:rsidRPr="009C583C">
              <w:rPr>
                <w:rFonts w:cs="Times New Roman"/>
                <w:sz w:val="20"/>
                <w:szCs w:val="20"/>
              </w:rPr>
              <w:t>3 January 2017</w:t>
            </w:r>
          </w:p>
        </w:tc>
      </w:tr>
      <w:tr w:rsidR="000942BD" w14:paraId="0CFED35F" w14:textId="77777777" w:rsidTr="00273E4A">
        <w:tc>
          <w:tcPr>
            <w:tcW w:w="2547" w:type="dxa"/>
            <w:shd w:val="clear" w:color="auto" w:fill="D1E3F3" w:themeFill="accent5" w:themeFillTint="33"/>
            <w:vAlign w:val="center"/>
          </w:tcPr>
          <w:p w14:paraId="06C11423" w14:textId="16120D0C" w:rsidR="000942BD" w:rsidRPr="000942BD" w:rsidRDefault="000942BD" w:rsidP="00273E4A">
            <w:pPr>
              <w:pStyle w:val="Default"/>
              <w:rPr>
                <w:rFonts w:cs="Times New Roman"/>
                <w:sz w:val="20"/>
                <w:szCs w:val="20"/>
              </w:rPr>
            </w:pPr>
            <w:r w:rsidRPr="000942BD">
              <w:rPr>
                <w:rFonts w:ascii="Times New Roman" w:hAnsi="Times New Roman" w:cs="Times New Roman"/>
                <w:sz w:val="20"/>
                <w:szCs w:val="20"/>
              </w:rPr>
              <w:t xml:space="preserve">UNDP Atlas Business Unit, Award ID, Project ID: </w:t>
            </w:r>
          </w:p>
        </w:tc>
        <w:tc>
          <w:tcPr>
            <w:tcW w:w="2551" w:type="dxa"/>
            <w:gridSpan w:val="3"/>
            <w:vAlign w:val="center"/>
          </w:tcPr>
          <w:p w14:paraId="0BB65E5C" w14:textId="55713315" w:rsidR="001654E4" w:rsidRPr="001654E4" w:rsidRDefault="001654E4" w:rsidP="00273E4A">
            <w:pPr>
              <w:rPr>
                <w:rFonts w:cs="Times New Roman"/>
                <w:sz w:val="20"/>
                <w:szCs w:val="20"/>
              </w:rPr>
            </w:pPr>
            <w:r>
              <w:rPr>
                <w:rFonts w:cs="Times New Roman"/>
                <w:sz w:val="20"/>
                <w:szCs w:val="20"/>
              </w:rPr>
              <w:t xml:space="preserve">Award ID:  </w:t>
            </w:r>
            <w:r w:rsidRPr="001654E4">
              <w:rPr>
                <w:rFonts w:cs="Times New Roman"/>
                <w:sz w:val="20"/>
                <w:szCs w:val="20"/>
              </w:rPr>
              <w:t>00087743</w:t>
            </w:r>
          </w:p>
          <w:p w14:paraId="382E367E" w14:textId="127359CA" w:rsidR="000942BD" w:rsidRPr="000942BD" w:rsidRDefault="001654E4" w:rsidP="00273E4A">
            <w:pPr>
              <w:rPr>
                <w:rFonts w:cs="Times New Roman"/>
                <w:sz w:val="20"/>
                <w:szCs w:val="20"/>
              </w:rPr>
            </w:pPr>
            <w:r>
              <w:rPr>
                <w:rFonts w:cs="Times New Roman"/>
                <w:sz w:val="20"/>
                <w:szCs w:val="20"/>
              </w:rPr>
              <w:t xml:space="preserve">Project ID:  </w:t>
            </w:r>
            <w:r w:rsidRPr="001654E4">
              <w:rPr>
                <w:rFonts w:cs="Times New Roman"/>
                <w:sz w:val="20"/>
                <w:szCs w:val="20"/>
              </w:rPr>
              <w:t xml:space="preserve">00094664 </w:t>
            </w:r>
          </w:p>
        </w:tc>
        <w:tc>
          <w:tcPr>
            <w:tcW w:w="2410" w:type="dxa"/>
            <w:gridSpan w:val="2"/>
            <w:shd w:val="clear" w:color="auto" w:fill="D1E3F3" w:themeFill="accent5" w:themeFillTint="33"/>
            <w:vAlign w:val="center"/>
          </w:tcPr>
          <w:p w14:paraId="5FED46F4" w14:textId="0078894C" w:rsidR="000942BD" w:rsidRPr="00771AA6" w:rsidRDefault="00771AA6" w:rsidP="00273E4A">
            <w:pPr>
              <w:pStyle w:val="Default"/>
              <w:rPr>
                <w:rFonts w:cs="Times New Roman"/>
                <w:sz w:val="20"/>
                <w:szCs w:val="20"/>
              </w:rPr>
            </w:pPr>
            <w:r w:rsidRPr="00771AA6">
              <w:rPr>
                <w:rFonts w:ascii="Times New Roman" w:hAnsi="Times New Roman" w:cs="Times New Roman"/>
                <w:sz w:val="20"/>
                <w:szCs w:val="20"/>
              </w:rPr>
              <w:t xml:space="preserve">Date Project Manager hired: </w:t>
            </w:r>
          </w:p>
        </w:tc>
        <w:tc>
          <w:tcPr>
            <w:tcW w:w="1842" w:type="dxa"/>
            <w:gridSpan w:val="2"/>
          </w:tcPr>
          <w:p w14:paraId="2CC7EDE9" w14:textId="09344A7B" w:rsidR="000942BD" w:rsidRPr="000942BD" w:rsidRDefault="009C583C" w:rsidP="009C583C">
            <w:pPr>
              <w:jc w:val="center"/>
              <w:rPr>
                <w:rFonts w:cs="Times New Roman"/>
                <w:sz w:val="20"/>
                <w:szCs w:val="20"/>
              </w:rPr>
            </w:pPr>
            <w:r w:rsidRPr="009C583C">
              <w:rPr>
                <w:rFonts w:cs="Times New Roman"/>
                <w:sz w:val="20"/>
                <w:szCs w:val="20"/>
              </w:rPr>
              <w:t>26 September 2017</w:t>
            </w:r>
          </w:p>
        </w:tc>
      </w:tr>
      <w:tr w:rsidR="000942BD" w14:paraId="6850C86E" w14:textId="77777777" w:rsidTr="00273E4A">
        <w:tc>
          <w:tcPr>
            <w:tcW w:w="2547" w:type="dxa"/>
            <w:shd w:val="clear" w:color="auto" w:fill="D1E3F3" w:themeFill="accent5" w:themeFillTint="33"/>
            <w:vAlign w:val="center"/>
          </w:tcPr>
          <w:p w14:paraId="26FFA12E" w14:textId="4D8B493E" w:rsidR="000942BD" w:rsidRPr="000942BD" w:rsidRDefault="000942BD" w:rsidP="00273E4A">
            <w:pPr>
              <w:pStyle w:val="Default"/>
              <w:rPr>
                <w:rFonts w:cs="Times New Roman"/>
                <w:sz w:val="20"/>
                <w:szCs w:val="20"/>
              </w:rPr>
            </w:pPr>
            <w:r w:rsidRPr="000942BD">
              <w:rPr>
                <w:rFonts w:ascii="Times New Roman" w:hAnsi="Times New Roman" w:cs="Times New Roman"/>
                <w:sz w:val="20"/>
                <w:szCs w:val="20"/>
              </w:rPr>
              <w:t xml:space="preserve">Country/Countries: </w:t>
            </w:r>
          </w:p>
        </w:tc>
        <w:tc>
          <w:tcPr>
            <w:tcW w:w="2551" w:type="dxa"/>
            <w:gridSpan w:val="3"/>
            <w:vAlign w:val="center"/>
          </w:tcPr>
          <w:p w14:paraId="37D727FF" w14:textId="7D9D1CFC" w:rsidR="000942BD" w:rsidRPr="000942BD" w:rsidRDefault="007E2F3C" w:rsidP="00273E4A">
            <w:pPr>
              <w:rPr>
                <w:rFonts w:cs="Times New Roman"/>
                <w:sz w:val="20"/>
                <w:szCs w:val="20"/>
              </w:rPr>
            </w:pPr>
            <w:r w:rsidRPr="007E2F3C">
              <w:rPr>
                <w:rFonts w:cs="Times New Roman"/>
                <w:sz w:val="20"/>
                <w:szCs w:val="20"/>
              </w:rPr>
              <w:t>People’s Republic of China</w:t>
            </w:r>
          </w:p>
        </w:tc>
        <w:tc>
          <w:tcPr>
            <w:tcW w:w="2410" w:type="dxa"/>
            <w:gridSpan w:val="2"/>
            <w:shd w:val="clear" w:color="auto" w:fill="D1E3F3" w:themeFill="accent5" w:themeFillTint="33"/>
            <w:vAlign w:val="center"/>
          </w:tcPr>
          <w:p w14:paraId="542623A6" w14:textId="2B37C8D5" w:rsidR="000942BD" w:rsidRPr="00771AA6" w:rsidRDefault="00771AA6" w:rsidP="00273E4A">
            <w:pPr>
              <w:pStyle w:val="Default"/>
              <w:rPr>
                <w:rFonts w:cs="Times New Roman"/>
                <w:sz w:val="20"/>
                <w:szCs w:val="20"/>
              </w:rPr>
            </w:pPr>
            <w:r w:rsidRPr="00771AA6">
              <w:rPr>
                <w:rFonts w:ascii="Times New Roman" w:hAnsi="Times New Roman" w:cs="Times New Roman"/>
                <w:sz w:val="20"/>
                <w:szCs w:val="20"/>
              </w:rPr>
              <w:t xml:space="preserve">Inception Workshop Date: </w:t>
            </w:r>
          </w:p>
        </w:tc>
        <w:tc>
          <w:tcPr>
            <w:tcW w:w="1842" w:type="dxa"/>
            <w:gridSpan w:val="2"/>
          </w:tcPr>
          <w:p w14:paraId="5632721E" w14:textId="1DA1F00A" w:rsidR="000942BD" w:rsidRPr="000942BD" w:rsidRDefault="009C583C" w:rsidP="009C583C">
            <w:pPr>
              <w:jc w:val="center"/>
              <w:rPr>
                <w:rFonts w:cs="Times New Roman"/>
                <w:sz w:val="20"/>
                <w:szCs w:val="20"/>
              </w:rPr>
            </w:pPr>
            <w:r w:rsidRPr="009C583C">
              <w:rPr>
                <w:rFonts w:cs="Times New Roman"/>
                <w:sz w:val="20"/>
                <w:szCs w:val="20"/>
              </w:rPr>
              <w:t>24 March 2017</w:t>
            </w:r>
          </w:p>
        </w:tc>
      </w:tr>
      <w:tr w:rsidR="000942BD" w14:paraId="053B50C3" w14:textId="77777777" w:rsidTr="00273E4A">
        <w:tc>
          <w:tcPr>
            <w:tcW w:w="2547" w:type="dxa"/>
            <w:shd w:val="clear" w:color="auto" w:fill="D1E3F3" w:themeFill="accent5" w:themeFillTint="33"/>
            <w:vAlign w:val="center"/>
          </w:tcPr>
          <w:p w14:paraId="7E261480" w14:textId="7385BF17" w:rsidR="000942BD" w:rsidRPr="000942BD" w:rsidRDefault="000942BD" w:rsidP="00273E4A">
            <w:pPr>
              <w:pStyle w:val="Default"/>
              <w:rPr>
                <w:rFonts w:cs="Times New Roman"/>
                <w:sz w:val="20"/>
                <w:szCs w:val="20"/>
              </w:rPr>
            </w:pPr>
            <w:r w:rsidRPr="000942BD">
              <w:rPr>
                <w:rFonts w:ascii="Times New Roman" w:hAnsi="Times New Roman" w:cs="Times New Roman"/>
                <w:sz w:val="20"/>
                <w:szCs w:val="20"/>
              </w:rPr>
              <w:t xml:space="preserve">Region: </w:t>
            </w:r>
          </w:p>
        </w:tc>
        <w:tc>
          <w:tcPr>
            <w:tcW w:w="2551" w:type="dxa"/>
            <w:gridSpan w:val="3"/>
            <w:vAlign w:val="center"/>
          </w:tcPr>
          <w:p w14:paraId="15ED6BF6" w14:textId="42E70298" w:rsidR="000942BD" w:rsidRPr="000942BD" w:rsidRDefault="007E2F3C" w:rsidP="00273E4A">
            <w:pPr>
              <w:rPr>
                <w:rFonts w:cs="Times New Roman"/>
                <w:sz w:val="20"/>
                <w:szCs w:val="20"/>
              </w:rPr>
            </w:pPr>
            <w:r>
              <w:rPr>
                <w:rFonts w:cs="Times New Roman"/>
                <w:sz w:val="20"/>
                <w:szCs w:val="20"/>
              </w:rPr>
              <w:t>Asia-Pacific</w:t>
            </w:r>
          </w:p>
        </w:tc>
        <w:tc>
          <w:tcPr>
            <w:tcW w:w="2410" w:type="dxa"/>
            <w:gridSpan w:val="2"/>
            <w:shd w:val="clear" w:color="auto" w:fill="D1E3F3" w:themeFill="accent5" w:themeFillTint="33"/>
            <w:vAlign w:val="center"/>
          </w:tcPr>
          <w:p w14:paraId="505380C7" w14:textId="162061E7" w:rsidR="000942BD" w:rsidRPr="00771AA6" w:rsidRDefault="00771AA6" w:rsidP="00273E4A">
            <w:pPr>
              <w:pStyle w:val="Default"/>
              <w:rPr>
                <w:rFonts w:cs="Times New Roman"/>
                <w:sz w:val="20"/>
                <w:szCs w:val="20"/>
              </w:rPr>
            </w:pPr>
            <w:r w:rsidRPr="00771AA6">
              <w:rPr>
                <w:rFonts w:ascii="Times New Roman" w:hAnsi="Times New Roman" w:cs="Times New Roman"/>
                <w:sz w:val="20"/>
                <w:szCs w:val="20"/>
              </w:rPr>
              <w:t xml:space="preserve">Mid-Term Review Completion Date: </w:t>
            </w:r>
          </w:p>
        </w:tc>
        <w:tc>
          <w:tcPr>
            <w:tcW w:w="1842" w:type="dxa"/>
            <w:gridSpan w:val="2"/>
          </w:tcPr>
          <w:p w14:paraId="2E8025EA" w14:textId="6D42190D" w:rsidR="000942BD" w:rsidRPr="000942BD" w:rsidRDefault="009C583C" w:rsidP="009C583C">
            <w:pPr>
              <w:jc w:val="center"/>
              <w:rPr>
                <w:rFonts w:cs="Times New Roman"/>
                <w:sz w:val="20"/>
                <w:szCs w:val="20"/>
              </w:rPr>
            </w:pPr>
            <w:r w:rsidRPr="009C583C">
              <w:rPr>
                <w:rFonts w:cs="Times New Roman"/>
                <w:sz w:val="20"/>
                <w:szCs w:val="20"/>
              </w:rPr>
              <w:t>18 August 2019</w:t>
            </w:r>
          </w:p>
        </w:tc>
      </w:tr>
      <w:tr w:rsidR="000942BD" w14:paraId="7822AABE" w14:textId="77777777" w:rsidTr="00273E4A">
        <w:tc>
          <w:tcPr>
            <w:tcW w:w="2547" w:type="dxa"/>
            <w:shd w:val="clear" w:color="auto" w:fill="D1E3F3" w:themeFill="accent5" w:themeFillTint="33"/>
            <w:vAlign w:val="center"/>
          </w:tcPr>
          <w:p w14:paraId="4F95F8A5" w14:textId="6D00C0F3" w:rsidR="000942BD" w:rsidRPr="000942BD" w:rsidRDefault="000942BD" w:rsidP="00273E4A">
            <w:pPr>
              <w:pStyle w:val="Default"/>
              <w:rPr>
                <w:rFonts w:cs="Times New Roman"/>
                <w:sz w:val="20"/>
                <w:szCs w:val="20"/>
              </w:rPr>
            </w:pPr>
            <w:r w:rsidRPr="000942BD">
              <w:rPr>
                <w:rFonts w:ascii="Times New Roman" w:hAnsi="Times New Roman" w:cs="Times New Roman"/>
                <w:sz w:val="20"/>
                <w:szCs w:val="20"/>
              </w:rPr>
              <w:t xml:space="preserve">Focal Area: </w:t>
            </w:r>
          </w:p>
        </w:tc>
        <w:tc>
          <w:tcPr>
            <w:tcW w:w="2551" w:type="dxa"/>
            <w:gridSpan w:val="3"/>
            <w:vAlign w:val="center"/>
          </w:tcPr>
          <w:p w14:paraId="4770A76F" w14:textId="45C7F5BD" w:rsidR="000942BD" w:rsidRPr="000942BD" w:rsidRDefault="007E2F3C" w:rsidP="00273E4A">
            <w:pPr>
              <w:rPr>
                <w:rFonts w:cs="Times New Roman"/>
                <w:sz w:val="20"/>
                <w:szCs w:val="20"/>
              </w:rPr>
            </w:pPr>
            <w:r>
              <w:rPr>
                <w:rFonts w:cs="Times New Roman"/>
                <w:sz w:val="20"/>
                <w:szCs w:val="20"/>
              </w:rPr>
              <w:t>Climate change mitigation</w:t>
            </w:r>
          </w:p>
        </w:tc>
        <w:tc>
          <w:tcPr>
            <w:tcW w:w="2410" w:type="dxa"/>
            <w:gridSpan w:val="2"/>
            <w:shd w:val="clear" w:color="auto" w:fill="D1E3F3" w:themeFill="accent5" w:themeFillTint="33"/>
            <w:vAlign w:val="center"/>
          </w:tcPr>
          <w:p w14:paraId="47D430D4" w14:textId="0B190319" w:rsidR="000942BD" w:rsidRPr="00771AA6" w:rsidRDefault="00771AA6" w:rsidP="00273E4A">
            <w:pPr>
              <w:pStyle w:val="Default"/>
              <w:rPr>
                <w:rFonts w:cs="Times New Roman"/>
                <w:sz w:val="20"/>
                <w:szCs w:val="20"/>
              </w:rPr>
            </w:pPr>
            <w:r w:rsidRPr="00771AA6">
              <w:rPr>
                <w:rFonts w:ascii="Times New Roman" w:hAnsi="Times New Roman" w:cs="Times New Roman"/>
                <w:sz w:val="20"/>
                <w:szCs w:val="20"/>
              </w:rPr>
              <w:t xml:space="preserve">Terminal Evaluation Completion </w:t>
            </w:r>
            <w:r w:rsidR="0093243F">
              <w:rPr>
                <w:rFonts w:ascii="Times New Roman" w:hAnsi="Times New Roman" w:cs="Times New Roman"/>
                <w:sz w:val="20"/>
                <w:szCs w:val="20"/>
              </w:rPr>
              <w:t>D</w:t>
            </w:r>
            <w:r w:rsidRPr="00771AA6">
              <w:rPr>
                <w:rFonts w:ascii="Times New Roman" w:hAnsi="Times New Roman" w:cs="Times New Roman"/>
                <w:sz w:val="20"/>
                <w:szCs w:val="20"/>
              </w:rPr>
              <w:t xml:space="preserve">ate: </w:t>
            </w:r>
          </w:p>
        </w:tc>
        <w:tc>
          <w:tcPr>
            <w:tcW w:w="1842" w:type="dxa"/>
            <w:gridSpan w:val="2"/>
          </w:tcPr>
          <w:p w14:paraId="3262173F" w14:textId="3FA08D1A" w:rsidR="000942BD" w:rsidRPr="000942BD" w:rsidRDefault="007B6387" w:rsidP="009C583C">
            <w:pPr>
              <w:jc w:val="center"/>
              <w:rPr>
                <w:rFonts w:cs="Times New Roman"/>
                <w:sz w:val="20"/>
                <w:szCs w:val="20"/>
              </w:rPr>
            </w:pPr>
            <w:r>
              <w:rPr>
                <w:rFonts w:cs="Times New Roman"/>
                <w:sz w:val="20"/>
                <w:szCs w:val="20"/>
              </w:rPr>
              <w:t>23</w:t>
            </w:r>
            <w:r w:rsidR="004D41B0">
              <w:rPr>
                <w:rFonts w:cs="Times New Roman"/>
                <w:sz w:val="20"/>
                <w:szCs w:val="20"/>
              </w:rPr>
              <w:t xml:space="preserve"> </w:t>
            </w:r>
            <w:r>
              <w:rPr>
                <w:rFonts w:cs="Times New Roman"/>
                <w:sz w:val="20"/>
                <w:szCs w:val="20"/>
              </w:rPr>
              <w:t>March</w:t>
            </w:r>
            <w:r w:rsidR="004D41B0">
              <w:rPr>
                <w:rFonts w:cs="Times New Roman"/>
                <w:sz w:val="20"/>
                <w:szCs w:val="20"/>
              </w:rPr>
              <w:t xml:space="preserve"> 2021</w:t>
            </w:r>
          </w:p>
        </w:tc>
      </w:tr>
      <w:tr w:rsidR="000942BD" w14:paraId="7AB94D77" w14:textId="77777777" w:rsidTr="00273E4A">
        <w:tc>
          <w:tcPr>
            <w:tcW w:w="2547" w:type="dxa"/>
            <w:shd w:val="clear" w:color="auto" w:fill="D1E3F3" w:themeFill="accent5" w:themeFillTint="33"/>
            <w:vAlign w:val="center"/>
          </w:tcPr>
          <w:p w14:paraId="405D2683" w14:textId="50F7242F" w:rsidR="000942BD" w:rsidRPr="000942BD" w:rsidRDefault="000942BD" w:rsidP="00273E4A">
            <w:pPr>
              <w:pStyle w:val="Default"/>
              <w:rPr>
                <w:rFonts w:cs="Times New Roman"/>
                <w:sz w:val="20"/>
                <w:szCs w:val="20"/>
              </w:rPr>
            </w:pPr>
            <w:r w:rsidRPr="000942BD">
              <w:rPr>
                <w:rFonts w:ascii="Times New Roman" w:hAnsi="Times New Roman" w:cs="Times New Roman"/>
                <w:sz w:val="20"/>
                <w:szCs w:val="20"/>
              </w:rPr>
              <w:t xml:space="preserve">GEF Operational Programme or Strategic Priorities/Objectives: </w:t>
            </w:r>
          </w:p>
        </w:tc>
        <w:tc>
          <w:tcPr>
            <w:tcW w:w="2551" w:type="dxa"/>
            <w:gridSpan w:val="3"/>
            <w:vAlign w:val="center"/>
          </w:tcPr>
          <w:p w14:paraId="57953AB2" w14:textId="4CB032E0" w:rsidR="000942BD" w:rsidRDefault="007E2F3C" w:rsidP="00273E4A">
            <w:pPr>
              <w:rPr>
                <w:rFonts w:cs="Times New Roman"/>
                <w:sz w:val="20"/>
                <w:szCs w:val="20"/>
              </w:rPr>
            </w:pPr>
            <w:r>
              <w:rPr>
                <w:rFonts w:cs="Times New Roman"/>
                <w:sz w:val="20"/>
                <w:szCs w:val="20"/>
              </w:rPr>
              <w:t>CCM-2. Outcome 2.1.</w:t>
            </w:r>
          </w:p>
          <w:p w14:paraId="509B3413" w14:textId="7E34DA86" w:rsidR="007E2F3C" w:rsidRPr="000942BD" w:rsidRDefault="007E2F3C" w:rsidP="00273E4A">
            <w:pPr>
              <w:rPr>
                <w:rFonts w:cs="Times New Roman"/>
                <w:sz w:val="20"/>
                <w:szCs w:val="20"/>
              </w:rPr>
            </w:pPr>
            <w:r>
              <w:rPr>
                <w:rFonts w:cs="Times New Roman"/>
                <w:sz w:val="20"/>
                <w:szCs w:val="20"/>
              </w:rPr>
              <w:t>CCM-4. Outcome 4.1.</w:t>
            </w:r>
          </w:p>
        </w:tc>
        <w:tc>
          <w:tcPr>
            <w:tcW w:w="2410" w:type="dxa"/>
            <w:gridSpan w:val="2"/>
            <w:shd w:val="clear" w:color="auto" w:fill="D1E3F3" w:themeFill="accent5" w:themeFillTint="33"/>
            <w:vAlign w:val="center"/>
          </w:tcPr>
          <w:p w14:paraId="6D29AE7E" w14:textId="268E039D" w:rsidR="000942BD" w:rsidRPr="00771AA6" w:rsidRDefault="00771AA6" w:rsidP="00273E4A">
            <w:pPr>
              <w:pStyle w:val="Default"/>
              <w:rPr>
                <w:rFonts w:cs="Times New Roman"/>
                <w:sz w:val="20"/>
                <w:szCs w:val="20"/>
              </w:rPr>
            </w:pPr>
            <w:r w:rsidRPr="00771AA6">
              <w:rPr>
                <w:rFonts w:ascii="Times New Roman" w:hAnsi="Times New Roman" w:cs="Times New Roman"/>
                <w:sz w:val="20"/>
                <w:szCs w:val="20"/>
              </w:rPr>
              <w:t xml:space="preserve">Planned Operational Closure Date: </w:t>
            </w:r>
          </w:p>
        </w:tc>
        <w:tc>
          <w:tcPr>
            <w:tcW w:w="1842" w:type="dxa"/>
            <w:gridSpan w:val="2"/>
          </w:tcPr>
          <w:p w14:paraId="7317FFB2" w14:textId="5AB82590" w:rsidR="000942BD" w:rsidRPr="000942BD" w:rsidRDefault="00251C66" w:rsidP="009C583C">
            <w:pPr>
              <w:jc w:val="center"/>
              <w:rPr>
                <w:rFonts w:cs="Times New Roman"/>
                <w:sz w:val="20"/>
                <w:szCs w:val="20"/>
              </w:rPr>
            </w:pPr>
            <w:r>
              <w:rPr>
                <w:rFonts w:cs="Times New Roman"/>
                <w:sz w:val="20"/>
                <w:szCs w:val="20"/>
              </w:rPr>
              <w:t>2</w:t>
            </w:r>
            <w:r w:rsidR="009C583C" w:rsidRPr="009C583C">
              <w:rPr>
                <w:rFonts w:cs="Times New Roman"/>
                <w:sz w:val="20"/>
                <w:szCs w:val="20"/>
              </w:rPr>
              <w:t xml:space="preserve"> January 2021</w:t>
            </w:r>
          </w:p>
        </w:tc>
      </w:tr>
      <w:tr w:rsidR="00771AA6" w14:paraId="4D0327A8" w14:textId="77777777" w:rsidTr="00273E4A">
        <w:tc>
          <w:tcPr>
            <w:tcW w:w="2547" w:type="dxa"/>
            <w:shd w:val="clear" w:color="auto" w:fill="D1E3F3" w:themeFill="accent5" w:themeFillTint="33"/>
          </w:tcPr>
          <w:p w14:paraId="359AB818" w14:textId="34340D4B" w:rsidR="00771AA6" w:rsidRPr="000942BD" w:rsidRDefault="00771AA6" w:rsidP="00771AA6">
            <w:pPr>
              <w:pStyle w:val="Default"/>
              <w:rPr>
                <w:rFonts w:cs="Times New Roman"/>
                <w:sz w:val="20"/>
                <w:szCs w:val="20"/>
              </w:rPr>
            </w:pPr>
            <w:r w:rsidRPr="000942BD">
              <w:rPr>
                <w:rFonts w:ascii="Times New Roman" w:hAnsi="Times New Roman" w:cs="Times New Roman"/>
                <w:sz w:val="20"/>
                <w:szCs w:val="20"/>
              </w:rPr>
              <w:t xml:space="preserve">Trust Fund: </w:t>
            </w:r>
          </w:p>
        </w:tc>
        <w:tc>
          <w:tcPr>
            <w:tcW w:w="6803" w:type="dxa"/>
            <w:gridSpan w:val="7"/>
          </w:tcPr>
          <w:p w14:paraId="58AF0296" w14:textId="1A56A574" w:rsidR="00771AA6" w:rsidRPr="000942BD" w:rsidRDefault="009C583C" w:rsidP="000942BD">
            <w:pPr>
              <w:rPr>
                <w:rFonts w:cs="Times New Roman"/>
                <w:sz w:val="20"/>
                <w:szCs w:val="20"/>
              </w:rPr>
            </w:pPr>
            <w:r>
              <w:rPr>
                <w:rFonts w:cs="Times New Roman"/>
                <w:sz w:val="20"/>
                <w:szCs w:val="20"/>
              </w:rPr>
              <w:t>GEF Trust Fund (GEF TF)</w:t>
            </w:r>
          </w:p>
        </w:tc>
      </w:tr>
      <w:tr w:rsidR="00771AA6" w14:paraId="2E9C0B27" w14:textId="77777777" w:rsidTr="00273E4A">
        <w:tc>
          <w:tcPr>
            <w:tcW w:w="2547" w:type="dxa"/>
            <w:shd w:val="clear" w:color="auto" w:fill="D1E3F3" w:themeFill="accent5" w:themeFillTint="33"/>
          </w:tcPr>
          <w:p w14:paraId="51811313" w14:textId="4BEED781" w:rsidR="00771AA6" w:rsidRPr="000942BD" w:rsidRDefault="00771AA6" w:rsidP="00771AA6">
            <w:pPr>
              <w:pStyle w:val="Default"/>
              <w:rPr>
                <w:rFonts w:cs="Times New Roman"/>
                <w:sz w:val="20"/>
                <w:szCs w:val="20"/>
              </w:rPr>
            </w:pPr>
            <w:r w:rsidRPr="000942BD">
              <w:rPr>
                <w:rFonts w:ascii="Times New Roman" w:hAnsi="Times New Roman" w:cs="Times New Roman"/>
                <w:sz w:val="20"/>
                <w:szCs w:val="20"/>
              </w:rPr>
              <w:t xml:space="preserve">Implementing Partner (GEF Executing Entity): </w:t>
            </w:r>
          </w:p>
        </w:tc>
        <w:tc>
          <w:tcPr>
            <w:tcW w:w="6803" w:type="dxa"/>
            <w:gridSpan w:val="7"/>
          </w:tcPr>
          <w:p w14:paraId="56C715CC" w14:textId="464414E0" w:rsidR="00771AA6" w:rsidRPr="000942BD" w:rsidRDefault="009C583C" w:rsidP="000942BD">
            <w:pPr>
              <w:rPr>
                <w:rFonts w:cs="Times New Roman"/>
                <w:sz w:val="20"/>
                <w:szCs w:val="20"/>
              </w:rPr>
            </w:pPr>
            <w:r w:rsidRPr="009C583C">
              <w:rPr>
                <w:rFonts w:cs="Times New Roman"/>
                <w:sz w:val="20"/>
                <w:szCs w:val="20"/>
              </w:rPr>
              <w:t>Zhejiang Provincial Development and Reform Commission</w:t>
            </w:r>
            <w:r>
              <w:rPr>
                <w:rFonts w:cs="Times New Roman"/>
                <w:sz w:val="20"/>
                <w:szCs w:val="20"/>
              </w:rPr>
              <w:t xml:space="preserve"> (</w:t>
            </w:r>
            <w:r w:rsidRPr="009C583C">
              <w:rPr>
                <w:rFonts w:cs="Times New Roman"/>
                <w:sz w:val="20"/>
                <w:szCs w:val="20"/>
              </w:rPr>
              <w:t>ZPDRC</w:t>
            </w:r>
            <w:r>
              <w:rPr>
                <w:rFonts w:cs="Times New Roman"/>
                <w:sz w:val="20"/>
                <w:szCs w:val="20"/>
              </w:rPr>
              <w:t>)</w:t>
            </w:r>
          </w:p>
        </w:tc>
      </w:tr>
      <w:tr w:rsidR="00771AA6" w14:paraId="1B16C3EC" w14:textId="77777777" w:rsidTr="00273E4A">
        <w:tc>
          <w:tcPr>
            <w:tcW w:w="2547" w:type="dxa"/>
            <w:shd w:val="clear" w:color="auto" w:fill="D1E3F3" w:themeFill="accent5" w:themeFillTint="33"/>
          </w:tcPr>
          <w:p w14:paraId="53EA2037" w14:textId="179B1F53" w:rsidR="00771AA6" w:rsidRPr="000942BD" w:rsidRDefault="00771AA6" w:rsidP="00771AA6">
            <w:pPr>
              <w:pStyle w:val="Default"/>
              <w:rPr>
                <w:rFonts w:cs="Times New Roman"/>
                <w:sz w:val="20"/>
                <w:szCs w:val="20"/>
              </w:rPr>
            </w:pPr>
            <w:r w:rsidRPr="000942BD">
              <w:rPr>
                <w:rFonts w:ascii="Times New Roman" w:hAnsi="Times New Roman" w:cs="Times New Roman"/>
                <w:sz w:val="20"/>
                <w:szCs w:val="20"/>
              </w:rPr>
              <w:t>NGOs/CBOs involvement:</w:t>
            </w:r>
          </w:p>
        </w:tc>
        <w:tc>
          <w:tcPr>
            <w:tcW w:w="6803" w:type="dxa"/>
            <w:gridSpan w:val="7"/>
          </w:tcPr>
          <w:p w14:paraId="0DE1661B" w14:textId="755199F1" w:rsidR="00771AA6" w:rsidRPr="000942BD" w:rsidRDefault="009C583C" w:rsidP="000942BD">
            <w:pPr>
              <w:rPr>
                <w:rFonts w:cs="Times New Roman"/>
                <w:sz w:val="20"/>
                <w:szCs w:val="20"/>
              </w:rPr>
            </w:pPr>
            <w:r>
              <w:rPr>
                <w:rFonts w:cs="Times New Roman"/>
                <w:sz w:val="20"/>
                <w:szCs w:val="20"/>
              </w:rPr>
              <w:t>Consultations</w:t>
            </w:r>
          </w:p>
        </w:tc>
      </w:tr>
      <w:tr w:rsidR="00771AA6" w14:paraId="79B411E4" w14:textId="77777777" w:rsidTr="00273E4A">
        <w:tc>
          <w:tcPr>
            <w:tcW w:w="2547" w:type="dxa"/>
            <w:shd w:val="clear" w:color="auto" w:fill="D1E3F3" w:themeFill="accent5" w:themeFillTint="33"/>
          </w:tcPr>
          <w:p w14:paraId="66E8F248" w14:textId="350D801B" w:rsidR="00771AA6" w:rsidRPr="00771AA6" w:rsidRDefault="00771AA6" w:rsidP="00771AA6">
            <w:pPr>
              <w:pStyle w:val="Default"/>
              <w:rPr>
                <w:rFonts w:ascii="Times New Roman" w:hAnsi="Times New Roman" w:cs="Times New Roman"/>
                <w:sz w:val="20"/>
                <w:szCs w:val="20"/>
              </w:rPr>
            </w:pPr>
            <w:r w:rsidRPr="000942BD">
              <w:rPr>
                <w:rFonts w:ascii="Times New Roman" w:hAnsi="Times New Roman" w:cs="Times New Roman"/>
                <w:sz w:val="20"/>
                <w:szCs w:val="20"/>
              </w:rPr>
              <w:t xml:space="preserve">Private sector involvement: </w:t>
            </w:r>
          </w:p>
        </w:tc>
        <w:tc>
          <w:tcPr>
            <w:tcW w:w="6803" w:type="dxa"/>
            <w:gridSpan w:val="7"/>
          </w:tcPr>
          <w:p w14:paraId="049C429C" w14:textId="0B2847D4" w:rsidR="00771AA6" w:rsidRPr="000942BD" w:rsidRDefault="009C583C" w:rsidP="000942BD">
            <w:pPr>
              <w:rPr>
                <w:rFonts w:cs="Times New Roman"/>
                <w:sz w:val="20"/>
                <w:szCs w:val="20"/>
              </w:rPr>
            </w:pPr>
            <w:r>
              <w:rPr>
                <w:rFonts w:cs="Times New Roman"/>
                <w:sz w:val="20"/>
                <w:szCs w:val="20"/>
              </w:rPr>
              <w:t>Beneficiaries</w:t>
            </w:r>
          </w:p>
        </w:tc>
      </w:tr>
      <w:tr w:rsidR="00771AA6" w14:paraId="3920945F" w14:textId="77777777" w:rsidTr="00273E4A">
        <w:tc>
          <w:tcPr>
            <w:tcW w:w="2547" w:type="dxa"/>
            <w:shd w:val="clear" w:color="auto" w:fill="D1E3F3" w:themeFill="accent5" w:themeFillTint="33"/>
          </w:tcPr>
          <w:p w14:paraId="2B3E0795" w14:textId="61F85430" w:rsidR="00771AA6" w:rsidRPr="000942BD" w:rsidRDefault="00771AA6" w:rsidP="00771AA6">
            <w:pPr>
              <w:pStyle w:val="Default"/>
              <w:rPr>
                <w:rFonts w:cs="Times New Roman"/>
                <w:sz w:val="20"/>
                <w:szCs w:val="20"/>
              </w:rPr>
            </w:pPr>
            <w:r w:rsidRPr="000942BD">
              <w:rPr>
                <w:rFonts w:ascii="Times New Roman" w:hAnsi="Times New Roman" w:cs="Times New Roman"/>
                <w:sz w:val="20"/>
                <w:szCs w:val="20"/>
              </w:rPr>
              <w:t xml:space="preserve">Geospatial coordinates of project sites: </w:t>
            </w:r>
          </w:p>
        </w:tc>
        <w:tc>
          <w:tcPr>
            <w:tcW w:w="6803" w:type="dxa"/>
            <w:gridSpan w:val="7"/>
          </w:tcPr>
          <w:p w14:paraId="539B48E8" w14:textId="3D2ECD15" w:rsidR="009C583C" w:rsidRDefault="009C583C" w:rsidP="009C583C">
            <w:pPr>
              <w:rPr>
                <w:rFonts w:cs="Times New Roman"/>
                <w:sz w:val="20"/>
                <w:szCs w:val="20"/>
              </w:rPr>
            </w:pPr>
            <w:r w:rsidRPr="009C583C">
              <w:rPr>
                <w:rFonts w:cs="Times New Roman"/>
                <w:sz w:val="20"/>
                <w:szCs w:val="20"/>
              </w:rPr>
              <w:t>Fuyang Hangzhou Transfer Logistics Base Co., Ltd.</w:t>
            </w:r>
          </w:p>
          <w:p w14:paraId="58D228C5" w14:textId="44C84F69" w:rsidR="009C583C" w:rsidRPr="009C583C" w:rsidRDefault="009C583C" w:rsidP="009C583C">
            <w:pPr>
              <w:rPr>
                <w:rFonts w:cs="Times New Roman"/>
                <w:sz w:val="20"/>
                <w:szCs w:val="20"/>
              </w:rPr>
            </w:pPr>
            <w:r w:rsidRPr="009C583C">
              <w:rPr>
                <w:rFonts w:cs="Times New Roman"/>
                <w:sz w:val="20"/>
                <w:szCs w:val="20"/>
              </w:rPr>
              <w:t>Geo</w:t>
            </w:r>
            <w:r>
              <w:rPr>
                <w:rFonts w:cs="Times New Roman"/>
                <w:sz w:val="20"/>
                <w:szCs w:val="20"/>
              </w:rPr>
              <w:t>spatial</w:t>
            </w:r>
            <w:r w:rsidRPr="009C583C">
              <w:rPr>
                <w:rFonts w:cs="Times New Roman"/>
                <w:sz w:val="20"/>
                <w:szCs w:val="20"/>
              </w:rPr>
              <w:t xml:space="preserve"> coordinates:120.032272,30.020674</w:t>
            </w:r>
          </w:p>
          <w:p w14:paraId="11607CD9" w14:textId="0C3ECB40" w:rsidR="009C583C" w:rsidRDefault="009C583C" w:rsidP="009C583C">
            <w:pPr>
              <w:rPr>
                <w:rFonts w:cs="Times New Roman"/>
                <w:sz w:val="20"/>
                <w:szCs w:val="20"/>
              </w:rPr>
            </w:pPr>
            <w:r w:rsidRPr="009C583C">
              <w:rPr>
                <w:rFonts w:cs="Times New Roman"/>
                <w:sz w:val="20"/>
                <w:szCs w:val="20"/>
              </w:rPr>
              <w:t>Zhejiang Fuyang Port International Logistics Port Co., Ltd.</w:t>
            </w:r>
          </w:p>
          <w:p w14:paraId="2EDEEC6B" w14:textId="1C995366" w:rsidR="00771AA6" w:rsidRPr="000942BD" w:rsidRDefault="009C583C" w:rsidP="009C583C">
            <w:pPr>
              <w:rPr>
                <w:rFonts w:cs="Times New Roman"/>
                <w:sz w:val="20"/>
                <w:szCs w:val="20"/>
              </w:rPr>
            </w:pPr>
            <w:r w:rsidRPr="009C583C">
              <w:rPr>
                <w:rFonts w:cs="Times New Roman"/>
                <w:sz w:val="20"/>
                <w:szCs w:val="20"/>
              </w:rPr>
              <w:t>Geo</w:t>
            </w:r>
            <w:r>
              <w:rPr>
                <w:rFonts w:cs="Times New Roman"/>
                <w:sz w:val="20"/>
                <w:szCs w:val="20"/>
              </w:rPr>
              <w:t>spatial</w:t>
            </w:r>
            <w:r w:rsidRPr="009C583C">
              <w:rPr>
                <w:rFonts w:cs="Times New Roman"/>
                <w:sz w:val="20"/>
                <w:szCs w:val="20"/>
              </w:rPr>
              <w:t xml:space="preserve"> coordinates:120.081859,30.070821</w:t>
            </w:r>
          </w:p>
        </w:tc>
      </w:tr>
      <w:tr w:rsidR="00771AA6" w:rsidRPr="00771AA6" w14:paraId="6E82F601" w14:textId="77777777" w:rsidTr="002D5420">
        <w:tc>
          <w:tcPr>
            <w:tcW w:w="9350" w:type="dxa"/>
            <w:gridSpan w:val="8"/>
            <w:shd w:val="clear" w:color="auto" w:fill="2E75B6" w:themeFill="accent5"/>
          </w:tcPr>
          <w:p w14:paraId="15E432F1" w14:textId="5344FA19" w:rsidR="000942BD" w:rsidRPr="00771AA6" w:rsidRDefault="000942BD" w:rsidP="000942BD">
            <w:pPr>
              <w:rPr>
                <w:rFonts w:cs="Times New Roman"/>
                <w:b/>
                <w:bCs/>
                <w:color w:val="FFFFFF" w:themeColor="background1"/>
                <w:sz w:val="20"/>
                <w:szCs w:val="20"/>
              </w:rPr>
            </w:pPr>
            <w:r w:rsidRPr="00771AA6">
              <w:rPr>
                <w:rFonts w:cs="Times New Roman"/>
                <w:b/>
                <w:bCs/>
                <w:color w:val="FFFFFF" w:themeColor="background1"/>
                <w:sz w:val="20"/>
                <w:szCs w:val="20"/>
              </w:rPr>
              <w:t>Financial information</w:t>
            </w:r>
            <w:r w:rsidR="004D08E5" w:rsidRPr="004D08E5">
              <w:rPr>
                <w:rFonts w:cs="Times New Roman"/>
                <w:b/>
                <w:bCs/>
                <w:color w:val="FFFFFF" w:themeColor="background1"/>
                <w:sz w:val="20"/>
                <w:szCs w:val="20"/>
                <w:vertAlign w:val="superscript"/>
              </w:rPr>
              <w:t>*</w:t>
            </w:r>
          </w:p>
        </w:tc>
      </w:tr>
      <w:tr w:rsidR="00771AA6" w14:paraId="6F353829" w14:textId="77777777" w:rsidTr="002D5420">
        <w:tc>
          <w:tcPr>
            <w:tcW w:w="2972" w:type="dxa"/>
            <w:gridSpan w:val="2"/>
            <w:shd w:val="clear" w:color="auto" w:fill="A4C7E8" w:themeFill="accent5" w:themeFillTint="66"/>
          </w:tcPr>
          <w:p w14:paraId="3168C8F3" w14:textId="70DF8876" w:rsidR="00771AA6" w:rsidRPr="00771AA6" w:rsidRDefault="00771AA6" w:rsidP="00771AA6">
            <w:pPr>
              <w:pStyle w:val="Default"/>
              <w:rPr>
                <w:rFonts w:ascii="Times New Roman" w:hAnsi="Times New Roman" w:cs="Times New Roman"/>
                <w:sz w:val="20"/>
                <w:szCs w:val="20"/>
              </w:rPr>
            </w:pPr>
            <w:r w:rsidRPr="00771AA6">
              <w:rPr>
                <w:rFonts w:ascii="Times New Roman" w:hAnsi="Times New Roman" w:cs="Times New Roman"/>
                <w:sz w:val="20"/>
                <w:szCs w:val="20"/>
              </w:rPr>
              <w:t xml:space="preserve">PDF/PPG: </w:t>
            </w:r>
          </w:p>
        </w:tc>
        <w:tc>
          <w:tcPr>
            <w:tcW w:w="2977" w:type="dxa"/>
            <w:gridSpan w:val="3"/>
            <w:shd w:val="clear" w:color="auto" w:fill="A4C7E8" w:themeFill="accent5" w:themeFillTint="66"/>
          </w:tcPr>
          <w:p w14:paraId="1BF1EF0B" w14:textId="32BA3C99" w:rsidR="00771AA6" w:rsidRPr="00771AA6" w:rsidRDefault="00771AA6" w:rsidP="00771AA6">
            <w:pPr>
              <w:pStyle w:val="Default"/>
              <w:rPr>
                <w:rFonts w:ascii="Times New Roman" w:hAnsi="Times New Roman" w:cs="Times New Roman"/>
                <w:sz w:val="20"/>
                <w:szCs w:val="20"/>
              </w:rPr>
            </w:pPr>
            <w:r w:rsidRPr="00771AA6">
              <w:rPr>
                <w:rFonts w:ascii="Times New Roman" w:hAnsi="Times New Roman" w:cs="Times New Roman"/>
                <w:sz w:val="20"/>
                <w:szCs w:val="20"/>
              </w:rPr>
              <w:t>at approval (US$M)</w:t>
            </w:r>
          </w:p>
        </w:tc>
        <w:tc>
          <w:tcPr>
            <w:tcW w:w="3401" w:type="dxa"/>
            <w:gridSpan w:val="3"/>
            <w:shd w:val="clear" w:color="auto" w:fill="A4C7E8" w:themeFill="accent5" w:themeFillTint="66"/>
          </w:tcPr>
          <w:p w14:paraId="2B6C2787" w14:textId="70A719BE" w:rsidR="00771AA6" w:rsidRPr="00771AA6" w:rsidRDefault="00771AA6" w:rsidP="000942BD">
            <w:pPr>
              <w:rPr>
                <w:rFonts w:cs="Times New Roman"/>
                <w:sz w:val="20"/>
                <w:szCs w:val="20"/>
              </w:rPr>
            </w:pPr>
            <w:r w:rsidRPr="00771AA6">
              <w:rPr>
                <w:rFonts w:cs="Times New Roman"/>
                <w:sz w:val="20"/>
                <w:szCs w:val="20"/>
              </w:rPr>
              <w:t>at PDF/PPG completion (US$M)</w:t>
            </w:r>
          </w:p>
        </w:tc>
      </w:tr>
      <w:tr w:rsidR="00771AA6" w14:paraId="725437AD" w14:textId="77777777" w:rsidTr="00771AA6">
        <w:tc>
          <w:tcPr>
            <w:tcW w:w="2972" w:type="dxa"/>
            <w:gridSpan w:val="2"/>
            <w:shd w:val="clear" w:color="auto" w:fill="D1E3F3" w:themeFill="accent5" w:themeFillTint="33"/>
          </w:tcPr>
          <w:p w14:paraId="18051D78" w14:textId="1829E8E6" w:rsidR="00771AA6" w:rsidRPr="00771AA6" w:rsidRDefault="00771AA6" w:rsidP="00771AA6">
            <w:pPr>
              <w:pStyle w:val="Default"/>
              <w:rPr>
                <w:rFonts w:ascii="Times New Roman" w:hAnsi="Times New Roman" w:cs="Times New Roman"/>
                <w:sz w:val="20"/>
                <w:szCs w:val="20"/>
              </w:rPr>
            </w:pPr>
            <w:r w:rsidRPr="00771AA6">
              <w:rPr>
                <w:rFonts w:ascii="Times New Roman" w:hAnsi="Times New Roman" w:cs="Times New Roman"/>
                <w:sz w:val="20"/>
                <w:szCs w:val="20"/>
              </w:rPr>
              <w:t>GEF PDF/PPG grants for project preparation:</w:t>
            </w:r>
          </w:p>
        </w:tc>
        <w:tc>
          <w:tcPr>
            <w:tcW w:w="2977" w:type="dxa"/>
            <w:gridSpan w:val="3"/>
          </w:tcPr>
          <w:p w14:paraId="17485465" w14:textId="7D5AA761" w:rsidR="00771AA6" w:rsidRPr="00771AA6" w:rsidRDefault="00357D9E" w:rsidP="00357D9E">
            <w:pPr>
              <w:jc w:val="right"/>
              <w:rPr>
                <w:rFonts w:cs="Times New Roman"/>
                <w:sz w:val="20"/>
                <w:szCs w:val="20"/>
              </w:rPr>
            </w:pPr>
            <w:r>
              <w:rPr>
                <w:rFonts w:cs="Times New Roman"/>
                <w:sz w:val="20"/>
                <w:szCs w:val="20"/>
              </w:rPr>
              <w:t>0.10</w:t>
            </w:r>
          </w:p>
        </w:tc>
        <w:tc>
          <w:tcPr>
            <w:tcW w:w="3401" w:type="dxa"/>
            <w:gridSpan w:val="3"/>
          </w:tcPr>
          <w:p w14:paraId="4CDA6B53" w14:textId="4FCC41D7" w:rsidR="00771AA6" w:rsidRPr="00771AA6" w:rsidRDefault="004D08E5" w:rsidP="00357D9E">
            <w:pPr>
              <w:jc w:val="right"/>
              <w:rPr>
                <w:rFonts w:cs="Times New Roman"/>
                <w:sz w:val="20"/>
                <w:szCs w:val="20"/>
              </w:rPr>
            </w:pPr>
            <w:r>
              <w:rPr>
                <w:rFonts w:cs="Times New Roman"/>
                <w:sz w:val="20"/>
                <w:szCs w:val="20"/>
              </w:rPr>
              <w:t>0</w:t>
            </w:r>
            <w:r w:rsidR="00357D9E">
              <w:rPr>
                <w:rFonts w:cs="Times New Roman"/>
                <w:sz w:val="20"/>
                <w:szCs w:val="20"/>
              </w:rPr>
              <w:t>.</w:t>
            </w:r>
            <w:r>
              <w:rPr>
                <w:rFonts w:cs="Times New Roman"/>
                <w:sz w:val="20"/>
                <w:szCs w:val="20"/>
              </w:rPr>
              <w:t>10</w:t>
            </w:r>
          </w:p>
        </w:tc>
      </w:tr>
      <w:tr w:rsidR="00771AA6" w14:paraId="135F0FBB" w14:textId="77777777" w:rsidTr="00771AA6">
        <w:tc>
          <w:tcPr>
            <w:tcW w:w="2972" w:type="dxa"/>
            <w:gridSpan w:val="2"/>
            <w:shd w:val="clear" w:color="auto" w:fill="D1E3F3" w:themeFill="accent5" w:themeFillTint="33"/>
          </w:tcPr>
          <w:p w14:paraId="34743610" w14:textId="7BE3724A" w:rsidR="00771AA6" w:rsidRPr="00771AA6" w:rsidRDefault="00771AA6" w:rsidP="00771AA6">
            <w:pPr>
              <w:pStyle w:val="Default"/>
              <w:rPr>
                <w:rFonts w:ascii="Times New Roman" w:hAnsi="Times New Roman" w:cs="Times New Roman"/>
                <w:sz w:val="20"/>
                <w:szCs w:val="20"/>
              </w:rPr>
            </w:pPr>
            <w:r w:rsidRPr="00771AA6">
              <w:rPr>
                <w:rFonts w:ascii="Times New Roman" w:hAnsi="Times New Roman" w:cs="Times New Roman"/>
                <w:sz w:val="20"/>
                <w:szCs w:val="20"/>
              </w:rPr>
              <w:t>Co-financing for project preparation:</w:t>
            </w:r>
          </w:p>
        </w:tc>
        <w:tc>
          <w:tcPr>
            <w:tcW w:w="2977" w:type="dxa"/>
            <w:gridSpan w:val="3"/>
          </w:tcPr>
          <w:p w14:paraId="694AD6FB" w14:textId="23B5D713" w:rsidR="00771AA6" w:rsidRPr="00771AA6" w:rsidRDefault="00273E4A" w:rsidP="00357D9E">
            <w:pPr>
              <w:jc w:val="right"/>
              <w:rPr>
                <w:rFonts w:cs="Times New Roman"/>
                <w:sz w:val="20"/>
                <w:szCs w:val="20"/>
              </w:rPr>
            </w:pPr>
            <w:r>
              <w:rPr>
                <w:rFonts w:cs="Times New Roman"/>
                <w:sz w:val="20"/>
                <w:szCs w:val="20"/>
              </w:rPr>
              <w:t>0.00</w:t>
            </w:r>
          </w:p>
        </w:tc>
        <w:tc>
          <w:tcPr>
            <w:tcW w:w="3401" w:type="dxa"/>
            <w:gridSpan w:val="3"/>
          </w:tcPr>
          <w:p w14:paraId="77264CD9" w14:textId="20BEB04F" w:rsidR="00771AA6" w:rsidRPr="00771AA6" w:rsidRDefault="006F3D9C" w:rsidP="00357D9E">
            <w:pPr>
              <w:jc w:val="right"/>
              <w:rPr>
                <w:rFonts w:cs="Times New Roman"/>
                <w:sz w:val="20"/>
                <w:szCs w:val="20"/>
              </w:rPr>
            </w:pPr>
            <w:r>
              <w:rPr>
                <w:rFonts w:cs="Times New Roman"/>
                <w:sz w:val="20"/>
                <w:szCs w:val="20"/>
              </w:rPr>
              <w:t>0.00</w:t>
            </w:r>
          </w:p>
        </w:tc>
      </w:tr>
      <w:tr w:rsidR="00771AA6" w14:paraId="76FC4C3F" w14:textId="77777777" w:rsidTr="002D5420">
        <w:trPr>
          <w:trHeight w:val="262"/>
        </w:trPr>
        <w:tc>
          <w:tcPr>
            <w:tcW w:w="2972" w:type="dxa"/>
            <w:gridSpan w:val="2"/>
            <w:shd w:val="clear" w:color="auto" w:fill="A4C7E8" w:themeFill="accent5" w:themeFillTint="66"/>
          </w:tcPr>
          <w:p w14:paraId="20E82E72" w14:textId="23D70E00" w:rsidR="00771AA6" w:rsidRPr="00771AA6" w:rsidRDefault="00771AA6" w:rsidP="00771AA6">
            <w:pPr>
              <w:pStyle w:val="Default"/>
              <w:rPr>
                <w:rFonts w:ascii="Times New Roman" w:hAnsi="Times New Roman" w:cs="Times New Roman"/>
                <w:sz w:val="20"/>
                <w:szCs w:val="20"/>
              </w:rPr>
            </w:pPr>
            <w:r w:rsidRPr="00771AA6">
              <w:rPr>
                <w:rFonts w:ascii="Times New Roman" w:hAnsi="Times New Roman" w:cs="Times New Roman"/>
                <w:sz w:val="20"/>
                <w:szCs w:val="20"/>
              </w:rPr>
              <w:t>Project</w:t>
            </w:r>
          </w:p>
        </w:tc>
        <w:tc>
          <w:tcPr>
            <w:tcW w:w="2977" w:type="dxa"/>
            <w:gridSpan w:val="3"/>
            <w:shd w:val="clear" w:color="auto" w:fill="A4C7E8" w:themeFill="accent5" w:themeFillTint="66"/>
          </w:tcPr>
          <w:p w14:paraId="064AA0E9" w14:textId="3A92061E" w:rsidR="00771AA6" w:rsidRPr="00771AA6" w:rsidRDefault="00771AA6" w:rsidP="002D5420">
            <w:pPr>
              <w:pStyle w:val="Default"/>
              <w:rPr>
                <w:rFonts w:ascii="Times New Roman" w:hAnsi="Times New Roman" w:cs="Times New Roman"/>
                <w:sz w:val="20"/>
                <w:szCs w:val="20"/>
              </w:rPr>
            </w:pPr>
            <w:r w:rsidRPr="00771AA6">
              <w:rPr>
                <w:rFonts w:ascii="Times New Roman" w:hAnsi="Times New Roman" w:cs="Times New Roman"/>
                <w:sz w:val="20"/>
                <w:szCs w:val="20"/>
              </w:rPr>
              <w:t xml:space="preserve">at CEO Endorsement (US$M) </w:t>
            </w:r>
          </w:p>
        </w:tc>
        <w:tc>
          <w:tcPr>
            <w:tcW w:w="3401" w:type="dxa"/>
            <w:gridSpan w:val="3"/>
            <w:shd w:val="clear" w:color="auto" w:fill="A4C7E8" w:themeFill="accent5" w:themeFillTint="66"/>
          </w:tcPr>
          <w:p w14:paraId="780BC7C8" w14:textId="0F0176A2" w:rsidR="00771AA6" w:rsidRPr="00771AA6" w:rsidRDefault="00771AA6" w:rsidP="002D5420">
            <w:pPr>
              <w:pStyle w:val="Default"/>
              <w:rPr>
                <w:rFonts w:cs="Times New Roman"/>
                <w:sz w:val="20"/>
                <w:szCs w:val="20"/>
              </w:rPr>
            </w:pPr>
            <w:r w:rsidRPr="00771AA6">
              <w:rPr>
                <w:rFonts w:ascii="Times New Roman" w:hAnsi="Times New Roman" w:cs="Times New Roman"/>
                <w:sz w:val="20"/>
                <w:szCs w:val="20"/>
              </w:rPr>
              <w:t xml:space="preserve">at TE (US$M) </w:t>
            </w:r>
          </w:p>
        </w:tc>
      </w:tr>
      <w:tr w:rsidR="00AB7771" w14:paraId="5CE968D3" w14:textId="77777777" w:rsidTr="00771AA6">
        <w:tc>
          <w:tcPr>
            <w:tcW w:w="2972" w:type="dxa"/>
            <w:gridSpan w:val="2"/>
            <w:shd w:val="clear" w:color="auto" w:fill="D1E3F3" w:themeFill="accent5" w:themeFillTint="33"/>
          </w:tcPr>
          <w:p w14:paraId="7AFF944D" w14:textId="01A08725" w:rsidR="00AB7771" w:rsidRPr="00771AA6" w:rsidRDefault="00AB7771" w:rsidP="00AB7771">
            <w:pPr>
              <w:pStyle w:val="Default"/>
              <w:rPr>
                <w:rFonts w:ascii="Times New Roman" w:hAnsi="Times New Roman" w:cs="Times New Roman"/>
                <w:sz w:val="20"/>
                <w:szCs w:val="20"/>
              </w:rPr>
            </w:pPr>
            <w:r w:rsidRPr="00771AA6">
              <w:rPr>
                <w:rFonts w:ascii="Times New Roman" w:hAnsi="Times New Roman" w:cs="Times New Roman"/>
                <w:sz w:val="20"/>
                <w:szCs w:val="20"/>
              </w:rPr>
              <w:t xml:space="preserve">[1] UNDP contribution: </w:t>
            </w:r>
          </w:p>
        </w:tc>
        <w:tc>
          <w:tcPr>
            <w:tcW w:w="2977" w:type="dxa"/>
            <w:gridSpan w:val="3"/>
          </w:tcPr>
          <w:p w14:paraId="39E94CFA" w14:textId="606037FB" w:rsidR="00AB7771" w:rsidRPr="00771AA6" w:rsidRDefault="00AB7771" w:rsidP="00AB7771">
            <w:pPr>
              <w:jc w:val="right"/>
              <w:rPr>
                <w:rFonts w:cs="Times New Roman"/>
                <w:sz w:val="20"/>
                <w:szCs w:val="20"/>
              </w:rPr>
            </w:pPr>
            <w:r>
              <w:rPr>
                <w:rFonts w:cs="Times New Roman"/>
                <w:sz w:val="20"/>
                <w:szCs w:val="20"/>
              </w:rPr>
              <w:t>0.25</w:t>
            </w:r>
          </w:p>
        </w:tc>
        <w:tc>
          <w:tcPr>
            <w:tcW w:w="3401" w:type="dxa"/>
            <w:gridSpan w:val="3"/>
          </w:tcPr>
          <w:p w14:paraId="463AE82A" w14:textId="6350691A" w:rsidR="00AB7771" w:rsidRPr="00771AA6" w:rsidRDefault="007B6387" w:rsidP="00AB7771">
            <w:pPr>
              <w:jc w:val="right"/>
              <w:rPr>
                <w:rFonts w:cs="Times New Roman"/>
                <w:sz w:val="20"/>
                <w:szCs w:val="20"/>
              </w:rPr>
            </w:pPr>
            <w:r>
              <w:rPr>
                <w:rFonts w:cs="Times New Roman"/>
                <w:sz w:val="20"/>
                <w:szCs w:val="20"/>
              </w:rPr>
              <w:t>0.26</w:t>
            </w:r>
          </w:p>
        </w:tc>
      </w:tr>
      <w:tr w:rsidR="00AB7771" w14:paraId="12AC6D49" w14:textId="77777777" w:rsidTr="00771AA6">
        <w:tc>
          <w:tcPr>
            <w:tcW w:w="2972" w:type="dxa"/>
            <w:gridSpan w:val="2"/>
            <w:shd w:val="clear" w:color="auto" w:fill="D1E3F3" w:themeFill="accent5" w:themeFillTint="33"/>
          </w:tcPr>
          <w:p w14:paraId="5E4353EF" w14:textId="066D5144" w:rsidR="00AB7771" w:rsidRPr="00771AA6" w:rsidRDefault="00AB7771" w:rsidP="00AB7771">
            <w:pPr>
              <w:pStyle w:val="Default"/>
              <w:rPr>
                <w:rFonts w:ascii="Times New Roman" w:hAnsi="Times New Roman" w:cs="Times New Roman"/>
                <w:sz w:val="20"/>
                <w:szCs w:val="20"/>
              </w:rPr>
            </w:pPr>
            <w:r w:rsidRPr="00771AA6">
              <w:rPr>
                <w:rFonts w:ascii="Times New Roman" w:hAnsi="Times New Roman" w:cs="Times New Roman"/>
                <w:sz w:val="20"/>
                <w:szCs w:val="20"/>
              </w:rPr>
              <w:t xml:space="preserve">[2] Government: </w:t>
            </w:r>
          </w:p>
        </w:tc>
        <w:tc>
          <w:tcPr>
            <w:tcW w:w="2977" w:type="dxa"/>
            <w:gridSpan w:val="3"/>
          </w:tcPr>
          <w:p w14:paraId="57F7E644" w14:textId="4A326349" w:rsidR="00AB7771" w:rsidRPr="00771AA6" w:rsidRDefault="00AB7771" w:rsidP="00AB7771">
            <w:pPr>
              <w:jc w:val="right"/>
              <w:rPr>
                <w:rFonts w:cs="Times New Roman"/>
                <w:sz w:val="20"/>
                <w:szCs w:val="20"/>
              </w:rPr>
            </w:pPr>
            <w:r>
              <w:rPr>
                <w:rFonts w:cs="Times New Roman"/>
                <w:sz w:val="20"/>
                <w:szCs w:val="20"/>
              </w:rPr>
              <w:t>3.48</w:t>
            </w:r>
          </w:p>
        </w:tc>
        <w:tc>
          <w:tcPr>
            <w:tcW w:w="3401" w:type="dxa"/>
            <w:gridSpan w:val="3"/>
          </w:tcPr>
          <w:p w14:paraId="5C49B4DD" w14:textId="65EAE819" w:rsidR="00AB7771" w:rsidRPr="00771AA6" w:rsidRDefault="004D08E5" w:rsidP="00AB7771">
            <w:pPr>
              <w:jc w:val="right"/>
              <w:rPr>
                <w:rFonts w:cs="Times New Roman"/>
                <w:sz w:val="20"/>
                <w:szCs w:val="20"/>
              </w:rPr>
            </w:pPr>
            <w:r>
              <w:rPr>
                <w:rFonts w:cs="Times New Roman"/>
                <w:sz w:val="20"/>
                <w:szCs w:val="20"/>
              </w:rPr>
              <w:t>3.62</w:t>
            </w:r>
          </w:p>
        </w:tc>
      </w:tr>
      <w:tr w:rsidR="00AB7771" w14:paraId="5A21B9A1" w14:textId="77777777" w:rsidTr="00771AA6">
        <w:tc>
          <w:tcPr>
            <w:tcW w:w="2972" w:type="dxa"/>
            <w:gridSpan w:val="2"/>
            <w:shd w:val="clear" w:color="auto" w:fill="D1E3F3" w:themeFill="accent5" w:themeFillTint="33"/>
          </w:tcPr>
          <w:p w14:paraId="064A8B27" w14:textId="2AD3415F" w:rsidR="00AB7771" w:rsidRPr="00771AA6" w:rsidRDefault="00AB7771" w:rsidP="00AB7771">
            <w:pPr>
              <w:pStyle w:val="Default"/>
              <w:rPr>
                <w:rFonts w:ascii="Times New Roman" w:hAnsi="Times New Roman" w:cs="Times New Roman"/>
                <w:sz w:val="20"/>
                <w:szCs w:val="20"/>
              </w:rPr>
            </w:pPr>
            <w:r w:rsidRPr="00771AA6">
              <w:rPr>
                <w:rFonts w:ascii="Times New Roman" w:hAnsi="Times New Roman" w:cs="Times New Roman"/>
                <w:sz w:val="20"/>
                <w:szCs w:val="20"/>
              </w:rPr>
              <w:t xml:space="preserve">[3] Other multi-/bi-laterals: </w:t>
            </w:r>
          </w:p>
        </w:tc>
        <w:tc>
          <w:tcPr>
            <w:tcW w:w="2977" w:type="dxa"/>
            <w:gridSpan w:val="3"/>
          </w:tcPr>
          <w:p w14:paraId="74C8FA28" w14:textId="05FD46D3" w:rsidR="00AB7771" w:rsidRPr="00771AA6" w:rsidRDefault="00AB7771" w:rsidP="00AB7771">
            <w:pPr>
              <w:jc w:val="right"/>
              <w:rPr>
                <w:rFonts w:cs="Times New Roman"/>
                <w:sz w:val="20"/>
                <w:szCs w:val="20"/>
              </w:rPr>
            </w:pPr>
            <w:r>
              <w:rPr>
                <w:rFonts w:cs="Times New Roman"/>
                <w:sz w:val="20"/>
                <w:szCs w:val="20"/>
              </w:rPr>
              <w:t>0.00</w:t>
            </w:r>
          </w:p>
        </w:tc>
        <w:tc>
          <w:tcPr>
            <w:tcW w:w="3401" w:type="dxa"/>
            <w:gridSpan w:val="3"/>
          </w:tcPr>
          <w:p w14:paraId="5D31CA10" w14:textId="09BCABB3" w:rsidR="00AB7771" w:rsidRPr="00771AA6" w:rsidRDefault="004D08E5" w:rsidP="00AB7771">
            <w:pPr>
              <w:jc w:val="right"/>
              <w:rPr>
                <w:rFonts w:cs="Times New Roman"/>
                <w:sz w:val="20"/>
                <w:szCs w:val="20"/>
              </w:rPr>
            </w:pPr>
            <w:r>
              <w:rPr>
                <w:rFonts w:cs="Times New Roman"/>
                <w:sz w:val="20"/>
                <w:szCs w:val="20"/>
              </w:rPr>
              <w:t>0.00</w:t>
            </w:r>
          </w:p>
        </w:tc>
      </w:tr>
      <w:tr w:rsidR="00AB7771" w14:paraId="59B20359" w14:textId="77777777" w:rsidTr="00771AA6">
        <w:tc>
          <w:tcPr>
            <w:tcW w:w="2972" w:type="dxa"/>
            <w:gridSpan w:val="2"/>
            <w:shd w:val="clear" w:color="auto" w:fill="D1E3F3" w:themeFill="accent5" w:themeFillTint="33"/>
          </w:tcPr>
          <w:p w14:paraId="3626B2FB" w14:textId="057FAA2C" w:rsidR="00AB7771" w:rsidRPr="00771AA6" w:rsidRDefault="00AB7771" w:rsidP="00AB7771">
            <w:pPr>
              <w:pStyle w:val="Default"/>
              <w:rPr>
                <w:rFonts w:ascii="Times New Roman" w:hAnsi="Times New Roman" w:cs="Times New Roman"/>
                <w:sz w:val="20"/>
                <w:szCs w:val="20"/>
              </w:rPr>
            </w:pPr>
            <w:r w:rsidRPr="00771AA6">
              <w:rPr>
                <w:rFonts w:ascii="Times New Roman" w:hAnsi="Times New Roman" w:cs="Times New Roman"/>
                <w:sz w:val="20"/>
                <w:szCs w:val="20"/>
              </w:rPr>
              <w:t xml:space="preserve">[4] Private Sector: </w:t>
            </w:r>
          </w:p>
        </w:tc>
        <w:tc>
          <w:tcPr>
            <w:tcW w:w="2977" w:type="dxa"/>
            <w:gridSpan w:val="3"/>
          </w:tcPr>
          <w:p w14:paraId="05AD2081" w14:textId="0D9D6979" w:rsidR="00AB7771" w:rsidRPr="00771AA6" w:rsidRDefault="00AB7771" w:rsidP="00AB7771">
            <w:pPr>
              <w:jc w:val="right"/>
              <w:rPr>
                <w:rFonts w:cs="Times New Roman"/>
                <w:sz w:val="20"/>
                <w:szCs w:val="20"/>
              </w:rPr>
            </w:pPr>
            <w:r>
              <w:rPr>
                <w:rFonts w:cs="Times New Roman"/>
                <w:sz w:val="20"/>
                <w:szCs w:val="20"/>
              </w:rPr>
              <w:t>8.40</w:t>
            </w:r>
          </w:p>
        </w:tc>
        <w:tc>
          <w:tcPr>
            <w:tcW w:w="3401" w:type="dxa"/>
            <w:gridSpan w:val="3"/>
          </w:tcPr>
          <w:p w14:paraId="5DC495C1" w14:textId="575AD908" w:rsidR="00AB7771" w:rsidRPr="00771AA6" w:rsidRDefault="004D08E5" w:rsidP="00AB7771">
            <w:pPr>
              <w:jc w:val="right"/>
              <w:rPr>
                <w:rFonts w:cs="Times New Roman"/>
                <w:sz w:val="20"/>
                <w:szCs w:val="20"/>
              </w:rPr>
            </w:pPr>
            <w:r>
              <w:rPr>
                <w:rFonts w:cs="Times New Roman"/>
                <w:sz w:val="20"/>
                <w:szCs w:val="20"/>
              </w:rPr>
              <w:t>17.10</w:t>
            </w:r>
          </w:p>
        </w:tc>
      </w:tr>
      <w:tr w:rsidR="00AB7771" w14:paraId="77FF954E" w14:textId="77777777" w:rsidTr="009E09CA">
        <w:tc>
          <w:tcPr>
            <w:tcW w:w="2972" w:type="dxa"/>
            <w:gridSpan w:val="2"/>
            <w:shd w:val="clear" w:color="auto" w:fill="D1E3F3" w:themeFill="accent5" w:themeFillTint="33"/>
          </w:tcPr>
          <w:p w14:paraId="0C9BBAA8" w14:textId="0DB00735" w:rsidR="00AB7771" w:rsidRPr="00771AA6" w:rsidRDefault="00AB7771" w:rsidP="00AB7771">
            <w:pPr>
              <w:pStyle w:val="Default"/>
              <w:rPr>
                <w:rFonts w:ascii="Times New Roman" w:hAnsi="Times New Roman" w:cs="Times New Roman"/>
                <w:sz w:val="20"/>
                <w:szCs w:val="20"/>
              </w:rPr>
            </w:pPr>
            <w:r w:rsidRPr="00771AA6">
              <w:rPr>
                <w:rFonts w:ascii="Times New Roman" w:hAnsi="Times New Roman" w:cs="Times New Roman"/>
                <w:sz w:val="20"/>
                <w:szCs w:val="20"/>
              </w:rPr>
              <w:t xml:space="preserve">[5] NGOs: </w:t>
            </w:r>
          </w:p>
        </w:tc>
        <w:tc>
          <w:tcPr>
            <w:tcW w:w="2977" w:type="dxa"/>
            <w:gridSpan w:val="3"/>
            <w:shd w:val="clear" w:color="auto" w:fill="auto"/>
          </w:tcPr>
          <w:p w14:paraId="4D547D39" w14:textId="6150822C" w:rsidR="00AB7771" w:rsidRPr="00771AA6" w:rsidRDefault="00AB7771" w:rsidP="00AB7771">
            <w:pPr>
              <w:jc w:val="right"/>
              <w:rPr>
                <w:rFonts w:cs="Times New Roman"/>
                <w:sz w:val="20"/>
                <w:szCs w:val="20"/>
              </w:rPr>
            </w:pPr>
            <w:r>
              <w:rPr>
                <w:rFonts w:cs="Times New Roman"/>
                <w:sz w:val="20"/>
                <w:szCs w:val="20"/>
              </w:rPr>
              <w:t>0.00</w:t>
            </w:r>
          </w:p>
        </w:tc>
        <w:tc>
          <w:tcPr>
            <w:tcW w:w="3401" w:type="dxa"/>
            <w:gridSpan w:val="3"/>
            <w:shd w:val="clear" w:color="auto" w:fill="auto"/>
          </w:tcPr>
          <w:p w14:paraId="3D54C468" w14:textId="25317FEF" w:rsidR="00AB7771" w:rsidRPr="00771AA6" w:rsidRDefault="004D08E5" w:rsidP="00AB7771">
            <w:pPr>
              <w:jc w:val="right"/>
              <w:rPr>
                <w:rFonts w:cs="Times New Roman"/>
                <w:sz w:val="20"/>
                <w:szCs w:val="20"/>
              </w:rPr>
            </w:pPr>
            <w:r>
              <w:rPr>
                <w:rFonts w:cs="Times New Roman"/>
                <w:sz w:val="20"/>
                <w:szCs w:val="20"/>
              </w:rPr>
              <w:t>0.00</w:t>
            </w:r>
          </w:p>
        </w:tc>
      </w:tr>
      <w:tr w:rsidR="00AB7771" w14:paraId="512003D6" w14:textId="77777777" w:rsidTr="009E09CA">
        <w:tc>
          <w:tcPr>
            <w:tcW w:w="2972" w:type="dxa"/>
            <w:gridSpan w:val="2"/>
            <w:shd w:val="clear" w:color="auto" w:fill="D1E3F3" w:themeFill="accent5" w:themeFillTint="33"/>
          </w:tcPr>
          <w:p w14:paraId="3E9BD257" w14:textId="4DE84677" w:rsidR="00AB7771" w:rsidRPr="00DC0259" w:rsidRDefault="00AB7771" w:rsidP="00DC0259">
            <w:pPr>
              <w:pStyle w:val="Default"/>
              <w:rPr>
                <w:rFonts w:ascii="Times New Roman" w:hAnsi="Times New Roman" w:cs="Times New Roman"/>
                <w:sz w:val="20"/>
                <w:szCs w:val="20"/>
              </w:rPr>
            </w:pPr>
            <w:r w:rsidRPr="00771AA6">
              <w:rPr>
                <w:rFonts w:ascii="Times New Roman" w:hAnsi="Times New Roman" w:cs="Times New Roman"/>
                <w:sz w:val="20"/>
                <w:szCs w:val="20"/>
              </w:rPr>
              <w:t>[6] Total co-financing</w:t>
            </w:r>
            <w:r w:rsidR="00DC0259">
              <w:rPr>
                <w:rFonts w:ascii="Times New Roman" w:hAnsi="Times New Roman" w:cs="Times New Roman"/>
                <w:sz w:val="20"/>
                <w:szCs w:val="20"/>
              </w:rPr>
              <w:t>:</w:t>
            </w:r>
          </w:p>
        </w:tc>
        <w:tc>
          <w:tcPr>
            <w:tcW w:w="2977" w:type="dxa"/>
            <w:gridSpan w:val="3"/>
            <w:shd w:val="clear" w:color="auto" w:fill="auto"/>
          </w:tcPr>
          <w:p w14:paraId="7AE11E28" w14:textId="00F12E6E" w:rsidR="00AB7771" w:rsidRPr="00771AA6" w:rsidRDefault="00AB7771" w:rsidP="00AB7771">
            <w:pPr>
              <w:jc w:val="right"/>
              <w:rPr>
                <w:rFonts w:cs="Times New Roman"/>
                <w:sz w:val="20"/>
                <w:szCs w:val="20"/>
              </w:rPr>
            </w:pPr>
            <w:r>
              <w:rPr>
                <w:rFonts w:cs="Times New Roman"/>
                <w:sz w:val="20"/>
                <w:szCs w:val="20"/>
              </w:rPr>
              <w:t>12.13</w:t>
            </w:r>
          </w:p>
        </w:tc>
        <w:tc>
          <w:tcPr>
            <w:tcW w:w="3401" w:type="dxa"/>
            <w:gridSpan w:val="3"/>
            <w:shd w:val="clear" w:color="auto" w:fill="auto"/>
          </w:tcPr>
          <w:p w14:paraId="294EDA78" w14:textId="78E5295C" w:rsidR="00AB7771" w:rsidRPr="00771AA6" w:rsidRDefault="004D08E5" w:rsidP="00AB7771">
            <w:pPr>
              <w:jc w:val="right"/>
              <w:rPr>
                <w:rFonts w:cs="Times New Roman"/>
                <w:sz w:val="20"/>
                <w:szCs w:val="20"/>
              </w:rPr>
            </w:pPr>
            <w:r>
              <w:rPr>
                <w:rFonts w:cs="Times New Roman"/>
                <w:sz w:val="20"/>
                <w:szCs w:val="20"/>
              </w:rPr>
              <w:t>20.</w:t>
            </w:r>
            <w:r w:rsidR="007B6387">
              <w:rPr>
                <w:rFonts w:cs="Times New Roman"/>
                <w:sz w:val="20"/>
                <w:szCs w:val="20"/>
              </w:rPr>
              <w:t>98</w:t>
            </w:r>
          </w:p>
        </w:tc>
      </w:tr>
      <w:tr w:rsidR="00AB7771" w14:paraId="31FA870E" w14:textId="77777777" w:rsidTr="009E09CA">
        <w:tc>
          <w:tcPr>
            <w:tcW w:w="2972" w:type="dxa"/>
            <w:gridSpan w:val="2"/>
            <w:shd w:val="clear" w:color="auto" w:fill="D1E3F3" w:themeFill="accent5" w:themeFillTint="33"/>
          </w:tcPr>
          <w:p w14:paraId="5AC4EAAC" w14:textId="35113457" w:rsidR="00AB7771" w:rsidRPr="00771AA6" w:rsidRDefault="00AB7771" w:rsidP="00AB7771">
            <w:pPr>
              <w:pStyle w:val="Default"/>
              <w:rPr>
                <w:rFonts w:ascii="Times New Roman" w:hAnsi="Times New Roman" w:cs="Times New Roman"/>
                <w:sz w:val="20"/>
                <w:szCs w:val="20"/>
              </w:rPr>
            </w:pPr>
            <w:r w:rsidRPr="00771AA6">
              <w:rPr>
                <w:rFonts w:ascii="Times New Roman" w:hAnsi="Times New Roman" w:cs="Times New Roman"/>
                <w:sz w:val="20"/>
                <w:szCs w:val="20"/>
              </w:rPr>
              <w:t xml:space="preserve">[7] Total GEF funding: </w:t>
            </w:r>
          </w:p>
        </w:tc>
        <w:tc>
          <w:tcPr>
            <w:tcW w:w="2977" w:type="dxa"/>
            <w:gridSpan w:val="3"/>
            <w:shd w:val="clear" w:color="auto" w:fill="auto"/>
          </w:tcPr>
          <w:p w14:paraId="4F6B9E34" w14:textId="0C34C976" w:rsidR="00AB7771" w:rsidRPr="00D21441" w:rsidRDefault="00AB7771" w:rsidP="00AB7771">
            <w:pPr>
              <w:jc w:val="right"/>
              <w:rPr>
                <w:rFonts w:cs="Times New Roman"/>
                <w:sz w:val="20"/>
                <w:szCs w:val="20"/>
                <w:highlight w:val="yellow"/>
              </w:rPr>
            </w:pPr>
            <w:r w:rsidRPr="009E09CA">
              <w:rPr>
                <w:rFonts w:cs="Times New Roman"/>
                <w:sz w:val="20"/>
                <w:szCs w:val="20"/>
              </w:rPr>
              <w:t>2.9137</w:t>
            </w:r>
          </w:p>
        </w:tc>
        <w:tc>
          <w:tcPr>
            <w:tcW w:w="3401" w:type="dxa"/>
            <w:gridSpan w:val="3"/>
            <w:shd w:val="clear" w:color="auto" w:fill="auto"/>
          </w:tcPr>
          <w:p w14:paraId="6EA102EF" w14:textId="72C4E489" w:rsidR="00AB7771" w:rsidRPr="00D21441" w:rsidRDefault="00DC0259" w:rsidP="00AB7771">
            <w:pPr>
              <w:jc w:val="right"/>
              <w:rPr>
                <w:rFonts w:cs="Times New Roman"/>
                <w:sz w:val="20"/>
                <w:szCs w:val="20"/>
                <w:highlight w:val="yellow"/>
              </w:rPr>
            </w:pPr>
            <w:r w:rsidRPr="009E09CA">
              <w:rPr>
                <w:rFonts w:cs="Times New Roman"/>
                <w:sz w:val="20"/>
                <w:szCs w:val="20"/>
              </w:rPr>
              <w:t>2.87</w:t>
            </w:r>
          </w:p>
        </w:tc>
      </w:tr>
      <w:tr w:rsidR="00AB7771" w14:paraId="633BA601" w14:textId="77777777" w:rsidTr="009E09CA">
        <w:tc>
          <w:tcPr>
            <w:tcW w:w="2972" w:type="dxa"/>
            <w:gridSpan w:val="2"/>
            <w:shd w:val="clear" w:color="auto" w:fill="D1E3F3" w:themeFill="accent5" w:themeFillTint="33"/>
          </w:tcPr>
          <w:p w14:paraId="08FCAA0A" w14:textId="7011B2A6" w:rsidR="00AB7771" w:rsidRPr="00771AA6" w:rsidRDefault="00AB7771" w:rsidP="00AB7771">
            <w:pPr>
              <w:pStyle w:val="Default"/>
              <w:rPr>
                <w:rFonts w:ascii="Times New Roman" w:hAnsi="Times New Roman" w:cs="Times New Roman"/>
                <w:sz w:val="20"/>
                <w:szCs w:val="20"/>
              </w:rPr>
            </w:pPr>
            <w:r w:rsidRPr="00771AA6">
              <w:rPr>
                <w:rFonts w:ascii="Times New Roman" w:hAnsi="Times New Roman" w:cs="Times New Roman"/>
                <w:sz w:val="20"/>
                <w:szCs w:val="20"/>
              </w:rPr>
              <w:t xml:space="preserve">[8] Total Project Funding [6 + 7] </w:t>
            </w:r>
          </w:p>
        </w:tc>
        <w:tc>
          <w:tcPr>
            <w:tcW w:w="2977" w:type="dxa"/>
            <w:gridSpan w:val="3"/>
            <w:shd w:val="clear" w:color="auto" w:fill="auto"/>
          </w:tcPr>
          <w:p w14:paraId="6013FFF9" w14:textId="2EABFE24" w:rsidR="00AB7771" w:rsidRPr="00771AA6" w:rsidRDefault="00AB7771" w:rsidP="00AB7771">
            <w:pPr>
              <w:jc w:val="right"/>
              <w:rPr>
                <w:rFonts w:cs="Times New Roman"/>
                <w:sz w:val="20"/>
                <w:szCs w:val="20"/>
              </w:rPr>
            </w:pPr>
            <w:r>
              <w:rPr>
                <w:rFonts w:cs="Times New Roman"/>
                <w:sz w:val="20"/>
                <w:szCs w:val="20"/>
              </w:rPr>
              <w:t>15.0437</w:t>
            </w:r>
          </w:p>
        </w:tc>
        <w:tc>
          <w:tcPr>
            <w:tcW w:w="3401" w:type="dxa"/>
            <w:gridSpan w:val="3"/>
            <w:shd w:val="clear" w:color="auto" w:fill="auto"/>
          </w:tcPr>
          <w:p w14:paraId="7A4FD217" w14:textId="401CEE2F" w:rsidR="00AB7771" w:rsidRPr="00771AA6" w:rsidRDefault="00DC0259" w:rsidP="00AB7771">
            <w:pPr>
              <w:jc w:val="right"/>
              <w:rPr>
                <w:rFonts w:cs="Times New Roman"/>
                <w:sz w:val="20"/>
                <w:szCs w:val="20"/>
              </w:rPr>
            </w:pPr>
            <w:r>
              <w:rPr>
                <w:rFonts w:cs="Times New Roman"/>
                <w:sz w:val="20"/>
                <w:szCs w:val="20"/>
              </w:rPr>
              <w:t>23.</w:t>
            </w:r>
            <w:r w:rsidR="007B6387">
              <w:rPr>
                <w:rFonts w:cs="Times New Roman"/>
                <w:sz w:val="20"/>
                <w:szCs w:val="20"/>
              </w:rPr>
              <w:t>85</w:t>
            </w:r>
          </w:p>
        </w:tc>
      </w:tr>
    </w:tbl>
    <w:p w14:paraId="0B18E60B" w14:textId="0D510062" w:rsidR="000942BD" w:rsidRPr="004D08E5" w:rsidRDefault="004D08E5" w:rsidP="004D08E5">
      <w:pPr>
        <w:jc w:val="both"/>
        <w:rPr>
          <w:sz w:val="20"/>
          <w:szCs w:val="20"/>
        </w:rPr>
      </w:pPr>
      <w:r w:rsidRPr="004D08E5">
        <w:rPr>
          <w:rFonts w:cs="Times New Roman"/>
          <w:sz w:val="18"/>
          <w:szCs w:val="18"/>
          <w:vertAlign w:val="superscript"/>
        </w:rPr>
        <w:t xml:space="preserve">* </w:t>
      </w:r>
      <w:r w:rsidRPr="004D08E5">
        <w:rPr>
          <w:rFonts w:cs="Times New Roman"/>
          <w:sz w:val="18"/>
          <w:szCs w:val="18"/>
        </w:rPr>
        <w:t xml:space="preserve"> Figures on cofinancing are best estimates that could be produced by the terminal evaluation. For a full discussion on cofinancing, please refer to section 4.2.3.</w:t>
      </w:r>
    </w:p>
    <w:p w14:paraId="6B121234" w14:textId="0072FA2B" w:rsidR="00B42BD0" w:rsidRDefault="00B42BD0" w:rsidP="000942BD">
      <w:r>
        <w:br w:type="page"/>
      </w:r>
    </w:p>
    <w:p w14:paraId="658C7F2A" w14:textId="3FC6252C" w:rsidR="008E2C94" w:rsidRDefault="008E2C94" w:rsidP="00AB7771">
      <w:pPr>
        <w:pStyle w:val="Heading2"/>
        <w:numPr>
          <w:ilvl w:val="1"/>
          <w:numId w:val="47"/>
        </w:numPr>
      </w:pPr>
      <w:bookmarkStart w:id="5" w:name="_Toc64632034"/>
      <w:r w:rsidRPr="00FC46EA">
        <w:rPr>
          <w:rFonts w:cs="Calibri"/>
        </w:rPr>
        <w:lastRenderedPageBreak/>
        <w:t xml:space="preserve">Project </w:t>
      </w:r>
      <w:r w:rsidRPr="00AB7771">
        <w:t>description</w:t>
      </w:r>
      <w:bookmarkEnd w:id="5"/>
    </w:p>
    <w:p w14:paraId="2E6CD25E" w14:textId="77777777" w:rsidR="00B42BD0" w:rsidRDefault="00AB7771" w:rsidP="00AB7771">
      <w:pPr>
        <w:jc w:val="both"/>
      </w:pPr>
      <w:r>
        <w:t xml:space="preserve">The project on “Greening the Logistics Industry in Zhejiang Province” aimed at improving the efficiency </w:t>
      </w:r>
      <w:r w:rsidR="00B42BD0">
        <w:t>of the logistics industry in Zhejiang Province</w:t>
      </w:r>
      <w:r>
        <w:t>. According to the Project Document, the logistics sector</w:t>
      </w:r>
      <w:r w:rsidR="00B42BD0">
        <w:t xml:space="preserve"> in Zhejiang Province</w:t>
      </w:r>
      <w:r>
        <w:t xml:space="preserve"> had experienced a rapid growth over the two previous decades, supported by large public investments in transport infrastructure. However, the pace of adoption of efficient technologies and practices by the industry had proceeded at a slower pace. As a result, the industry was characterized by low efficiency, high operational costs, and comparatively large environmental impacts. </w:t>
      </w:r>
    </w:p>
    <w:p w14:paraId="5F6A7C51" w14:textId="75E1C34E" w:rsidR="00AB7771" w:rsidRDefault="00AB7771" w:rsidP="00AB7771">
      <w:pPr>
        <w:jc w:val="both"/>
      </w:pPr>
      <w:r w:rsidRPr="009E09CA">
        <w:t>The objective of the project was to promote the adoption of energy efficient</w:t>
      </w:r>
      <w:r w:rsidR="00B42BD0" w:rsidRPr="009E09CA">
        <w:t>,</w:t>
      </w:r>
      <w:r w:rsidRPr="009E09CA">
        <w:t xml:space="preserve"> green logistics techn</w:t>
      </w:r>
      <w:r w:rsidR="00B42BD0" w:rsidRPr="009E09CA">
        <w:t>ologies</w:t>
      </w:r>
      <w:r w:rsidRPr="009E09CA">
        <w:t xml:space="preserve"> and practices in the logistics industry in the Chinese province of Zhejiang.  The ultimate goal of the project was to reduce greenhouse gas emissions attributable to the logistics industry and the transport sector </w:t>
      </w:r>
      <w:r w:rsidR="00B42BD0" w:rsidRPr="009E09CA">
        <w:t>in</w:t>
      </w:r>
      <w:r w:rsidRPr="009E09CA">
        <w:t xml:space="preserve"> the province.</w:t>
      </w:r>
      <w:r>
        <w:t xml:space="preserve">  The project’s strategy consisted of a barriers removal approach to address the major barriers </w:t>
      </w:r>
      <w:r w:rsidR="00B42BD0">
        <w:t xml:space="preserve">preventing </w:t>
      </w:r>
      <w:r>
        <w:t>the adoption of green logistics techn</w:t>
      </w:r>
      <w:r w:rsidR="00B42BD0">
        <w:t>ologies</w:t>
      </w:r>
      <w:r>
        <w:t xml:space="preserve"> and practices. </w:t>
      </w:r>
    </w:p>
    <w:p w14:paraId="73B7D504" w14:textId="7AC21DFA" w:rsidR="00AB7771" w:rsidRDefault="00AB7771" w:rsidP="00AB7771">
      <w:pPr>
        <w:jc w:val="both"/>
      </w:pPr>
      <w:r>
        <w:t>The project’s interventions were organized in three components on: (1) policy and regulatory support aimed at removing policy and regulatory barriers, (2) demonstration of green logistics systems designed to remove barriers related to low levels of capacity, knowledge, skills, and cooperation among stakeholders in the logistics industry, and to increase the level of confidence on the feasibility of green logistics techn</w:t>
      </w:r>
      <w:r w:rsidR="00B42BD0">
        <w:t>ologies</w:t>
      </w:r>
      <w:r>
        <w:t xml:space="preserve"> and practices, and (3) capacity building and promotion of green logistic and systems, aimed at addressing the lack of access to information on the design, development, and operation of green logistics, and to contribute to the removal of the barrier related to low levels of capacity, knowledge, skills and cooperation among stakeholders.  </w:t>
      </w:r>
    </w:p>
    <w:p w14:paraId="76DF4869" w14:textId="525DCE15" w:rsidR="00AB7771" w:rsidRDefault="00AB7771" w:rsidP="00AB7771">
      <w:pPr>
        <w:jc w:val="both"/>
      </w:pPr>
      <w:r>
        <w:t>The outcomes of the project were formulated as follows:</w:t>
      </w:r>
    </w:p>
    <w:p w14:paraId="6EE9E6D1" w14:textId="77777777" w:rsidR="00AB7771" w:rsidRDefault="00AB7771" w:rsidP="00ED2F1E">
      <w:pPr>
        <w:pStyle w:val="ListParagraph"/>
        <w:numPr>
          <w:ilvl w:val="0"/>
          <w:numId w:val="65"/>
        </w:numPr>
        <w:jc w:val="both"/>
      </w:pPr>
      <w:r w:rsidRPr="00ED2F1E">
        <w:rPr>
          <w:b/>
          <w:bCs/>
        </w:rPr>
        <w:t>Outcome 1.</w:t>
      </w:r>
      <w:r>
        <w:t xml:space="preserve"> Established and enforced policy and regulations on the application and operation of green logistics systems in the logistics industry in Zhejiang Province;</w:t>
      </w:r>
    </w:p>
    <w:p w14:paraId="1E48D7BD" w14:textId="4D008772" w:rsidR="00AB7771" w:rsidRDefault="00AB7771" w:rsidP="00ED2F1E">
      <w:pPr>
        <w:pStyle w:val="ListParagraph"/>
        <w:numPr>
          <w:ilvl w:val="0"/>
          <w:numId w:val="65"/>
        </w:numPr>
        <w:jc w:val="both"/>
      </w:pPr>
      <w:r w:rsidRPr="00ED2F1E">
        <w:rPr>
          <w:b/>
          <w:bCs/>
        </w:rPr>
        <w:t>Outcome 2.</w:t>
      </w:r>
      <w:r>
        <w:t xml:space="preserve"> Improved energy efficiency in the materials management and physical distribution activities in the logistics industry in Zhejiang Province;</w:t>
      </w:r>
      <w:r w:rsidR="00B42BD0">
        <w:t xml:space="preserve"> and,</w:t>
      </w:r>
    </w:p>
    <w:p w14:paraId="6B893238" w14:textId="77777777" w:rsidR="00AB7771" w:rsidRDefault="00AB7771" w:rsidP="00ED2F1E">
      <w:pPr>
        <w:pStyle w:val="ListParagraph"/>
        <w:numPr>
          <w:ilvl w:val="0"/>
          <w:numId w:val="65"/>
        </w:numPr>
        <w:jc w:val="both"/>
      </w:pPr>
      <w:r w:rsidRPr="00ED2F1E">
        <w:rPr>
          <w:b/>
          <w:bCs/>
        </w:rPr>
        <w:t>Outcome 3.</w:t>
      </w:r>
      <w:r>
        <w:t xml:space="preserve"> Increased application and utilization of energy efficient materials management and physical distribution techniques, technologies and practices in the logistics and manufacturing industries in Zhejiang Province. </w:t>
      </w:r>
    </w:p>
    <w:p w14:paraId="09586FE7" w14:textId="46938131" w:rsidR="00AB7771" w:rsidRPr="00E87478" w:rsidRDefault="00AB7771" w:rsidP="00AB7771">
      <w:pPr>
        <w:jc w:val="both"/>
      </w:pPr>
      <w:r>
        <w:t xml:space="preserve">A detailed presentation of the project outcomes, outputs and activities is provided </w:t>
      </w:r>
      <w:r w:rsidRPr="00E87478">
        <w:t xml:space="preserve">in Annex </w:t>
      </w:r>
      <w:r w:rsidR="00E87478" w:rsidRPr="00E87478">
        <w:t>K</w:t>
      </w:r>
      <w:r w:rsidRPr="00E87478">
        <w:t xml:space="preserve">. </w:t>
      </w:r>
    </w:p>
    <w:p w14:paraId="20C9B794" w14:textId="2AFCC59E" w:rsidR="00AB7771" w:rsidRPr="00E87478" w:rsidRDefault="00AB7771" w:rsidP="00AB7771">
      <w:pPr>
        <w:jc w:val="both"/>
      </w:pPr>
      <w:r w:rsidRPr="00E87478">
        <w:t xml:space="preserve">The project received a grant from the Global Environment Facility </w:t>
      </w:r>
      <w:r w:rsidR="00853620" w:rsidRPr="00E87478">
        <w:t xml:space="preserve">(GEF) </w:t>
      </w:r>
      <w:r w:rsidRPr="00E87478">
        <w:t>for USD 2,913,700 and committed to mobilize USD 12,130,000 in cofinancing resources, including:</w:t>
      </w:r>
    </w:p>
    <w:p w14:paraId="75946741" w14:textId="77777777" w:rsidR="00AB7771" w:rsidRPr="00E87478" w:rsidRDefault="00AB7771" w:rsidP="00ED2F1E">
      <w:pPr>
        <w:pStyle w:val="ListParagraph"/>
        <w:numPr>
          <w:ilvl w:val="0"/>
          <w:numId w:val="66"/>
        </w:numPr>
        <w:jc w:val="both"/>
      </w:pPr>
      <w:r w:rsidRPr="00E87478">
        <w:t xml:space="preserve">Zhejiang Provincial Government: </w:t>
      </w:r>
      <w:r w:rsidRPr="00E87478">
        <w:tab/>
      </w:r>
      <w:r w:rsidRPr="00E87478">
        <w:tab/>
      </w:r>
      <w:r w:rsidRPr="00E87478">
        <w:tab/>
        <w:t xml:space="preserve">USD 1,300,000 </w:t>
      </w:r>
    </w:p>
    <w:p w14:paraId="594A152F" w14:textId="77777777" w:rsidR="00AB7771" w:rsidRPr="00E87478" w:rsidRDefault="00AB7771" w:rsidP="00ED2F1E">
      <w:pPr>
        <w:pStyle w:val="ListParagraph"/>
        <w:numPr>
          <w:ilvl w:val="0"/>
          <w:numId w:val="66"/>
        </w:numPr>
        <w:jc w:val="both"/>
      </w:pPr>
      <w:r w:rsidRPr="00E87478">
        <w:t xml:space="preserve">Fuyang City Government: </w:t>
      </w:r>
      <w:r w:rsidRPr="00E87478">
        <w:tab/>
      </w:r>
      <w:r w:rsidRPr="00E87478">
        <w:tab/>
      </w:r>
      <w:r w:rsidRPr="00E87478">
        <w:tab/>
      </w:r>
      <w:r w:rsidRPr="00E87478">
        <w:tab/>
        <w:t xml:space="preserve">USD 2,180,000 </w:t>
      </w:r>
    </w:p>
    <w:p w14:paraId="0A1B8D8F" w14:textId="77777777" w:rsidR="00AB7771" w:rsidRPr="00E87478" w:rsidRDefault="00AB7771" w:rsidP="00ED2F1E">
      <w:pPr>
        <w:pStyle w:val="ListParagraph"/>
        <w:numPr>
          <w:ilvl w:val="0"/>
          <w:numId w:val="66"/>
        </w:numPr>
        <w:jc w:val="both"/>
      </w:pPr>
      <w:r w:rsidRPr="00E87478">
        <w:t>Fuyang Hangzhou Transfar Logistics Base Co., Ltd.:</w:t>
      </w:r>
      <w:r w:rsidRPr="00E87478">
        <w:tab/>
        <w:t>USD 3,850,000</w:t>
      </w:r>
    </w:p>
    <w:p w14:paraId="5E12667D" w14:textId="77777777" w:rsidR="00AB7771" w:rsidRPr="00E87478" w:rsidRDefault="00AB7771" w:rsidP="00ED2F1E">
      <w:pPr>
        <w:pStyle w:val="ListParagraph"/>
        <w:numPr>
          <w:ilvl w:val="0"/>
          <w:numId w:val="66"/>
        </w:numPr>
        <w:jc w:val="both"/>
      </w:pPr>
      <w:r w:rsidRPr="00E87478">
        <w:t>Zhejiang Fuyang Port International Co. Ltd.</w:t>
      </w:r>
      <w:r w:rsidRPr="00E87478">
        <w:tab/>
      </w:r>
      <w:r w:rsidRPr="00E87478">
        <w:tab/>
        <w:t>USD 4,550,000</w:t>
      </w:r>
    </w:p>
    <w:p w14:paraId="02F2A474" w14:textId="77777777" w:rsidR="00AB7771" w:rsidRPr="00E87478" w:rsidRDefault="00AB7771" w:rsidP="00ED2F1E">
      <w:pPr>
        <w:pStyle w:val="ListParagraph"/>
        <w:numPr>
          <w:ilvl w:val="0"/>
          <w:numId w:val="66"/>
        </w:numPr>
        <w:jc w:val="both"/>
      </w:pPr>
      <w:r w:rsidRPr="00E87478">
        <w:t>UNDP:</w:t>
      </w:r>
      <w:r w:rsidRPr="00E87478">
        <w:tab/>
      </w:r>
      <w:r w:rsidRPr="00E87478">
        <w:tab/>
      </w:r>
      <w:r w:rsidRPr="00E87478">
        <w:tab/>
      </w:r>
      <w:r w:rsidRPr="00E87478">
        <w:tab/>
      </w:r>
      <w:r w:rsidRPr="00E87478">
        <w:tab/>
      </w:r>
      <w:r w:rsidRPr="00E87478">
        <w:tab/>
      </w:r>
      <w:r w:rsidRPr="00E87478">
        <w:tab/>
        <w:t xml:space="preserve">USD    250,000 </w:t>
      </w:r>
    </w:p>
    <w:p w14:paraId="319B9DDB" w14:textId="2B6E3A68" w:rsidR="00AB7771" w:rsidRDefault="00AB7771" w:rsidP="00AB7771">
      <w:pPr>
        <w:jc w:val="both"/>
      </w:pPr>
      <w:r w:rsidRPr="00E87478">
        <w:t xml:space="preserve">Annex </w:t>
      </w:r>
      <w:r w:rsidR="00E87478" w:rsidRPr="00E87478">
        <w:t>M</w:t>
      </w:r>
      <w:r w:rsidRPr="00E87478">
        <w:t xml:space="preserve"> provides a detailed overview of the project financing, including cofinancing sources and budget allocation across project components.</w:t>
      </w:r>
    </w:p>
    <w:p w14:paraId="075DE5AB" w14:textId="003D1217" w:rsidR="00ED2F1E" w:rsidRDefault="00ED2F1E" w:rsidP="00AB7771">
      <w:pPr>
        <w:jc w:val="both"/>
      </w:pPr>
      <w:r>
        <w:t xml:space="preserve">The project started </w:t>
      </w:r>
      <w:r w:rsidR="00282C7A">
        <w:t>o</w:t>
      </w:r>
      <w:r>
        <w:t xml:space="preserve">n </w:t>
      </w:r>
      <w:r w:rsidR="00282C7A">
        <w:t>3</w:t>
      </w:r>
      <w:r w:rsidR="00282C7A" w:rsidRPr="00282C7A">
        <w:rPr>
          <w:vertAlign w:val="superscript"/>
        </w:rPr>
        <w:t>rd</w:t>
      </w:r>
      <w:r w:rsidR="00282C7A">
        <w:t xml:space="preserve"> </w:t>
      </w:r>
      <w:r w:rsidRPr="00A944F6">
        <w:t xml:space="preserve">January 2017 with the signature of the Project Document and </w:t>
      </w:r>
      <w:r w:rsidR="00A944F6">
        <w:t xml:space="preserve">was operationally </w:t>
      </w:r>
      <w:r w:rsidR="00A944F6" w:rsidRPr="00282C7A">
        <w:t xml:space="preserve">closed on </w:t>
      </w:r>
      <w:r w:rsidR="00282C7A" w:rsidRPr="00282C7A">
        <w:t>2</w:t>
      </w:r>
      <w:r w:rsidR="00282C7A" w:rsidRPr="00282C7A">
        <w:rPr>
          <w:vertAlign w:val="superscript"/>
        </w:rPr>
        <w:t>nd</w:t>
      </w:r>
      <w:r w:rsidR="00282C7A" w:rsidRPr="00282C7A">
        <w:t xml:space="preserve"> February 2021</w:t>
      </w:r>
      <w:r w:rsidR="00A944F6" w:rsidRPr="00282C7A">
        <w:t>.</w:t>
      </w:r>
    </w:p>
    <w:p w14:paraId="59F76445" w14:textId="4485CE92" w:rsidR="008E2C94" w:rsidRDefault="008E2C94" w:rsidP="003C69C1">
      <w:pPr>
        <w:pStyle w:val="Heading2"/>
        <w:numPr>
          <w:ilvl w:val="1"/>
          <w:numId w:val="47"/>
        </w:numPr>
        <w:rPr>
          <w:rFonts w:cs="Calibri"/>
        </w:rPr>
      </w:pPr>
      <w:bookmarkStart w:id="6" w:name="_Toc64632035"/>
      <w:r w:rsidRPr="00FC46EA">
        <w:rPr>
          <w:rFonts w:cs="Calibri"/>
        </w:rPr>
        <w:lastRenderedPageBreak/>
        <w:t xml:space="preserve">Evaluation </w:t>
      </w:r>
      <w:r>
        <w:rPr>
          <w:rFonts w:cs="Calibri"/>
        </w:rPr>
        <w:t>r</w:t>
      </w:r>
      <w:r w:rsidRPr="00FC46EA">
        <w:rPr>
          <w:rFonts w:cs="Calibri"/>
        </w:rPr>
        <w:t xml:space="preserve">atings </w:t>
      </w:r>
      <w:r>
        <w:rPr>
          <w:rFonts w:cs="Calibri"/>
        </w:rPr>
        <w:t>t</w:t>
      </w:r>
      <w:r w:rsidRPr="00FC46EA">
        <w:rPr>
          <w:rFonts w:cs="Calibri"/>
        </w:rPr>
        <w:t>able</w:t>
      </w:r>
      <w:bookmarkEnd w:id="6"/>
    </w:p>
    <w:p w14:paraId="5C5282CA" w14:textId="2EE5EC3C" w:rsidR="00967B70" w:rsidRDefault="002A4551" w:rsidP="008E2C94">
      <w:pPr>
        <w:contextualSpacing/>
        <w:rPr>
          <w:rFonts w:cs="Calibri"/>
        </w:rPr>
      </w:pPr>
      <w:r>
        <w:rPr>
          <w:rFonts w:cs="Calibri"/>
        </w:rPr>
        <w:t xml:space="preserve">The summary of the evaluation ratings is provided in </w:t>
      </w:r>
      <w:r>
        <w:rPr>
          <w:rFonts w:cs="Calibri"/>
        </w:rPr>
        <w:fldChar w:fldCharType="begin"/>
      </w:r>
      <w:r>
        <w:rPr>
          <w:rFonts w:cs="Calibri"/>
        </w:rPr>
        <w:instrText xml:space="preserve"> REF _Ref63864839 \h </w:instrText>
      </w:r>
      <w:r>
        <w:rPr>
          <w:rFonts w:cs="Calibri"/>
        </w:rPr>
      </w:r>
      <w:r>
        <w:rPr>
          <w:rFonts w:cs="Calibri"/>
        </w:rPr>
        <w:fldChar w:fldCharType="separate"/>
      </w:r>
      <w:r w:rsidR="004718D8">
        <w:t xml:space="preserve">Table </w:t>
      </w:r>
      <w:r w:rsidR="004718D8">
        <w:rPr>
          <w:noProof/>
        </w:rPr>
        <w:t>2</w:t>
      </w:r>
      <w:r>
        <w:rPr>
          <w:rFonts w:cs="Calibri"/>
        </w:rPr>
        <w:fldChar w:fldCharType="end"/>
      </w:r>
      <w:r>
        <w:rPr>
          <w:rFonts w:cs="Calibri"/>
        </w:rPr>
        <w:t xml:space="preserve">, below. A complete discussion of the ratings is provided in section </w:t>
      </w:r>
      <w:r>
        <w:rPr>
          <w:rFonts w:cs="Calibri"/>
        </w:rPr>
        <w:fldChar w:fldCharType="begin"/>
      </w:r>
      <w:r>
        <w:rPr>
          <w:rFonts w:cs="Calibri"/>
        </w:rPr>
        <w:instrText xml:space="preserve"> REF _Ref63864892 \r \h </w:instrText>
      </w:r>
      <w:r>
        <w:rPr>
          <w:rFonts w:cs="Calibri"/>
        </w:rPr>
      </w:r>
      <w:r>
        <w:rPr>
          <w:rFonts w:cs="Calibri"/>
        </w:rPr>
        <w:fldChar w:fldCharType="separate"/>
      </w:r>
      <w:r w:rsidR="004718D8">
        <w:rPr>
          <w:rFonts w:cs="Calibri"/>
        </w:rPr>
        <w:t>4</w:t>
      </w:r>
      <w:r>
        <w:rPr>
          <w:rFonts w:cs="Calibri"/>
        </w:rPr>
        <w:fldChar w:fldCharType="end"/>
      </w:r>
      <w:r>
        <w:rPr>
          <w:rFonts w:cs="Calibri"/>
        </w:rPr>
        <w:t>.</w:t>
      </w:r>
    </w:p>
    <w:p w14:paraId="179EE9B3" w14:textId="4363ED0E" w:rsidR="007836EA" w:rsidRPr="00DC5397" w:rsidRDefault="007836EA" w:rsidP="007836EA">
      <w:pPr>
        <w:pStyle w:val="Caption"/>
        <w:rPr>
          <w:lang w:val="es-MX"/>
        </w:rPr>
      </w:pPr>
      <w:bookmarkStart w:id="7" w:name="_Ref63864839"/>
      <w:r>
        <w:t xml:space="preserve">Table </w:t>
      </w:r>
      <w:r>
        <w:fldChar w:fldCharType="begin"/>
      </w:r>
      <w:r>
        <w:instrText xml:space="preserve"> SEQ Table \* ARABIC </w:instrText>
      </w:r>
      <w:r>
        <w:fldChar w:fldCharType="separate"/>
      </w:r>
      <w:r w:rsidR="004718D8">
        <w:rPr>
          <w:noProof/>
        </w:rPr>
        <w:t>2</w:t>
      </w:r>
      <w:r>
        <w:fldChar w:fldCharType="end"/>
      </w:r>
      <w:bookmarkEnd w:id="7"/>
      <w:r>
        <w:t xml:space="preserve">. </w:t>
      </w:r>
      <w:r w:rsidRPr="00696C31">
        <w:t>Evaluation ratings table</w:t>
      </w:r>
    </w:p>
    <w:tbl>
      <w:tblPr>
        <w:tblStyle w:val="TableGrid"/>
        <w:tblW w:w="0" w:type="auto"/>
        <w:tblLook w:val="04A0" w:firstRow="1" w:lastRow="0" w:firstColumn="1" w:lastColumn="0" w:noHBand="0" w:noVBand="1"/>
      </w:tblPr>
      <w:tblGrid>
        <w:gridCol w:w="8075"/>
        <w:gridCol w:w="1275"/>
      </w:tblGrid>
      <w:tr w:rsidR="00DC5397" w:rsidRPr="002D5420" w14:paraId="36D81141" w14:textId="77777777" w:rsidTr="002D5420">
        <w:tc>
          <w:tcPr>
            <w:tcW w:w="8075" w:type="dxa"/>
            <w:shd w:val="clear" w:color="auto" w:fill="2E75B6" w:themeFill="accent5"/>
          </w:tcPr>
          <w:p w14:paraId="16B76F7D" w14:textId="4B429EF1" w:rsidR="00967B70" w:rsidRPr="002D5420" w:rsidRDefault="00967B70" w:rsidP="008E2C94">
            <w:pPr>
              <w:contextualSpacing/>
              <w:rPr>
                <w:rFonts w:cs="Calibri"/>
                <w:b/>
                <w:bCs/>
                <w:color w:val="FFFFFF" w:themeColor="background1"/>
              </w:rPr>
            </w:pPr>
            <w:r w:rsidRPr="002D5420">
              <w:rPr>
                <w:rFonts w:cs="Calibri"/>
                <w:b/>
                <w:bCs/>
                <w:color w:val="FFFFFF" w:themeColor="background1"/>
              </w:rPr>
              <w:t>1. Monitoring &amp; Evaluation (M&amp;E)</w:t>
            </w:r>
          </w:p>
        </w:tc>
        <w:tc>
          <w:tcPr>
            <w:tcW w:w="1275" w:type="dxa"/>
            <w:shd w:val="clear" w:color="auto" w:fill="2E75B6" w:themeFill="accent5"/>
          </w:tcPr>
          <w:p w14:paraId="163CD585" w14:textId="30CB301D" w:rsidR="00967B70" w:rsidRPr="002D5420" w:rsidRDefault="00967B70" w:rsidP="00853620">
            <w:pPr>
              <w:contextualSpacing/>
              <w:jc w:val="center"/>
              <w:rPr>
                <w:rFonts w:cs="Calibri"/>
                <w:b/>
                <w:bCs/>
                <w:color w:val="FFFFFF" w:themeColor="background1"/>
              </w:rPr>
            </w:pPr>
            <w:r w:rsidRPr="002D5420">
              <w:rPr>
                <w:rFonts w:cs="Calibri"/>
                <w:b/>
                <w:bCs/>
                <w:color w:val="FFFFFF" w:themeColor="background1"/>
              </w:rPr>
              <w:t>Rating</w:t>
            </w:r>
          </w:p>
        </w:tc>
      </w:tr>
      <w:tr w:rsidR="00967B70" w14:paraId="786D58B2" w14:textId="77777777" w:rsidTr="002D5420">
        <w:tc>
          <w:tcPr>
            <w:tcW w:w="8075" w:type="dxa"/>
            <w:shd w:val="clear" w:color="auto" w:fill="D1E3F3" w:themeFill="accent5" w:themeFillTint="33"/>
          </w:tcPr>
          <w:p w14:paraId="1A1ABE76" w14:textId="790143C6" w:rsidR="00967B70" w:rsidRDefault="00967B70" w:rsidP="008E2C94">
            <w:pPr>
              <w:contextualSpacing/>
              <w:rPr>
                <w:rFonts w:cs="Calibri"/>
              </w:rPr>
            </w:pPr>
            <w:r w:rsidRPr="00967B70">
              <w:rPr>
                <w:rFonts w:cs="Calibri"/>
              </w:rPr>
              <w:t>M&amp;E design at entry</w:t>
            </w:r>
          </w:p>
        </w:tc>
        <w:tc>
          <w:tcPr>
            <w:tcW w:w="1275" w:type="dxa"/>
          </w:tcPr>
          <w:p w14:paraId="0F097229" w14:textId="287262E8" w:rsidR="00967B70" w:rsidRDefault="00AB7771" w:rsidP="00AB7771">
            <w:pPr>
              <w:contextualSpacing/>
              <w:jc w:val="center"/>
              <w:rPr>
                <w:rFonts w:cs="Calibri"/>
              </w:rPr>
            </w:pPr>
            <w:r>
              <w:rPr>
                <w:rFonts w:cs="Calibri"/>
              </w:rPr>
              <w:t>M</w:t>
            </w:r>
            <w:r w:rsidR="007B6387">
              <w:rPr>
                <w:rFonts w:cs="Calibri"/>
              </w:rPr>
              <w:t>S</w:t>
            </w:r>
          </w:p>
        </w:tc>
      </w:tr>
      <w:tr w:rsidR="00967B70" w14:paraId="0B4C1BE2" w14:textId="77777777" w:rsidTr="002D5420">
        <w:tc>
          <w:tcPr>
            <w:tcW w:w="8075" w:type="dxa"/>
            <w:shd w:val="clear" w:color="auto" w:fill="D1E3F3" w:themeFill="accent5" w:themeFillTint="33"/>
          </w:tcPr>
          <w:p w14:paraId="15F0A1A6" w14:textId="160B2B58" w:rsidR="00967B70" w:rsidRDefault="00967B70" w:rsidP="008E2C94">
            <w:pPr>
              <w:contextualSpacing/>
              <w:rPr>
                <w:rFonts w:cs="Calibri"/>
              </w:rPr>
            </w:pPr>
            <w:r w:rsidRPr="00967B70">
              <w:rPr>
                <w:rFonts w:cs="Calibri"/>
              </w:rPr>
              <w:t>M&amp;E Plan Implementation</w:t>
            </w:r>
          </w:p>
        </w:tc>
        <w:tc>
          <w:tcPr>
            <w:tcW w:w="1275" w:type="dxa"/>
          </w:tcPr>
          <w:p w14:paraId="4B760FE2" w14:textId="5DDB5BDD" w:rsidR="00967B70" w:rsidRDefault="00AB7771" w:rsidP="00AB7771">
            <w:pPr>
              <w:contextualSpacing/>
              <w:jc w:val="center"/>
              <w:rPr>
                <w:rFonts w:cs="Calibri"/>
              </w:rPr>
            </w:pPr>
            <w:r>
              <w:rPr>
                <w:rFonts w:cs="Calibri"/>
              </w:rPr>
              <w:t>M</w:t>
            </w:r>
            <w:r w:rsidR="007B6387">
              <w:rPr>
                <w:rFonts w:cs="Calibri"/>
              </w:rPr>
              <w:t>S</w:t>
            </w:r>
          </w:p>
        </w:tc>
      </w:tr>
      <w:tr w:rsidR="00967B70" w14:paraId="29EE618E" w14:textId="77777777" w:rsidTr="002D5420">
        <w:tc>
          <w:tcPr>
            <w:tcW w:w="8075" w:type="dxa"/>
            <w:shd w:val="clear" w:color="auto" w:fill="D1E3F3" w:themeFill="accent5" w:themeFillTint="33"/>
          </w:tcPr>
          <w:p w14:paraId="01D66B39" w14:textId="564C1060" w:rsidR="00967B70" w:rsidRDefault="00967B70" w:rsidP="008E2C94">
            <w:pPr>
              <w:contextualSpacing/>
              <w:rPr>
                <w:rFonts w:cs="Calibri"/>
              </w:rPr>
            </w:pPr>
            <w:r w:rsidRPr="00967B70">
              <w:rPr>
                <w:rFonts w:cs="Calibri"/>
              </w:rPr>
              <w:t>Overall Quality of M&amp;E</w:t>
            </w:r>
          </w:p>
        </w:tc>
        <w:tc>
          <w:tcPr>
            <w:tcW w:w="1275" w:type="dxa"/>
          </w:tcPr>
          <w:p w14:paraId="19DC0D13" w14:textId="5A3137ED" w:rsidR="00967B70" w:rsidRDefault="00AB7771" w:rsidP="00AB7771">
            <w:pPr>
              <w:contextualSpacing/>
              <w:jc w:val="center"/>
              <w:rPr>
                <w:rFonts w:cs="Calibri"/>
              </w:rPr>
            </w:pPr>
            <w:r>
              <w:rPr>
                <w:rFonts w:cs="Calibri"/>
              </w:rPr>
              <w:t>M</w:t>
            </w:r>
            <w:r w:rsidR="007B6387">
              <w:rPr>
                <w:rFonts w:cs="Calibri"/>
              </w:rPr>
              <w:t>S</w:t>
            </w:r>
          </w:p>
        </w:tc>
      </w:tr>
      <w:tr w:rsidR="00DC5397" w:rsidRPr="002D5420" w14:paraId="1F82272C" w14:textId="77777777" w:rsidTr="002D5420">
        <w:tc>
          <w:tcPr>
            <w:tcW w:w="8075" w:type="dxa"/>
            <w:shd w:val="clear" w:color="auto" w:fill="2E75B6" w:themeFill="accent5"/>
          </w:tcPr>
          <w:p w14:paraId="3921524A" w14:textId="55CE46D2" w:rsidR="00967B70" w:rsidRPr="002D5420" w:rsidRDefault="00967B70" w:rsidP="008E2C94">
            <w:pPr>
              <w:contextualSpacing/>
              <w:rPr>
                <w:rFonts w:cs="Calibri"/>
                <w:b/>
                <w:bCs/>
                <w:color w:val="FFFFFF" w:themeColor="background1"/>
              </w:rPr>
            </w:pPr>
            <w:r w:rsidRPr="002D5420">
              <w:rPr>
                <w:rFonts w:cs="Calibri"/>
                <w:b/>
                <w:bCs/>
                <w:color w:val="FFFFFF" w:themeColor="background1"/>
              </w:rPr>
              <w:t>2. Implementing Agency (IA) Implementation &amp; Executing Agency (EA) Execution</w:t>
            </w:r>
          </w:p>
        </w:tc>
        <w:tc>
          <w:tcPr>
            <w:tcW w:w="1275" w:type="dxa"/>
            <w:shd w:val="clear" w:color="auto" w:fill="2E75B6" w:themeFill="accent5"/>
          </w:tcPr>
          <w:p w14:paraId="4E5EA238" w14:textId="1F299546" w:rsidR="00967B70" w:rsidRPr="002D5420" w:rsidRDefault="00967B70" w:rsidP="00853620">
            <w:pPr>
              <w:contextualSpacing/>
              <w:jc w:val="center"/>
              <w:rPr>
                <w:rFonts w:cs="Calibri"/>
                <w:b/>
                <w:bCs/>
                <w:color w:val="FFFFFF" w:themeColor="background1"/>
              </w:rPr>
            </w:pPr>
            <w:r w:rsidRPr="002D5420">
              <w:rPr>
                <w:rFonts w:cs="Calibri"/>
                <w:b/>
                <w:bCs/>
                <w:color w:val="FFFFFF" w:themeColor="background1"/>
              </w:rPr>
              <w:t>Rating</w:t>
            </w:r>
          </w:p>
        </w:tc>
      </w:tr>
      <w:tr w:rsidR="00AB7771" w14:paraId="4CF81512" w14:textId="77777777" w:rsidTr="002D5420">
        <w:tc>
          <w:tcPr>
            <w:tcW w:w="8075" w:type="dxa"/>
            <w:shd w:val="clear" w:color="auto" w:fill="D1E3F3" w:themeFill="accent5" w:themeFillTint="33"/>
          </w:tcPr>
          <w:p w14:paraId="5F257AE1" w14:textId="03429CEA" w:rsidR="00AB7771" w:rsidRDefault="00AB7771" w:rsidP="00AB7771">
            <w:pPr>
              <w:contextualSpacing/>
              <w:rPr>
                <w:rFonts w:cs="Calibri"/>
              </w:rPr>
            </w:pPr>
            <w:r w:rsidRPr="00967B70">
              <w:rPr>
                <w:rFonts w:cs="Calibri"/>
              </w:rPr>
              <w:t>Quality of UNDP Implementation/Oversight</w:t>
            </w:r>
          </w:p>
        </w:tc>
        <w:tc>
          <w:tcPr>
            <w:tcW w:w="1275" w:type="dxa"/>
          </w:tcPr>
          <w:p w14:paraId="3BE7F6E9" w14:textId="4E148E43" w:rsidR="00AB7771" w:rsidRDefault="00AB7771" w:rsidP="00853620">
            <w:pPr>
              <w:contextualSpacing/>
              <w:jc w:val="center"/>
              <w:rPr>
                <w:rFonts w:cs="Calibri"/>
              </w:rPr>
            </w:pPr>
            <w:r w:rsidRPr="00590E05">
              <w:t>S</w:t>
            </w:r>
          </w:p>
        </w:tc>
      </w:tr>
      <w:tr w:rsidR="00AB7771" w14:paraId="1FCEB3BB" w14:textId="77777777" w:rsidTr="002D5420">
        <w:tc>
          <w:tcPr>
            <w:tcW w:w="8075" w:type="dxa"/>
            <w:shd w:val="clear" w:color="auto" w:fill="D1E3F3" w:themeFill="accent5" w:themeFillTint="33"/>
          </w:tcPr>
          <w:p w14:paraId="644D37DE" w14:textId="289EE917" w:rsidR="00AB7771" w:rsidRDefault="00AB7771" w:rsidP="00AB7771">
            <w:pPr>
              <w:contextualSpacing/>
              <w:rPr>
                <w:rFonts w:cs="Calibri"/>
              </w:rPr>
            </w:pPr>
            <w:r w:rsidRPr="00967B70">
              <w:rPr>
                <w:rFonts w:cs="Calibri"/>
              </w:rPr>
              <w:t>Quality of Implementing Partner Execution</w:t>
            </w:r>
          </w:p>
        </w:tc>
        <w:tc>
          <w:tcPr>
            <w:tcW w:w="1275" w:type="dxa"/>
          </w:tcPr>
          <w:p w14:paraId="016521CF" w14:textId="05A28BF1" w:rsidR="00AB7771" w:rsidRDefault="00AB7771" w:rsidP="00853620">
            <w:pPr>
              <w:contextualSpacing/>
              <w:jc w:val="center"/>
              <w:rPr>
                <w:rFonts w:cs="Calibri"/>
              </w:rPr>
            </w:pPr>
            <w:r>
              <w:t>S</w:t>
            </w:r>
          </w:p>
        </w:tc>
      </w:tr>
      <w:tr w:rsidR="00AB7771" w14:paraId="78B606E4" w14:textId="77777777" w:rsidTr="002D5420">
        <w:tc>
          <w:tcPr>
            <w:tcW w:w="8075" w:type="dxa"/>
            <w:shd w:val="clear" w:color="auto" w:fill="D1E3F3" w:themeFill="accent5" w:themeFillTint="33"/>
          </w:tcPr>
          <w:p w14:paraId="57D1C2E2" w14:textId="5D35C31A" w:rsidR="00AB7771" w:rsidRDefault="00AB7771" w:rsidP="00AB7771">
            <w:pPr>
              <w:contextualSpacing/>
              <w:rPr>
                <w:rFonts w:cs="Calibri"/>
              </w:rPr>
            </w:pPr>
            <w:r w:rsidRPr="00967B70">
              <w:rPr>
                <w:rFonts w:cs="Calibri"/>
              </w:rPr>
              <w:t>Overall quality of Implementation/Execution</w:t>
            </w:r>
          </w:p>
        </w:tc>
        <w:tc>
          <w:tcPr>
            <w:tcW w:w="1275" w:type="dxa"/>
          </w:tcPr>
          <w:p w14:paraId="252E350D" w14:textId="47DF49BB" w:rsidR="00AB7771" w:rsidRDefault="00AB7771" w:rsidP="00853620">
            <w:pPr>
              <w:contextualSpacing/>
              <w:jc w:val="center"/>
              <w:rPr>
                <w:rFonts w:cs="Calibri"/>
              </w:rPr>
            </w:pPr>
            <w:r>
              <w:t>S</w:t>
            </w:r>
          </w:p>
        </w:tc>
      </w:tr>
      <w:tr w:rsidR="00AB7771" w:rsidRPr="002D5420" w14:paraId="39B3A4FD" w14:textId="77777777" w:rsidTr="002D5420">
        <w:tc>
          <w:tcPr>
            <w:tcW w:w="8075" w:type="dxa"/>
            <w:shd w:val="clear" w:color="auto" w:fill="2E75B6" w:themeFill="accent5"/>
          </w:tcPr>
          <w:p w14:paraId="77844049" w14:textId="40D15045" w:rsidR="00AB7771" w:rsidRPr="002D5420" w:rsidRDefault="00AB7771" w:rsidP="00AB7771">
            <w:pPr>
              <w:contextualSpacing/>
              <w:rPr>
                <w:rFonts w:cs="Calibri"/>
                <w:b/>
                <w:bCs/>
                <w:color w:val="FFFFFF" w:themeColor="background1"/>
              </w:rPr>
            </w:pPr>
            <w:r w:rsidRPr="002D5420">
              <w:rPr>
                <w:rFonts w:cs="Calibri"/>
                <w:b/>
                <w:bCs/>
                <w:color w:val="FFFFFF" w:themeColor="background1"/>
              </w:rPr>
              <w:t>3. Assessment of Outcomes</w:t>
            </w:r>
          </w:p>
        </w:tc>
        <w:tc>
          <w:tcPr>
            <w:tcW w:w="1275" w:type="dxa"/>
            <w:shd w:val="clear" w:color="auto" w:fill="2E75B6" w:themeFill="accent5"/>
          </w:tcPr>
          <w:p w14:paraId="27A32AF4" w14:textId="27DF93AB" w:rsidR="00AB7771" w:rsidRPr="002D5420" w:rsidRDefault="00AB7771" w:rsidP="00853620">
            <w:pPr>
              <w:contextualSpacing/>
              <w:jc w:val="center"/>
              <w:rPr>
                <w:rFonts w:cs="Calibri"/>
                <w:b/>
                <w:bCs/>
                <w:color w:val="FFFFFF" w:themeColor="background1"/>
              </w:rPr>
            </w:pPr>
            <w:r w:rsidRPr="002D5420">
              <w:rPr>
                <w:rFonts w:cs="Calibri"/>
                <w:b/>
                <w:bCs/>
                <w:color w:val="FFFFFF" w:themeColor="background1"/>
              </w:rPr>
              <w:t>Rating</w:t>
            </w:r>
          </w:p>
        </w:tc>
      </w:tr>
      <w:tr w:rsidR="00AB7771" w14:paraId="6A04D44E" w14:textId="77777777" w:rsidTr="002D5420">
        <w:tc>
          <w:tcPr>
            <w:tcW w:w="8075" w:type="dxa"/>
            <w:shd w:val="clear" w:color="auto" w:fill="D1E3F3" w:themeFill="accent5" w:themeFillTint="33"/>
          </w:tcPr>
          <w:p w14:paraId="79015DB9" w14:textId="206278E9" w:rsidR="00AB7771" w:rsidRPr="00967B70" w:rsidRDefault="00AB7771" w:rsidP="00AB7771">
            <w:pPr>
              <w:contextualSpacing/>
              <w:rPr>
                <w:rFonts w:cs="Calibri"/>
              </w:rPr>
            </w:pPr>
            <w:r w:rsidRPr="00967B70">
              <w:rPr>
                <w:rFonts w:cs="Calibri"/>
              </w:rPr>
              <w:t>Relevance</w:t>
            </w:r>
          </w:p>
        </w:tc>
        <w:tc>
          <w:tcPr>
            <w:tcW w:w="1275" w:type="dxa"/>
          </w:tcPr>
          <w:p w14:paraId="44757B37" w14:textId="44AF4095" w:rsidR="00AB7771" w:rsidRDefault="00AB7771" w:rsidP="00853620">
            <w:pPr>
              <w:contextualSpacing/>
              <w:jc w:val="center"/>
              <w:rPr>
                <w:rFonts w:cs="Calibri"/>
              </w:rPr>
            </w:pPr>
            <w:r w:rsidRPr="00590E05">
              <w:t>S</w:t>
            </w:r>
          </w:p>
        </w:tc>
      </w:tr>
      <w:tr w:rsidR="00AB7771" w14:paraId="626D4894" w14:textId="77777777" w:rsidTr="002D5420">
        <w:tc>
          <w:tcPr>
            <w:tcW w:w="8075" w:type="dxa"/>
            <w:shd w:val="clear" w:color="auto" w:fill="D1E3F3" w:themeFill="accent5" w:themeFillTint="33"/>
          </w:tcPr>
          <w:p w14:paraId="2C579234" w14:textId="371AF62A" w:rsidR="00AB7771" w:rsidRPr="00967B70" w:rsidRDefault="00AB7771" w:rsidP="00AB7771">
            <w:pPr>
              <w:contextualSpacing/>
              <w:rPr>
                <w:rFonts w:cs="Calibri"/>
              </w:rPr>
            </w:pPr>
            <w:r w:rsidRPr="00967B70">
              <w:rPr>
                <w:rFonts w:cs="Calibri"/>
              </w:rPr>
              <w:t>Effectiveness</w:t>
            </w:r>
          </w:p>
        </w:tc>
        <w:tc>
          <w:tcPr>
            <w:tcW w:w="1275" w:type="dxa"/>
          </w:tcPr>
          <w:p w14:paraId="36908C90" w14:textId="3CCBD3EF" w:rsidR="00AB7771" w:rsidRDefault="00AB7771" w:rsidP="00853620">
            <w:pPr>
              <w:contextualSpacing/>
              <w:jc w:val="center"/>
              <w:rPr>
                <w:rFonts w:cs="Calibri"/>
              </w:rPr>
            </w:pPr>
            <w:r>
              <w:t>S</w:t>
            </w:r>
          </w:p>
        </w:tc>
      </w:tr>
      <w:tr w:rsidR="00AB7771" w14:paraId="1C1CC214" w14:textId="77777777" w:rsidTr="002D5420">
        <w:tc>
          <w:tcPr>
            <w:tcW w:w="8075" w:type="dxa"/>
            <w:shd w:val="clear" w:color="auto" w:fill="D1E3F3" w:themeFill="accent5" w:themeFillTint="33"/>
          </w:tcPr>
          <w:p w14:paraId="5120921A" w14:textId="4711FE79" w:rsidR="00AB7771" w:rsidRPr="00967B70" w:rsidRDefault="00AB7771" w:rsidP="00AB7771">
            <w:pPr>
              <w:contextualSpacing/>
              <w:rPr>
                <w:rFonts w:cs="Calibri"/>
              </w:rPr>
            </w:pPr>
            <w:r w:rsidRPr="00967B70">
              <w:rPr>
                <w:rFonts w:cs="Calibri"/>
              </w:rPr>
              <w:t>Efficiency</w:t>
            </w:r>
          </w:p>
        </w:tc>
        <w:tc>
          <w:tcPr>
            <w:tcW w:w="1275" w:type="dxa"/>
          </w:tcPr>
          <w:p w14:paraId="6991DEC9" w14:textId="582AA093" w:rsidR="00AB7771" w:rsidRDefault="00AB7771" w:rsidP="00853620">
            <w:pPr>
              <w:contextualSpacing/>
              <w:jc w:val="center"/>
              <w:rPr>
                <w:rFonts w:cs="Calibri"/>
              </w:rPr>
            </w:pPr>
            <w:r>
              <w:t>S</w:t>
            </w:r>
          </w:p>
        </w:tc>
      </w:tr>
      <w:tr w:rsidR="00AB7771" w14:paraId="29CB6CB5" w14:textId="77777777" w:rsidTr="002D5420">
        <w:tc>
          <w:tcPr>
            <w:tcW w:w="8075" w:type="dxa"/>
            <w:shd w:val="clear" w:color="auto" w:fill="D1E3F3" w:themeFill="accent5" w:themeFillTint="33"/>
          </w:tcPr>
          <w:p w14:paraId="0C477533" w14:textId="39067061" w:rsidR="00AB7771" w:rsidRPr="00967B70" w:rsidRDefault="00AB7771" w:rsidP="00AB7771">
            <w:pPr>
              <w:contextualSpacing/>
              <w:rPr>
                <w:rFonts w:cs="Calibri"/>
              </w:rPr>
            </w:pPr>
            <w:r w:rsidRPr="00967B70">
              <w:rPr>
                <w:rFonts w:cs="Calibri"/>
              </w:rPr>
              <w:t>Overall Project Outcome Rating</w:t>
            </w:r>
          </w:p>
        </w:tc>
        <w:tc>
          <w:tcPr>
            <w:tcW w:w="1275" w:type="dxa"/>
          </w:tcPr>
          <w:p w14:paraId="2C67EBBD" w14:textId="765F1E50" w:rsidR="00AB7771" w:rsidRDefault="00AB7771" w:rsidP="00853620">
            <w:pPr>
              <w:contextualSpacing/>
              <w:jc w:val="center"/>
              <w:rPr>
                <w:rFonts w:cs="Calibri"/>
              </w:rPr>
            </w:pPr>
            <w:r>
              <w:t>S</w:t>
            </w:r>
          </w:p>
        </w:tc>
      </w:tr>
      <w:tr w:rsidR="00AB7771" w:rsidRPr="002D5420" w14:paraId="7AA0639B" w14:textId="77777777" w:rsidTr="002D5420">
        <w:tc>
          <w:tcPr>
            <w:tcW w:w="8075" w:type="dxa"/>
            <w:shd w:val="clear" w:color="auto" w:fill="2E75B6" w:themeFill="accent5"/>
          </w:tcPr>
          <w:p w14:paraId="5B1E31E9" w14:textId="61E1F0B3" w:rsidR="00AB7771" w:rsidRPr="002D5420" w:rsidRDefault="00AB7771" w:rsidP="00AB7771">
            <w:pPr>
              <w:contextualSpacing/>
              <w:rPr>
                <w:rFonts w:cs="Calibri"/>
                <w:b/>
                <w:bCs/>
                <w:color w:val="FFFFFF" w:themeColor="background1"/>
              </w:rPr>
            </w:pPr>
            <w:r w:rsidRPr="002D5420">
              <w:rPr>
                <w:rFonts w:cs="Calibri"/>
                <w:b/>
                <w:bCs/>
                <w:color w:val="FFFFFF" w:themeColor="background1"/>
              </w:rPr>
              <w:t>4. Sustainability</w:t>
            </w:r>
          </w:p>
        </w:tc>
        <w:tc>
          <w:tcPr>
            <w:tcW w:w="1275" w:type="dxa"/>
            <w:shd w:val="clear" w:color="auto" w:fill="2E75B6" w:themeFill="accent5"/>
          </w:tcPr>
          <w:p w14:paraId="306DAD5C" w14:textId="12CB8518" w:rsidR="00AB7771" w:rsidRPr="002D5420" w:rsidRDefault="00AB7771" w:rsidP="00853620">
            <w:pPr>
              <w:contextualSpacing/>
              <w:jc w:val="center"/>
              <w:rPr>
                <w:rFonts w:cs="Calibri"/>
                <w:b/>
                <w:bCs/>
                <w:color w:val="FFFFFF" w:themeColor="background1"/>
              </w:rPr>
            </w:pPr>
            <w:r w:rsidRPr="002D5420">
              <w:rPr>
                <w:rFonts w:cs="Calibri"/>
                <w:b/>
                <w:bCs/>
                <w:color w:val="FFFFFF" w:themeColor="background1"/>
              </w:rPr>
              <w:t>Rating</w:t>
            </w:r>
          </w:p>
        </w:tc>
      </w:tr>
      <w:tr w:rsidR="00AB7771" w14:paraId="1DE0F0E9" w14:textId="77777777" w:rsidTr="002D5420">
        <w:tc>
          <w:tcPr>
            <w:tcW w:w="8075" w:type="dxa"/>
            <w:shd w:val="clear" w:color="auto" w:fill="D1E3F3" w:themeFill="accent5" w:themeFillTint="33"/>
          </w:tcPr>
          <w:p w14:paraId="6E8CCE24" w14:textId="141FBACD" w:rsidR="00AB7771" w:rsidRPr="00967B70" w:rsidRDefault="00AB7771" w:rsidP="00AB7771">
            <w:pPr>
              <w:contextualSpacing/>
              <w:rPr>
                <w:rFonts w:cs="Calibri"/>
              </w:rPr>
            </w:pPr>
            <w:r w:rsidRPr="00967B70">
              <w:rPr>
                <w:rFonts w:cs="Calibri"/>
              </w:rPr>
              <w:t>Financial sustainability</w:t>
            </w:r>
          </w:p>
        </w:tc>
        <w:tc>
          <w:tcPr>
            <w:tcW w:w="1275" w:type="dxa"/>
          </w:tcPr>
          <w:p w14:paraId="2ACD37C3" w14:textId="7CCA4FDD" w:rsidR="00AB7771" w:rsidRDefault="00AB7771" w:rsidP="00AB7771">
            <w:pPr>
              <w:contextualSpacing/>
              <w:jc w:val="center"/>
              <w:rPr>
                <w:rFonts w:cs="Calibri"/>
              </w:rPr>
            </w:pPr>
            <w:r w:rsidRPr="0081620C">
              <w:t>L</w:t>
            </w:r>
          </w:p>
        </w:tc>
      </w:tr>
      <w:tr w:rsidR="00AB7771" w14:paraId="34D86F40" w14:textId="77777777" w:rsidTr="002D5420">
        <w:tc>
          <w:tcPr>
            <w:tcW w:w="8075" w:type="dxa"/>
            <w:shd w:val="clear" w:color="auto" w:fill="D1E3F3" w:themeFill="accent5" w:themeFillTint="33"/>
          </w:tcPr>
          <w:p w14:paraId="76F1133A" w14:textId="204E19AD" w:rsidR="00AB7771" w:rsidRPr="00967B70" w:rsidRDefault="00AB7771" w:rsidP="00AB7771">
            <w:pPr>
              <w:contextualSpacing/>
              <w:rPr>
                <w:rFonts w:cs="Calibri"/>
              </w:rPr>
            </w:pPr>
            <w:r w:rsidRPr="00967B70">
              <w:rPr>
                <w:rFonts w:cs="Calibri"/>
              </w:rPr>
              <w:t>Socio-political sustainability</w:t>
            </w:r>
          </w:p>
        </w:tc>
        <w:tc>
          <w:tcPr>
            <w:tcW w:w="1275" w:type="dxa"/>
          </w:tcPr>
          <w:p w14:paraId="197B938E" w14:textId="7866C053" w:rsidR="00AB7771" w:rsidRDefault="00AB7771" w:rsidP="00AB7771">
            <w:pPr>
              <w:contextualSpacing/>
              <w:jc w:val="center"/>
              <w:rPr>
                <w:rFonts w:cs="Calibri"/>
              </w:rPr>
            </w:pPr>
            <w:r w:rsidRPr="0081620C">
              <w:t>L</w:t>
            </w:r>
          </w:p>
        </w:tc>
      </w:tr>
      <w:tr w:rsidR="00AB7771" w14:paraId="2F98818F" w14:textId="77777777" w:rsidTr="002D5420">
        <w:tc>
          <w:tcPr>
            <w:tcW w:w="8075" w:type="dxa"/>
            <w:shd w:val="clear" w:color="auto" w:fill="D1E3F3" w:themeFill="accent5" w:themeFillTint="33"/>
          </w:tcPr>
          <w:p w14:paraId="33D92F37" w14:textId="6F3BB519" w:rsidR="00AB7771" w:rsidRPr="00967B70" w:rsidRDefault="00AB7771" w:rsidP="00AB7771">
            <w:pPr>
              <w:contextualSpacing/>
              <w:rPr>
                <w:rFonts w:cs="Calibri"/>
              </w:rPr>
            </w:pPr>
            <w:r w:rsidRPr="00967B70">
              <w:rPr>
                <w:rFonts w:cs="Calibri"/>
              </w:rPr>
              <w:t>Institutional framework and governance sustainability</w:t>
            </w:r>
          </w:p>
        </w:tc>
        <w:tc>
          <w:tcPr>
            <w:tcW w:w="1275" w:type="dxa"/>
          </w:tcPr>
          <w:p w14:paraId="2DF51E4F" w14:textId="18ED37DA" w:rsidR="00AB7771" w:rsidRDefault="00AB7771" w:rsidP="00AB7771">
            <w:pPr>
              <w:contextualSpacing/>
              <w:jc w:val="center"/>
              <w:rPr>
                <w:rFonts w:cs="Calibri"/>
              </w:rPr>
            </w:pPr>
            <w:r w:rsidRPr="0081620C">
              <w:t>ML</w:t>
            </w:r>
          </w:p>
        </w:tc>
      </w:tr>
      <w:tr w:rsidR="00AB7771" w14:paraId="281F7CF6" w14:textId="77777777" w:rsidTr="002D5420">
        <w:trPr>
          <w:trHeight w:val="64"/>
        </w:trPr>
        <w:tc>
          <w:tcPr>
            <w:tcW w:w="8075" w:type="dxa"/>
            <w:shd w:val="clear" w:color="auto" w:fill="D1E3F3" w:themeFill="accent5" w:themeFillTint="33"/>
          </w:tcPr>
          <w:p w14:paraId="6A0A4385" w14:textId="609F6336" w:rsidR="00AB7771" w:rsidRPr="00967B70" w:rsidRDefault="00AB7771" w:rsidP="00AB7771">
            <w:pPr>
              <w:contextualSpacing/>
              <w:rPr>
                <w:rFonts w:cs="Calibri"/>
              </w:rPr>
            </w:pPr>
            <w:r w:rsidRPr="00967B70">
              <w:rPr>
                <w:rFonts w:cs="Calibri"/>
              </w:rPr>
              <w:t>Environmental sustainability</w:t>
            </w:r>
          </w:p>
        </w:tc>
        <w:tc>
          <w:tcPr>
            <w:tcW w:w="1275" w:type="dxa"/>
          </w:tcPr>
          <w:p w14:paraId="26CD2C0C" w14:textId="5F8457DF" w:rsidR="00AB7771" w:rsidRDefault="00AB7771" w:rsidP="00AB7771">
            <w:pPr>
              <w:contextualSpacing/>
              <w:jc w:val="center"/>
              <w:rPr>
                <w:rFonts w:cs="Calibri"/>
              </w:rPr>
            </w:pPr>
            <w:r w:rsidRPr="0081620C">
              <w:t>L</w:t>
            </w:r>
          </w:p>
        </w:tc>
      </w:tr>
      <w:tr w:rsidR="00AB7771" w14:paraId="60E4ADB8" w14:textId="77777777" w:rsidTr="002D5420">
        <w:tc>
          <w:tcPr>
            <w:tcW w:w="8075" w:type="dxa"/>
            <w:shd w:val="clear" w:color="auto" w:fill="D1E3F3" w:themeFill="accent5" w:themeFillTint="33"/>
          </w:tcPr>
          <w:p w14:paraId="026489D3" w14:textId="4D52D1BF" w:rsidR="00AB7771" w:rsidRPr="00967B70" w:rsidRDefault="00AB7771" w:rsidP="00AB7771">
            <w:pPr>
              <w:contextualSpacing/>
              <w:rPr>
                <w:rFonts w:cs="Calibri"/>
              </w:rPr>
            </w:pPr>
            <w:r w:rsidRPr="00967B70">
              <w:rPr>
                <w:rFonts w:cs="Calibri"/>
              </w:rPr>
              <w:t>Overall Likelihood of Sustainability</w:t>
            </w:r>
          </w:p>
        </w:tc>
        <w:tc>
          <w:tcPr>
            <w:tcW w:w="1275" w:type="dxa"/>
          </w:tcPr>
          <w:p w14:paraId="660820F1" w14:textId="732BF042" w:rsidR="00AB7771" w:rsidRDefault="00AB7771" w:rsidP="00AB7771">
            <w:pPr>
              <w:contextualSpacing/>
              <w:jc w:val="center"/>
              <w:rPr>
                <w:rFonts w:cs="Calibri"/>
              </w:rPr>
            </w:pPr>
            <w:r w:rsidRPr="0081620C">
              <w:t>L</w:t>
            </w:r>
          </w:p>
        </w:tc>
      </w:tr>
    </w:tbl>
    <w:p w14:paraId="48C7A717" w14:textId="77777777" w:rsidR="00967B70" w:rsidRPr="00FC46EA" w:rsidRDefault="00967B70" w:rsidP="008E2C94">
      <w:pPr>
        <w:contextualSpacing/>
        <w:rPr>
          <w:rFonts w:cs="Calibri"/>
        </w:rPr>
      </w:pPr>
    </w:p>
    <w:p w14:paraId="02CE8822" w14:textId="56F4B490" w:rsidR="008E2C94" w:rsidRDefault="008E2C94" w:rsidP="002A4551">
      <w:pPr>
        <w:pStyle w:val="Heading2"/>
        <w:numPr>
          <w:ilvl w:val="1"/>
          <w:numId w:val="47"/>
        </w:numPr>
        <w:rPr>
          <w:rFonts w:cs="Calibri"/>
        </w:rPr>
      </w:pPr>
      <w:bookmarkStart w:id="8" w:name="_Toc64632036"/>
      <w:r>
        <w:rPr>
          <w:rFonts w:cs="Calibri"/>
        </w:rPr>
        <w:t>S</w:t>
      </w:r>
      <w:r w:rsidRPr="00FC46EA">
        <w:rPr>
          <w:rFonts w:cs="Calibri"/>
        </w:rPr>
        <w:t>ummary of findings</w:t>
      </w:r>
      <w:r>
        <w:rPr>
          <w:rFonts w:cs="Calibri"/>
        </w:rPr>
        <w:t xml:space="preserve"> and</w:t>
      </w:r>
      <w:r w:rsidRPr="00FC46EA">
        <w:rPr>
          <w:rFonts w:cs="Calibri"/>
        </w:rPr>
        <w:t xml:space="preserve"> conclusions</w:t>
      </w:r>
      <w:bookmarkEnd w:id="8"/>
      <w:r w:rsidRPr="00FC46EA">
        <w:rPr>
          <w:rFonts w:cs="Calibri"/>
        </w:rPr>
        <w:t xml:space="preserve"> </w:t>
      </w:r>
    </w:p>
    <w:p w14:paraId="6A5F568B" w14:textId="15E16999" w:rsidR="004A090B" w:rsidRDefault="004A090B" w:rsidP="004A090B">
      <w:pPr>
        <w:jc w:val="both"/>
      </w:pPr>
      <w:r w:rsidRPr="00522E49">
        <w:t>Th</w:t>
      </w:r>
      <w:r>
        <w:t>e project was conceived to accelerate the adoption of green logistics technologies and practices by the logistics industry in Zhejiang Province. This evaluation found evidence of the relevance of this objective to China’s development and climate change priorities, to UNDP’s strategic priorities in the country, and to GEF</w:t>
      </w:r>
      <w:r w:rsidR="00853620">
        <w:t>’s</w:t>
      </w:r>
      <w:r>
        <w:t xml:space="preserve"> strategy under the facility’s climate change focal area. This evaluation also concluded that the project was implemented efficiently, adhering to annual work plans, achieving satisfactory disbursement</w:t>
      </w:r>
      <w:r w:rsidRPr="002F5643">
        <w:t xml:space="preserve"> </w:t>
      </w:r>
      <w:r>
        <w:t xml:space="preserve">rates, and avoiding major time delays. Interviews with project stakeholders indicated that the project team was skilled and effective at implementing the project activities and resolving emerging issues. Effective partnerships with stakeholders were deemed central factors to the project’s results and success. </w:t>
      </w:r>
    </w:p>
    <w:p w14:paraId="668810E6" w14:textId="77777777" w:rsidR="004A090B" w:rsidRPr="00A81AB1" w:rsidRDefault="004A090B" w:rsidP="004A090B">
      <w:pPr>
        <w:jc w:val="both"/>
      </w:pPr>
      <w:r>
        <w:t xml:space="preserve">Throughout the evaluation, it was observed that monitoring and reporting were the most significant weakness of the project design and implementation. The project’s monitoring framework was found to have shortcomings that were not adequately identified and addressed during project implementation. Also, reporting processes, including the preparation by the project team of project reports and their review by UNDP, produced reports with substantial weaknesses. </w:t>
      </w:r>
    </w:p>
    <w:p w14:paraId="0CFD31CE" w14:textId="3E35FDF0" w:rsidR="004A090B" w:rsidRDefault="004A090B" w:rsidP="004A090B">
      <w:pPr>
        <w:jc w:val="both"/>
      </w:pPr>
      <w:r>
        <w:t xml:space="preserve">The sustainability of the project outcomes was deemed likely by this evaluation. The evaluation found evidence, including through interviews with various stakeholders, that the transformation of the logistics industry in Zhejiang Province towards green technologies and practices is well underway and expected to persist. The project made meaningful contributions to this transformation and, through partnerships with stakeholders, these contributions are likely to have lasting effects. </w:t>
      </w:r>
    </w:p>
    <w:p w14:paraId="04BFECD4" w14:textId="51ED45CD" w:rsidR="004A090B" w:rsidRDefault="004A090B" w:rsidP="004A090B"/>
    <w:p w14:paraId="48492464" w14:textId="1A2A6C41" w:rsidR="008E2C94" w:rsidRDefault="008E2C94" w:rsidP="00F5793A">
      <w:pPr>
        <w:pStyle w:val="Heading2"/>
        <w:numPr>
          <w:ilvl w:val="1"/>
          <w:numId w:val="47"/>
        </w:numPr>
        <w:rPr>
          <w:rFonts w:cs="Calibri"/>
        </w:rPr>
      </w:pPr>
      <w:bookmarkStart w:id="9" w:name="_Toc64632037"/>
      <w:r>
        <w:rPr>
          <w:rFonts w:cs="Calibri"/>
        </w:rPr>
        <w:lastRenderedPageBreak/>
        <w:t xml:space="preserve">Synthesis of </w:t>
      </w:r>
      <w:r w:rsidRPr="00FC46EA">
        <w:rPr>
          <w:rFonts w:cs="Calibri"/>
        </w:rPr>
        <w:t>lessons learned</w:t>
      </w:r>
      <w:bookmarkEnd w:id="9"/>
    </w:p>
    <w:p w14:paraId="232F8CFA" w14:textId="4FC259F2" w:rsidR="0065004B" w:rsidRDefault="0065004B" w:rsidP="0065004B">
      <w:pPr>
        <w:pStyle w:val="ListParagraph"/>
        <w:numPr>
          <w:ilvl w:val="0"/>
          <w:numId w:val="67"/>
        </w:numPr>
        <w:jc w:val="both"/>
      </w:pPr>
      <w:r>
        <w:t>Partnerships with strong champions within the industry were a key success factor for the project in Zhejiang Province. Securing these partnerships during project preparation prevented delays during implementation and is an approach to be followed by other projects demonstrating new technologies under time constraints.</w:t>
      </w:r>
    </w:p>
    <w:p w14:paraId="6E017A2B" w14:textId="77777777" w:rsidR="00853620" w:rsidRDefault="00853620" w:rsidP="00853620">
      <w:pPr>
        <w:pStyle w:val="ListParagraph"/>
        <w:jc w:val="both"/>
      </w:pPr>
    </w:p>
    <w:p w14:paraId="0C19AB03" w14:textId="172E9361" w:rsidR="00853620" w:rsidRDefault="00853620" w:rsidP="00853620">
      <w:pPr>
        <w:pStyle w:val="ListParagraph"/>
        <w:numPr>
          <w:ilvl w:val="0"/>
          <w:numId w:val="67"/>
        </w:numPr>
        <w:jc w:val="both"/>
      </w:pPr>
      <w:r w:rsidRPr="004B1971">
        <w:t xml:space="preserve">Stakeholders noted that the project focused on a limited number of different types of </w:t>
      </w:r>
      <w:r>
        <w:t>logistics service providers and</w:t>
      </w:r>
      <w:r w:rsidRPr="004B1971">
        <w:t xml:space="preserve"> therefore only a fraction of all possible applications of green technologies and practices could be evaluated and promoted</w:t>
      </w:r>
      <w:r>
        <w:t xml:space="preserve"> by the project</w:t>
      </w:r>
      <w:r w:rsidRPr="004B1971">
        <w:t>. Future initiatives on the promotion of green logistics would benefit from completing</w:t>
      </w:r>
      <w:r w:rsidR="007D2DE5">
        <w:t>,</w:t>
      </w:r>
      <w:r w:rsidRPr="004B1971">
        <w:t xml:space="preserve"> during project design</w:t>
      </w:r>
      <w:r w:rsidR="007D2DE5">
        <w:t>,</w:t>
      </w:r>
      <w:r>
        <w:t xml:space="preserve"> </w:t>
      </w:r>
      <w:r w:rsidRPr="004B1971">
        <w:t xml:space="preserve">an overview of green technologies and practices </w:t>
      </w:r>
      <w:r>
        <w:t>that maps</w:t>
      </w:r>
      <w:r w:rsidRPr="004B1971">
        <w:t xml:space="preserve"> </w:t>
      </w:r>
      <w:r>
        <w:t xml:space="preserve">existing </w:t>
      </w:r>
      <w:r w:rsidR="002D5420" w:rsidRPr="004B1971">
        <w:t>experience</w:t>
      </w:r>
      <w:r w:rsidR="002D5420">
        <w:t>s and</w:t>
      </w:r>
      <w:r w:rsidRPr="004B1971">
        <w:t xml:space="preserve"> identif</w:t>
      </w:r>
      <w:r>
        <w:t>ies</w:t>
      </w:r>
      <w:r w:rsidRPr="004B1971">
        <w:t xml:space="preserve"> </w:t>
      </w:r>
      <w:r>
        <w:t xml:space="preserve">the candidate technologies for demonstration </w:t>
      </w:r>
      <w:r w:rsidR="007D2DE5">
        <w:t>that have</w:t>
      </w:r>
      <w:r>
        <w:t xml:space="preserve"> the best potential for success and replication</w:t>
      </w:r>
      <w:r w:rsidRPr="004B1971">
        <w:t>.</w:t>
      </w:r>
    </w:p>
    <w:p w14:paraId="53C858AF" w14:textId="77777777" w:rsidR="00853620" w:rsidRDefault="00853620" w:rsidP="00853620">
      <w:pPr>
        <w:pStyle w:val="ListParagraph"/>
        <w:jc w:val="both"/>
      </w:pPr>
    </w:p>
    <w:p w14:paraId="21DEAE00" w14:textId="1119C4D2" w:rsidR="0065004B" w:rsidRDefault="0065004B" w:rsidP="0065004B">
      <w:pPr>
        <w:pStyle w:val="ListParagraph"/>
        <w:numPr>
          <w:ilvl w:val="0"/>
          <w:numId w:val="67"/>
        </w:numPr>
        <w:jc w:val="both"/>
      </w:pPr>
      <w:r>
        <w:t>International c</w:t>
      </w:r>
      <w:r w:rsidRPr="007769AA">
        <w:t xml:space="preserve">hief </w:t>
      </w:r>
      <w:r>
        <w:t>t</w:t>
      </w:r>
      <w:r w:rsidRPr="007769AA">
        <w:t xml:space="preserve">echnical </w:t>
      </w:r>
      <w:r>
        <w:t>a</w:t>
      </w:r>
      <w:r w:rsidRPr="007769AA">
        <w:t>dvisor</w:t>
      </w:r>
      <w:r>
        <w:t>s</w:t>
      </w:r>
      <w:r w:rsidRPr="007769AA">
        <w:t xml:space="preserve"> </w:t>
      </w:r>
      <w:r>
        <w:t>advise</w:t>
      </w:r>
      <w:r w:rsidRPr="007769AA">
        <w:t xml:space="preserve"> </w:t>
      </w:r>
      <w:r>
        <w:t>project management units and provide</w:t>
      </w:r>
      <w:r w:rsidRPr="007769AA">
        <w:t xml:space="preserve"> technical </w:t>
      </w:r>
      <w:r>
        <w:t xml:space="preserve">expertise to ensure high-quality project activities and results. The evaluation team recommends that projects implementing activities in innovative areas, such as </w:t>
      </w:r>
      <w:r w:rsidR="00853620">
        <w:t>green logistics</w:t>
      </w:r>
      <w:r>
        <w:t xml:space="preserve">, consider the option </w:t>
      </w:r>
      <w:r w:rsidR="007D2DE5">
        <w:t xml:space="preserve">to </w:t>
      </w:r>
      <w:r>
        <w:t xml:space="preserve">include the role of </w:t>
      </w:r>
      <w:r w:rsidR="007D2DE5">
        <w:t xml:space="preserve">a </w:t>
      </w:r>
      <w:r w:rsidR="00853620">
        <w:t>c</w:t>
      </w:r>
      <w:r w:rsidR="00853620" w:rsidRPr="007769AA">
        <w:t xml:space="preserve">hief </w:t>
      </w:r>
      <w:r w:rsidR="00853620">
        <w:t>t</w:t>
      </w:r>
      <w:r w:rsidR="00853620" w:rsidRPr="007769AA">
        <w:t xml:space="preserve">echnical </w:t>
      </w:r>
      <w:r w:rsidR="00853620">
        <w:t>a</w:t>
      </w:r>
      <w:r w:rsidR="00853620" w:rsidRPr="007769AA">
        <w:t>dvisor</w:t>
      </w:r>
      <w:r>
        <w:t xml:space="preserve"> as part of their implementation arrangements.</w:t>
      </w:r>
    </w:p>
    <w:p w14:paraId="6A4713D4" w14:textId="77777777" w:rsidR="00853620" w:rsidRDefault="00853620" w:rsidP="00853620">
      <w:pPr>
        <w:pStyle w:val="ListParagraph"/>
        <w:jc w:val="both"/>
      </w:pPr>
    </w:p>
    <w:p w14:paraId="25D38E5E" w14:textId="78D3AA3D" w:rsidR="0065004B" w:rsidRPr="004B1971" w:rsidRDefault="007D2DE5" w:rsidP="0065004B">
      <w:pPr>
        <w:pStyle w:val="ListParagraph"/>
        <w:numPr>
          <w:ilvl w:val="0"/>
          <w:numId w:val="67"/>
        </w:numPr>
        <w:jc w:val="both"/>
      </w:pPr>
      <w:r>
        <w:t>The i</w:t>
      </w:r>
      <w:r w:rsidR="0065004B">
        <w:t xml:space="preserve">ndicators in the project results framework of the project had a strong focus on higher level results in terms on fuel savings and </w:t>
      </w:r>
      <w:r>
        <w:t>greenhouse gas</w:t>
      </w:r>
      <w:r w:rsidR="0065004B">
        <w:t xml:space="preserve"> emissions reductions. While these</w:t>
      </w:r>
      <w:r>
        <w:t xml:space="preserve"> indicators</w:t>
      </w:r>
      <w:r w:rsidR="0065004B">
        <w:t xml:space="preserve"> are critically important parameters to evaluate the cost-effectiveness of climate change mitigation projects and to track their progress towards results, the evaluation team considers that these indicators should also be accompanied </w:t>
      </w:r>
      <w:r w:rsidR="00CC4259">
        <w:t xml:space="preserve">by </w:t>
      </w:r>
      <w:r w:rsidR="0065004B">
        <w:t>other indicator</w:t>
      </w:r>
      <w:r>
        <w:t>s</w:t>
      </w:r>
      <w:r w:rsidR="0065004B">
        <w:t xml:space="preserve"> at lower levels to track the delivery of key outputs and to measure shorter-term results. </w:t>
      </w:r>
    </w:p>
    <w:p w14:paraId="210F68EE" w14:textId="4B5BDF6D" w:rsidR="008E2C94" w:rsidRDefault="008E2C94" w:rsidP="00F5793A">
      <w:pPr>
        <w:pStyle w:val="Heading2"/>
        <w:numPr>
          <w:ilvl w:val="1"/>
          <w:numId w:val="47"/>
        </w:numPr>
        <w:rPr>
          <w:rFonts w:cs="Calibri"/>
        </w:rPr>
      </w:pPr>
      <w:bookmarkStart w:id="10" w:name="_Toc64632038"/>
      <w:r w:rsidRPr="00FC46EA">
        <w:rPr>
          <w:rFonts w:cs="Calibri"/>
        </w:rPr>
        <w:t>Recommendations</w:t>
      </w:r>
      <w:bookmarkEnd w:id="10"/>
    </w:p>
    <w:p w14:paraId="17A5F3AB" w14:textId="347D83AB" w:rsidR="002C0985" w:rsidRPr="002C0985" w:rsidRDefault="002C0985" w:rsidP="002C0985">
      <w:r>
        <w:t>The following table summarized the recommendations produced by this terminal evaluation.</w:t>
      </w:r>
    </w:p>
    <w:p w14:paraId="7DC63D45" w14:textId="535C6D48" w:rsidR="002C0985" w:rsidRDefault="002C0985" w:rsidP="002C0985">
      <w:pPr>
        <w:pStyle w:val="Caption"/>
      </w:pPr>
      <w:r>
        <w:t xml:space="preserve">Table </w:t>
      </w:r>
      <w:r>
        <w:fldChar w:fldCharType="begin"/>
      </w:r>
      <w:r>
        <w:instrText xml:space="preserve"> SEQ Table \* ARABIC </w:instrText>
      </w:r>
      <w:r>
        <w:fldChar w:fldCharType="separate"/>
      </w:r>
      <w:r w:rsidR="004718D8">
        <w:rPr>
          <w:noProof/>
        </w:rPr>
        <w:t>3</w:t>
      </w:r>
      <w:r>
        <w:fldChar w:fldCharType="end"/>
      </w:r>
      <w:r>
        <w:t xml:space="preserve">. </w:t>
      </w:r>
      <w:r w:rsidRPr="00DD7A73">
        <w:t>Recommendations summary table</w:t>
      </w:r>
    </w:p>
    <w:tbl>
      <w:tblPr>
        <w:tblStyle w:val="TableGrid"/>
        <w:tblW w:w="0" w:type="auto"/>
        <w:tblLook w:val="04A0" w:firstRow="1" w:lastRow="0" w:firstColumn="1" w:lastColumn="0" w:noHBand="0" w:noVBand="1"/>
      </w:tblPr>
      <w:tblGrid>
        <w:gridCol w:w="540"/>
        <w:gridCol w:w="5976"/>
        <w:gridCol w:w="1567"/>
        <w:gridCol w:w="1267"/>
      </w:tblGrid>
      <w:tr w:rsidR="00F5793A" w:rsidRPr="002C0985" w14:paraId="7C9CC4FA" w14:textId="77777777" w:rsidTr="002D5420">
        <w:tc>
          <w:tcPr>
            <w:tcW w:w="540" w:type="dxa"/>
            <w:shd w:val="clear" w:color="auto" w:fill="2E75B6" w:themeFill="accent5"/>
          </w:tcPr>
          <w:p w14:paraId="7964DA76" w14:textId="77777777" w:rsidR="00F5793A" w:rsidRPr="002C0985" w:rsidRDefault="00F5793A" w:rsidP="00A65EA3">
            <w:pPr>
              <w:spacing w:before="120" w:after="120"/>
              <w:rPr>
                <w:b/>
                <w:bCs/>
                <w:color w:val="FFFFFF" w:themeColor="background1"/>
              </w:rPr>
            </w:pPr>
            <w:r w:rsidRPr="002C0985">
              <w:rPr>
                <w:b/>
                <w:bCs/>
                <w:color w:val="FFFFFF" w:themeColor="background1"/>
              </w:rPr>
              <w:t>No.</w:t>
            </w:r>
          </w:p>
        </w:tc>
        <w:tc>
          <w:tcPr>
            <w:tcW w:w="6045" w:type="dxa"/>
            <w:shd w:val="clear" w:color="auto" w:fill="2E75B6" w:themeFill="accent5"/>
          </w:tcPr>
          <w:p w14:paraId="2D1DE4D1" w14:textId="77777777" w:rsidR="00F5793A" w:rsidRPr="002C0985" w:rsidRDefault="00F5793A" w:rsidP="00A65EA3">
            <w:pPr>
              <w:spacing w:before="120" w:after="120"/>
              <w:rPr>
                <w:b/>
                <w:bCs/>
                <w:color w:val="FFFFFF" w:themeColor="background1"/>
              </w:rPr>
            </w:pPr>
            <w:r w:rsidRPr="002C0985">
              <w:rPr>
                <w:b/>
                <w:bCs/>
                <w:color w:val="FFFFFF" w:themeColor="background1"/>
              </w:rPr>
              <w:t>Recommendation</w:t>
            </w:r>
          </w:p>
        </w:tc>
        <w:tc>
          <w:tcPr>
            <w:tcW w:w="1571" w:type="dxa"/>
            <w:shd w:val="clear" w:color="auto" w:fill="2E75B6" w:themeFill="accent5"/>
          </w:tcPr>
          <w:p w14:paraId="6EDFFAD1" w14:textId="77777777" w:rsidR="00F5793A" w:rsidRPr="002C0985" w:rsidRDefault="00F5793A" w:rsidP="00A65EA3">
            <w:pPr>
              <w:spacing w:before="120" w:after="120"/>
              <w:rPr>
                <w:b/>
                <w:bCs/>
                <w:color w:val="FFFFFF" w:themeColor="background1"/>
              </w:rPr>
            </w:pPr>
            <w:r w:rsidRPr="002C0985">
              <w:rPr>
                <w:b/>
                <w:bCs/>
                <w:color w:val="FFFFFF" w:themeColor="background1"/>
              </w:rPr>
              <w:t>Entity Responsible</w:t>
            </w:r>
          </w:p>
        </w:tc>
        <w:tc>
          <w:tcPr>
            <w:tcW w:w="1194" w:type="dxa"/>
            <w:shd w:val="clear" w:color="auto" w:fill="2E75B6" w:themeFill="accent5"/>
          </w:tcPr>
          <w:p w14:paraId="21A61C6A" w14:textId="77777777" w:rsidR="00F5793A" w:rsidRPr="002C0985" w:rsidRDefault="00F5793A" w:rsidP="00A65EA3">
            <w:pPr>
              <w:spacing w:before="120" w:after="120"/>
              <w:rPr>
                <w:b/>
                <w:bCs/>
                <w:color w:val="FFFFFF" w:themeColor="background1"/>
              </w:rPr>
            </w:pPr>
            <w:r w:rsidRPr="002C0985">
              <w:rPr>
                <w:b/>
                <w:bCs/>
                <w:color w:val="FFFFFF" w:themeColor="background1"/>
              </w:rPr>
              <w:t>Timeframe</w:t>
            </w:r>
          </w:p>
        </w:tc>
      </w:tr>
      <w:tr w:rsidR="00F5793A" w14:paraId="152D4EA5" w14:textId="77777777" w:rsidTr="004B6F50">
        <w:tc>
          <w:tcPr>
            <w:tcW w:w="540" w:type="dxa"/>
          </w:tcPr>
          <w:p w14:paraId="253DAD0C" w14:textId="77777777" w:rsidR="00F5793A" w:rsidRDefault="00F5793A" w:rsidP="00A65EA3">
            <w:pPr>
              <w:jc w:val="center"/>
            </w:pPr>
            <w:r>
              <w:t>1</w:t>
            </w:r>
          </w:p>
        </w:tc>
        <w:tc>
          <w:tcPr>
            <w:tcW w:w="6045" w:type="dxa"/>
          </w:tcPr>
          <w:p w14:paraId="4A247382" w14:textId="77777777" w:rsidR="00F5793A" w:rsidRDefault="00F5793A" w:rsidP="00A65EA3">
            <w:pPr>
              <w:jc w:val="both"/>
            </w:pPr>
            <w:r w:rsidRPr="00102033">
              <w:rPr>
                <w:u w:val="single"/>
              </w:rPr>
              <w:t>Finalize project completion report</w:t>
            </w:r>
          </w:p>
          <w:p w14:paraId="73702D5F" w14:textId="7C17D221" w:rsidR="00F5793A" w:rsidRDefault="00F5793A" w:rsidP="00A65EA3">
            <w:pPr>
              <w:jc w:val="both"/>
            </w:pPr>
            <w:r>
              <w:t xml:space="preserve">The experiences by the project have a remarkable potential for replication within China and abroad. The approaches to the promotion of green logistics pioneered by the project could be readily </w:t>
            </w:r>
            <w:r w:rsidR="002C0985">
              <w:t>up</w:t>
            </w:r>
            <w:r>
              <w:t>scaled with support from national governments, national or multilateral development banks, and sources of international climate finance such as the Green Climate Fund. The evaluation team recommends that, to contribute to the achievement of this potential, the project team finalize</w:t>
            </w:r>
            <w:r w:rsidR="002C0985">
              <w:t>s</w:t>
            </w:r>
            <w:r>
              <w:t xml:space="preserve"> a comprehensive and well-written project completion report. The report should provide a critical review of the project experiences, emphasizing on lessons learned, and opportunities for improvement by subsequent replication initiatives. The completion report should be </w:t>
            </w:r>
            <w:r>
              <w:lastRenderedPageBreak/>
              <w:t>professionally translated and be widely disseminated, with support from UNDP.</w:t>
            </w:r>
          </w:p>
        </w:tc>
        <w:tc>
          <w:tcPr>
            <w:tcW w:w="1571" w:type="dxa"/>
          </w:tcPr>
          <w:p w14:paraId="31898BF9" w14:textId="77777777" w:rsidR="00F5793A" w:rsidRDefault="00F5793A" w:rsidP="00A65EA3">
            <w:r>
              <w:lastRenderedPageBreak/>
              <w:t>Project team, supported by UNDP</w:t>
            </w:r>
          </w:p>
        </w:tc>
        <w:tc>
          <w:tcPr>
            <w:tcW w:w="1194" w:type="dxa"/>
          </w:tcPr>
          <w:p w14:paraId="04CBB00B" w14:textId="0FDCF797" w:rsidR="00F5793A" w:rsidRDefault="00282C7A" w:rsidP="00A65EA3">
            <w:r>
              <w:t>Before project closure</w:t>
            </w:r>
          </w:p>
        </w:tc>
      </w:tr>
      <w:tr w:rsidR="004B6F50" w14:paraId="4D664FB8" w14:textId="77777777" w:rsidTr="004B6F50">
        <w:tc>
          <w:tcPr>
            <w:tcW w:w="540" w:type="dxa"/>
          </w:tcPr>
          <w:p w14:paraId="062ECFB6" w14:textId="77777777" w:rsidR="004B6F50" w:rsidRDefault="004B6F50" w:rsidP="004B6F50">
            <w:pPr>
              <w:jc w:val="center"/>
            </w:pPr>
            <w:r>
              <w:t>2</w:t>
            </w:r>
          </w:p>
        </w:tc>
        <w:tc>
          <w:tcPr>
            <w:tcW w:w="6045" w:type="dxa"/>
          </w:tcPr>
          <w:p w14:paraId="4CE31C55" w14:textId="63A7346B" w:rsidR="004B6F50" w:rsidRDefault="004B6F50" w:rsidP="004B6F50">
            <w:pPr>
              <w:jc w:val="both"/>
              <w:rPr>
                <w:u w:val="single"/>
              </w:rPr>
            </w:pPr>
            <w:r w:rsidRPr="00102033">
              <w:rPr>
                <w:u w:val="single"/>
              </w:rPr>
              <w:t>Formulate exit strategy</w:t>
            </w:r>
          </w:p>
          <w:p w14:paraId="3FC2D0F4" w14:textId="3480D960" w:rsidR="004B6F50" w:rsidRDefault="004B6F50" w:rsidP="004B6F50">
            <w:pPr>
              <w:jc w:val="both"/>
            </w:pPr>
            <w:r>
              <w:t xml:space="preserve">The terminal evaluation concluded that it is likely that project results will remain after project’s end. However, there is no formal plan to secure that this will be the case. Also, the sustainability of some specific elements of the project’s strategy is </w:t>
            </w:r>
            <w:r w:rsidR="002C0985">
              <w:t>more uncertain</w:t>
            </w:r>
            <w:r>
              <w:t xml:space="preserve"> – for example, the provision of technical assistance to small- and medium-sized logistics services providers –. The evaluation team recommends that the project team convenes project stakeholders to discuss and adopt an exit strategy that clarifies the objectives and roles for the </w:t>
            </w:r>
            <w:r w:rsidR="002C0985">
              <w:t xml:space="preserve">continuous </w:t>
            </w:r>
            <w:r>
              <w:t xml:space="preserve">support to the adoption of green logistics technologies and practices after project closure. </w:t>
            </w:r>
          </w:p>
        </w:tc>
        <w:tc>
          <w:tcPr>
            <w:tcW w:w="1571" w:type="dxa"/>
          </w:tcPr>
          <w:p w14:paraId="2FD705F2" w14:textId="2E5BDE69" w:rsidR="004B6F50" w:rsidRDefault="004B6F50" w:rsidP="004B6F50">
            <w:r>
              <w:t>Project team, supported by UNDP</w:t>
            </w:r>
          </w:p>
        </w:tc>
        <w:tc>
          <w:tcPr>
            <w:tcW w:w="1194" w:type="dxa"/>
          </w:tcPr>
          <w:p w14:paraId="670BDE91" w14:textId="157033D2" w:rsidR="004B6F50" w:rsidRDefault="004B6F50" w:rsidP="004B6F50">
            <w:r>
              <w:t>Before project closure</w:t>
            </w:r>
          </w:p>
        </w:tc>
      </w:tr>
      <w:tr w:rsidR="004B6F50" w14:paraId="70DE6AD8" w14:textId="77777777" w:rsidTr="004B6F50">
        <w:tc>
          <w:tcPr>
            <w:tcW w:w="540" w:type="dxa"/>
          </w:tcPr>
          <w:p w14:paraId="690D2706" w14:textId="77777777" w:rsidR="004B6F50" w:rsidRDefault="004B6F50" w:rsidP="004B6F50">
            <w:pPr>
              <w:jc w:val="center"/>
            </w:pPr>
            <w:r>
              <w:t>3</w:t>
            </w:r>
          </w:p>
        </w:tc>
        <w:tc>
          <w:tcPr>
            <w:tcW w:w="6045" w:type="dxa"/>
          </w:tcPr>
          <w:p w14:paraId="389F0193" w14:textId="77777777" w:rsidR="004B6F50" w:rsidRPr="009B06AF" w:rsidRDefault="004B6F50" w:rsidP="004B6F50">
            <w:pPr>
              <w:jc w:val="both"/>
              <w:rPr>
                <w:u w:val="single"/>
              </w:rPr>
            </w:pPr>
            <w:r w:rsidRPr="009B06AF">
              <w:rPr>
                <w:u w:val="single"/>
              </w:rPr>
              <w:t xml:space="preserve">Strengthen reporting </w:t>
            </w:r>
            <w:r>
              <w:rPr>
                <w:u w:val="single"/>
              </w:rPr>
              <w:t xml:space="preserve">processes </w:t>
            </w:r>
          </w:p>
          <w:p w14:paraId="470C2990" w14:textId="28D0EAA5" w:rsidR="004B6F50" w:rsidRDefault="004B6F50" w:rsidP="004B6F50">
            <w:pPr>
              <w:jc w:val="both"/>
            </w:pPr>
            <w:r>
              <w:t xml:space="preserve">UNDP has an opportunity to review and strengthen their role supporting project teams monitoring and reporting </w:t>
            </w:r>
            <w:r w:rsidR="002C0985">
              <w:t xml:space="preserve">project </w:t>
            </w:r>
            <w:r>
              <w:t xml:space="preserve">progress. The evaluation team suggests that, as part of the proposed review, UNDP discuss procedures to improve, inter alia, (i) the validation of </w:t>
            </w:r>
            <w:r w:rsidR="002C0985">
              <w:t>monitoring and evaluation f</w:t>
            </w:r>
            <w:r>
              <w:t>rameworks, including baselines, at project inception</w:t>
            </w:r>
            <w:r w:rsidR="002C0985">
              <w:t>;</w:t>
            </w:r>
            <w:r>
              <w:t xml:space="preserve"> (ii) the periodic monitoring and reporting of the contribution of cofinancing resources, including the recording of appropriate evidence</w:t>
            </w:r>
            <w:r w:rsidR="002C0985">
              <w:t>;</w:t>
            </w:r>
            <w:r>
              <w:t xml:space="preserve"> and (iii) the preparation and communication of high-quality </w:t>
            </w:r>
            <w:r w:rsidR="002C0985">
              <w:t xml:space="preserve">quarterly and annual progress reports </w:t>
            </w:r>
            <w:r>
              <w:t xml:space="preserve">that effectively support project management and oversight.  </w:t>
            </w:r>
          </w:p>
        </w:tc>
        <w:tc>
          <w:tcPr>
            <w:tcW w:w="1571" w:type="dxa"/>
          </w:tcPr>
          <w:p w14:paraId="38A345E4" w14:textId="141BF837" w:rsidR="004B6F50" w:rsidRDefault="004B6F50" w:rsidP="004B6F50">
            <w:r>
              <w:t>UNDP</w:t>
            </w:r>
          </w:p>
        </w:tc>
        <w:tc>
          <w:tcPr>
            <w:tcW w:w="1194" w:type="dxa"/>
          </w:tcPr>
          <w:p w14:paraId="6ABD07BA" w14:textId="3EDD54BA" w:rsidR="004B6F50" w:rsidRDefault="004B6F50" w:rsidP="004B6F50">
            <w:r>
              <w:t>2021</w:t>
            </w:r>
          </w:p>
        </w:tc>
      </w:tr>
    </w:tbl>
    <w:p w14:paraId="5CA130E6" w14:textId="0A5E3DFD" w:rsidR="00F5793A" w:rsidRDefault="00F5793A">
      <w:r>
        <w:br w:type="page"/>
      </w:r>
    </w:p>
    <w:p w14:paraId="0ADD0CEC" w14:textId="3B53FAB7" w:rsidR="008E2C94" w:rsidRPr="008E2C94" w:rsidRDefault="008E2C94" w:rsidP="00DE67CF">
      <w:pPr>
        <w:pStyle w:val="Heading1"/>
        <w:numPr>
          <w:ilvl w:val="0"/>
          <w:numId w:val="47"/>
        </w:numPr>
      </w:pPr>
      <w:bookmarkStart w:id="11" w:name="_Toc64632039"/>
      <w:r w:rsidRPr="008E2C94">
        <w:lastRenderedPageBreak/>
        <w:t>Introduction</w:t>
      </w:r>
      <w:bookmarkEnd w:id="11"/>
    </w:p>
    <w:p w14:paraId="485D1F2E" w14:textId="56CDCCD3" w:rsidR="008E2C94" w:rsidRDefault="008E2C94" w:rsidP="0088194C">
      <w:pPr>
        <w:pStyle w:val="Heading2"/>
        <w:numPr>
          <w:ilvl w:val="1"/>
          <w:numId w:val="47"/>
        </w:numPr>
      </w:pPr>
      <w:bookmarkStart w:id="12" w:name="_Toc64632040"/>
      <w:r w:rsidRPr="00FC46EA">
        <w:t>Purpose of the TE</w:t>
      </w:r>
      <w:bookmarkEnd w:id="12"/>
    </w:p>
    <w:p w14:paraId="2D455E7E" w14:textId="24CEDFBE" w:rsidR="00DC5397" w:rsidRDefault="00DC5397" w:rsidP="00DC5397">
      <w:pPr>
        <w:jc w:val="both"/>
      </w:pPr>
      <w:r>
        <w:t xml:space="preserve">The objective of the terminal evaluation (TE) </w:t>
      </w:r>
      <w:r w:rsidR="007F5946">
        <w:t>of the “Greening the Logistics Industry in Zhejiang Province (GLIZP)” project was</w:t>
      </w:r>
      <w:r>
        <w:t xml:space="preserve"> to assess the project design, its implementation, and the achievement of results. The overall performance of the project </w:t>
      </w:r>
      <w:r w:rsidR="00F9275E">
        <w:t>was</w:t>
      </w:r>
      <w:r>
        <w:t xml:space="preserve"> assessed against the expectations set in the </w:t>
      </w:r>
      <w:r w:rsidR="007F5946">
        <w:t>P</w:t>
      </w:r>
      <w:r>
        <w:t xml:space="preserve">roject </w:t>
      </w:r>
      <w:r w:rsidR="007F5946">
        <w:t>D</w:t>
      </w:r>
      <w:r>
        <w:t>ocument</w:t>
      </w:r>
      <w:r w:rsidR="007F5946">
        <w:t xml:space="preserve"> (ProDoc),</w:t>
      </w:r>
      <w:r>
        <w:t xml:space="preserve"> and</w:t>
      </w:r>
      <w:r w:rsidR="007F5946">
        <w:t xml:space="preserve"> against</w:t>
      </w:r>
      <w:r>
        <w:t xml:space="preserve"> the achievement of the project targets as contained in the project results framework (PRF). The TE assess</w:t>
      </w:r>
      <w:r w:rsidR="007F5946">
        <w:t>ed</w:t>
      </w:r>
      <w:r>
        <w:t xml:space="preserve"> project results in terms of their relevance, effectiveness, and efficiency. The achievement of project outcomes </w:t>
      </w:r>
      <w:r w:rsidR="007F5946">
        <w:t xml:space="preserve">was </w:t>
      </w:r>
      <w:r>
        <w:t>also evaluated in terms of their sustainability.</w:t>
      </w:r>
    </w:p>
    <w:p w14:paraId="5946D9BF" w14:textId="5F55F871" w:rsidR="00DC5397" w:rsidRDefault="00DC5397" w:rsidP="00DC5397">
      <w:pPr>
        <w:jc w:val="both"/>
      </w:pPr>
      <w:r>
        <w:t>The purpose of the TE is to</w:t>
      </w:r>
      <w:r w:rsidR="007F5946">
        <w:t>:</w:t>
      </w:r>
      <w:r>
        <w:t xml:space="preserve"> (i) promote accountability and transparency</w:t>
      </w:r>
      <w:r w:rsidR="007F5946">
        <w:t>;</w:t>
      </w:r>
      <w:r>
        <w:t xml:space="preserve"> (ii) identify and record lessons learned and recommendations to improve future operations</w:t>
      </w:r>
      <w:r w:rsidR="007F5946">
        <w:t>;</w:t>
      </w:r>
      <w:r>
        <w:t xml:space="preserve"> (iii) evaluate the contribution of project results to GEF strategic objectives on global environmental benefits</w:t>
      </w:r>
      <w:r w:rsidR="007F5946">
        <w:t>;</w:t>
      </w:r>
      <w:r>
        <w:t xml:space="preserve"> and</w:t>
      </w:r>
      <w:r w:rsidR="007F5946">
        <w:t>,</w:t>
      </w:r>
      <w:r>
        <w:t xml:space="preserve"> (iv) assess the alignment of the project with UNDP</w:t>
      </w:r>
      <w:r w:rsidR="00702B59">
        <w:t>, and national development</w:t>
      </w:r>
      <w:r>
        <w:t xml:space="preserve"> priorities in the host country.</w:t>
      </w:r>
    </w:p>
    <w:p w14:paraId="37821329" w14:textId="53FFBB59" w:rsidR="008E2C94" w:rsidRDefault="008E2C94" w:rsidP="0028188B">
      <w:pPr>
        <w:pStyle w:val="Heading2"/>
        <w:numPr>
          <w:ilvl w:val="1"/>
          <w:numId w:val="47"/>
        </w:numPr>
      </w:pPr>
      <w:bookmarkStart w:id="13" w:name="_Toc64632041"/>
      <w:r w:rsidRPr="00FC46EA">
        <w:t>Scope</w:t>
      </w:r>
      <w:r>
        <w:t xml:space="preserve"> </w:t>
      </w:r>
      <w:r w:rsidR="006B6562">
        <w:t>and m</w:t>
      </w:r>
      <w:r w:rsidR="006B6562" w:rsidRPr="00D77F19">
        <w:t>ethodology</w:t>
      </w:r>
      <w:bookmarkEnd w:id="13"/>
    </w:p>
    <w:p w14:paraId="0CF544AA" w14:textId="6DBF5DFA" w:rsidR="00BF426D" w:rsidRDefault="00BF426D" w:rsidP="00BF426D">
      <w:pPr>
        <w:jc w:val="both"/>
      </w:pPr>
      <w:r>
        <w:t xml:space="preserve">The TE </w:t>
      </w:r>
      <w:r w:rsidR="00050FBB">
        <w:t>was</w:t>
      </w:r>
      <w:r>
        <w:t xml:space="preserve"> an in-depth evaluation on the entire project based on (</w:t>
      </w:r>
      <w:r w:rsidR="006B6562">
        <w:t>i</w:t>
      </w:r>
      <w:r>
        <w:t>) a desk-review of project documentation</w:t>
      </w:r>
      <w:r w:rsidR="006B6562">
        <w:t xml:space="preserve">; </w:t>
      </w:r>
      <w:r>
        <w:t>(ii) semi-structured interviews with key informants</w:t>
      </w:r>
      <w:r w:rsidR="006B6562">
        <w:t>;</w:t>
      </w:r>
      <w:r>
        <w:t>(</w:t>
      </w:r>
      <w:r w:rsidR="006B6562">
        <w:t>iii)</w:t>
      </w:r>
      <w:r>
        <w:t xml:space="preserve"> interviews with the project team</w:t>
      </w:r>
      <w:r w:rsidR="006B6562">
        <w:t>; and, (iv) interviews with UNDP staff.</w:t>
      </w:r>
      <w:r w:rsidR="004D41B0">
        <w:t xml:space="preserve"> </w:t>
      </w:r>
      <w:r>
        <w:t xml:space="preserve">The TE </w:t>
      </w:r>
      <w:r w:rsidR="00050FBB">
        <w:t>used</w:t>
      </w:r>
      <w:r>
        <w:t xml:space="preserve"> a combination of both quantitative and qualitative evaluation methods. The TE follow</w:t>
      </w:r>
      <w:r w:rsidR="00050FBB">
        <w:t>ed</w:t>
      </w:r>
      <w:r>
        <w:t xml:space="preserve"> a participatory approach that engage</w:t>
      </w:r>
      <w:r w:rsidR="006B6562">
        <w:t>d</w:t>
      </w:r>
      <w:r>
        <w:t xml:space="preserve"> key stakeholders and kep</w:t>
      </w:r>
      <w:r w:rsidR="006B6562">
        <w:t>t</w:t>
      </w:r>
      <w:r>
        <w:t xml:space="preserve"> them informed of the evaluation process. Due to restrictions from the global COVID-19 pandemic, no travel, field missions, site-visits, or in-person meetings </w:t>
      </w:r>
      <w:r w:rsidR="00050FBB">
        <w:t>could be</w:t>
      </w:r>
      <w:r>
        <w:t xml:space="preserve"> conducted during this TE.</w:t>
      </w:r>
      <w:r w:rsidR="004D41B0">
        <w:t xml:space="preserve"> </w:t>
      </w:r>
    </w:p>
    <w:p w14:paraId="3857D34C" w14:textId="7928273E" w:rsidR="00BF426D" w:rsidRDefault="00BF426D" w:rsidP="00BF426D">
      <w:pPr>
        <w:jc w:val="both"/>
      </w:pPr>
      <w:r>
        <w:t xml:space="preserve">The two main tools that used to conduct the analysis </w:t>
      </w:r>
      <w:r w:rsidR="00050FBB">
        <w:t>we</w:t>
      </w:r>
      <w:r>
        <w:t xml:space="preserve">re the evaluation criteria matrix and the Theory of Change (ToC). The evaluation criteria matrix </w:t>
      </w:r>
      <w:r w:rsidR="00050FBB">
        <w:t>was</w:t>
      </w:r>
      <w:r>
        <w:t xml:space="preserve"> prepared based on the Terms of Reference (ToRs) for the TE, UNDP/GEF evaluation policies, UNDP’s “Guidance for Terminal Evaluation of UNDP-Supported, GEF-Financed Projects” (2020), and the results from the initial desk-review completed as part of the preparation of the inception report. The evaluation criteria matrix is presented in </w:t>
      </w:r>
      <w:r>
        <w:fldChar w:fldCharType="begin"/>
      </w:r>
      <w:r>
        <w:instrText xml:space="preserve"> REF _Ref58946285 \r \h </w:instrText>
      </w:r>
      <w:r>
        <w:fldChar w:fldCharType="separate"/>
      </w:r>
      <w:r w:rsidR="004718D8">
        <w:t>Annex D</w:t>
      </w:r>
      <w:r>
        <w:fldChar w:fldCharType="end"/>
      </w:r>
      <w:r>
        <w:t xml:space="preserve">. </w:t>
      </w:r>
    </w:p>
    <w:p w14:paraId="1C51E487" w14:textId="789842F6" w:rsidR="00BF426D" w:rsidRDefault="00BF426D" w:rsidP="00BF426D">
      <w:pPr>
        <w:jc w:val="both"/>
      </w:pPr>
      <w:r>
        <w:t>The TE use</w:t>
      </w:r>
      <w:r w:rsidR="00050FBB">
        <w:t>d</w:t>
      </w:r>
      <w:r>
        <w:t xml:space="preserve"> a ToC analysis to assess the change process that the project was set to achieve. Since a ToC was not defined during the project design phase, the TE team reconstruct</w:t>
      </w:r>
      <w:r w:rsidR="00050FBB">
        <w:t>ed</w:t>
      </w:r>
      <w:r>
        <w:t xml:space="preserve"> a ToC based on the PRF and the proposed project strategy and actions. The ToC analysis </w:t>
      </w:r>
      <w:r w:rsidR="00050FBB">
        <w:t xml:space="preserve">was </w:t>
      </w:r>
      <w:r>
        <w:t xml:space="preserve">supported by the document review, </w:t>
      </w:r>
      <w:r w:rsidR="00050FBB">
        <w:t xml:space="preserve">and </w:t>
      </w:r>
      <w:r>
        <w:t>interviews with key stakeholders and the project team.</w:t>
      </w:r>
    </w:p>
    <w:p w14:paraId="09E311E4" w14:textId="1EA0EA1D" w:rsidR="008E2C94" w:rsidRDefault="008E2C94" w:rsidP="0088194C">
      <w:pPr>
        <w:pStyle w:val="Heading2"/>
        <w:numPr>
          <w:ilvl w:val="1"/>
          <w:numId w:val="47"/>
        </w:numPr>
      </w:pPr>
      <w:bookmarkStart w:id="14" w:name="_Toc64632042"/>
      <w:r w:rsidRPr="00FC46EA">
        <w:t xml:space="preserve">Data </w:t>
      </w:r>
      <w:r>
        <w:t>c</w:t>
      </w:r>
      <w:r w:rsidRPr="00FC46EA">
        <w:t xml:space="preserve">ollection </w:t>
      </w:r>
      <w:r>
        <w:t>and a</w:t>
      </w:r>
      <w:r w:rsidRPr="00FC46EA">
        <w:t>nalysis</w:t>
      </w:r>
      <w:bookmarkEnd w:id="14"/>
    </w:p>
    <w:p w14:paraId="21821051" w14:textId="4642FF99" w:rsidR="00F0435E" w:rsidRDefault="00F0435E" w:rsidP="00F0435E">
      <w:pPr>
        <w:jc w:val="both"/>
      </w:pPr>
      <w:r>
        <w:t>The desk review of the project documentation included</w:t>
      </w:r>
      <w:r w:rsidR="00A80980">
        <w:t>:</w:t>
      </w:r>
      <w:r>
        <w:t xml:space="preserve"> (i) the ProDoc and annexes</w:t>
      </w:r>
      <w:r w:rsidR="00A80980">
        <w:t>;</w:t>
      </w:r>
      <w:r>
        <w:t xml:space="preserve"> (ii) the GEF CEO endorsement request</w:t>
      </w:r>
      <w:r w:rsidR="00A80980">
        <w:t>;</w:t>
      </w:r>
      <w:r>
        <w:t xml:space="preserve"> (iii) annual work plans (AWPs)</w:t>
      </w:r>
      <w:r w:rsidR="00A80980">
        <w:t>;</w:t>
      </w:r>
      <w:r>
        <w:t xml:space="preserve"> (iv) annual and quarterly progress report</w:t>
      </w:r>
      <w:r w:rsidR="00A80980">
        <w:t>s;</w:t>
      </w:r>
      <w:r>
        <w:t xml:space="preserve"> (v) </w:t>
      </w:r>
      <w:r w:rsidRPr="005D562B">
        <w:t>Project Implementation Reviews (PIRs</w:t>
      </w:r>
      <w:r>
        <w:t>) report</w:t>
      </w:r>
      <w:r w:rsidR="00A80980">
        <w:t>s;</w:t>
      </w:r>
      <w:r>
        <w:t xml:space="preserve"> (vi) </w:t>
      </w:r>
      <w:r w:rsidRPr="005D562B">
        <w:t xml:space="preserve"> minutes</w:t>
      </w:r>
      <w:r>
        <w:t xml:space="preserve"> of Project Steering Committee (PSC) </w:t>
      </w:r>
      <w:r w:rsidRPr="005D562B">
        <w:t>meeting</w:t>
      </w:r>
      <w:r>
        <w:t>s</w:t>
      </w:r>
      <w:r w:rsidR="00A80980">
        <w:t>;</w:t>
      </w:r>
      <w:r w:rsidRPr="005D562B">
        <w:t xml:space="preserve"> </w:t>
      </w:r>
      <w:r>
        <w:t>(vii) GEF tracking tools</w:t>
      </w:r>
      <w:r w:rsidR="00A80980">
        <w:t>;</w:t>
      </w:r>
      <w:r>
        <w:t xml:space="preserve"> (viii) </w:t>
      </w:r>
      <w:r w:rsidR="00A80980">
        <w:t>mid-term review (MTR)</w:t>
      </w:r>
      <w:r>
        <w:t xml:space="preserve"> report and management response</w:t>
      </w:r>
      <w:r w:rsidR="00A80980">
        <w:t>s;</w:t>
      </w:r>
      <w:r>
        <w:t xml:space="preserve"> (ix) quarterly and annual financial reports</w:t>
      </w:r>
      <w:r w:rsidR="00A80980">
        <w:t>;</w:t>
      </w:r>
      <w:r>
        <w:t xml:space="preserve"> (x) cofinancing evidence</w:t>
      </w:r>
      <w:r w:rsidR="00A80980">
        <w:t>;</w:t>
      </w:r>
      <w:r>
        <w:t xml:space="preserve"> (xi) audit reports</w:t>
      </w:r>
      <w:r w:rsidR="00A80980">
        <w:t>;</w:t>
      </w:r>
      <w:r>
        <w:t xml:space="preserve"> (xii) technical reports of project outputs, (xiii) project publications and outreach materials, and (xiv) other reports or documents that </w:t>
      </w:r>
      <w:r w:rsidR="00A80980">
        <w:t>we</w:t>
      </w:r>
      <w:r>
        <w:t>re useful to the TE.</w:t>
      </w:r>
      <w:r w:rsidR="00A80980">
        <w:t xml:space="preserve"> A list of all documents reviewed by the evaluation team is presented in Annex C.</w:t>
      </w:r>
    </w:p>
    <w:p w14:paraId="15B8A734" w14:textId="21D8891D" w:rsidR="00F0435E" w:rsidRDefault="00F0435E" w:rsidP="00F0435E">
      <w:pPr>
        <w:jc w:val="both"/>
      </w:pPr>
      <w:r>
        <w:t xml:space="preserve">Given the restrictions from the global COVID-19 pandemic, all interviews had to be conducted remotely, by phone or videoconference. Interviews and email communications with project management team members at </w:t>
      </w:r>
      <w:r w:rsidR="00A80980">
        <w:t xml:space="preserve">the </w:t>
      </w:r>
      <w:r w:rsidR="00A80980" w:rsidRPr="00A80980">
        <w:t xml:space="preserve">Zhejiang Provincial Development and Reform Commission </w:t>
      </w:r>
      <w:r w:rsidR="00A80980">
        <w:t>(</w:t>
      </w:r>
      <w:r>
        <w:t>ZPDRC</w:t>
      </w:r>
      <w:r w:rsidR="00A80980">
        <w:t>)</w:t>
      </w:r>
      <w:r>
        <w:t xml:space="preserve"> were </w:t>
      </w:r>
      <w:r w:rsidR="00A80980">
        <w:t>used</w:t>
      </w:r>
      <w:r>
        <w:t xml:space="preserve"> to gather additional information and their insights on different aspects of the project design, implementation and </w:t>
      </w:r>
      <w:r>
        <w:lastRenderedPageBreak/>
        <w:t>results. Interviews with key informants used as a guide a semi-structured questionnaire developed by the evaluation team. Key stakeholders interviewed included:</w:t>
      </w:r>
    </w:p>
    <w:p w14:paraId="67F33D12" w14:textId="77777777" w:rsidR="00F0435E" w:rsidRDefault="00F0435E" w:rsidP="00F0435E">
      <w:pPr>
        <w:pStyle w:val="ListParagraph"/>
        <w:numPr>
          <w:ilvl w:val="0"/>
          <w:numId w:val="4"/>
        </w:numPr>
        <w:jc w:val="both"/>
      </w:pPr>
      <w:r>
        <w:t>Members of the project management unit (PMU)</w:t>
      </w:r>
    </w:p>
    <w:p w14:paraId="797ACACE" w14:textId="77777777" w:rsidR="00F0435E" w:rsidRDefault="00F0435E" w:rsidP="00F0435E">
      <w:pPr>
        <w:pStyle w:val="ListParagraph"/>
        <w:numPr>
          <w:ilvl w:val="0"/>
          <w:numId w:val="4"/>
        </w:numPr>
        <w:jc w:val="both"/>
      </w:pPr>
      <w:r>
        <w:t>Representatives from:</w:t>
      </w:r>
    </w:p>
    <w:p w14:paraId="76C336EB" w14:textId="721A6570" w:rsidR="00F0435E" w:rsidRDefault="00F0435E" w:rsidP="00F0435E">
      <w:pPr>
        <w:pStyle w:val="ListParagraph"/>
        <w:numPr>
          <w:ilvl w:val="1"/>
          <w:numId w:val="4"/>
        </w:numPr>
        <w:rPr>
          <w:lang w:val="en-GB"/>
        </w:rPr>
      </w:pPr>
      <w:r w:rsidRPr="008A4910">
        <w:rPr>
          <w:lang w:val="en-GB"/>
        </w:rPr>
        <w:t>Fuyang City Government</w:t>
      </w:r>
      <w:r w:rsidR="00A80980">
        <w:rPr>
          <w:lang w:val="en-GB"/>
        </w:rPr>
        <w:t>;</w:t>
      </w:r>
    </w:p>
    <w:p w14:paraId="3A1EDFC4" w14:textId="79B26847" w:rsidR="00F0435E" w:rsidRDefault="00F0435E" w:rsidP="00F0435E">
      <w:pPr>
        <w:pStyle w:val="ListParagraph"/>
        <w:numPr>
          <w:ilvl w:val="1"/>
          <w:numId w:val="4"/>
        </w:numPr>
        <w:rPr>
          <w:lang w:val="en-GB"/>
        </w:rPr>
      </w:pPr>
      <w:r w:rsidRPr="008A4910">
        <w:rPr>
          <w:lang w:val="en-GB"/>
        </w:rPr>
        <w:t xml:space="preserve">Fuyang Hangzhou </w:t>
      </w:r>
      <w:r>
        <w:rPr>
          <w:lang w:val="en-GB"/>
        </w:rPr>
        <w:t xml:space="preserve">Transfer </w:t>
      </w:r>
      <w:r w:rsidRPr="008A4910">
        <w:rPr>
          <w:lang w:val="en-GB"/>
        </w:rPr>
        <w:t>Logistics Base Co., Ltd.</w:t>
      </w:r>
      <w:r w:rsidR="00A80980">
        <w:rPr>
          <w:lang w:val="en-GB"/>
        </w:rPr>
        <w:t>;</w:t>
      </w:r>
    </w:p>
    <w:p w14:paraId="4D7B288F" w14:textId="4C576FE4" w:rsidR="00F0435E" w:rsidRDefault="00F0435E" w:rsidP="00F0435E">
      <w:pPr>
        <w:pStyle w:val="ListParagraph"/>
        <w:numPr>
          <w:ilvl w:val="1"/>
          <w:numId w:val="4"/>
        </w:numPr>
        <w:rPr>
          <w:lang w:val="en-GB"/>
        </w:rPr>
      </w:pPr>
      <w:r>
        <w:rPr>
          <w:rFonts w:hAnsi="SimSun" w:cs="SimSun" w:hint="eastAsia"/>
          <w:lang w:eastAsia="zh-CN"/>
        </w:rPr>
        <w:t>Shanghai Economic Information Center</w:t>
      </w:r>
      <w:r w:rsidR="00A80980">
        <w:rPr>
          <w:rFonts w:hAnsi="SimSun" w:cs="SimSun"/>
          <w:lang w:eastAsia="zh-CN"/>
        </w:rPr>
        <w:t>;</w:t>
      </w:r>
    </w:p>
    <w:p w14:paraId="08CFE54C" w14:textId="516C60A8" w:rsidR="00F0435E" w:rsidRDefault="00F0435E" w:rsidP="00F0435E">
      <w:pPr>
        <w:pStyle w:val="ListParagraph"/>
        <w:numPr>
          <w:ilvl w:val="1"/>
          <w:numId w:val="4"/>
        </w:numPr>
        <w:jc w:val="both"/>
      </w:pPr>
      <w:r w:rsidRPr="00371117">
        <w:t>Zhejiang Economic Information Development Co., Ltd.</w:t>
      </w:r>
      <w:r w:rsidR="00A80980">
        <w:t>;</w:t>
      </w:r>
    </w:p>
    <w:p w14:paraId="2A9C44F1" w14:textId="45C4FD46" w:rsidR="00F0435E" w:rsidRDefault="00F0435E" w:rsidP="00F0435E">
      <w:pPr>
        <w:pStyle w:val="ListParagraph"/>
        <w:numPr>
          <w:ilvl w:val="1"/>
          <w:numId w:val="4"/>
        </w:numPr>
        <w:rPr>
          <w:lang w:val="en-GB"/>
        </w:rPr>
      </w:pPr>
      <w:r w:rsidRPr="008A4910">
        <w:rPr>
          <w:lang w:val="en-GB"/>
        </w:rPr>
        <w:t>Zhejiang Fuyang Port International Co. Ltd.</w:t>
      </w:r>
      <w:r w:rsidR="00A80980">
        <w:rPr>
          <w:lang w:val="en-GB"/>
        </w:rPr>
        <w:t>;</w:t>
      </w:r>
    </w:p>
    <w:p w14:paraId="480D8B18" w14:textId="31354404" w:rsidR="00F0435E" w:rsidRDefault="00F0435E" w:rsidP="00F0435E">
      <w:pPr>
        <w:pStyle w:val="ListParagraph"/>
        <w:numPr>
          <w:ilvl w:val="1"/>
          <w:numId w:val="4"/>
        </w:numPr>
        <w:jc w:val="both"/>
      </w:pPr>
      <w:r w:rsidRPr="00F0435E">
        <w:t>Zhejiang Gongshang University</w:t>
      </w:r>
      <w:r w:rsidR="00A80980">
        <w:t>;</w:t>
      </w:r>
      <w:r w:rsidRPr="00F0435E">
        <w:t xml:space="preserve"> </w:t>
      </w:r>
    </w:p>
    <w:p w14:paraId="4A9E04BD" w14:textId="637F2245" w:rsidR="00F0435E" w:rsidRDefault="00F0435E" w:rsidP="00F0435E">
      <w:pPr>
        <w:pStyle w:val="ListParagraph"/>
        <w:numPr>
          <w:ilvl w:val="1"/>
          <w:numId w:val="4"/>
        </w:numPr>
        <w:jc w:val="both"/>
      </w:pPr>
      <w:r w:rsidRPr="00F0435E">
        <w:t>Zhejiang International Freight Forwarding and Logistics Association</w:t>
      </w:r>
      <w:r w:rsidR="00A80980">
        <w:t>;</w:t>
      </w:r>
    </w:p>
    <w:p w14:paraId="2B28AB84" w14:textId="1F52A296" w:rsidR="00F0435E" w:rsidRDefault="00F0435E" w:rsidP="00F0435E">
      <w:pPr>
        <w:pStyle w:val="ListParagraph"/>
        <w:numPr>
          <w:ilvl w:val="1"/>
          <w:numId w:val="4"/>
        </w:numPr>
        <w:rPr>
          <w:lang w:val="en-GB"/>
        </w:rPr>
      </w:pPr>
      <w:r w:rsidRPr="00371117">
        <w:rPr>
          <w:lang w:val="en-GB"/>
        </w:rPr>
        <w:t>Zhejiang Logistics Association</w:t>
      </w:r>
      <w:r w:rsidR="00A80980">
        <w:rPr>
          <w:lang w:val="en-GB"/>
        </w:rPr>
        <w:t>;</w:t>
      </w:r>
    </w:p>
    <w:p w14:paraId="5248AD29" w14:textId="06DEE61F" w:rsidR="00F0435E" w:rsidRDefault="00F0435E" w:rsidP="00F0435E">
      <w:pPr>
        <w:pStyle w:val="ListParagraph"/>
        <w:numPr>
          <w:ilvl w:val="1"/>
          <w:numId w:val="4"/>
        </w:numPr>
        <w:rPr>
          <w:lang w:val="en-GB"/>
        </w:rPr>
      </w:pPr>
      <w:r w:rsidRPr="007D3744">
        <w:t>Zhejiang Standardization Research Institute</w:t>
      </w:r>
      <w:r w:rsidR="00A80980">
        <w:t>;</w:t>
      </w:r>
    </w:p>
    <w:p w14:paraId="4927DF4D" w14:textId="573F4B56" w:rsidR="00F0435E" w:rsidRDefault="00F0435E" w:rsidP="00F0435E">
      <w:pPr>
        <w:pStyle w:val="ListParagraph"/>
        <w:numPr>
          <w:ilvl w:val="0"/>
          <w:numId w:val="4"/>
        </w:numPr>
        <w:jc w:val="both"/>
      </w:pPr>
      <w:r>
        <w:t>UNDP country office in Chin</w:t>
      </w:r>
      <w:r w:rsidR="00A80980">
        <w:t>a; and,</w:t>
      </w:r>
    </w:p>
    <w:p w14:paraId="19AE6BE9" w14:textId="323A146F" w:rsidR="00F0435E" w:rsidRDefault="00F0435E" w:rsidP="00F0435E">
      <w:pPr>
        <w:pStyle w:val="ListParagraph"/>
        <w:numPr>
          <w:ilvl w:val="0"/>
          <w:numId w:val="4"/>
        </w:numPr>
        <w:jc w:val="both"/>
      </w:pPr>
      <w:r>
        <w:t>UNDP regional technical advisor</w:t>
      </w:r>
      <w:r w:rsidR="00A80980">
        <w:t>.</w:t>
      </w:r>
      <w:r>
        <w:t xml:space="preserve"> </w:t>
      </w:r>
    </w:p>
    <w:p w14:paraId="7E7A34F5" w14:textId="7F18D6BC" w:rsidR="00A80980" w:rsidRDefault="00A80980" w:rsidP="00A80980">
      <w:pPr>
        <w:jc w:val="both"/>
      </w:pPr>
      <w:r>
        <w:t>A complete list of persons interviews during this TE is available in Annex B.</w:t>
      </w:r>
    </w:p>
    <w:p w14:paraId="536E8270" w14:textId="01AC26F6" w:rsidR="00F0435E" w:rsidRDefault="00F0435E" w:rsidP="00F0435E">
      <w:pPr>
        <w:jc w:val="both"/>
      </w:pPr>
      <w:r>
        <w:t>An internet-based survey of logistics service providers (LSPs) had been proposed and agree</w:t>
      </w:r>
      <w:r w:rsidR="00A80980">
        <w:t>d</w:t>
      </w:r>
      <w:r>
        <w:t xml:space="preserve"> to at the </w:t>
      </w:r>
      <w:r w:rsidR="00A80980">
        <w:t xml:space="preserve">TE </w:t>
      </w:r>
      <w:r>
        <w:t xml:space="preserve">inception phase. The survey was designed by the TE team with the purpose </w:t>
      </w:r>
      <w:r w:rsidR="00A80980">
        <w:t>of</w:t>
      </w:r>
      <w:r>
        <w:t xml:space="preserve"> inquir</w:t>
      </w:r>
      <w:r w:rsidR="00A80980">
        <w:t>ing</w:t>
      </w:r>
      <w:r>
        <w:t xml:space="preserve"> about the adoption of green logistics </w:t>
      </w:r>
      <w:r w:rsidR="00A80980">
        <w:t xml:space="preserve">technologies and </w:t>
      </w:r>
      <w:r>
        <w:t>practice</w:t>
      </w:r>
      <w:r w:rsidR="00A80980">
        <w:t>s</w:t>
      </w:r>
      <w:r>
        <w:t xml:space="preserve"> by LSPs in </w:t>
      </w:r>
      <w:r w:rsidRPr="00763DCA">
        <w:t>Zhejiang Province</w:t>
      </w:r>
      <w:r w:rsidR="00A80980">
        <w:t>,</w:t>
      </w:r>
      <w:r>
        <w:t xml:space="preserve"> and to collect basic insights from LSPs on their level of awareness of green logistics and </w:t>
      </w:r>
      <w:r w:rsidR="00A80980">
        <w:t xml:space="preserve">the </w:t>
      </w:r>
      <w:r>
        <w:t>project activities to promote these practices. The survey, however, could not be implemented because a list of companies supported by the project could not be provided by the project team.</w:t>
      </w:r>
    </w:p>
    <w:p w14:paraId="489E346B" w14:textId="6DF469A0" w:rsidR="00F0435E" w:rsidRDefault="00F0435E" w:rsidP="00F0435E">
      <w:pPr>
        <w:jc w:val="both"/>
      </w:pPr>
      <w:r>
        <w:t xml:space="preserve">Information and data were collected in accordance with the evaluation criteria matrix agreed at the inception phase and included in this report </w:t>
      </w:r>
      <w:r w:rsidRPr="00A80980">
        <w:t>as Annex D.</w:t>
      </w:r>
    </w:p>
    <w:p w14:paraId="67320B01" w14:textId="6C08823E" w:rsidR="008E2C94" w:rsidRDefault="008E2C94" w:rsidP="0088194C">
      <w:pPr>
        <w:pStyle w:val="Heading2"/>
        <w:numPr>
          <w:ilvl w:val="1"/>
          <w:numId w:val="47"/>
        </w:numPr>
      </w:pPr>
      <w:bookmarkStart w:id="15" w:name="_Toc64632043"/>
      <w:r w:rsidRPr="00FC46EA">
        <w:t>Ethics</w:t>
      </w:r>
      <w:bookmarkEnd w:id="15"/>
    </w:p>
    <w:p w14:paraId="425A5824" w14:textId="3DE014E5" w:rsidR="00DC5397" w:rsidRPr="00DC5397" w:rsidRDefault="00DC5397" w:rsidP="00CE08D7">
      <w:pPr>
        <w:jc w:val="both"/>
      </w:pPr>
      <w:r>
        <w:t>The terminal evaluation was conducted following the principles contained in the ethical guidelines for evaluations</w:t>
      </w:r>
      <w:r w:rsidR="00602949">
        <w:rPr>
          <w:rStyle w:val="FootnoteReference"/>
        </w:rPr>
        <w:footnoteReference w:id="1"/>
      </w:r>
      <w:r>
        <w:t xml:space="preserve"> </w:t>
      </w:r>
      <w:r w:rsidR="00602949">
        <w:t>adopted by the United Nations Evaluation Group (UN</w:t>
      </w:r>
      <w:r w:rsidR="00602949" w:rsidRPr="007B6387">
        <w:t xml:space="preserve">EG). </w:t>
      </w:r>
      <w:r w:rsidR="00CF47D8" w:rsidRPr="007B6387">
        <w:t xml:space="preserve">The lead evaluator </w:t>
      </w:r>
      <w:r w:rsidR="00156211" w:rsidRPr="007B6387">
        <w:t>signed the Code of Conduct</w:t>
      </w:r>
      <w:r w:rsidR="00D77F19" w:rsidRPr="007B6387">
        <w:t xml:space="preserve"> for Evaluators and th</w:t>
      </w:r>
      <w:r w:rsidR="00CF47D8" w:rsidRPr="007B6387">
        <w:t>is is</w:t>
      </w:r>
      <w:r w:rsidR="00D77F19" w:rsidRPr="007B6387">
        <w:t xml:space="preserve"> included in </w:t>
      </w:r>
      <w:r w:rsidR="00D77F19" w:rsidRPr="007B6387">
        <w:fldChar w:fldCharType="begin"/>
      </w:r>
      <w:r w:rsidR="00D77F19" w:rsidRPr="007B6387">
        <w:instrText xml:space="preserve"> REF _Ref58945920 \r \h </w:instrText>
      </w:r>
      <w:r w:rsidR="00CE08D7" w:rsidRPr="007B6387">
        <w:instrText xml:space="preserve"> \* MERGEFORMAT </w:instrText>
      </w:r>
      <w:r w:rsidR="00D77F19" w:rsidRPr="007B6387">
        <w:fldChar w:fldCharType="separate"/>
      </w:r>
      <w:r w:rsidR="004718D8" w:rsidRPr="007B6387">
        <w:t xml:space="preserve">Annex </w:t>
      </w:r>
      <w:r w:rsidR="00E87478" w:rsidRPr="007B6387">
        <w:t>F</w:t>
      </w:r>
      <w:r w:rsidR="00D77F19" w:rsidRPr="007B6387">
        <w:fldChar w:fldCharType="end"/>
      </w:r>
      <w:r w:rsidR="00D77F19" w:rsidRPr="007B6387">
        <w:t>.</w:t>
      </w:r>
      <w:r w:rsidR="00D77F19">
        <w:t xml:space="preserve"> </w:t>
      </w:r>
      <w:r w:rsidR="00156211">
        <w:t xml:space="preserve"> </w:t>
      </w:r>
    </w:p>
    <w:p w14:paraId="05DD0187" w14:textId="7B5DDB31" w:rsidR="008E2C94" w:rsidRDefault="008E2C94" w:rsidP="0088194C">
      <w:pPr>
        <w:pStyle w:val="Heading2"/>
        <w:numPr>
          <w:ilvl w:val="1"/>
          <w:numId w:val="47"/>
        </w:numPr>
      </w:pPr>
      <w:bookmarkStart w:id="16" w:name="_Toc64632044"/>
      <w:r w:rsidRPr="00FC46EA">
        <w:t>Limitations to the evaluation</w:t>
      </w:r>
      <w:bookmarkEnd w:id="16"/>
    </w:p>
    <w:p w14:paraId="49EED423" w14:textId="504A8590" w:rsidR="008E2C94" w:rsidRDefault="00707E37" w:rsidP="00DA26A3">
      <w:pPr>
        <w:jc w:val="both"/>
      </w:pPr>
      <w:r>
        <w:t xml:space="preserve">Restrictions from to the global COVID-19 pandemic </w:t>
      </w:r>
      <w:r w:rsidR="00DA26A3">
        <w:t xml:space="preserve">prevented the completion of an evaluation mission. Language barriers also limited direct interactions with members of the PMU and other stakeholders. As mentioned above, the proposed survey of LSPs could not be implemented because a list of LSPs supported by the project could not be provided by the project team. This was probably the most relevant limitation to this TE given that, as it was laid down in the inception report, the survey was intended to answer relevant questions on the impact and sustainability of the project. In the absence of the information </w:t>
      </w:r>
      <w:r w:rsidR="00A706E4">
        <w:t xml:space="preserve">to be obtained </w:t>
      </w:r>
      <w:r w:rsidR="00DA26A3">
        <w:t>from the survey, some of the questions that were intended to be answered by the survey were addressed during interviews with project stakeholders.</w:t>
      </w:r>
    </w:p>
    <w:p w14:paraId="3F30A4D6" w14:textId="28354786" w:rsidR="00916C5C" w:rsidRDefault="00916C5C" w:rsidP="008E2C94">
      <w:r>
        <w:br w:type="page"/>
      </w:r>
    </w:p>
    <w:p w14:paraId="09BAA75D" w14:textId="01BD02D2" w:rsidR="008E2C94" w:rsidRDefault="008E2C94" w:rsidP="00DE67CF">
      <w:pPr>
        <w:pStyle w:val="Heading1"/>
        <w:numPr>
          <w:ilvl w:val="0"/>
          <w:numId w:val="47"/>
        </w:numPr>
      </w:pPr>
      <w:bookmarkStart w:id="17" w:name="_Toc64632045"/>
      <w:r w:rsidRPr="008E2C94">
        <w:lastRenderedPageBreak/>
        <w:t>Project Description</w:t>
      </w:r>
      <w:bookmarkEnd w:id="17"/>
    </w:p>
    <w:p w14:paraId="1F9E6A44" w14:textId="51814781" w:rsidR="008E2C94" w:rsidRDefault="008E2C94" w:rsidP="0088194C">
      <w:pPr>
        <w:pStyle w:val="Heading2"/>
        <w:numPr>
          <w:ilvl w:val="1"/>
          <w:numId w:val="47"/>
        </w:numPr>
      </w:pPr>
      <w:bookmarkStart w:id="18" w:name="_Toc64632046"/>
      <w:r>
        <w:t>Project start and duration, including milestones</w:t>
      </w:r>
      <w:bookmarkEnd w:id="18"/>
    </w:p>
    <w:p w14:paraId="4BF9FDE2" w14:textId="3885C7B4" w:rsidR="002E6D4B" w:rsidRDefault="002E6D4B" w:rsidP="002E6D4B">
      <w:r>
        <w:t>The project had a planned duration of four years (48 months), starting on the ProDoc’s signature date on 3</w:t>
      </w:r>
      <w:r w:rsidR="00251C66" w:rsidRPr="00251C66">
        <w:rPr>
          <w:vertAlign w:val="superscript"/>
        </w:rPr>
        <w:t>rd</w:t>
      </w:r>
      <w:r w:rsidR="00251C66">
        <w:t xml:space="preserve"> </w:t>
      </w:r>
      <w:r>
        <w:t xml:space="preserve">January 2017. The planned closing date was therefore on </w:t>
      </w:r>
      <w:r w:rsidR="00251C66">
        <w:t>2</w:t>
      </w:r>
      <w:r w:rsidR="00251C66" w:rsidRPr="00251C66">
        <w:rPr>
          <w:vertAlign w:val="superscript"/>
        </w:rPr>
        <w:t>nd</w:t>
      </w:r>
      <w:r>
        <w:t xml:space="preserve"> January 2021.</w:t>
      </w:r>
      <w:r w:rsidR="00251C66">
        <w:t xml:space="preserve"> Operational closing date was on </w:t>
      </w:r>
      <w:r w:rsidR="00251C66" w:rsidRPr="00282C7A">
        <w:t>2</w:t>
      </w:r>
      <w:r w:rsidR="00251C66" w:rsidRPr="00282C7A">
        <w:rPr>
          <w:vertAlign w:val="superscript"/>
        </w:rPr>
        <w:t>nd</w:t>
      </w:r>
      <w:r w:rsidR="00251C66" w:rsidRPr="00282C7A">
        <w:t xml:space="preserve"> February 2021.</w:t>
      </w:r>
      <w:r>
        <w:t xml:space="preserve"> </w:t>
      </w:r>
      <w:r>
        <w:fldChar w:fldCharType="begin"/>
      </w:r>
      <w:r>
        <w:instrText xml:space="preserve"> REF _Ref61255213 \h </w:instrText>
      </w:r>
      <w:r>
        <w:fldChar w:fldCharType="separate"/>
      </w:r>
      <w:r w:rsidR="004718D8">
        <w:t xml:space="preserve">Table </w:t>
      </w:r>
      <w:r w:rsidR="004718D8">
        <w:rPr>
          <w:noProof/>
        </w:rPr>
        <w:t>4</w:t>
      </w:r>
      <w:r>
        <w:fldChar w:fldCharType="end"/>
      </w:r>
      <w:r>
        <w:t>, below, lists the main project milestones.</w:t>
      </w:r>
    </w:p>
    <w:p w14:paraId="7C56C8A4" w14:textId="2D85C74C" w:rsidR="002E6D4B" w:rsidRDefault="002E6D4B" w:rsidP="00816AFA">
      <w:pPr>
        <w:pStyle w:val="Caption"/>
        <w:ind w:firstLine="1418"/>
      </w:pPr>
      <w:bookmarkStart w:id="19" w:name="_Ref61255213"/>
      <w:bookmarkStart w:id="20" w:name="_Ref61255210"/>
      <w:r>
        <w:t xml:space="preserve">Table </w:t>
      </w:r>
      <w:r>
        <w:fldChar w:fldCharType="begin"/>
      </w:r>
      <w:r>
        <w:instrText xml:space="preserve"> SEQ Table \* ARABIC </w:instrText>
      </w:r>
      <w:r>
        <w:fldChar w:fldCharType="separate"/>
      </w:r>
      <w:r w:rsidR="004718D8">
        <w:rPr>
          <w:noProof/>
        </w:rPr>
        <w:t>4</w:t>
      </w:r>
      <w:r>
        <w:fldChar w:fldCharType="end"/>
      </w:r>
      <w:bookmarkEnd w:id="19"/>
      <w:r>
        <w:t>. Project milestones</w:t>
      </w:r>
      <w:bookmarkEnd w:id="20"/>
    </w:p>
    <w:tbl>
      <w:tblPr>
        <w:tblStyle w:val="TableGrid"/>
        <w:tblW w:w="0" w:type="auto"/>
        <w:tblInd w:w="1413" w:type="dxa"/>
        <w:tblLook w:val="04A0" w:firstRow="1" w:lastRow="0" w:firstColumn="1" w:lastColumn="0" w:noHBand="0" w:noVBand="1"/>
      </w:tblPr>
      <w:tblGrid>
        <w:gridCol w:w="4113"/>
        <w:gridCol w:w="2408"/>
      </w:tblGrid>
      <w:tr w:rsidR="002D5420" w:rsidRPr="002D5420" w14:paraId="7641DE42" w14:textId="77777777" w:rsidTr="002D5420">
        <w:tc>
          <w:tcPr>
            <w:tcW w:w="4113" w:type="dxa"/>
            <w:shd w:val="clear" w:color="auto" w:fill="2E75B6" w:themeFill="accent5"/>
          </w:tcPr>
          <w:p w14:paraId="02889655" w14:textId="469B8DF5" w:rsidR="002E6D4B" w:rsidRPr="002D5420" w:rsidRDefault="002E6D4B" w:rsidP="002E6D4B">
            <w:pPr>
              <w:rPr>
                <w:b/>
                <w:bCs/>
                <w:color w:val="FFFFFF" w:themeColor="background1"/>
              </w:rPr>
            </w:pPr>
            <w:r w:rsidRPr="002D5420">
              <w:rPr>
                <w:b/>
                <w:bCs/>
                <w:color w:val="FFFFFF" w:themeColor="background1"/>
              </w:rPr>
              <w:t>Milestone</w:t>
            </w:r>
          </w:p>
        </w:tc>
        <w:tc>
          <w:tcPr>
            <w:tcW w:w="2408" w:type="dxa"/>
            <w:shd w:val="clear" w:color="auto" w:fill="2E75B6" w:themeFill="accent5"/>
          </w:tcPr>
          <w:p w14:paraId="4CFBE30A" w14:textId="16EAB693" w:rsidR="002E6D4B" w:rsidRPr="002D5420" w:rsidRDefault="002E6D4B" w:rsidP="002E6D4B">
            <w:pPr>
              <w:rPr>
                <w:b/>
                <w:bCs/>
                <w:color w:val="FFFFFF" w:themeColor="background1"/>
              </w:rPr>
            </w:pPr>
            <w:r w:rsidRPr="002D5420">
              <w:rPr>
                <w:b/>
                <w:bCs/>
                <w:color w:val="FFFFFF" w:themeColor="background1"/>
              </w:rPr>
              <w:t>Date</w:t>
            </w:r>
          </w:p>
        </w:tc>
      </w:tr>
      <w:tr w:rsidR="002E6D4B" w14:paraId="2D5D5794" w14:textId="77777777" w:rsidTr="00816AFA">
        <w:tc>
          <w:tcPr>
            <w:tcW w:w="4113" w:type="dxa"/>
          </w:tcPr>
          <w:p w14:paraId="57F882D6" w14:textId="3B031E44" w:rsidR="002E6D4B" w:rsidRDefault="002E6D4B" w:rsidP="002E6D4B">
            <w:r w:rsidRPr="002E6D4B">
              <w:t>PIF approva</w:t>
            </w:r>
            <w:r>
              <w:t>l</w:t>
            </w:r>
          </w:p>
        </w:tc>
        <w:tc>
          <w:tcPr>
            <w:tcW w:w="2408" w:type="dxa"/>
          </w:tcPr>
          <w:p w14:paraId="73C02521" w14:textId="4986B919" w:rsidR="002E6D4B" w:rsidRDefault="002E6D4B" w:rsidP="00DF5B21">
            <w:pPr>
              <w:jc w:val="center"/>
            </w:pPr>
            <w:r w:rsidRPr="002E6D4B">
              <w:t>21 March 2014</w:t>
            </w:r>
          </w:p>
        </w:tc>
      </w:tr>
      <w:tr w:rsidR="002E6D4B" w14:paraId="3CACE447" w14:textId="77777777" w:rsidTr="00816AFA">
        <w:tc>
          <w:tcPr>
            <w:tcW w:w="4113" w:type="dxa"/>
          </w:tcPr>
          <w:p w14:paraId="70F59484" w14:textId="6A42C92B" w:rsidR="002E6D4B" w:rsidRDefault="002E6D4B" w:rsidP="002E6D4B">
            <w:r w:rsidRPr="002E6D4B">
              <w:t>CEO Endorsement</w:t>
            </w:r>
          </w:p>
        </w:tc>
        <w:tc>
          <w:tcPr>
            <w:tcW w:w="2408" w:type="dxa"/>
          </w:tcPr>
          <w:p w14:paraId="184F7E4C" w14:textId="149AABAF" w:rsidR="002E6D4B" w:rsidRDefault="002E6D4B" w:rsidP="00DF5B21">
            <w:pPr>
              <w:jc w:val="center"/>
            </w:pPr>
            <w:r w:rsidRPr="002E6D4B">
              <w:t>15 November 2016</w:t>
            </w:r>
          </w:p>
        </w:tc>
      </w:tr>
      <w:tr w:rsidR="002E6D4B" w14:paraId="1006D080" w14:textId="77777777" w:rsidTr="00816AFA">
        <w:tc>
          <w:tcPr>
            <w:tcW w:w="4113" w:type="dxa"/>
          </w:tcPr>
          <w:p w14:paraId="4FBE5A40" w14:textId="38505997" w:rsidR="002E6D4B" w:rsidRDefault="002E6D4B" w:rsidP="002E6D4B">
            <w:r w:rsidRPr="002E6D4B">
              <w:t xml:space="preserve">ProDoc </w:t>
            </w:r>
            <w:r w:rsidR="00DF5B21">
              <w:t>s</w:t>
            </w:r>
            <w:r w:rsidRPr="002E6D4B">
              <w:t xml:space="preserve">ignature </w:t>
            </w:r>
          </w:p>
        </w:tc>
        <w:tc>
          <w:tcPr>
            <w:tcW w:w="2408" w:type="dxa"/>
          </w:tcPr>
          <w:p w14:paraId="549916A6" w14:textId="079E3A50" w:rsidR="002E6D4B" w:rsidRDefault="002E6D4B" w:rsidP="00DF5B21">
            <w:pPr>
              <w:jc w:val="center"/>
            </w:pPr>
            <w:r w:rsidRPr="002E6D4B">
              <w:t>3 January 2017</w:t>
            </w:r>
          </w:p>
        </w:tc>
      </w:tr>
      <w:tr w:rsidR="002E6D4B" w14:paraId="0F806A78" w14:textId="77777777" w:rsidTr="00816AFA">
        <w:tc>
          <w:tcPr>
            <w:tcW w:w="4113" w:type="dxa"/>
          </w:tcPr>
          <w:p w14:paraId="05828030" w14:textId="15B44A15" w:rsidR="002E6D4B" w:rsidRPr="002E6D4B" w:rsidRDefault="002E6D4B" w:rsidP="002E6D4B">
            <w:r>
              <w:t xml:space="preserve">Inception </w:t>
            </w:r>
            <w:r w:rsidR="00DF5B21">
              <w:t>workshop</w:t>
            </w:r>
          </w:p>
        </w:tc>
        <w:tc>
          <w:tcPr>
            <w:tcW w:w="2408" w:type="dxa"/>
          </w:tcPr>
          <w:p w14:paraId="7A7C5972" w14:textId="1C94D3BF" w:rsidR="002E6D4B" w:rsidRPr="002E6D4B" w:rsidRDefault="002E6D4B" w:rsidP="00DF5B21">
            <w:pPr>
              <w:jc w:val="center"/>
            </w:pPr>
            <w:r w:rsidRPr="002E6D4B">
              <w:t>24 March 2017</w:t>
            </w:r>
          </w:p>
        </w:tc>
      </w:tr>
      <w:tr w:rsidR="002E6D4B" w14:paraId="188C8E60" w14:textId="77777777" w:rsidTr="00816AFA">
        <w:tc>
          <w:tcPr>
            <w:tcW w:w="4113" w:type="dxa"/>
          </w:tcPr>
          <w:p w14:paraId="70796B14" w14:textId="48205134" w:rsidR="002E6D4B" w:rsidRDefault="002E6D4B" w:rsidP="002E6D4B">
            <w:r>
              <w:t>Project manager hiring</w:t>
            </w:r>
          </w:p>
        </w:tc>
        <w:tc>
          <w:tcPr>
            <w:tcW w:w="2408" w:type="dxa"/>
          </w:tcPr>
          <w:p w14:paraId="7D0DE163" w14:textId="2C666359" w:rsidR="002E6D4B" w:rsidRDefault="002E6D4B" w:rsidP="00DF5B21">
            <w:pPr>
              <w:jc w:val="center"/>
            </w:pPr>
            <w:r w:rsidRPr="002E6D4B">
              <w:t>26 September 2017</w:t>
            </w:r>
          </w:p>
        </w:tc>
      </w:tr>
      <w:tr w:rsidR="002E6D4B" w14:paraId="15658D5D" w14:textId="77777777" w:rsidTr="00816AFA">
        <w:tc>
          <w:tcPr>
            <w:tcW w:w="4113" w:type="dxa"/>
          </w:tcPr>
          <w:p w14:paraId="0DA07124" w14:textId="58F65594" w:rsidR="002E6D4B" w:rsidRDefault="002E6D4B" w:rsidP="002E6D4B">
            <w:r>
              <w:t>Meetings of the project steering committee</w:t>
            </w:r>
          </w:p>
        </w:tc>
        <w:tc>
          <w:tcPr>
            <w:tcW w:w="2408" w:type="dxa"/>
          </w:tcPr>
          <w:p w14:paraId="6637B8A0" w14:textId="42EF12C1" w:rsidR="007450D6" w:rsidRPr="007450D6" w:rsidRDefault="007450D6" w:rsidP="00DF5B21">
            <w:pPr>
              <w:jc w:val="center"/>
            </w:pPr>
            <w:r w:rsidRPr="007450D6">
              <w:t>24 March 2017</w:t>
            </w:r>
          </w:p>
          <w:p w14:paraId="4976BAD1" w14:textId="77777777" w:rsidR="002E6D4B" w:rsidRDefault="00FE3AFD" w:rsidP="00DF5B21">
            <w:pPr>
              <w:jc w:val="center"/>
            </w:pPr>
            <w:r>
              <w:t>16 March 2018</w:t>
            </w:r>
          </w:p>
          <w:p w14:paraId="0DC0EAB1" w14:textId="77777777" w:rsidR="00FE3AFD" w:rsidRDefault="00FE3AFD" w:rsidP="00DF5B21">
            <w:pPr>
              <w:jc w:val="center"/>
            </w:pPr>
            <w:r>
              <w:t>25 March 2019</w:t>
            </w:r>
          </w:p>
          <w:p w14:paraId="5F2123C1" w14:textId="7C66B369" w:rsidR="00FE3AFD" w:rsidRPr="002E6D4B" w:rsidRDefault="00FE3AFD" w:rsidP="00DF5B21">
            <w:pPr>
              <w:jc w:val="center"/>
            </w:pPr>
            <w:r>
              <w:t>11 September 2020</w:t>
            </w:r>
          </w:p>
        </w:tc>
      </w:tr>
      <w:tr w:rsidR="002E6D4B" w14:paraId="7AC88AB5" w14:textId="77777777" w:rsidTr="00816AFA">
        <w:tc>
          <w:tcPr>
            <w:tcW w:w="4113" w:type="dxa"/>
          </w:tcPr>
          <w:p w14:paraId="25D741B3" w14:textId="27FFE149" w:rsidR="002E6D4B" w:rsidRDefault="002E6D4B" w:rsidP="002E6D4B">
            <w:r>
              <w:t>Mid-term review</w:t>
            </w:r>
          </w:p>
        </w:tc>
        <w:tc>
          <w:tcPr>
            <w:tcW w:w="2408" w:type="dxa"/>
          </w:tcPr>
          <w:p w14:paraId="4E0040F3" w14:textId="5A91BD15" w:rsidR="002E6D4B" w:rsidRPr="002E6D4B" w:rsidRDefault="002E6D4B" w:rsidP="00DF5B21">
            <w:pPr>
              <w:jc w:val="center"/>
            </w:pPr>
            <w:r w:rsidRPr="002E6D4B">
              <w:t>18 August 2019</w:t>
            </w:r>
          </w:p>
        </w:tc>
      </w:tr>
      <w:tr w:rsidR="002E6D4B" w14:paraId="12496579" w14:textId="77777777" w:rsidTr="00816AFA">
        <w:tc>
          <w:tcPr>
            <w:tcW w:w="4113" w:type="dxa"/>
          </w:tcPr>
          <w:p w14:paraId="29810CDB" w14:textId="36B2ACF2" w:rsidR="002E6D4B" w:rsidRDefault="002E6D4B" w:rsidP="002E6D4B">
            <w:r>
              <w:t>Terminal evaluation</w:t>
            </w:r>
          </w:p>
        </w:tc>
        <w:tc>
          <w:tcPr>
            <w:tcW w:w="2408" w:type="dxa"/>
          </w:tcPr>
          <w:p w14:paraId="56D7078C" w14:textId="6FCA46DE" w:rsidR="002E6D4B" w:rsidRPr="002E6D4B" w:rsidRDefault="007B6387" w:rsidP="00DF5B21">
            <w:pPr>
              <w:jc w:val="center"/>
            </w:pPr>
            <w:r>
              <w:t>23 March</w:t>
            </w:r>
            <w:r w:rsidR="00251C66">
              <w:t xml:space="preserve"> 2021</w:t>
            </w:r>
          </w:p>
        </w:tc>
      </w:tr>
      <w:tr w:rsidR="002E6D4B" w14:paraId="4EED11D0" w14:textId="77777777" w:rsidTr="00816AFA">
        <w:tc>
          <w:tcPr>
            <w:tcW w:w="4113" w:type="dxa"/>
          </w:tcPr>
          <w:p w14:paraId="52C9D35B" w14:textId="3603C1E2" w:rsidR="002E6D4B" w:rsidRDefault="00895B6E" w:rsidP="002E6D4B">
            <w:r>
              <w:t>Planned closing date</w:t>
            </w:r>
          </w:p>
        </w:tc>
        <w:tc>
          <w:tcPr>
            <w:tcW w:w="2408" w:type="dxa"/>
          </w:tcPr>
          <w:p w14:paraId="23BE19B6" w14:textId="081C0F3F" w:rsidR="002E6D4B" w:rsidRPr="002E6D4B" w:rsidRDefault="00895B6E" w:rsidP="00DF5B21">
            <w:pPr>
              <w:jc w:val="center"/>
              <w:rPr>
                <w:highlight w:val="yellow"/>
              </w:rPr>
            </w:pPr>
            <w:r>
              <w:t>3 January 2021</w:t>
            </w:r>
          </w:p>
        </w:tc>
      </w:tr>
      <w:tr w:rsidR="00895B6E" w14:paraId="73C54385" w14:textId="77777777" w:rsidTr="00816AFA">
        <w:tc>
          <w:tcPr>
            <w:tcW w:w="4113" w:type="dxa"/>
          </w:tcPr>
          <w:p w14:paraId="193C7849" w14:textId="651613A7" w:rsidR="00895B6E" w:rsidRDefault="0099376D" w:rsidP="002E6D4B">
            <w:r>
              <w:t>Operational</w:t>
            </w:r>
            <w:r w:rsidR="00895B6E">
              <w:t xml:space="preserve"> closing date</w:t>
            </w:r>
          </w:p>
        </w:tc>
        <w:tc>
          <w:tcPr>
            <w:tcW w:w="2408" w:type="dxa"/>
          </w:tcPr>
          <w:p w14:paraId="3FDF4776" w14:textId="0FBB74A6" w:rsidR="00895B6E" w:rsidRDefault="00251C66" w:rsidP="00DF5B21">
            <w:pPr>
              <w:jc w:val="center"/>
            </w:pPr>
            <w:r>
              <w:t>2 February 2021</w:t>
            </w:r>
          </w:p>
        </w:tc>
      </w:tr>
    </w:tbl>
    <w:p w14:paraId="711E3385" w14:textId="6A7A71CF" w:rsidR="00EE1105" w:rsidRDefault="00EA1B04" w:rsidP="00816AFA">
      <w:pPr>
        <w:ind w:left="142" w:firstLine="709"/>
      </w:pPr>
      <w:r>
        <w:tab/>
        <w:t xml:space="preserve">Source: Mid-term review, </w:t>
      </w:r>
      <w:r w:rsidR="00845D82">
        <w:t>minutes of PSC meetings</w:t>
      </w:r>
    </w:p>
    <w:p w14:paraId="1B5F7F5B" w14:textId="16B75B2C" w:rsidR="008E2C94" w:rsidRDefault="00895B6E" w:rsidP="0088194C">
      <w:pPr>
        <w:pStyle w:val="Heading2"/>
        <w:numPr>
          <w:ilvl w:val="1"/>
          <w:numId w:val="47"/>
        </w:numPr>
      </w:pPr>
      <w:bookmarkStart w:id="21" w:name="_Toc64632047"/>
      <w:r>
        <w:t>D</w:t>
      </w:r>
      <w:r w:rsidR="008E2C94">
        <w:t>evelopment context</w:t>
      </w:r>
      <w:bookmarkEnd w:id="21"/>
    </w:p>
    <w:p w14:paraId="26DFE4DB" w14:textId="7261383C" w:rsidR="00E35721" w:rsidRDefault="0054001F" w:rsidP="0054001F">
      <w:pPr>
        <w:jc w:val="both"/>
      </w:pPr>
      <w:r>
        <w:t>The logistics industry provides essential services to the economy, building and maintaining the links of value chains, and bringing products to consumers. Zhejiang Province is a national hub for industrial and commercial activity, including e-commerce and international trade. In that context, the logistics sector plays a strategic role in the economy, contributing in 2018 with 542 billion yuan or 9.7% of the province’s GDP.</w:t>
      </w:r>
      <w:r>
        <w:rPr>
          <w:rStyle w:val="FootnoteReference"/>
        </w:rPr>
        <w:footnoteReference w:id="2"/>
      </w:r>
      <w:r>
        <w:t xml:space="preserve"> The sector is also an important employer, </w:t>
      </w:r>
      <w:r w:rsidR="00251C66">
        <w:t>with as many as</w:t>
      </w:r>
      <w:r w:rsidR="006B7222">
        <w:t xml:space="preserve"> 32,000</w:t>
      </w:r>
      <w:r w:rsidR="006B7222">
        <w:rPr>
          <w:rStyle w:val="FootnoteReference"/>
        </w:rPr>
        <w:footnoteReference w:id="3"/>
      </w:r>
      <w:r w:rsidR="00E35721">
        <w:t xml:space="preserve"> logistics companies</w:t>
      </w:r>
      <w:r w:rsidR="00816AFA">
        <w:t xml:space="preserve"> </w:t>
      </w:r>
      <w:r w:rsidR="00251C66">
        <w:t>operating in Zhejiang Province</w:t>
      </w:r>
      <w:r w:rsidR="00E35721">
        <w:t xml:space="preserve">. </w:t>
      </w:r>
      <w:r w:rsidR="009A2F32">
        <w:t xml:space="preserve">In 2018, nationwide, the </w:t>
      </w:r>
      <w:r w:rsidR="009A2F32" w:rsidRPr="009A2F32">
        <w:t xml:space="preserve">transport, warehousing and postal services </w:t>
      </w:r>
      <w:r w:rsidR="009A2F32">
        <w:t xml:space="preserve">sector </w:t>
      </w:r>
      <w:r w:rsidR="00DA66D2">
        <w:t>employed</w:t>
      </w:r>
      <w:r w:rsidR="009A2F32">
        <w:t xml:space="preserve"> more than</w:t>
      </w:r>
      <w:r w:rsidR="009A2F32" w:rsidRPr="009A2F32">
        <w:t xml:space="preserve"> 540</w:t>
      </w:r>
      <w:r w:rsidR="009A2F32">
        <w:t>,000</w:t>
      </w:r>
      <w:r w:rsidR="00DA66D2">
        <w:t xml:space="preserve"> people.</w:t>
      </w:r>
      <w:r w:rsidR="009A2F32">
        <w:rPr>
          <w:rStyle w:val="FootnoteReference"/>
        </w:rPr>
        <w:footnoteReference w:id="4"/>
      </w:r>
      <w:r w:rsidR="009A2F32">
        <w:t xml:space="preserve">  </w:t>
      </w:r>
    </w:p>
    <w:p w14:paraId="5F25A5CF" w14:textId="3BF409AC" w:rsidR="00DA66D2" w:rsidRDefault="00DA66D2" w:rsidP="0054001F">
      <w:pPr>
        <w:jc w:val="both"/>
      </w:pPr>
      <w:r>
        <w:t xml:space="preserve">Given its economic and social importance, the development of a strong and competitive logistics sector is a policy priority for national and local authorities in China. As such, key policies and development plans in the country include provisions to promote the development of this industry. </w:t>
      </w:r>
      <w:r w:rsidR="00816AFA">
        <w:fldChar w:fldCharType="begin"/>
      </w:r>
      <w:r w:rsidR="00816AFA">
        <w:instrText xml:space="preserve"> REF _Ref61262703 \h </w:instrText>
      </w:r>
      <w:r w:rsidR="00816AFA">
        <w:fldChar w:fldCharType="separate"/>
      </w:r>
      <w:r w:rsidR="004718D8" w:rsidRPr="00A64EE1">
        <w:t xml:space="preserve">Table </w:t>
      </w:r>
      <w:r w:rsidR="004718D8">
        <w:rPr>
          <w:noProof/>
        </w:rPr>
        <w:t>14</w:t>
      </w:r>
      <w:r w:rsidR="00816AFA">
        <w:fldChar w:fldCharType="end"/>
      </w:r>
      <w:r w:rsidR="00816AFA">
        <w:t xml:space="preserve">, on page </w:t>
      </w:r>
      <w:r w:rsidR="00816AFA">
        <w:fldChar w:fldCharType="begin"/>
      </w:r>
      <w:r w:rsidR="00816AFA">
        <w:instrText xml:space="preserve"> PAGEREF _Ref63949367 \h </w:instrText>
      </w:r>
      <w:r w:rsidR="00816AFA">
        <w:fldChar w:fldCharType="separate"/>
      </w:r>
      <w:r w:rsidR="004718D8">
        <w:rPr>
          <w:noProof/>
        </w:rPr>
        <w:t>30</w:t>
      </w:r>
      <w:r w:rsidR="00816AFA">
        <w:fldChar w:fldCharType="end"/>
      </w:r>
      <w:r w:rsidR="00816AFA">
        <w:t xml:space="preserve">, </w:t>
      </w:r>
      <w:r w:rsidR="00D826C8">
        <w:t xml:space="preserve">lists </w:t>
      </w:r>
      <w:r w:rsidR="00101528">
        <w:t>key policies and plans with provisions that are relevant to the logistics industry.</w:t>
      </w:r>
    </w:p>
    <w:p w14:paraId="4AA7A0B1" w14:textId="73D6C6EE" w:rsidR="009A2F32" w:rsidRDefault="009A2F32" w:rsidP="009A2F32">
      <w:pPr>
        <w:jc w:val="both"/>
      </w:pPr>
      <w:r>
        <w:t xml:space="preserve">Green logistics are defined in the </w:t>
      </w:r>
      <w:r w:rsidRPr="00AB5090">
        <w:t>Chinese national standard</w:t>
      </w:r>
      <w:r>
        <w:t xml:space="preserve"> 37099-2018 on “</w:t>
      </w:r>
      <w:r w:rsidRPr="004720D3">
        <w:t xml:space="preserve">Green Logistics Indicators </w:t>
      </w:r>
      <w:r>
        <w:t>a</w:t>
      </w:r>
      <w:r w:rsidRPr="004720D3">
        <w:t>nd Accounting Methods</w:t>
      </w:r>
      <w:r>
        <w:t>” as</w:t>
      </w:r>
      <w:r w:rsidR="0099376D">
        <w:t xml:space="preserve"> practices that</w:t>
      </w:r>
      <w:r>
        <w:t xml:space="preserve"> “reduc</w:t>
      </w:r>
      <w:r w:rsidR="0099376D">
        <w:t>[e]</w:t>
      </w:r>
      <w:r>
        <w:t xml:space="preserve"> the impact of logistics activities on the environment by making full use of logistics resources, adopting advanced logistics technology, reasonably planning and implementing logistics activities including transportation, storage, loading and unloading, carrying, </w:t>
      </w:r>
      <w:r>
        <w:lastRenderedPageBreak/>
        <w:t xml:space="preserve">packaging, circulation </w:t>
      </w:r>
      <w:r w:rsidRPr="004720D3">
        <w:t>processing, distribution, information processing and the like.</w:t>
      </w:r>
      <w:r>
        <w:t>”</w:t>
      </w:r>
      <w:r>
        <w:rPr>
          <w:rStyle w:val="FootnoteReference"/>
        </w:rPr>
        <w:footnoteReference w:id="5"/>
      </w:r>
      <w:r>
        <w:t xml:space="preserve"> Green logistics are applicable to the five main components of the logistics system: transportation, warehousing, packaging, distribution, and waste management.</w:t>
      </w:r>
      <w:r>
        <w:rPr>
          <w:rStyle w:val="FootnoteReference"/>
        </w:rPr>
        <w:footnoteReference w:id="6"/>
      </w:r>
    </w:p>
    <w:p w14:paraId="740FED44" w14:textId="557A7DDE" w:rsidR="0054001F" w:rsidRDefault="00E35721" w:rsidP="0054001F">
      <w:pPr>
        <w:jc w:val="both"/>
      </w:pPr>
      <w:r>
        <w:t xml:space="preserve">Zhejiang Province is pursuing a model of green and sustainable development denominated </w:t>
      </w:r>
      <w:r w:rsidRPr="00E35721">
        <w:t xml:space="preserve">the </w:t>
      </w:r>
      <w:r>
        <w:t>“</w:t>
      </w:r>
      <w:r w:rsidRPr="00E35721">
        <w:t>New Zhejiang Model</w:t>
      </w:r>
      <w:r>
        <w:t xml:space="preserve">”. Under this model, the development of a green logistics sector in the province is critically important, not only to reduce greenhouse gas (GHG) emissions and other environmental impacts, but also to increase the overall competitiveness of businesses in Zhejiang. </w:t>
      </w:r>
      <w:r w:rsidR="003A7A67">
        <w:t xml:space="preserve">As reported by the </w:t>
      </w:r>
      <w:r w:rsidR="003A7A67" w:rsidRPr="003A7A67">
        <w:t>Zhejiang Economic Information Center</w:t>
      </w:r>
      <w:r w:rsidR="00724822">
        <w:t>,</w:t>
      </w:r>
      <w:r w:rsidR="003A7A67">
        <w:t xml:space="preserve"> </w:t>
      </w:r>
      <w:r w:rsidR="00724822">
        <w:t>an environmentally sustainable or green</w:t>
      </w:r>
      <w:r w:rsidR="003A7A67">
        <w:t xml:space="preserve"> logistics sector</w:t>
      </w:r>
      <w:r w:rsidR="00724822">
        <w:t xml:space="preserve"> contributes to (i) reducing the operating costs for small- and medium-sized enterprises</w:t>
      </w:r>
      <w:r w:rsidR="0099376D">
        <w:t>;</w:t>
      </w:r>
      <w:r w:rsidR="00724822">
        <w:t xml:space="preserve"> (ii) improving the competitive advantages of logistics companies</w:t>
      </w:r>
      <w:r w:rsidR="0099376D">
        <w:t>;</w:t>
      </w:r>
      <w:r w:rsidR="00724822">
        <w:t xml:space="preserve"> (iii) </w:t>
      </w:r>
      <w:r w:rsidR="0099376D">
        <w:t>accessing</w:t>
      </w:r>
      <w:r w:rsidR="00724822">
        <w:t xml:space="preserve"> markets with high environmental standards</w:t>
      </w:r>
      <w:r w:rsidR="0099376D">
        <w:t>;</w:t>
      </w:r>
      <w:r w:rsidR="00724822">
        <w:t xml:space="preserve"> and</w:t>
      </w:r>
      <w:r w:rsidR="0099376D">
        <w:t>,</w:t>
      </w:r>
      <w:r w:rsidR="00724822">
        <w:t xml:space="preserve"> (iv) reducing the environmental impact of economic activities.</w:t>
      </w:r>
      <w:r w:rsidR="00724822">
        <w:rPr>
          <w:rStyle w:val="FootnoteReference"/>
        </w:rPr>
        <w:footnoteReference w:id="7"/>
      </w:r>
    </w:p>
    <w:p w14:paraId="39A598EE" w14:textId="133166C0" w:rsidR="008E2C94" w:rsidRDefault="008E2C94" w:rsidP="0088194C">
      <w:pPr>
        <w:pStyle w:val="Heading2"/>
        <w:numPr>
          <w:ilvl w:val="1"/>
          <w:numId w:val="47"/>
        </w:numPr>
      </w:pPr>
      <w:bookmarkStart w:id="22" w:name="_Ref61960840"/>
      <w:bookmarkStart w:id="23" w:name="_Toc64632048"/>
      <w:r>
        <w:t>Problems that the project sought to address</w:t>
      </w:r>
      <w:bookmarkEnd w:id="22"/>
      <w:bookmarkEnd w:id="23"/>
    </w:p>
    <w:p w14:paraId="4726C4B2" w14:textId="15678666" w:rsidR="007A0BB9" w:rsidRDefault="007A0BB9" w:rsidP="00BF426D">
      <w:pPr>
        <w:jc w:val="both"/>
      </w:pPr>
      <w:r>
        <w:t>The project aimed at improving the efficiency of the logistics industry in Zhejiang Province. According to the ProDoc, the logistics sector ha</w:t>
      </w:r>
      <w:r w:rsidR="006D5409">
        <w:t>d</w:t>
      </w:r>
      <w:r>
        <w:t xml:space="preserve"> experienced a rapid growth over the two previous decades</w:t>
      </w:r>
      <w:r w:rsidR="006D5409">
        <w:t xml:space="preserve">, supported by large public investments in transport infrastructure. However, the pace of adoption of efficient technologies and practices by the industry had proceeded at a slower pace. As a result, the industry was characterized by low efficiency, high operational costs, and comparatively large environmental impacts. The ProDoc cites as evidence the fact that the contribution of the logistics sector in China was equivalent to 18% of the country’s GDP, a fraction that was estimated to be twice the contribution </w:t>
      </w:r>
      <w:r w:rsidR="000B6D11">
        <w:t xml:space="preserve">that this </w:t>
      </w:r>
      <w:r w:rsidR="006D5409">
        <w:t xml:space="preserve">sector </w:t>
      </w:r>
      <w:r w:rsidR="000B6D11">
        <w:t xml:space="preserve">makes to the economies of </w:t>
      </w:r>
      <w:r w:rsidR="006D5409">
        <w:t>developed countries.</w:t>
      </w:r>
      <w:r w:rsidR="006D5409">
        <w:rPr>
          <w:rStyle w:val="FootnoteReference"/>
        </w:rPr>
        <w:footnoteReference w:id="8"/>
      </w:r>
    </w:p>
    <w:p w14:paraId="40CBD2C5" w14:textId="1DE83EC5" w:rsidR="00BF426D" w:rsidRDefault="00BF426D" w:rsidP="00BF426D">
      <w:pPr>
        <w:jc w:val="both"/>
      </w:pPr>
      <w:r>
        <w:t>The project’s strategy consist</w:t>
      </w:r>
      <w:r w:rsidR="007A0BB9">
        <w:t>ed</w:t>
      </w:r>
      <w:r>
        <w:t xml:space="preserve"> of a barriers removal approach to address the major barriers for the adoption of green logistics techniques and practices.</w:t>
      </w:r>
      <w:r>
        <w:rPr>
          <w:rStyle w:val="FootnoteReference"/>
        </w:rPr>
        <w:footnoteReference w:id="9"/>
      </w:r>
      <w:r>
        <w:t xml:space="preserve"> The main barriers reported in the ProDoc are: </w:t>
      </w:r>
    </w:p>
    <w:p w14:paraId="6661ACB3" w14:textId="77777777" w:rsidR="00BF426D" w:rsidRPr="003056BB" w:rsidRDefault="00BF426D" w:rsidP="00B94B93">
      <w:pPr>
        <w:pStyle w:val="ListParagraph"/>
        <w:numPr>
          <w:ilvl w:val="0"/>
          <w:numId w:val="2"/>
        </w:numPr>
        <w:jc w:val="both"/>
      </w:pPr>
      <w:r w:rsidRPr="003056BB">
        <w:t>Lack of comprehensive, consistent</w:t>
      </w:r>
      <w:r>
        <w:t>,</w:t>
      </w:r>
      <w:r w:rsidRPr="003056BB">
        <w:t xml:space="preserve"> and enforced policies (and implementation and institutional arrangements) supporting the application of green logistics systems in the logistics industry</w:t>
      </w:r>
      <w:r>
        <w:t>;</w:t>
      </w:r>
      <w:r w:rsidRPr="003056BB">
        <w:t xml:space="preserve"> </w:t>
      </w:r>
    </w:p>
    <w:p w14:paraId="4C2B46C3" w14:textId="77777777" w:rsidR="00BF426D" w:rsidRPr="003056BB" w:rsidRDefault="00BF426D" w:rsidP="00B94B93">
      <w:pPr>
        <w:pStyle w:val="ListParagraph"/>
        <w:numPr>
          <w:ilvl w:val="0"/>
          <w:numId w:val="2"/>
        </w:numPr>
        <w:jc w:val="both"/>
      </w:pPr>
      <w:r w:rsidRPr="003056BB">
        <w:t>Low level of confidence of the logistics industry on the viability of green logistics applications and infrastructures</w:t>
      </w:r>
      <w:r>
        <w:t>;</w:t>
      </w:r>
      <w:r w:rsidRPr="003056BB">
        <w:t xml:space="preserve">  </w:t>
      </w:r>
    </w:p>
    <w:p w14:paraId="33468AB8" w14:textId="77777777" w:rsidR="00BF426D" w:rsidRPr="003056BB" w:rsidRDefault="00BF426D" w:rsidP="00B94B93">
      <w:pPr>
        <w:pStyle w:val="ListParagraph"/>
        <w:numPr>
          <w:ilvl w:val="0"/>
          <w:numId w:val="2"/>
        </w:numPr>
        <w:jc w:val="both"/>
      </w:pPr>
      <w:r w:rsidRPr="003056BB">
        <w:t>Low level of capacity, knowledge</w:t>
      </w:r>
      <w:r>
        <w:t>,</w:t>
      </w:r>
      <w:r w:rsidRPr="003056BB">
        <w:t xml:space="preserve"> and skills of and cooperation among the relevant government entities, manufacturing and logistics industries on the application, design</w:t>
      </w:r>
      <w:r>
        <w:t>,</w:t>
      </w:r>
      <w:r w:rsidRPr="003056BB">
        <w:t xml:space="preserve"> and operationalization of green logistics systems, as well as in the application of energy conservation and operational efficiency in the logistics industry</w:t>
      </w:r>
      <w:r>
        <w:t>; and,</w:t>
      </w:r>
    </w:p>
    <w:p w14:paraId="3444938E" w14:textId="315FD9CD" w:rsidR="00BF426D" w:rsidRDefault="00BF426D" w:rsidP="00B94B93">
      <w:pPr>
        <w:pStyle w:val="ListParagraph"/>
        <w:numPr>
          <w:ilvl w:val="0"/>
          <w:numId w:val="2"/>
        </w:numPr>
        <w:jc w:val="both"/>
      </w:pPr>
      <w:r w:rsidRPr="003056BB">
        <w:t>Lack of an effective information platform to share the successful experiences in the design, development</w:t>
      </w:r>
      <w:r>
        <w:t>,</w:t>
      </w:r>
      <w:r w:rsidRPr="003056BB">
        <w:t xml:space="preserve"> and operation of green logistics system</w:t>
      </w:r>
      <w:r>
        <w:t>s</w:t>
      </w:r>
      <w:r w:rsidRPr="003056BB">
        <w:t>.</w:t>
      </w:r>
      <w:r>
        <w:rPr>
          <w:rStyle w:val="FootnoteReference"/>
        </w:rPr>
        <w:footnoteReference w:id="10"/>
      </w:r>
      <w:r>
        <w:t xml:space="preserve"> </w:t>
      </w:r>
      <w:r w:rsidRPr="003056BB">
        <w:t xml:space="preserve"> </w:t>
      </w:r>
    </w:p>
    <w:p w14:paraId="45335195" w14:textId="1571345B" w:rsidR="0021778E" w:rsidRPr="003056BB" w:rsidRDefault="0021778E" w:rsidP="0021778E">
      <w:pPr>
        <w:jc w:val="both"/>
      </w:pPr>
      <w:r>
        <w:lastRenderedPageBreak/>
        <w:t xml:space="preserve">According to the project’s </w:t>
      </w:r>
      <w:r w:rsidR="0099376D">
        <w:t xml:space="preserve">ProDoc and </w:t>
      </w:r>
      <w:r>
        <w:t>CEO endorsement request, the project was aligned to objectives 2 and 4 of the climate change focal area under GEF-5 (CCM-2 and CCM-4).</w:t>
      </w:r>
      <w:r w:rsidR="002D29A3">
        <w:rPr>
          <w:rStyle w:val="FootnoteReference"/>
        </w:rPr>
        <w:footnoteReference w:id="11"/>
      </w:r>
      <w:r>
        <w:t xml:space="preserve"> The scope of CCM-2 was to p</w:t>
      </w:r>
      <w:r w:rsidRPr="0021778E">
        <w:t xml:space="preserve">romote </w:t>
      </w:r>
      <w:r>
        <w:t>m</w:t>
      </w:r>
      <w:r w:rsidRPr="0021778E">
        <w:t xml:space="preserve">arket </w:t>
      </w:r>
      <w:r>
        <w:t>t</w:t>
      </w:r>
      <w:r w:rsidRPr="0021778E">
        <w:t xml:space="preserve">ransformation for </w:t>
      </w:r>
      <w:r>
        <w:t>e</w:t>
      </w:r>
      <w:r w:rsidRPr="0021778E">
        <w:t xml:space="preserve">nergy </w:t>
      </w:r>
      <w:r>
        <w:t>e</w:t>
      </w:r>
      <w:r w:rsidRPr="0021778E">
        <w:t xml:space="preserve">fficiency in </w:t>
      </w:r>
      <w:r>
        <w:t>in</w:t>
      </w:r>
      <w:r w:rsidRPr="0021778E">
        <w:t xml:space="preserve">dustry and the </w:t>
      </w:r>
      <w:r>
        <w:t>b</w:t>
      </w:r>
      <w:r w:rsidRPr="0021778E">
        <w:t xml:space="preserve">uilding </w:t>
      </w:r>
      <w:r>
        <w:t>s</w:t>
      </w:r>
      <w:r w:rsidRPr="0021778E">
        <w:t>ector</w:t>
      </w:r>
      <w:r>
        <w:t>; and the scope of CCM-4 was to promote e</w:t>
      </w:r>
      <w:r w:rsidRPr="0021778E">
        <w:t>nergy efficient, low-carbon transport and urban systems</w:t>
      </w:r>
      <w:r>
        <w:t>. The project sought to contribute to th</w:t>
      </w:r>
      <w:r w:rsidR="002D29A3">
        <w:t xml:space="preserve">ese </w:t>
      </w:r>
      <w:r>
        <w:t>objective</w:t>
      </w:r>
      <w:r w:rsidR="002D29A3">
        <w:t>s</w:t>
      </w:r>
      <w:r>
        <w:t xml:space="preserve"> by improving the efficiency </w:t>
      </w:r>
      <w:r w:rsidR="0099376D">
        <w:t xml:space="preserve">of </w:t>
      </w:r>
      <w:r>
        <w:t>and reducing GHG emissions from the logistics industry in</w:t>
      </w:r>
      <w:r w:rsidRPr="0021778E">
        <w:t xml:space="preserve"> </w:t>
      </w:r>
      <w:r>
        <w:t xml:space="preserve">Zhejiang Province. </w:t>
      </w:r>
    </w:p>
    <w:p w14:paraId="20E8B842" w14:textId="3275DB33" w:rsidR="008E2C94" w:rsidRDefault="008E2C94" w:rsidP="0088194C">
      <w:pPr>
        <w:pStyle w:val="Heading2"/>
        <w:numPr>
          <w:ilvl w:val="1"/>
          <w:numId w:val="47"/>
        </w:numPr>
      </w:pPr>
      <w:bookmarkStart w:id="24" w:name="_Toc64632049"/>
      <w:r>
        <w:t>Immediate and development objectives of the project</w:t>
      </w:r>
      <w:bookmarkEnd w:id="24"/>
    </w:p>
    <w:p w14:paraId="1BB4C64C" w14:textId="67902E50" w:rsidR="001E5889" w:rsidRDefault="007A0BB9" w:rsidP="007A0BB9">
      <w:pPr>
        <w:jc w:val="both"/>
      </w:pPr>
      <w:r>
        <w:t>The objective of the project was to promote the adoption of energy efficient green logistics techn</w:t>
      </w:r>
      <w:r w:rsidR="0028261B">
        <w:t>ologies</w:t>
      </w:r>
      <w:r>
        <w:t xml:space="preserve"> and practices in the logistics industry in the Chinese province of Zhejiang.</w:t>
      </w:r>
      <w:r>
        <w:rPr>
          <w:rStyle w:val="FootnoteReference"/>
        </w:rPr>
        <w:footnoteReference w:id="12"/>
      </w:r>
      <w:r>
        <w:t xml:space="preserve"> The ultimate goal of the project was to reduce GHG emissions attributable to the logistics industry and the transport sector of the province.</w:t>
      </w:r>
      <w:r>
        <w:rPr>
          <w:rStyle w:val="FootnoteReference"/>
        </w:rPr>
        <w:footnoteReference w:id="13"/>
      </w:r>
      <w:r w:rsidR="00AA46D4">
        <w:t xml:space="preserve"> The project proposed to transform the logistics industry in </w:t>
      </w:r>
      <w:r w:rsidR="00AA46D4" w:rsidRPr="00BB2069">
        <w:t>Zhejiang Province</w:t>
      </w:r>
      <w:r w:rsidR="00AA46D4">
        <w:t xml:space="preserve"> based on three principles of urban green logistics: </w:t>
      </w:r>
      <w:r w:rsidR="00AA46D4" w:rsidRPr="00AA46D4">
        <w:t>mobility, sustainability and livabilit</w:t>
      </w:r>
      <w:r w:rsidR="00AA46D4">
        <w:t>y.</w:t>
      </w:r>
      <w:r w:rsidR="00056CB4">
        <w:t xml:space="preserve"> These principles are underpinned by requirements on </w:t>
      </w:r>
      <w:r w:rsidR="00056CB4" w:rsidRPr="00056CB4">
        <w:t xml:space="preserve">operational efficiency, environmental </w:t>
      </w:r>
      <w:r w:rsidR="00510C16">
        <w:t>performance,</w:t>
      </w:r>
      <w:r w:rsidR="00056CB4">
        <w:t xml:space="preserve"> </w:t>
      </w:r>
      <w:r w:rsidR="00056CB4" w:rsidRPr="00056CB4">
        <w:t>and energy efficiency/conservation</w:t>
      </w:r>
      <w:r w:rsidR="00056CB4">
        <w:t>.</w:t>
      </w:r>
      <w:r w:rsidR="00D02B55">
        <w:rPr>
          <w:rStyle w:val="FootnoteReference"/>
        </w:rPr>
        <w:footnoteReference w:id="14"/>
      </w:r>
      <w:r w:rsidR="00056CB4">
        <w:t xml:space="preserve"> </w:t>
      </w:r>
    </w:p>
    <w:p w14:paraId="1AF16EA1" w14:textId="28252CAD" w:rsidR="008E2C94" w:rsidRDefault="008E2C94" w:rsidP="0088194C">
      <w:pPr>
        <w:pStyle w:val="Heading2"/>
        <w:numPr>
          <w:ilvl w:val="1"/>
          <w:numId w:val="47"/>
        </w:numPr>
      </w:pPr>
      <w:bookmarkStart w:id="25" w:name="_Toc64632050"/>
      <w:r>
        <w:t>Expected results</w:t>
      </w:r>
      <w:bookmarkEnd w:id="25"/>
    </w:p>
    <w:p w14:paraId="1BF89264" w14:textId="7195BE0B" w:rsidR="007C5256" w:rsidRDefault="009C3D25" w:rsidP="00816AFA">
      <w:pPr>
        <w:jc w:val="both"/>
      </w:pPr>
      <w:r>
        <w:t>In the ProDoc, the expected results of the project were defined in terms of energy savings and GHG emissions reductions:</w:t>
      </w:r>
    </w:p>
    <w:p w14:paraId="429F8A43" w14:textId="46356D06" w:rsidR="00EA1B04" w:rsidRDefault="00EA1B04" w:rsidP="00E7285B">
      <w:pPr>
        <w:pStyle w:val="Caption"/>
        <w:ind w:firstLine="142"/>
      </w:pPr>
      <w:r>
        <w:t xml:space="preserve">Table </w:t>
      </w:r>
      <w:r>
        <w:fldChar w:fldCharType="begin"/>
      </w:r>
      <w:r>
        <w:instrText xml:space="preserve"> SEQ Table \* ARABIC </w:instrText>
      </w:r>
      <w:r>
        <w:fldChar w:fldCharType="separate"/>
      </w:r>
      <w:r w:rsidR="004718D8">
        <w:rPr>
          <w:noProof/>
        </w:rPr>
        <w:t>5</w:t>
      </w:r>
      <w:r>
        <w:fldChar w:fldCharType="end"/>
      </w:r>
      <w:r>
        <w:t>. Expected results</w:t>
      </w:r>
    </w:p>
    <w:tbl>
      <w:tblPr>
        <w:tblW w:w="9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268"/>
        <w:gridCol w:w="1134"/>
        <w:gridCol w:w="1309"/>
        <w:gridCol w:w="1288"/>
      </w:tblGrid>
      <w:tr w:rsidR="002D5420" w:rsidRPr="002D5420" w14:paraId="2E7D038D" w14:textId="77777777" w:rsidTr="002D5420">
        <w:trPr>
          <w:jc w:val="center"/>
        </w:trPr>
        <w:tc>
          <w:tcPr>
            <w:tcW w:w="3119" w:type="dxa"/>
            <w:shd w:val="clear" w:color="auto" w:fill="2E75B6" w:themeFill="accent5"/>
            <w:vAlign w:val="center"/>
          </w:tcPr>
          <w:p w14:paraId="76352847" w14:textId="6299C35A" w:rsidR="009C3D25" w:rsidRPr="002D5420" w:rsidRDefault="009C3D25" w:rsidP="00360ACB">
            <w:pPr>
              <w:pStyle w:val="ListParagraph2"/>
              <w:ind w:left="0"/>
              <w:jc w:val="center"/>
              <w:rPr>
                <w:b/>
                <w:color w:val="FFFFFF" w:themeColor="background1"/>
                <w:sz w:val="20"/>
                <w:szCs w:val="20"/>
              </w:rPr>
            </w:pPr>
            <w:r w:rsidRPr="002D5420">
              <w:rPr>
                <w:b/>
                <w:color w:val="FFFFFF" w:themeColor="background1"/>
                <w:sz w:val="20"/>
                <w:szCs w:val="20"/>
              </w:rPr>
              <w:t>Results</w:t>
            </w:r>
          </w:p>
        </w:tc>
        <w:tc>
          <w:tcPr>
            <w:tcW w:w="2268" w:type="dxa"/>
            <w:shd w:val="clear" w:color="auto" w:fill="2E75B6" w:themeFill="accent5"/>
            <w:vAlign w:val="center"/>
          </w:tcPr>
          <w:p w14:paraId="594B7DE3" w14:textId="7EED5798" w:rsidR="009C3D25" w:rsidRPr="002D5420" w:rsidRDefault="009C3D25" w:rsidP="009C3D25">
            <w:pPr>
              <w:pStyle w:val="ListParagraph2"/>
              <w:ind w:left="0"/>
              <w:jc w:val="center"/>
              <w:rPr>
                <w:b/>
                <w:color w:val="FFFFFF" w:themeColor="background1"/>
                <w:sz w:val="20"/>
                <w:szCs w:val="20"/>
              </w:rPr>
            </w:pPr>
            <w:r w:rsidRPr="002D5420">
              <w:rPr>
                <w:b/>
                <w:color w:val="FFFFFF" w:themeColor="background1"/>
                <w:sz w:val="20"/>
                <w:szCs w:val="20"/>
              </w:rPr>
              <w:t>Baseyear</w:t>
            </w:r>
          </w:p>
        </w:tc>
        <w:tc>
          <w:tcPr>
            <w:tcW w:w="1134" w:type="dxa"/>
            <w:shd w:val="clear" w:color="auto" w:fill="2E75B6" w:themeFill="accent5"/>
            <w:vAlign w:val="center"/>
          </w:tcPr>
          <w:p w14:paraId="09D81610" w14:textId="019C545F" w:rsidR="009C3D25" w:rsidRPr="002D5420" w:rsidRDefault="009C3D25" w:rsidP="00360ACB">
            <w:pPr>
              <w:pStyle w:val="ListParagraph2"/>
              <w:ind w:left="0"/>
              <w:jc w:val="center"/>
              <w:rPr>
                <w:b/>
                <w:color w:val="FFFFFF" w:themeColor="background1"/>
                <w:sz w:val="20"/>
                <w:szCs w:val="20"/>
              </w:rPr>
            </w:pPr>
            <w:r w:rsidRPr="002D5420">
              <w:rPr>
                <w:b/>
                <w:color w:val="FFFFFF" w:themeColor="background1"/>
                <w:sz w:val="20"/>
                <w:szCs w:val="20"/>
              </w:rPr>
              <w:t xml:space="preserve">End of project </w:t>
            </w:r>
          </w:p>
        </w:tc>
        <w:tc>
          <w:tcPr>
            <w:tcW w:w="1309" w:type="dxa"/>
            <w:shd w:val="clear" w:color="auto" w:fill="2E75B6" w:themeFill="accent5"/>
            <w:vAlign w:val="center"/>
          </w:tcPr>
          <w:p w14:paraId="41D32AC5" w14:textId="72384DDE" w:rsidR="009C3D25" w:rsidRPr="002D5420" w:rsidRDefault="009C3D25" w:rsidP="00360ACB">
            <w:pPr>
              <w:pStyle w:val="ListParagraph2"/>
              <w:ind w:left="0"/>
              <w:jc w:val="center"/>
              <w:rPr>
                <w:b/>
                <w:color w:val="FFFFFF" w:themeColor="background1"/>
                <w:sz w:val="20"/>
                <w:szCs w:val="20"/>
              </w:rPr>
            </w:pPr>
            <w:r w:rsidRPr="002D5420">
              <w:rPr>
                <w:b/>
                <w:color w:val="FFFFFF" w:themeColor="background1"/>
                <w:sz w:val="20"/>
                <w:szCs w:val="20"/>
              </w:rPr>
              <w:t xml:space="preserve">End of project + 10 years </w:t>
            </w:r>
          </w:p>
        </w:tc>
        <w:tc>
          <w:tcPr>
            <w:tcW w:w="1288" w:type="dxa"/>
            <w:shd w:val="clear" w:color="auto" w:fill="2E75B6" w:themeFill="accent5"/>
            <w:vAlign w:val="center"/>
          </w:tcPr>
          <w:p w14:paraId="5D1CA1EE" w14:textId="74FE8889" w:rsidR="009C3D25" w:rsidRPr="002D5420" w:rsidRDefault="009C3D25" w:rsidP="00360ACB">
            <w:pPr>
              <w:pStyle w:val="ListParagraph2"/>
              <w:ind w:left="0"/>
              <w:jc w:val="center"/>
              <w:rPr>
                <w:b/>
                <w:color w:val="FFFFFF" w:themeColor="background1"/>
                <w:sz w:val="20"/>
                <w:szCs w:val="20"/>
              </w:rPr>
            </w:pPr>
            <w:r w:rsidRPr="002D5420">
              <w:rPr>
                <w:b/>
                <w:color w:val="FFFFFF" w:themeColor="background1"/>
                <w:sz w:val="20"/>
                <w:szCs w:val="20"/>
              </w:rPr>
              <w:t>End of project + 15 years</w:t>
            </w:r>
          </w:p>
        </w:tc>
      </w:tr>
      <w:tr w:rsidR="009C3D25" w:rsidRPr="000F1B83" w14:paraId="3C891D45" w14:textId="77777777" w:rsidTr="00816AFA">
        <w:trPr>
          <w:jc w:val="center"/>
        </w:trPr>
        <w:tc>
          <w:tcPr>
            <w:tcW w:w="9118" w:type="dxa"/>
            <w:gridSpan w:val="5"/>
            <w:shd w:val="clear" w:color="auto" w:fill="D1E3F3" w:themeFill="accent5" w:themeFillTint="33"/>
          </w:tcPr>
          <w:p w14:paraId="1F5C8C8F" w14:textId="41A341C1" w:rsidR="009C3D25" w:rsidRPr="000F1B83" w:rsidRDefault="009C3D25" w:rsidP="009C3D25">
            <w:pPr>
              <w:spacing w:after="0"/>
              <w:rPr>
                <w:rFonts w:cs="Times New Roman"/>
                <w:bCs/>
                <w:sz w:val="20"/>
                <w:szCs w:val="20"/>
              </w:rPr>
            </w:pPr>
            <w:r w:rsidRPr="000F1B83">
              <w:rPr>
                <w:rFonts w:cs="Times New Roman"/>
                <w:sz w:val="20"/>
                <w:szCs w:val="20"/>
              </w:rPr>
              <w:t>Annual energy consumption (ktoe/y</w:t>
            </w:r>
            <w:r w:rsidR="000F1B83">
              <w:rPr>
                <w:rFonts w:cs="Times New Roman"/>
                <w:sz w:val="20"/>
                <w:szCs w:val="20"/>
              </w:rPr>
              <w:t>ear</w:t>
            </w:r>
            <w:r w:rsidRPr="000F1B83">
              <w:rPr>
                <w:rFonts w:cs="Times New Roman"/>
                <w:sz w:val="20"/>
                <w:szCs w:val="20"/>
              </w:rPr>
              <w:t>)</w:t>
            </w:r>
          </w:p>
        </w:tc>
      </w:tr>
      <w:tr w:rsidR="009C3D25" w:rsidRPr="000F1B83" w14:paraId="6A83F6B2" w14:textId="77777777" w:rsidTr="00816AFA">
        <w:trPr>
          <w:jc w:val="center"/>
        </w:trPr>
        <w:tc>
          <w:tcPr>
            <w:tcW w:w="3119" w:type="dxa"/>
            <w:shd w:val="clear" w:color="auto" w:fill="auto"/>
          </w:tcPr>
          <w:p w14:paraId="53E5D64F" w14:textId="47AF1000" w:rsidR="009C3D25" w:rsidRPr="000F1B83" w:rsidRDefault="009C3D25" w:rsidP="009C3D25">
            <w:pPr>
              <w:pStyle w:val="ListParagraph2"/>
              <w:ind w:left="0" w:firstLine="589"/>
              <w:rPr>
                <w:sz w:val="20"/>
                <w:szCs w:val="20"/>
              </w:rPr>
            </w:pPr>
            <w:r w:rsidRPr="000F1B83">
              <w:rPr>
                <w:sz w:val="20"/>
                <w:szCs w:val="20"/>
              </w:rPr>
              <w:t>Baseline</w:t>
            </w:r>
          </w:p>
        </w:tc>
        <w:tc>
          <w:tcPr>
            <w:tcW w:w="2268" w:type="dxa"/>
            <w:shd w:val="clear" w:color="auto" w:fill="auto"/>
            <w:vAlign w:val="center"/>
          </w:tcPr>
          <w:p w14:paraId="335B6A58" w14:textId="149464D1" w:rsidR="009C3D25" w:rsidRPr="000F1B83" w:rsidRDefault="009C3D25" w:rsidP="009C3D25">
            <w:pPr>
              <w:spacing w:after="0"/>
              <w:jc w:val="right"/>
              <w:rPr>
                <w:rFonts w:cs="Times New Roman"/>
                <w:bCs/>
                <w:sz w:val="20"/>
                <w:szCs w:val="20"/>
              </w:rPr>
            </w:pPr>
            <w:r w:rsidRPr="000F1B83">
              <w:rPr>
                <w:rFonts w:cs="Times New Roman"/>
                <w:bCs/>
                <w:sz w:val="20"/>
                <w:szCs w:val="20"/>
              </w:rPr>
              <w:t xml:space="preserve">8,146.90 </w:t>
            </w:r>
          </w:p>
        </w:tc>
        <w:tc>
          <w:tcPr>
            <w:tcW w:w="1134" w:type="dxa"/>
            <w:shd w:val="clear" w:color="auto" w:fill="auto"/>
            <w:vAlign w:val="center"/>
          </w:tcPr>
          <w:p w14:paraId="550B7D0C" w14:textId="1BEC61B9" w:rsidR="009C3D25" w:rsidRPr="000F1B83" w:rsidRDefault="009C3D25" w:rsidP="009C3D25">
            <w:pPr>
              <w:spacing w:after="0"/>
              <w:jc w:val="right"/>
              <w:rPr>
                <w:rFonts w:cs="Times New Roman"/>
                <w:bCs/>
                <w:sz w:val="20"/>
                <w:szCs w:val="20"/>
              </w:rPr>
            </w:pPr>
            <w:r w:rsidRPr="000F1B83">
              <w:rPr>
                <w:rFonts w:cs="Times New Roman"/>
                <w:bCs/>
                <w:sz w:val="20"/>
                <w:szCs w:val="20"/>
              </w:rPr>
              <w:t xml:space="preserve">10,397.73 </w:t>
            </w:r>
          </w:p>
        </w:tc>
        <w:tc>
          <w:tcPr>
            <w:tcW w:w="1309" w:type="dxa"/>
            <w:shd w:val="clear" w:color="auto" w:fill="auto"/>
            <w:vAlign w:val="center"/>
          </w:tcPr>
          <w:p w14:paraId="34C90F59" w14:textId="566DA7BC" w:rsidR="009C3D25" w:rsidRPr="000F1B83" w:rsidRDefault="009C3D25" w:rsidP="009C3D25">
            <w:pPr>
              <w:spacing w:after="0"/>
              <w:jc w:val="right"/>
              <w:rPr>
                <w:rFonts w:cs="Times New Roman"/>
                <w:bCs/>
                <w:sz w:val="20"/>
                <w:szCs w:val="20"/>
              </w:rPr>
            </w:pPr>
            <w:r w:rsidRPr="000F1B83">
              <w:rPr>
                <w:rFonts w:cs="Times New Roman"/>
                <w:bCs/>
                <w:sz w:val="20"/>
                <w:szCs w:val="20"/>
              </w:rPr>
              <w:t xml:space="preserve">16,936.81 </w:t>
            </w:r>
          </w:p>
        </w:tc>
        <w:tc>
          <w:tcPr>
            <w:tcW w:w="1288" w:type="dxa"/>
            <w:shd w:val="clear" w:color="auto" w:fill="auto"/>
            <w:vAlign w:val="center"/>
          </w:tcPr>
          <w:p w14:paraId="205EA8F1" w14:textId="47C8B39C" w:rsidR="009C3D25" w:rsidRPr="000F1B83" w:rsidRDefault="009C3D25" w:rsidP="009C3D25">
            <w:pPr>
              <w:spacing w:after="0"/>
              <w:jc w:val="right"/>
              <w:rPr>
                <w:rFonts w:cs="Times New Roman"/>
                <w:bCs/>
                <w:sz w:val="20"/>
                <w:szCs w:val="20"/>
              </w:rPr>
            </w:pPr>
            <w:r w:rsidRPr="000F1B83">
              <w:rPr>
                <w:rFonts w:cs="Times New Roman"/>
                <w:bCs/>
                <w:sz w:val="20"/>
                <w:szCs w:val="20"/>
              </w:rPr>
              <w:t xml:space="preserve">22,696.95 </w:t>
            </w:r>
          </w:p>
        </w:tc>
      </w:tr>
      <w:tr w:rsidR="009C3D25" w:rsidRPr="000F1B83" w14:paraId="44C90567" w14:textId="77777777" w:rsidTr="00816AFA">
        <w:trPr>
          <w:jc w:val="center"/>
        </w:trPr>
        <w:tc>
          <w:tcPr>
            <w:tcW w:w="3119" w:type="dxa"/>
            <w:shd w:val="clear" w:color="auto" w:fill="auto"/>
          </w:tcPr>
          <w:p w14:paraId="7334B94E" w14:textId="12912E13" w:rsidR="009C3D25" w:rsidRPr="000F1B83" w:rsidRDefault="009C3D25" w:rsidP="009C3D25">
            <w:pPr>
              <w:pStyle w:val="ListParagraph2"/>
              <w:ind w:left="0" w:firstLine="589"/>
              <w:rPr>
                <w:sz w:val="20"/>
                <w:szCs w:val="20"/>
              </w:rPr>
            </w:pPr>
            <w:r w:rsidRPr="000F1B83">
              <w:rPr>
                <w:sz w:val="20"/>
                <w:szCs w:val="20"/>
              </w:rPr>
              <w:t>Project</w:t>
            </w:r>
          </w:p>
        </w:tc>
        <w:tc>
          <w:tcPr>
            <w:tcW w:w="2268" w:type="dxa"/>
            <w:shd w:val="clear" w:color="auto" w:fill="auto"/>
            <w:vAlign w:val="center"/>
          </w:tcPr>
          <w:p w14:paraId="48B5CBFD" w14:textId="77777777" w:rsidR="009C3D25" w:rsidRPr="000F1B83" w:rsidRDefault="009C3D25" w:rsidP="009C3D25">
            <w:pPr>
              <w:spacing w:after="0"/>
              <w:jc w:val="right"/>
              <w:rPr>
                <w:rFonts w:cs="Times New Roman"/>
                <w:bCs/>
                <w:sz w:val="20"/>
                <w:szCs w:val="20"/>
              </w:rPr>
            </w:pPr>
            <w:r w:rsidRPr="000F1B83">
              <w:rPr>
                <w:rFonts w:cs="Times New Roman"/>
                <w:bCs/>
                <w:sz w:val="20"/>
                <w:szCs w:val="20"/>
              </w:rPr>
              <w:t xml:space="preserve">7,848.42 </w:t>
            </w:r>
          </w:p>
        </w:tc>
        <w:tc>
          <w:tcPr>
            <w:tcW w:w="1134" w:type="dxa"/>
            <w:shd w:val="clear" w:color="auto" w:fill="auto"/>
            <w:vAlign w:val="center"/>
          </w:tcPr>
          <w:p w14:paraId="015F7D0F" w14:textId="77777777" w:rsidR="009C3D25" w:rsidRPr="000F1B83" w:rsidRDefault="009C3D25" w:rsidP="009C3D25">
            <w:pPr>
              <w:spacing w:after="0"/>
              <w:jc w:val="right"/>
              <w:rPr>
                <w:rFonts w:cs="Times New Roman"/>
                <w:bCs/>
                <w:sz w:val="20"/>
                <w:szCs w:val="20"/>
              </w:rPr>
            </w:pPr>
            <w:r w:rsidRPr="000F1B83">
              <w:rPr>
                <w:rFonts w:cs="Times New Roman"/>
                <w:bCs/>
                <w:sz w:val="20"/>
                <w:szCs w:val="20"/>
              </w:rPr>
              <w:t xml:space="preserve">10,175.12 </w:t>
            </w:r>
          </w:p>
        </w:tc>
        <w:tc>
          <w:tcPr>
            <w:tcW w:w="1309" w:type="dxa"/>
            <w:shd w:val="clear" w:color="auto" w:fill="auto"/>
            <w:vAlign w:val="center"/>
          </w:tcPr>
          <w:p w14:paraId="474D5B40" w14:textId="77777777" w:rsidR="009C3D25" w:rsidRPr="000F1B83" w:rsidRDefault="009C3D25" w:rsidP="009C3D25">
            <w:pPr>
              <w:spacing w:after="0"/>
              <w:jc w:val="right"/>
              <w:rPr>
                <w:rFonts w:cs="Times New Roman"/>
                <w:bCs/>
                <w:sz w:val="20"/>
                <w:szCs w:val="20"/>
              </w:rPr>
            </w:pPr>
            <w:r w:rsidRPr="000F1B83">
              <w:rPr>
                <w:rFonts w:cs="Times New Roman"/>
                <w:bCs/>
                <w:sz w:val="20"/>
                <w:szCs w:val="20"/>
              </w:rPr>
              <w:t xml:space="preserve">16,591.82 </w:t>
            </w:r>
          </w:p>
        </w:tc>
        <w:tc>
          <w:tcPr>
            <w:tcW w:w="1288" w:type="dxa"/>
            <w:shd w:val="clear" w:color="auto" w:fill="auto"/>
            <w:vAlign w:val="center"/>
          </w:tcPr>
          <w:p w14:paraId="7DB285EE" w14:textId="77777777" w:rsidR="009C3D25" w:rsidRPr="000F1B83" w:rsidRDefault="009C3D25" w:rsidP="009C3D25">
            <w:pPr>
              <w:spacing w:after="0"/>
              <w:jc w:val="right"/>
              <w:rPr>
                <w:rFonts w:cs="Times New Roman"/>
                <w:bCs/>
                <w:sz w:val="20"/>
                <w:szCs w:val="20"/>
              </w:rPr>
            </w:pPr>
            <w:r w:rsidRPr="000F1B83">
              <w:rPr>
                <w:rFonts w:cs="Times New Roman"/>
                <w:bCs/>
                <w:sz w:val="20"/>
                <w:szCs w:val="20"/>
              </w:rPr>
              <w:t xml:space="preserve">22,234.18 </w:t>
            </w:r>
          </w:p>
        </w:tc>
      </w:tr>
      <w:tr w:rsidR="009C3D25" w:rsidRPr="000F1B83" w14:paraId="7CAF65B6" w14:textId="77777777" w:rsidTr="00816AFA">
        <w:trPr>
          <w:jc w:val="center"/>
        </w:trPr>
        <w:tc>
          <w:tcPr>
            <w:tcW w:w="9118" w:type="dxa"/>
            <w:gridSpan w:val="5"/>
            <w:shd w:val="clear" w:color="auto" w:fill="D1E3F3" w:themeFill="accent5" w:themeFillTint="33"/>
          </w:tcPr>
          <w:p w14:paraId="47FAD44D" w14:textId="1C9EB761" w:rsidR="009C3D25" w:rsidRPr="000F1B83" w:rsidRDefault="009C3D25" w:rsidP="009C3D25">
            <w:pPr>
              <w:pStyle w:val="ListParagraph2"/>
              <w:ind w:left="0"/>
              <w:rPr>
                <w:bCs/>
                <w:sz w:val="20"/>
                <w:szCs w:val="20"/>
              </w:rPr>
            </w:pPr>
            <w:r w:rsidRPr="000F1B83">
              <w:rPr>
                <w:sz w:val="20"/>
                <w:szCs w:val="20"/>
              </w:rPr>
              <w:t>Annual energy savings, (ktoe/y</w:t>
            </w:r>
            <w:r w:rsidR="000F1B83">
              <w:rPr>
                <w:sz w:val="20"/>
                <w:szCs w:val="20"/>
              </w:rPr>
              <w:t>ear</w:t>
            </w:r>
            <w:r w:rsidRPr="000F1B83">
              <w:rPr>
                <w:sz w:val="20"/>
                <w:szCs w:val="20"/>
              </w:rPr>
              <w:t>)</w:t>
            </w:r>
          </w:p>
        </w:tc>
      </w:tr>
      <w:tr w:rsidR="009C3D25" w:rsidRPr="000F1B83" w14:paraId="1EE73B80" w14:textId="77777777" w:rsidTr="00816AFA">
        <w:trPr>
          <w:jc w:val="center"/>
        </w:trPr>
        <w:tc>
          <w:tcPr>
            <w:tcW w:w="3119" w:type="dxa"/>
            <w:shd w:val="clear" w:color="auto" w:fill="auto"/>
          </w:tcPr>
          <w:p w14:paraId="02646FD0" w14:textId="27E268BB" w:rsidR="009C3D25" w:rsidRPr="000F1B83" w:rsidRDefault="009C3D25" w:rsidP="009C3D25">
            <w:pPr>
              <w:pStyle w:val="ListParagraph2"/>
              <w:ind w:left="0" w:firstLine="589"/>
              <w:rPr>
                <w:sz w:val="20"/>
                <w:szCs w:val="20"/>
              </w:rPr>
            </w:pPr>
            <w:r w:rsidRPr="000F1B83">
              <w:rPr>
                <w:sz w:val="20"/>
                <w:szCs w:val="20"/>
              </w:rPr>
              <w:t>Zhejiang Province</w:t>
            </w:r>
          </w:p>
        </w:tc>
        <w:tc>
          <w:tcPr>
            <w:tcW w:w="2268" w:type="dxa"/>
            <w:shd w:val="clear" w:color="auto" w:fill="auto"/>
            <w:vAlign w:val="center"/>
          </w:tcPr>
          <w:p w14:paraId="62223110" w14:textId="74592D33" w:rsidR="009C3D25" w:rsidRPr="000F1B83" w:rsidRDefault="00360ACB" w:rsidP="009C3D25">
            <w:pPr>
              <w:spacing w:after="0"/>
              <w:jc w:val="right"/>
              <w:rPr>
                <w:rFonts w:cs="Times New Roman"/>
                <w:bCs/>
                <w:sz w:val="20"/>
                <w:szCs w:val="20"/>
              </w:rPr>
            </w:pPr>
            <w:r w:rsidRPr="000F1B83">
              <w:rPr>
                <w:rFonts w:cs="Times New Roman"/>
                <w:bCs/>
                <w:sz w:val="20"/>
                <w:szCs w:val="20"/>
              </w:rPr>
              <w:t>-</w:t>
            </w:r>
          </w:p>
        </w:tc>
        <w:tc>
          <w:tcPr>
            <w:tcW w:w="1134" w:type="dxa"/>
            <w:shd w:val="clear" w:color="auto" w:fill="auto"/>
          </w:tcPr>
          <w:p w14:paraId="54C11CFD" w14:textId="56FBFD60" w:rsidR="009C3D25" w:rsidRPr="000F1B83" w:rsidRDefault="009C3D25" w:rsidP="009C3D25">
            <w:pPr>
              <w:spacing w:after="0"/>
              <w:jc w:val="right"/>
              <w:rPr>
                <w:rFonts w:cs="Times New Roman"/>
                <w:bCs/>
                <w:sz w:val="20"/>
                <w:szCs w:val="20"/>
              </w:rPr>
            </w:pPr>
            <w:r w:rsidRPr="000F1B83">
              <w:rPr>
                <w:rFonts w:cs="Times New Roman"/>
                <w:bCs/>
                <w:sz w:val="20"/>
                <w:szCs w:val="20"/>
              </w:rPr>
              <w:t>222.62</w:t>
            </w:r>
          </w:p>
        </w:tc>
        <w:tc>
          <w:tcPr>
            <w:tcW w:w="1309" w:type="dxa"/>
            <w:shd w:val="clear" w:color="auto" w:fill="auto"/>
          </w:tcPr>
          <w:p w14:paraId="0F81EF27" w14:textId="1C343C45" w:rsidR="009C3D25" w:rsidRPr="000F1B83" w:rsidRDefault="009C3D25" w:rsidP="009C3D25">
            <w:pPr>
              <w:spacing w:after="0"/>
              <w:jc w:val="right"/>
              <w:rPr>
                <w:rFonts w:cs="Times New Roman"/>
                <w:bCs/>
                <w:sz w:val="20"/>
                <w:szCs w:val="20"/>
              </w:rPr>
            </w:pPr>
            <w:r w:rsidRPr="000F1B83">
              <w:rPr>
                <w:rFonts w:cs="Times New Roman"/>
                <w:bCs/>
                <w:sz w:val="20"/>
                <w:szCs w:val="20"/>
              </w:rPr>
              <w:t>344.99</w:t>
            </w:r>
          </w:p>
        </w:tc>
        <w:tc>
          <w:tcPr>
            <w:tcW w:w="1288" w:type="dxa"/>
            <w:shd w:val="clear" w:color="auto" w:fill="auto"/>
          </w:tcPr>
          <w:p w14:paraId="06C06B76" w14:textId="1AF8E83A" w:rsidR="009C3D25" w:rsidRPr="000F1B83" w:rsidRDefault="009C3D25" w:rsidP="009C3D25">
            <w:pPr>
              <w:spacing w:after="0"/>
              <w:jc w:val="right"/>
              <w:rPr>
                <w:rFonts w:cs="Times New Roman"/>
                <w:bCs/>
                <w:sz w:val="20"/>
                <w:szCs w:val="20"/>
              </w:rPr>
            </w:pPr>
            <w:r w:rsidRPr="000F1B83">
              <w:rPr>
                <w:rFonts w:cs="Times New Roman"/>
                <w:bCs/>
                <w:sz w:val="20"/>
                <w:szCs w:val="20"/>
              </w:rPr>
              <w:t>462.77</w:t>
            </w:r>
          </w:p>
        </w:tc>
      </w:tr>
      <w:tr w:rsidR="009C3D25" w:rsidRPr="000F1B83" w14:paraId="071818DE" w14:textId="77777777" w:rsidTr="00816AFA">
        <w:trPr>
          <w:jc w:val="center"/>
        </w:trPr>
        <w:tc>
          <w:tcPr>
            <w:tcW w:w="3119" w:type="dxa"/>
            <w:shd w:val="clear" w:color="auto" w:fill="auto"/>
          </w:tcPr>
          <w:p w14:paraId="11B05807" w14:textId="5502B78F" w:rsidR="009C3D25" w:rsidRPr="000F1B83" w:rsidRDefault="009C3D25" w:rsidP="009C3D25">
            <w:pPr>
              <w:pStyle w:val="ListParagraph2"/>
              <w:ind w:left="0" w:firstLine="589"/>
              <w:rPr>
                <w:sz w:val="20"/>
                <w:szCs w:val="20"/>
              </w:rPr>
            </w:pPr>
            <w:r w:rsidRPr="000F1B83">
              <w:rPr>
                <w:sz w:val="20"/>
                <w:szCs w:val="20"/>
              </w:rPr>
              <w:t>Attributable to the project</w:t>
            </w:r>
          </w:p>
        </w:tc>
        <w:tc>
          <w:tcPr>
            <w:tcW w:w="2268" w:type="dxa"/>
            <w:shd w:val="clear" w:color="auto" w:fill="auto"/>
            <w:vAlign w:val="center"/>
          </w:tcPr>
          <w:p w14:paraId="352DC9B4" w14:textId="1C27E501" w:rsidR="009C3D25" w:rsidRPr="000F1B83" w:rsidRDefault="00360ACB" w:rsidP="009C3D25">
            <w:pPr>
              <w:spacing w:after="0"/>
              <w:jc w:val="right"/>
              <w:rPr>
                <w:rFonts w:cs="Times New Roman"/>
                <w:bCs/>
                <w:sz w:val="20"/>
                <w:szCs w:val="20"/>
              </w:rPr>
            </w:pPr>
            <w:r w:rsidRPr="000F1B83">
              <w:rPr>
                <w:rFonts w:cs="Times New Roman"/>
                <w:bCs/>
                <w:sz w:val="20"/>
                <w:szCs w:val="20"/>
              </w:rPr>
              <w:t>-</w:t>
            </w:r>
          </w:p>
        </w:tc>
        <w:tc>
          <w:tcPr>
            <w:tcW w:w="1134" w:type="dxa"/>
            <w:shd w:val="clear" w:color="auto" w:fill="auto"/>
          </w:tcPr>
          <w:p w14:paraId="389FCAF8" w14:textId="7B3E85B2" w:rsidR="009C3D25" w:rsidRPr="000F1B83" w:rsidRDefault="009C3D25" w:rsidP="009C3D25">
            <w:pPr>
              <w:spacing w:after="0"/>
              <w:jc w:val="right"/>
              <w:rPr>
                <w:rFonts w:cs="Times New Roman"/>
                <w:bCs/>
                <w:sz w:val="20"/>
                <w:szCs w:val="20"/>
              </w:rPr>
            </w:pPr>
            <w:r w:rsidRPr="000F1B83">
              <w:rPr>
                <w:rFonts w:cs="Times New Roman"/>
                <w:bCs/>
                <w:sz w:val="20"/>
                <w:szCs w:val="20"/>
              </w:rPr>
              <w:t>80.06</w:t>
            </w:r>
          </w:p>
        </w:tc>
        <w:tc>
          <w:tcPr>
            <w:tcW w:w="1309" w:type="dxa"/>
            <w:shd w:val="clear" w:color="auto" w:fill="auto"/>
          </w:tcPr>
          <w:p w14:paraId="653A57FF" w14:textId="7D60A5A1" w:rsidR="009C3D25" w:rsidRPr="000F1B83" w:rsidRDefault="009C3D25" w:rsidP="009C3D25">
            <w:pPr>
              <w:spacing w:after="0"/>
              <w:jc w:val="right"/>
              <w:rPr>
                <w:rFonts w:cs="Times New Roman"/>
                <w:bCs/>
                <w:sz w:val="20"/>
                <w:szCs w:val="20"/>
              </w:rPr>
            </w:pPr>
            <w:r w:rsidRPr="000F1B83">
              <w:rPr>
                <w:rFonts w:cs="Times New Roman"/>
                <w:bCs/>
                <w:sz w:val="20"/>
                <w:szCs w:val="20"/>
              </w:rPr>
              <w:t>122.62</w:t>
            </w:r>
          </w:p>
        </w:tc>
        <w:tc>
          <w:tcPr>
            <w:tcW w:w="1288" w:type="dxa"/>
            <w:shd w:val="clear" w:color="auto" w:fill="auto"/>
          </w:tcPr>
          <w:p w14:paraId="0A4EAB8E" w14:textId="384A2D85" w:rsidR="009C3D25" w:rsidRPr="000F1B83" w:rsidRDefault="009C3D25" w:rsidP="009C3D25">
            <w:pPr>
              <w:spacing w:after="0"/>
              <w:jc w:val="right"/>
              <w:rPr>
                <w:rFonts w:cs="Times New Roman"/>
                <w:bCs/>
                <w:sz w:val="20"/>
                <w:szCs w:val="20"/>
              </w:rPr>
            </w:pPr>
            <w:r w:rsidRPr="000F1B83">
              <w:rPr>
                <w:rFonts w:cs="Times New Roman"/>
                <w:bCs/>
                <w:sz w:val="20"/>
                <w:szCs w:val="20"/>
              </w:rPr>
              <w:t xml:space="preserve">164.69  </w:t>
            </w:r>
          </w:p>
        </w:tc>
      </w:tr>
      <w:tr w:rsidR="00360ACB" w:rsidRPr="000F1B83" w14:paraId="4A758987" w14:textId="77777777" w:rsidTr="00816AFA">
        <w:trPr>
          <w:jc w:val="center"/>
        </w:trPr>
        <w:tc>
          <w:tcPr>
            <w:tcW w:w="9118" w:type="dxa"/>
            <w:gridSpan w:val="5"/>
            <w:shd w:val="clear" w:color="auto" w:fill="D1E3F3" w:themeFill="accent5" w:themeFillTint="33"/>
          </w:tcPr>
          <w:p w14:paraId="641D132D" w14:textId="7C0CA809" w:rsidR="00360ACB" w:rsidRPr="000F1B83" w:rsidRDefault="00360ACB" w:rsidP="00360ACB">
            <w:pPr>
              <w:spacing w:after="0" w:line="240" w:lineRule="auto"/>
              <w:rPr>
                <w:rFonts w:cs="Times New Roman"/>
                <w:bCs/>
                <w:sz w:val="20"/>
                <w:szCs w:val="20"/>
              </w:rPr>
            </w:pPr>
            <w:r w:rsidRPr="000F1B83">
              <w:rPr>
                <w:rFonts w:cs="Times New Roman"/>
                <w:sz w:val="20"/>
                <w:szCs w:val="20"/>
              </w:rPr>
              <w:t>Annual GHG emissions reductions (tCO</w:t>
            </w:r>
            <w:r w:rsidRPr="000F1B83">
              <w:rPr>
                <w:rFonts w:cs="Times New Roman"/>
                <w:sz w:val="20"/>
                <w:szCs w:val="20"/>
                <w:vertAlign w:val="subscript"/>
              </w:rPr>
              <w:t>2</w:t>
            </w:r>
            <w:r w:rsidR="000F1B83">
              <w:rPr>
                <w:rFonts w:cs="Times New Roman"/>
                <w:sz w:val="20"/>
                <w:szCs w:val="20"/>
                <w:vertAlign w:val="subscript"/>
              </w:rPr>
              <w:t>/</w:t>
            </w:r>
            <w:r w:rsidR="000F1B83">
              <w:rPr>
                <w:rFonts w:cs="Times New Roman"/>
                <w:sz w:val="20"/>
                <w:szCs w:val="20"/>
              </w:rPr>
              <w:t>year</w:t>
            </w:r>
            <w:r w:rsidRPr="000F1B83">
              <w:rPr>
                <w:rFonts w:cs="Times New Roman"/>
                <w:sz w:val="20"/>
                <w:szCs w:val="20"/>
              </w:rPr>
              <w:t>)</w:t>
            </w:r>
          </w:p>
        </w:tc>
      </w:tr>
      <w:tr w:rsidR="009C3D25" w:rsidRPr="000F1B83" w14:paraId="6AEBED87" w14:textId="77777777" w:rsidTr="00816AFA">
        <w:trPr>
          <w:jc w:val="center"/>
        </w:trPr>
        <w:tc>
          <w:tcPr>
            <w:tcW w:w="3119" w:type="dxa"/>
            <w:shd w:val="clear" w:color="auto" w:fill="auto"/>
          </w:tcPr>
          <w:p w14:paraId="1F3546EA" w14:textId="6CA8B20F" w:rsidR="009C3D25" w:rsidRPr="000F1B83" w:rsidRDefault="009C3D25" w:rsidP="00360ACB">
            <w:pPr>
              <w:pStyle w:val="ListParagraph2"/>
              <w:ind w:left="0" w:firstLine="589"/>
              <w:rPr>
                <w:sz w:val="20"/>
                <w:szCs w:val="20"/>
              </w:rPr>
            </w:pPr>
            <w:r w:rsidRPr="000F1B83">
              <w:rPr>
                <w:sz w:val="20"/>
                <w:szCs w:val="20"/>
              </w:rPr>
              <w:t>Zhejiang Province</w:t>
            </w:r>
          </w:p>
        </w:tc>
        <w:tc>
          <w:tcPr>
            <w:tcW w:w="2268" w:type="dxa"/>
            <w:shd w:val="clear" w:color="auto" w:fill="auto"/>
            <w:vAlign w:val="center"/>
          </w:tcPr>
          <w:p w14:paraId="59EE5074" w14:textId="41892B5C" w:rsidR="009C3D25" w:rsidRPr="000F1B83" w:rsidRDefault="00360ACB" w:rsidP="00360ACB">
            <w:pPr>
              <w:spacing w:after="0"/>
              <w:jc w:val="right"/>
              <w:rPr>
                <w:rFonts w:cs="Times New Roman"/>
                <w:bCs/>
                <w:sz w:val="20"/>
                <w:szCs w:val="20"/>
              </w:rPr>
            </w:pPr>
            <w:r w:rsidRPr="000F1B83">
              <w:rPr>
                <w:rFonts w:cs="Times New Roman"/>
                <w:bCs/>
                <w:sz w:val="20"/>
                <w:szCs w:val="20"/>
              </w:rPr>
              <w:t>-</w:t>
            </w:r>
          </w:p>
        </w:tc>
        <w:tc>
          <w:tcPr>
            <w:tcW w:w="1134" w:type="dxa"/>
            <w:shd w:val="clear" w:color="auto" w:fill="auto"/>
          </w:tcPr>
          <w:p w14:paraId="26915CFE" w14:textId="2E91F6C3" w:rsidR="009C3D25" w:rsidRPr="000F1B83" w:rsidRDefault="009C3D25" w:rsidP="00360ACB">
            <w:pPr>
              <w:spacing w:after="0"/>
              <w:jc w:val="right"/>
              <w:rPr>
                <w:rFonts w:cs="Times New Roman"/>
                <w:bCs/>
                <w:sz w:val="20"/>
                <w:szCs w:val="20"/>
              </w:rPr>
            </w:pPr>
            <w:r w:rsidRPr="000F1B83">
              <w:rPr>
                <w:rFonts w:cs="Times New Roman"/>
                <w:bCs/>
                <w:sz w:val="20"/>
                <w:szCs w:val="20"/>
              </w:rPr>
              <w:t>1,135</w:t>
            </w:r>
            <w:r w:rsidR="00360ACB" w:rsidRPr="000F1B83">
              <w:rPr>
                <w:rFonts w:cs="Times New Roman"/>
                <w:bCs/>
                <w:sz w:val="20"/>
                <w:szCs w:val="20"/>
              </w:rPr>
              <w:t>,</w:t>
            </w:r>
            <w:r w:rsidRPr="000F1B83">
              <w:rPr>
                <w:rFonts w:cs="Times New Roman"/>
                <w:bCs/>
                <w:sz w:val="20"/>
                <w:szCs w:val="20"/>
              </w:rPr>
              <w:t>45</w:t>
            </w:r>
            <w:r w:rsidR="00360ACB" w:rsidRPr="000F1B83">
              <w:rPr>
                <w:rFonts w:cs="Times New Roman"/>
                <w:bCs/>
                <w:sz w:val="20"/>
                <w:szCs w:val="20"/>
              </w:rPr>
              <w:t>0</w:t>
            </w:r>
          </w:p>
        </w:tc>
        <w:tc>
          <w:tcPr>
            <w:tcW w:w="1309" w:type="dxa"/>
            <w:shd w:val="clear" w:color="auto" w:fill="auto"/>
          </w:tcPr>
          <w:p w14:paraId="31A93080" w14:textId="780D9523" w:rsidR="009C3D25" w:rsidRPr="000F1B83" w:rsidRDefault="009C3D25" w:rsidP="00360ACB">
            <w:pPr>
              <w:spacing w:after="0"/>
              <w:jc w:val="right"/>
              <w:rPr>
                <w:rFonts w:cs="Times New Roman"/>
                <w:bCs/>
                <w:sz w:val="20"/>
                <w:szCs w:val="20"/>
              </w:rPr>
            </w:pPr>
            <w:r w:rsidRPr="000F1B83">
              <w:rPr>
                <w:rFonts w:cs="Times New Roman"/>
                <w:bCs/>
                <w:sz w:val="20"/>
                <w:szCs w:val="20"/>
              </w:rPr>
              <w:t>1,637</w:t>
            </w:r>
            <w:r w:rsidR="00360ACB" w:rsidRPr="000F1B83">
              <w:rPr>
                <w:rFonts w:cs="Times New Roman"/>
                <w:bCs/>
                <w:sz w:val="20"/>
                <w:szCs w:val="20"/>
              </w:rPr>
              <w:t>,</w:t>
            </w:r>
            <w:r w:rsidRPr="000F1B83">
              <w:rPr>
                <w:rFonts w:cs="Times New Roman"/>
                <w:bCs/>
                <w:sz w:val="20"/>
                <w:szCs w:val="20"/>
              </w:rPr>
              <w:t>83</w:t>
            </w:r>
            <w:r w:rsidR="00360ACB" w:rsidRPr="000F1B83">
              <w:rPr>
                <w:rFonts w:cs="Times New Roman"/>
                <w:bCs/>
                <w:sz w:val="20"/>
                <w:szCs w:val="20"/>
              </w:rPr>
              <w:t>0</w:t>
            </w:r>
          </w:p>
        </w:tc>
        <w:tc>
          <w:tcPr>
            <w:tcW w:w="1288" w:type="dxa"/>
            <w:shd w:val="clear" w:color="auto" w:fill="auto"/>
          </w:tcPr>
          <w:p w14:paraId="42B66921" w14:textId="3C5A0E5B" w:rsidR="009C3D25" w:rsidRPr="000F1B83" w:rsidRDefault="009C3D25" w:rsidP="00360ACB">
            <w:pPr>
              <w:spacing w:after="0"/>
              <w:jc w:val="right"/>
              <w:rPr>
                <w:rFonts w:cs="Times New Roman"/>
                <w:bCs/>
                <w:sz w:val="20"/>
                <w:szCs w:val="20"/>
              </w:rPr>
            </w:pPr>
            <w:r w:rsidRPr="000F1B83">
              <w:rPr>
                <w:rFonts w:cs="Times New Roman"/>
                <w:bCs/>
                <w:sz w:val="20"/>
                <w:szCs w:val="20"/>
              </w:rPr>
              <w:t>2,196</w:t>
            </w:r>
            <w:r w:rsidR="00360ACB" w:rsidRPr="000F1B83">
              <w:rPr>
                <w:rFonts w:cs="Times New Roman"/>
                <w:bCs/>
                <w:sz w:val="20"/>
                <w:szCs w:val="20"/>
              </w:rPr>
              <w:t>,</w:t>
            </w:r>
            <w:r w:rsidRPr="000F1B83">
              <w:rPr>
                <w:rFonts w:cs="Times New Roman"/>
                <w:bCs/>
                <w:sz w:val="20"/>
                <w:szCs w:val="20"/>
              </w:rPr>
              <w:t>24</w:t>
            </w:r>
            <w:r w:rsidR="00360ACB" w:rsidRPr="000F1B83">
              <w:rPr>
                <w:rFonts w:cs="Times New Roman"/>
                <w:bCs/>
                <w:sz w:val="20"/>
                <w:szCs w:val="20"/>
              </w:rPr>
              <w:t>0</w:t>
            </w:r>
          </w:p>
        </w:tc>
      </w:tr>
      <w:tr w:rsidR="009C3D25" w:rsidRPr="000F1B83" w14:paraId="456A002A" w14:textId="77777777" w:rsidTr="00816AFA">
        <w:trPr>
          <w:jc w:val="center"/>
        </w:trPr>
        <w:tc>
          <w:tcPr>
            <w:tcW w:w="3119" w:type="dxa"/>
            <w:shd w:val="clear" w:color="auto" w:fill="auto"/>
          </w:tcPr>
          <w:p w14:paraId="7E314421" w14:textId="1EC3ECBA" w:rsidR="009C3D25" w:rsidRPr="000F1B83" w:rsidRDefault="009C3D25" w:rsidP="00360ACB">
            <w:pPr>
              <w:pStyle w:val="ListParagraph2"/>
              <w:ind w:left="0" w:firstLine="589"/>
              <w:rPr>
                <w:sz w:val="20"/>
                <w:szCs w:val="20"/>
              </w:rPr>
            </w:pPr>
            <w:r w:rsidRPr="000F1B83">
              <w:rPr>
                <w:sz w:val="20"/>
                <w:szCs w:val="20"/>
              </w:rPr>
              <w:t>Attributable to the project</w:t>
            </w:r>
          </w:p>
        </w:tc>
        <w:tc>
          <w:tcPr>
            <w:tcW w:w="2268" w:type="dxa"/>
            <w:shd w:val="clear" w:color="auto" w:fill="auto"/>
            <w:vAlign w:val="center"/>
          </w:tcPr>
          <w:p w14:paraId="430FAC56" w14:textId="465133A6" w:rsidR="009C3D25" w:rsidRPr="000F1B83" w:rsidRDefault="00360ACB" w:rsidP="00360ACB">
            <w:pPr>
              <w:spacing w:after="0"/>
              <w:jc w:val="right"/>
              <w:rPr>
                <w:rFonts w:cs="Times New Roman"/>
                <w:bCs/>
                <w:sz w:val="20"/>
                <w:szCs w:val="20"/>
              </w:rPr>
            </w:pPr>
            <w:r w:rsidRPr="000F1B83">
              <w:rPr>
                <w:rFonts w:cs="Times New Roman"/>
                <w:bCs/>
                <w:sz w:val="20"/>
                <w:szCs w:val="20"/>
              </w:rPr>
              <w:t>-</w:t>
            </w:r>
          </w:p>
        </w:tc>
        <w:tc>
          <w:tcPr>
            <w:tcW w:w="1134" w:type="dxa"/>
            <w:shd w:val="clear" w:color="auto" w:fill="auto"/>
          </w:tcPr>
          <w:p w14:paraId="4B532CF1" w14:textId="427E649F" w:rsidR="009C3D25" w:rsidRPr="000F1B83" w:rsidRDefault="00360ACB" w:rsidP="00360ACB">
            <w:pPr>
              <w:spacing w:after="0"/>
              <w:jc w:val="right"/>
              <w:rPr>
                <w:rFonts w:cs="Times New Roman"/>
                <w:bCs/>
                <w:sz w:val="20"/>
                <w:szCs w:val="20"/>
              </w:rPr>
            </w:pPr>
            <w:r w:rsidRPr="000F1B83">
              <w:rPr>
                <w:rFonts w:cs="Times New Roman"/>
                <w:bCs/>
                <w:sz w:val="20"/>
                <w:szCs w:val="20"/>
              </w:rPr>
              <w:t>471,360</w:t>
            </w:r>
          </w:p>
        </w:tc>
        <w:tc>
          <w:tcPr>
            <w:tcW w:w="1309" w:type="dxa"/>
            <w:shd w:val="clear" w:color="auto" w:fill="auto"/>
          </w:tcPr>
          <w:p w14:paraId="50F00140" w14:textId="169E1B87" w:rsidR="009C3D25" w:rsidRPr="000F1B83" w:rsidRDefault="00360ACB" w:rsidP="00360ACB">
            <w:pPr>
              <w:spacing w:after="0"/>
              <w:jc w:val="right"/>
              <w:rPr>
                <w:rFonts w:cs="Times New Roman"/>
                <w:bCs/>
                <w:sz w:val="20"/>
                <w:szCs w:val="20"/>
              </w:rPr>
            </w:pPr>
            <w:r w:rsidRPr="000F1B83">
              <w:rPr>
                <w:rFonts w:cs="Times New Roman"/>
                <w:bCs/>
                <w:sz w:val="20"/>
                <w:szCs w:val="20"/>
              </w:rPr>
              <w:t>665,120</w:t>
            </w:r>
          </w:p>
        </w:tc>
        <w:tc>
          <w:tcPr>
            <w:tcW w:w="1288" w:type="dxa"/>
            <w:shd w:val="clear" w:color="auto" w:fill="auto"/>
          </w:tcPr>
          <w:p w14:paraId="226CDD14" w14:textId="4B3673F0" w:rsidR="009C3D25" w:rsidRPr="000F1B83" w:rsidRDefault="00360ACB" w:rsidP="00360ACB">
            <w:pPr>
              <w:spacing w:after="0"/>
              <w:jc w:val="right"/>
              <w:rPr>
                <w:rFonts w:cs="Times New Roman"/>
                <w:bCs/>
                <w:sz w:val="20"/>
                <w:szCs w:val="20"/>
              </w:rPr>
            </w:pPr>
            <w:r w:rsidRPr="000F1B83">
              <w:rPr>
                <w:rFonts w:cs="Times New Roman"/>
                <w:bCs/>
                <w:sz w:val="20"/>
                <w:szCs w:val="20"/>
              </w:rPr>
              <w:t>892,430</w:t>
            </w:r>
          </w:p>
        </w:tc>
      </w:tr>
      <w:tr w:rsidR="009C3D25" w:rsidRPr="000F1B83" w14:paraId="15C5E91F" w14:textId="77777777" w:rsidTr="00816AFA">
        <w:trPr>
          <w:jc w:val="center"/>
        </w:trPr>
        <w:tc>
          <w:tcPr>
            <w:tcW w:w="3119" w:type="dxa"/>
            <w:shd w:val="clear" w:color="auto" w:fill="D1E3F3" w:themeFill="accent5" w:themeFillTint="33"/>
          </w:tcPr>
          <w:p w14:paraId="1A29D444" w14:textId="1B27B132" w:rsidR="009C3D25" w:rsidRPr="000F1B83" w:rsidRDefault="009C3D25" w:rsidP="009C3D25">
            <w:pPr>
              <w:pStyle w:val="ListParagraph2"/>
              <w:ind w:left="0"/>
              <w:rPr>
                <w:sz w:val="20"/>
                <w:szCs w:val="20"/>
              </w:rPr>
            </w:pPr>
            <w:r w:rsidRPr="000F1B83">
              <w:rPr>
                <w:sz w:val="20"/>
                <w:szCs w:val="20"/>
              </w:rPr>
              <w:t xml:space="preserve">Cumulative </w:t>
            </w:r>
            <w:r w:rsidR="00360ACB" w:rsidRPr="000F1B83">
              <w:rPr>
                <w:sz w:val="20"/>
                <w:szCs w:val="20"/>
              </w:rPr>
              <w:t xml:space="preserve">GHG emissions </w:t>
            </w:r>
            <w:r w:rsidRPr="000F1B83">
              <w:rPr>
                <w:sz w:val="20"/>
                <w:szCs w:val="20"/>
              </w:rPr>
              <w:t>reduction</w:t>
            </w:r>
            <w:r w:rsidR="000F1B83">
              <w:rPr>
                <w:sz w:val="20"/>
                <w:szCs w:val="20"/>
              </w:rPr>
              <w:t>s</w:t>
            </w:r>
            <w:r w:rsidRPr="000F1B83">
              <w:rPr>
                <w:sz w:val="20"/>
                <w:szCs w:val="20"/>
              </w:rPr>
              <w:t xml:space="preserve"> attributable to </w:t>
            </w:r>
            <w:r w:rsidR="00360ACB" w:rsidRPr="000F1B83">
              <w:rPr>
                <w:sz w:val="20"/>
                <w:szCs w:val="20"/>
              </w:rPr>
              <w:t>the project (</w:t>
            </w:r>
            <w:r w:rsidRPr="000F1B83">
              <w:rPr>
                <w:sz w:val="20"/>
                <w:szCs w:val="20"/>
              </w:rPr>
              <w:t>tCO</w:t>
            </w:r>
            <w:r w:rsidRPr="000F1B83">
              <w:rPr>
                <w:sz w:val="20"/>
                <w:szCs w:val="20"/>
                <w:vertAlign w:val="subscript"/>
              </w:rPr>
              <w:t>2</w:t>
            </w:r>
            <w:r w:rsidR="00360ACB" w:rsidRPr="000F1B83">
              <w:rPr>
                <w:sz w:val="20"/>
                <w:szCs w:val="20"/>
              </w:rPr>
              <w:t>)</w:t>
            </w:r>
          </w:p>
        </w:tc>
        <w:tc>
          <w:tcPr>
            <w:tcW w:w="2268" w:type="dxa"/>
            <w:shd w:val="clear" w:color="auto" w:fill="D1E3F3" w:themeFill="accent5" w:themeFillTint="33"/>
            <w:vAlign w:val="center"/>
          </w:tcPr>
          <w:p w14:paraId="51C0EE79" w14:textId="34374F3B" w:rsidR="009C3D25" w:rsidRPr="000F1B83" w:rsidRDefault="00360ACB" w:rsidP="009C3D25">
            <w:pPr>
              <w:pStyle w:val="ListParagraph2"/>
              <w:ind w:left="0"/>
              <w:jc w:val="right"/>
              <w:rPr>
                <w:sz w:val="20"/>
                <w:szCs w:val="20"/>
              </w:rPr>
            </w:pPr>
            <w:r w:rsidRPr="000F1B83">
              <w:rPr>
                <w:sz w:val="20"/>
                <w:szCs w:val="20"/>
              </w:rPr>
              <w:t>-</w:t>
            </w:r>
          </w:p>
        </w:tc>
        <w:tc>
          <w:tcPr>
            <w:tcW w:w="1134" w:type="dxa"/>
            <w:shd w:val="clear" w:color="auto" w:fill="D1E3F3" w:themeFill="accent5" w:themeFillTint="33"/>
            <w:vAlign w:val="center"/>
          </w:tcPr>
          <w:p w14:paraId="71897384" w14:textId="0C0CD412" w:rsidR="009C3D25" w:rsidRPr="000F1B83" w:rsidRDefault="009C3D25" w:rsidP="00360ACB">
            <w:pPr>
              <w:spacing w:after="0"/>
              <w:jc w:val="right"/>
              <w:rPr>
                <w:rFonts w:cs="Times New Roman"/>
                <w:bCs/>
                <w:sz w:val="20"/>
                <w:szCs w:val="20"/>
              </w:rPr>
            </w:pPr>
            <w:r w:rsidRPr="000F1B83">
              <w:rPr>
                <w:rFonts w:cs="Times New Roman"/>
                <w:bCs/>
                <w:sz w:val="20"/>
                <w:szCs w:val="20"/>
              </w:rPr>
              <w:t>1,749</w:t>
            </w:r>
            <w:r w:rsidR="004D1438" w:rsidRPr="000F1B83">
              <w:rPr>
                <w:rFonts w:cs="Times New Roman"/>
                <w:bCs/>
                <w:sz w:val="20"/>
                <w:szCs w:val="20"/>
              </w:rPr>
              <w:t>,</w:t>
            </w:r>
            <w:r w:rsidRPr="000F1B83">
              <w:rPr>
                <w:rFonts w:cs="Times New Roman"/>
                <w:bCs/>
                <w:sz w:val="20"/>
                <w:szCs w:val="20"/>
              </w:rPr>
              <w:t>27</w:t>
            </w:r>
            <w:r w:rsidR="004D1438" w:rsidRPr="000F1B83">
              <w:rPr>
                <w:rFonts w:cs="Times New Roman"/>
                <w:bCs/>
                <w:sz w:val="20"/>
                <w:szCs w:val="20"/>
              </w:rPr>
              <w:t>0</w:t>
            </w:r>
          </w:p>
        </w:tc>
        <w:tc>
          <w:tcPr>
            <w:tcW w:w="1309" w:type="dxa"/>
            <w:shd w:val="clear" w:color="auto" w:fill="D1E3F3" w:themeFill="accent5" w:themeFillTint="33"/>
            <w:vAlign w:val="center"/>
          </w:tcPr>
          <w:p w14:paraId="41218DCF" w14:textId="5D3866BF" w:rsidR="009C3D25" w:rsidRPr="000F1B83" w:rsidRDefault="009C3D25" w:rsidP="00360ACB">
            <w:pPr>
              <w:spacing w:after="0"/>
              <w:jc w:val="right"/>
              <w:rPr>
                <w:rFonts w:cs="Times New Roman"/>
                <w:bCs/>
                <w:sz w:val="20"/>
                <w:szCs w:val="20"/>
              </w:rPr>
            </w:pPr>
            <w:r w:rsidRPr="000F1B83">
              <w:rPr>
                <w:rFonts w:cs="Times New Roman"/>
                <w:bCs/>
                <w:sz w:val="20"/>
                <w:szCs w:val="20"/>
              </w:rPr>
              <w:t>7,121</w:t>
            </w:r>
            <w:r w:rsidR="004D1438" w:rsidRPr="000F1B83">
              <w:rPr>
                <w:rFonts w:cs="Times New Roman"/>
                <w:bCs/>
                <w:sz w:val="20"/>
                <w:szCs w:val="20"/>
              </w:rPr>
              <w:t>,</w:t>
            </w:r>
            <w:r w:rsidRPr="000F1B83">
              <w:rPr>
                <w:rFonts w:cs="Times New Roman"/>
                <w:bCs/>
                <w:sz w:val="20"/>
                <w:szCs w:val="20"/>
              </w:rPr>
              <w:t>41</w:t>
            </w:r>
            <w:r w:rsidR="004D1438" w:rsidRPr="000F1B83">
              <w:rPr>
                <w:rFonts w:cs="Times New Roman"/>
                <w:bCs/>
                <w:sz w:val="20"/>
                <w:szCs w:val="20"/>
              </w:rPr>
              <w:t>0</w:t>
            </w:r>
          </w:p>
        </w:tc>
        <w:tc>
          <w:tcPr>
            <w:tcW w:w="1288" w:type="dxa"/>
            <w:shd w:val="clear" w:color="auto" w:fill="D1E3F3" w:themeFill="accent5" w:themeFillTint="33"/>
            <w:vAlign w:val="center"/>
          </w:tcPr>
          <w:p w14:paraId="3F4A059B" w14:textId="3F1838A8" w:rsidR="009C3D25" w:rsidRPr="000F1B83" w:rsidRDefault="009C3D25" w:rsidP="00360ACB">
            <w:pPr>
              <w:spacing w:after="0"/>
              <w:jc w:val="right"/>
              <w:rPr>
                <w:rFonts w:cs="Times New Roman"/>
                <w:bCs/>
                <w:sz w:val="20"/>
                <w:szCs w:val="20"/>
              </w:rPr>
            </w:pPr>
            <w:r w:rsidRPr="000F1B83">
              <w:rPr>
                <w:rFonts w:cs="Times New Roman"/>
                <w:bCs/>
                <w:sz w:val="20"/>
                <w:szCs w:val="20"/>
              </w:rPr>
              <w:t>11</w:t>
            </w:r>
            <w:r w:rsidR="004D1438" w:rsidRPr="000F1B83">
              <w:rPr>
                <w:rFonts w:cs="Times New Roman"/>
                <w:bCs/>
                <w:sz w:val="20"/>
                <w:szCs w:val="20"/>
              </w:rPr>
              <w:t>,</w:t>
            </w:r>
            <w:r w:rsidRPr="000F1B83">
              <w:rPr>
                <w:rFonts w:cs="Times New Roman"/>
                <w:bCs/>
                <w:sz w:val="20"/>
                <w:szCs w:val="20"/>
              </w:rPr>
              <w:t>876</w:t>
            </w:r>
            <w:r w:rsidR="004D1438" w:rsidRPr="000F1B83">
              <w:rPr>
                <w:rFonts w:cs="Times New Roman"/>
                <w:bCs/>
                <w:sz w:val="20"/>
                <w:szCs w:val="20"/>
              </w:rPr>
              <w:t>,</w:t>
            </w:r>
            <w:r w:rsidRPr="000F1B83">
              <w:rPr>
                <w:rFonts w:cs="Times New Roman"/>
                <w:bCs/>
                <w:sz w:val="20"/>
                <w:szCs w:val="20"/>
              </w:rPr>
              <w:t>48</w:t>
            </w:r>
            <w:r w:rsidR="004D1438" w:rsidRPr="000F1B83">
              <w:rPr>
                <w:rFonts w:cs="Times New Roman"/>
                <w:bCs/>
                <w:sz w:val="20"/>
                <w:szCs w:val="20"/>
              </w:rPr>
              <w:t>0</w:t>
            </w:r>
          </w:p>
        </w:tc>
      </w:tr>
    </w:tbl>
    <w:p w14:paraId="1D4B40E0" w14:textId="1BC201C4" w:rsidR="009C3D25" w:rsidRDefault="00E7285B" w:rsidP="007C5256">
      <w:r>
        <w:t xml:space="preserve">  </w:t>
      </w:r>
      <w:r w:rsidR="00EA1B04">
        <w:t>Source: ProDoc, p.17</w:t>
      </w:r>
    </w:p>
    <w:p w14:paraId="3B2DE83C" w14:textId="73928119" w:rsidR="008E2C94" w:rsidRDefault="008E2C94" w:rsidP="0088194C">
      <w:pPr>
        <w:pStyle w:val="Heading2"/>
        <w:numPr>
          <w:ilvl w:val="1"/>
          <w:numId w:val="47"/>
        </w:numPr>
      </w:pPr>
      <w:bookmarkStart w:id="26" w:name="_Ref61432767"/>
      <w:bookmarkStart w:id="27" w:name="_Toc64632051"/>
      <w:r>
        <w:t>Main stakeholders</w:t>
      </w:r>
      <w:bookmarkEnd w:id="26"/>
      <w:bookmarkEnd w:id="27"/>
    </w:p>
    <w:p w14:paraId="74549762" w14:textId="0A891264" w:rsidR="000E3BC6" w:rsidRDefault="00C30008" w:rsidP="000E3BC6">
      <w:pPr>
        <w:rPr>
          <w:lang w:val="en-GB"/>
        </w:rPr>
      </w:pPr>
      <w:r>
        <w:rPr>
          <w:lang w:val="en-GB"/>
        </w:rPr>
        <w:fldChar w:fldCharType="begin"/>
      </w:r>
      <w:r>
        <w:rPr>
          <w:lang w:val="en-GB"/>
        </w:rPr>
        <w:instrText xml:space="preserve"> REF _Ref64279036 \h </w:instrText>
      </w:r>
      <w:r>
        <w:rPr>
          <w:lang w:val="en-GB"/>
        </w:rPr>
      </w:r>
      <w:r>
        <w:rPr>
          <w:lang w:val="en-GB"/>
        </w:rPr>
        <w:fldChar w:fldCharType="separate"/>
      </w:r>
      <w:r w:rsidR="004718D8">
        <w:t xml:space="preserve">Table </w:t>
      </w:r>
      <w:r w:rsidR="004718D8">
        <w:rPr>
          <w:noProof/>
        </w:rPr>
        <w:t>6</w:t>
      </w:r>
      <w:r>
        <w:rPr>
          <w:lang w:val="en-GB"/>
        </w:rPr>
        <w:fldChar w:fldCharType="end"/>
      </w:r>
      <w:r>
        <w:rPr>
          <w:lang w:val="en-GB"/>
        </w:rPr>
        <w:t xml:space="preserve"> lists the </w:t>
      </w:r>
      <w:r w:rsidR="000E3BC6">
        <w:rPr>
          <w:lang w:val="en-GB"/>
        </w:rPr>
        <w:t>main project stakeholders</w:t>
      </w:r>
      <w:r>
        <w:rPr>
          <w:lang w:val="en-GB"/>
        </w:rPr>
        <w:t xml:space="preserve">, as presented in </w:t>
      </w:r>
      <w:r w:rsidR="000E3BC6">
        <w:rPr>
          <w:lang w:val="en-GB"/>
        </w:rPr>
        <w:t xml:space="preserve">the </w:t>
      </w:r>
      <w:proofErr w:type="spellStart"/>
      <w:r w:rsidR="000F1B83">
        <w:rPr>
          <w:lang w:val="en-GB"/>
        </w:rPr>
        <w:t>ProDoc</w:t>
      </w:r>
      <w:proofErr w:type="spellEnd"/>
      <w:r>
        <w:rPr>
          <w:lang w:val="en-GB"/>
        </w:rPr>
        <w:t>.</w:t>
      </w:r>
    </w:p>
    <w:p w14:paraId="3E5F36F8" w14:textId="54145914" w:rsidR="000F1B83" w:rsidRPr="008A14FE" w:rsidRDefault="000F1B83" w:rsidP="000F1B83">
      <w:pPr>
        <w:pStyle w:val="Caption"/>
        <w:ind w:firstLine="142"/>
      </w:pPr>
    </w:p>
    <w:p w14:paraId="20592C46" w14:textId="189EE99B" w:rsidR="00816AFA" w:rsidRDefault="00816AFA" w:rsidP="00816AFA">
      <w:pPr>
        <w:pStyle w:val="Caption"/>
        <w:ind w:firstLine="142"/>
      </w:pPr>
      <w:bookmarkStart w:id="28" w:name="_Ref64279036"/>
      <w:r>
        <w:t xml:space="preserve">Table </w:t>
      </w:r>
      <w:r>
        <w:fldChar w:fldCharType="begin"/>
      </w:r>
      <w:r>
        <w:instrText xml:space="preserve"> SEQ Table \* ARABIC </w:instrText>
      </w:r>
      <w:r>
        <w:fldChar w:fldCharType="separate"/>
      </w:r>
      <w:r w:rsidR="004718D8">
        <w:rPr>
          <w:noProof/>
        </w:rPr>
        <w:t>6</w:t>
      </w:r>
      <w:r>
        <w:fldChar w:fldCharType="end"/>
      </w:r>
      <w:bookmarkEnd w:id="28"/>
      <w:r>
        <w:t xml:space="preserve">. </w:t>
      </w:r>
      <w:r w:rsidRPr="00A93E8E">
        <w:t>Project stakeholders, roles and responsibilities</w:t>
      </w:r>
    </w:p>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229"/>
      </w:tblGrid>
      <w:tr w:rsidR="000F1B83" w:rsidRPr="005E7CD7" w14:paraId="6AAD49B8" w14:textId="77777777" w:rsidTr="00142630">
        <w:trPr>
          <w:tblHeader/>
        </w:trPr>
        <w:tc>
          <w:tcPr>
            <w:tcW w:w="1985" w:type="dxa"/>
            <w:shd w:val="clear" w:color="auto" w:fill="2E75B6" w:themeFill="accent5"/>
            <w:vAlign w:val="center"/>
          </w:tcPr>
          <w:p w14:paraId="65CCAED2" w14:textId="77777777" w:rsidR="000F1B83" w:rsidRPr="005E7CD7" w:rsidRDefault="000F1B83" w:rsidP="00142630">
            <w:pPr>
              <w:spacing w:before="120"/>
              <w:jc w:val="center"/>
              <w:rPr>
                <w:b/>
                <w:bCs/>
                <w:color w:val="FFFFFF" w:themeColor="background1"/>
              </w:rPr>
            </w:pPr>
            <w:r w:rsidRPr="005E7CD7">
              <w:rPr>
                <w:b/>
                <w:bCs/>
                <w:color w:val="FFFFFF" w:themeColor="background1"/>
              </w:rPr>
              <w:t>Stakeholder</w:t>
            </w:r>
          </w:p>
        </w:tc>
        <w:tc>
          <w:tcPr>
            <w:tcW w:w="7229" w:type="dxa"/>
            <w:shd w:val="clear" w:color="auto" w:fill="2E75B6" w:themeFill="accent5"/>
            <w:vAlign w:val="center"/>
          </w:tcPr>
          <w:p w14:paraId="785B8940" w14:textId="77777777" w:rsidR="000F1B83" w:rsidRPr="005E7CD7" w:rsidRDefault="000F1B83" w:rsidP="00142630">
            <w:pPr>
              <w:spacing w:before="120"/>
              <w:jc w:val="center"/>
              <w:rPr>
                <w:b/>
                <w:bCs/>
                <w:color w:val="FFFFFF" w:themeColor="background1"/>
              </w:rPr>
            </w:pPr>
            <w:r w:rsidRPr="005E7CD7">
              <w:rPr>
                <w:b/>
                <w:bCs/>
                <w:color w:val="FFFFFF" w:themeColor="background1"/>
              </w:rPr>
              <w:t>Roles and Responsibilities in Project Implementation</w:t>
            </w:r>
          </w:p>
        </w:tc>
      </w:tr>
      <w:tr w:rsidR="000F1B83" w:rsidRPr="00CE39A0" w14:paraId="2AC9735B" w14:textId="77777777" w:rsidTr="00142630">
        <w:tc>
          <w:tcPr>
            <w:tcW w:w="1985" w:type="dxa"/>
            <w:shd w:val="clear" w:color="auto" w:fill="auto"/>
            <w:vAlign w:val="center"/>
          </w:tcPr>
          <w:p w14:paraId="14F20039" w14:textId="77777777" w:rsidR="000F1B83" w:rsidRPr="00CE39A0" w:rsidRDefault="000F1B83" w:rsidP="00142630">
            <w:r w:rsidRPr="00CE39A0">
              <w:t>Zhejiang Provincial Development and Reform Commission</w:t>
            </w:r>
          </w:p>
          <w:p w14:paraId="22FF3F29" w14:textId="77777777" w:rsidR="000F1B83" w:rsidRPr="00CE39A0" w:rsidRDefault="000F1B83" w:rsidP="00142630"/>
        </w:tc>
        <w:tc>
          <w:tcPr>
            <w:tcW w:w="7229" w:type="dxa"/>
            <w:shd w:val="clear" w:color="auto" w:fill="auto"/>
            <w:vAlign w:val="center"/>
          </w:tcPr>
          <w:p w14:paraId="3526C111" w14:textId="6CBB3CFF" w:rsidR="000F1B83" w:rsidRPr="00CE39A0" w:rsidRDefault="00C30008" w:rsidP="00142630">
            <w:pPr>
              <w:spacing w:before="160"/>
            </w:pPr>
            <w:r>
              <w:t>M</w:t>
            </w:r>
            <w:r w:rsidR="000F1B83" w:rsidRPr="00CE39A0">
              <w:t xml:space="preserve">ain implementing partner for the implementation of the GLIZP </w:t>
            </w:r>
            <w:r>
              <w:t>p</w:t>
            </w:r>
            <w:r w:rsidR="000F1B83" w:rsidRPr="00CE39A0">
              <w:t xml:space="preserve">roject in connection with the overall project direction and management, organizational, financial and administrative support, capacity development activities of the staff involved under the project, policy and decision making, achievement of the expected outputs, monitoring and documentation of results, sustainability of activities and outputs in ensuring attainment of expected outcomes during and after the project and liaison and coordination with the other stakeholders and beneficiaries. ZPDRC </w:t>
            </w:r>
            <w:r>
              <w:t>had a</w:t>
            </w:r>
            <w:r w:rsidR="000F1B83" w:rsidRPr="00CE39A0">
              <w:t xml:space="preserve"> leadership role in coordinating and motivating the players of the logistics industry towards its goals in the materials management and physical distribution</w:t>
            </w:r>
            <w:r w:rsidR="000F1B83">
              <w:t>.</w:t>
            </w:r>
            <w:r w:rsidR="000F1B83" w:rsidRPr="00CE39A0">
              <w:t xml:space="preserve"> </w:t>
            </w:r>
          </w:p>
        </w:tc>
      </w:tr>
      <w:tr w:rsidR="000F1B83" w:rsidRPr="00CE39A0" w14:paraId="1576704E" w14:textId="77777777" w:rsidTr="00142630">
        <w:tc>
          <w:tcPr>
            <w:tcW w:w="1985" w:type="dxa"/>
            <w:shd w:val="clear" w:color="auto" w:fill="auto"/>
            <w:vAlign w:val="center"/>
          </w:tcPr>
          <w:p w14:paraId="0D5B3D28" w14:textId="77777777" w:rsidR="000F1B83" w:rsidRPr="00CE39A0" w:rsidRDefault="000F1B83" w:rsidP="00142630">
            <w:r w:rsidRPr="00CE39A0">
              <w:t>Fuyang City Government</w:t>
            </w:r>
          </w:p>
        </w:tc>
        <w:tc>
          <w:tcPr>
            <w:tcW w:w="7229" w:type="dxa"/>
            <w:shd w:val="clear" w:color="auto" w:fill="auto"/>
            <w:vAlign w:val="center"/>
          </w:tcPr>
          <w:p w14:paraId="0045EBDF" w14:textId="2A6286A6" w:rsidR="000F1B83" w:rsidRPr="00CE39A0" w:rsidRDefault="00C30008" w:rsidP="00142630">
            <w:pPr>
              <w:spacing w:before="160"/>
            </w:pPr>
            <w:r>
              <w:t>P</w:t>
            </w:r>
            <w:r w:rsidR="000F1B83" w:rsidRPr="00CE39A0">
              <w:t xml:space="preserve">roject </w:t>
            </w:r>
            <w:r>
              <w:t>partner</w:t>
            </w:r>
            <w:r w:rsidR="000F1B83" w:rsidRPr="00CE39A0">
              <w:t xml:space="preserve"> in the identification, design, and demonstration of applications of green logistics technologies, techniques, and practices in logistics operations in Fuyang City and related capacity development. Fuyang City Government in cooperation with the ZPDRC </w:t>
            </w:r>
            <w:r>
              <w:t>contributed to</w:t>
            </w:r>
            <w:r w:rsidR="000F1B83" w:rsidRPr="00CE39A0">
              <w:t xml:space="preserve"> resource mobilization and investment in the required demonstration facilities for green logistics in the materials management and physical distribution, including combined road and water transport.</w:t>
            </w:r>
          </w:p>
        </w:tc>
      </w:tr>
      <w:tr w:rsidR="000F1B83" w:rsidRPr="00CE39A0" w14:paraId="5B3E6293" w14:textId="77777777" w:rsidTr="00142630">
        <w:tc>
          <w:tcPr>
            <w:tcW w:w="1985" w:type="dxa"/>
            <w:shd w:val="clear" w:color="auto" w:fill="auto"/>
            <w:vAlign w:val="center"/>
          </w:tcPr>
          <w:p w14:paraId="7BBF0CD7" w14:textId="77777777" w:rsidR="000F1B83" w:rsidRPr="00CE39A0" w:rsidRDefault="000F1B83" w:rsidP="00142630">
            <w:r w:rsidRPr="00CE39A0">
              <w:t>Zhejiang Fuyang Port International Co. Ltd.</w:t>
            </w:r>
          </w:p>
        </w:tc>
        <w:tc>
          <w:tcPr>
            <w:tcW w:w="7229" w:type="dxa"/>
            <w:shd w:val="clear" w:color="auto" w:fill="auto"/>
            <w:vAlign w:val="center"/>
          </w:tcPr>
          <w:p w14:paraId="6B5C9EA0" w14:textId="473839F9" w:rsidR="000F1B83" w:rsidRPr="00CE39A0" w:rsidRDefault="00C30008" w:rsidP="00142630">
            <w:pPr>
              <w:spacing w:before="160"/>
            </w:pPr>
            <w:r>
              <w:t>P</w:t>
            </w:r>
            <w:r w:rsidRPr="00CE39A0">
              <w:t xml:space="preserve">roject </w:t>
            </w:r>
            <w:r>
              <w:t>partner</w:t>
            </w:r>
            <w:r w:rsidRPr="00CE39A0">
              <w:t xml:space="preserve"> </w:t>
            </w:r>
            <w:r>
              <w:t>in</w:t>
            </w:r>
            <w:r w:rsidR="000F1B83" w:rsidRPr="00CE39A0">
              <w:t xml:space="preserve"> the identification, design, and demonstration of green logistics applications in materials management operations and related capacity development. This</w:t>
            </w:r>
            <w:r>
              <w:t xml:space="preserve"> </w:t>
            </w:r>
            <w:r w:rsidR="000F1B83" w:rsidRPr="00CE39A0">
              <w:t>involve</w:t>
            </w:r>
            <w:r>
              <w:t>d</w:t>
            </w:r>
            <w:r w:rsidR="000F1B83" w:rsidRPr="00CE39A0">
              <w:t xml:space="preserve"> the installation and operation of the specific requirements in modernizing and equipping the system on reliable information technology application in various phases of operations by increasing the container full-load rate from the current low load rate. </w:t>
            </w:r>
          </w:p>
        </w:tc>
      </w:tr>
      <w:tr w:rsidR="000F1B83" w:rsidRPr="00CE39A0" w14:paraId="001A8D38" w14:textId="77777777" w:rsidTr="00142630">
        <w:tc>
          <w:tcPr>
            <w:tcW w:w="1985" w:type="dxa"/>
            <w:shd w:val="clear" w:color="auto" w:fill="auto"/>
            <w:vAlign w:val="center"/>
          </w:tcPr>
          <w:p w14:paraId="03588463" w14:textId="09FC58C8" w:rsidR="000F1B83" w:rsidRPr="00CE39A0" w:rsidRDefault="000F1B83" w:rsidP="00142630">
            <w:r w:rsidRPr="00CE39A0">
              <w:t xml:space="preserve">Fuyang Hangzhou </w:t>
            </w:r>
            <w:r w:rsidR="009442F5">
              <w:t>Transf</w:t>
            </w:r>
            <w:r w:rsidR="00F124B3">
              <w:t>a</w:t>
            </w:r>
            <w:r w:rsidR="009442F5">
              <w:t>r</w:t>
            </w:r>
            <w:r w:rsidR="00F124B3">
              <w:t xml:space="preserve"> </w:t>
            </w:r>
            <w:r w:rsidRPr="00CE39A0">
              <w:t>Logistics Base Co., Ltd.</w:t>
            </w:r>
          </w:p>
        </w:tc>
        <w:tc>
          <w:tcPr>
            <w:tcW w:w="7229" w:type="dxa"/>
            <w:shd w:val="clear" w:color="auto" w:fill="auto"/>
            <w:vAlign w:val="center"/>
          </w:tcPr>
          <w:p w14:paraId="75DB7B6A" w14:textId="54B31E0B" w:rsidR="000F1B83" w:rsidRPr="00CE39A0" w:rsidRDefault="00C30008" w:rsidP="00142630">
            <w:pPr>
              <w:spacing w:before="160"/>
            </w:pPr>
            <w:r>
              <w:t>P</w:t>
            </w:r>
            <w:r w:rsidRPr="00CE39A0">
              <w:t xml:space="preserve">roject </w:t>
            </w:r>
            <w:r>
              <w:t>partner</w:t>
            </w:r>
            <w:r w:rsidRPr="00CE39A0">
              <w:t xml:space="preserve"> </w:t>
            </w:r>
            <w:r>
              <w:t>in</w:t>
            </w:r>
            <w:r w:rsidR="000F1B83" w:rsidRPr="00CE39A0">
              <w:t xml:space="preserve"> the identification, design, and demonstration of green logistics applications in physical distribution operations and related capacity development. This involve</w:t>
            </w:r>
            <w:r>
              <w:t>d</w:t>
            </w:r>
            <w:r w:rsidR="000F1B83" w:rsidRPr="00CE39A0">
              <w:t xml:space="preserve"> the systematic and efficient scheduling of transport modes and combined road and water transport in a centralized platform by addressing the problem of asymmetric information, and improv</w:t>
            </w:r>
            <w:r>
              <w:t>ing</w:t>
            </w:r>
            <w:r w:rsidR="000F1B83" w:rsidRPr="00CE39A0">
              <w:t xml:space="preserve"> goods-vehicles matching efficiency, </w:t>
            </w:r>
            <w:r>
              <w:t xml:space="preserve">and </w:t>
            </w:r>
            <w:r w:rsidR="000F1B83" w:rsidRPr="00CE39A0">
              <w:t>reduc</w:t>
            </w:r>
            <w:r>
              <w:t>ing</w:t>
            </w:r>
            <w:r w:rsidR="000F1B83" w:rsidRPr="00CE39A0">
              <w:t xml:space="preserve"> truck empty-loaded rate based on highway port network information platform</w:t>
            </w:r>
            <w:r>
              <w:t>.</w:t>
            </w:r>
          </w:p>
        </w:tc>
      </w:tr>
      <w:tr w:rsidR="000F1B83" w:rsidRPr="00CE39A0" w14:paraId="61EDF03F" w14:textId="77777777" w:rsidTr="00142630">
        <w:tc>
          <w:tcPr>
            <w:tcW w:w="1985" w:type="dxa"/>
            <w:shd w:val="clear" w:color="auto" w:fill="auto"/>
          </w:tcPr>
          <w:p w14:paraId="15A84CA0" w14:textId="77777777" w:rsidR="000F1B83" w:rsidRPr="00CE39A0" w:rsidRDefault="000F1B83" w:rsidP="00142630">
            <w:r w:rsidRPr="00CE39A0">
              <w:t>Other Zhejiang Province-based logistic service providers</w:t>
            </w:r>
          </w:p>
        </w:tc>
        <w:tc>
          <w:tcPr>
            <w:tcW w:w="7229" w:type="dxa"/>
            <w:shd w:val="clear" w:color="auto" w:fill="auto"/>
            <w:vAlign w:val="center"/>
          </w:tcPr>
          <w:p w14:paraId="74906134" w14:textId="47D6B55E" w:rsidR="000F1B83" w:rsidRPr="00CE39A0" w:rsidRDefault="00C30008" w:rsidP="00142630">
            <w:r>
              <w:t>P</w:t>
            </w:r>
            <w:r w:rsidR="000F1B83" w:rsidRPr="00CE39A0">
              <w:t>roject participants in the identification, development and provision of incremental technical assistance, capacity development, information and promotion activities of the project</w:t>
            </w:r>
            <w:r w:rsidR="000F1B83">
              <w:t>.</w:t>
            </w:r>
          </w:p>
        </w:tc>
      </w:tr>
    </w:tbl>
    <w:p w14:paraId="00268392" w14:textId="77777777" w:rsidR="000F1B83" w:rsidRDefault="000F1B83" w:rsidP="000F1B83">
      <w:pPr>
        <w:ind w:firstLine="142"/>
      </w:pPr>
      <w:r>
        <w:t>Source: Reproduced from ProDoc, pp. 8 – 9</w:t>
      </w:r>
    </w:p>
    <w:p w14:paraId="4B21D402" w14:textId="60931B28" w:rsidR="008E2C94" w:rsidRDefault="008E2C94" w:rsidP="0088194C">
      <w:pPr>
        <w:pStyle w:val="Heading2"/>
        <w:numPr>
          <w:ilvl w:val="1"/>
          <w:numId w:val="47"/>
        </w:numPr>
      </w:pPr>
      <w:bookmarkStart w:id="29" w:name="_Ref61607489"/>
      <w:bookmarkStart w:id="30" w:name="_Toc64632052"/>
      <w:r>
        <w:lastRenderedPageBreak/>
        <w:t>T</w:t>
      </w:r>
      <w:r w:rsidR="00F10638">
        <w:t>heory of change</w:t>
      </w:r>
      <w:bookmarkEnd w:id="29"/>
      <w:bookmarkEnd w:id="30"/>
    </w:p>
    <w:p w14:paraId="67A172E6" w14:textId="04D025AB" w:rsidR="00142630" w:rsidRPr="009E09CA" w:rsidRDefault="00142630" w:rsidP="00CB33C7">
      <w:pPr>
        <w:jc w:val="both"/>
      </w:pPr>
      <w:r w:rsidRPr="009E09CA">
        <w:t xml:space="preserve">The ProDoc </w:t>
      </w:r>
      <w:r w:rsidR="00CB33C7" w:rsidRPr="009E09CA">
        <w:t>did not include a discussion</w:t>
      </w:r>
      <w:r w:rsidRPr="009E09CA">
        <w:t xml:space="preserve"> o</w:t>
      </w:r>
      <w:r w:rsidR="004C404F" w:rsidRPr="009E09CA">
        <w:t>f</w:t>
      </w:r>
      <w:r w:rsidRPr="009E09CA">
        <w:t xml:space="preserve"> the formal aspects of the project’s ToC. The MTR assessed the quality of project design and the suitability of indicators and targets in the </w:t>
      </w:r>
      <w:r w:rsidR="004C404F" w:rsidRPr="009E09CA">
        <w:t xml:space="preserve">PRF, but it </w:t>
      </w:r>
      <w:r w:rsidRPr="009E09CA">
        <w:t xml:space="preserve">did not discuss the project’s ToC and made no attempt at reconstructing it. </w:t>
      </w:r>
      <w:r w:rsidR="004C404F" w:rsidRPr="009E09CA">
        <w:t>For</w:t>
      </w:r>
      <w:r w:rsidRPr="009E09CA">
        <w:t xml:space="preserve"> this </w:t>
      </w:r>
      <w:r w:rsidR="004C404F" w:rsidRPr="009E09CA">
        <w:t>TE</w:t>
      </w:r>
      <w:r w:rsidRPr="009E09CA">
        <w:t xml:space="preserve">, the ToC </w:t>
      </w:r>
      <w:r w:rsidR="00CB33C7" w:rsidRPr="009E09CA">
        <w:t xml:space="preserve">was reconstructed </w:t>
      </w:r>
      <w:r w:rsidRPr="009E09CA">
        <w:t>based on the description</w:t>
      </w:r>
      <w:r w:rsidR="00CB33C7" w:rsidRPr="009E09CA">
        <w:t>s ProDoc</w:t>
      </w:r>
      <w:r w:rsidRPr="009E09CA">
        <w:t xml:space="preserve"> and the </w:t>
      </w:r>
      <w:r w:rsidR="004C404F" w:rsidRPr="009E09CA">
        <w:t>PRF and</w:t>
      </w:r>
      <w:r w:rsidR="00601456" w:rsidRPr="009E09CA">
        <w:t xml:space="preserve"> </w:t>
      </w:r>
      <w:r w:rsidR="004C404F" w:rsidRPr="009E09CA">
        <w:t xml:space="preserve">is </w:t>
      </w:r>
      <w:r w:rsidR="00601456" w:rsidRPr="009E09CA">
        <w:t xml:space="preserve">represented graphically in </w:t>
      </w:r>
      <w:r w:rsidR="00601456" w:rsidRPr="009E09CA">
        <w:fldChar w:fldCharType="begin"/>
      </w:r>
      <w:r w:rsidR="00601456" w:rsidRPr="009E09CA">
        <w:instrText xml:space="preserve"> REF _Ref61349255 \h </w:instrText>
      </w:r>
      <w:r w:rsidR="001D1B75" w:rsidRPr="009E09CA">
        <w:instrText xml:space="preserve"> \* MERGEFORMAT </w:instrText>
      </w:r>
      <w:r w:rsidR="00601456" w:rsidRPr="009E09CA">
        <w:fldChar w:fldCharType="separate"/>
      </w:r>
      <w:r w:rsidR="004718D8" w:rsidRPr="009E09CA">
        <w:t xml:space="preserve">Figure </w:t>
      </w:r>
      <w:r w:rsidR="004718D8" w:rsidRPr="009E09CA">
        <w:rPr>
          <w:noProof/>
        </w:rPr>
        <w:t>1</w:t>
      </w:r>
      <w:r w:rsidR="00601456" w:rsidRPr="009E09CA">
        <w:fldChar w:fldCharType="end"/>
      </w:r>
      <w:r w:rsidR="00601456" w:rsidRPr="009E09CA">
        <w:t xml:space="preserve">. </w:t>
      </w:r>
      <w:r w:rsidRPr="009E09CA">
        <w:t xml:space="preserve">The PRF, as presented in the </w:t>
      </w:r>
      <w:r w:rsidR="00CB33C7" w:rsidRPr="009E09CA">
        <w:t>ProDoc</w:t>
      </w:r>
      <w:r w:rsidRPr="009E09CA">
        <w:t xml:space="preserve">, is reproduced in Annex </w:t>
      </w:r>
      <w:r w:rsidR="00E87478" w:rsidRPr="009E09CA">
        <w:t xml:space="preserve">L </w:t>
      </w:r>
      <w:r w:rsidRPr="009E09CA">
        <w:t>of this report.</w:t>
      </w:r>
    </w:p>
    <w:p w14:paraId="315868C1" w14:textId="0750A0FC" w:rsidR="00F22696" w:rsidRDefault="00F22696" w:rsidP="00F22696">
      <w:pPr>
        <w:jc w:val="both"/>
      </w:pPr>
      <w:r w:rsidRPr="009E09CA">
        <w:t>The ProDoc states that t</w:t>
      </w:r>
      <w:r w:rsidR="00142630" w:rsidRPr="009E09CA">
        <w:t>he project’s</w:t>
      </w:r>
      <w:r w:rsidRPr="009E09CA">
        <w:t xml:space="preserve"> overall goal </w:t>
      </w:r>
      <w:r w:rsidR="004C404F" w:rsidRPr="009E09CA">
        <w:t>wa</w:t>
      </w:r>
      <w:r w:rsidRPr="009E09CA">
        <w:t xml:space="preserve">s the “reduction of GHG emissions in the logistics industry and freight transport sector of Zhejiang Province”, and </w:t>
      </w:r>
      <w:r w:rsidR="004C404F" w:rsidRPr="009E09CA">
        <w:t xml:space="preserve">that </w:t>
      </w:r>
      <w:r w:rsidRPr="009E09CA">
        <w:t xml:space="preserve">the </w:t>
      </w:r>
      <w:r w:rsidR="004C404F" w:rsidRPr="009E09CA">
        <w:t xml:space="preserve">project’s </w:t>
      </w:r>
      <w:r w:rsidRPr="009E09CA">
        <w:t xml:space="preserve">objective was the “widespread application of energy efficient green logistic techniques and practices in the logistics industry in Zhejiang Province”. In the reconstructed ToC, the </w:t>
      </w:r>
      <w:r w:rsidR="003404FB" w:rsidRPr="009E09CA">
        <w:t xml:space="preserve">former is restated as the impact of the project, and the later </w:t>
      </w:r>
      <w:r w:rsidR="00B2623C" w:rsidRPr="009E09CA">
        <w:t xml:space="preserve">as </w:t>
      </w:r>
      <w:r w:rsidR="003404FB" w:rsidRPr="009E09CA">
        <w:t xml:space="preserve">an </w:t>
      </w:r>
      <w:r w:rsidRPr="009E09CA">
        <w:t xml:space="preserve">intermediate state, </w:t>
      </w:r>
      <w:r w:rsidR="003404FB" w:rsidRPr="009E09CA">
        <w:t>which was</w:t>
      </w:r>
      <w:r w:rsidRPr="009E09CA">
        <w:t xml:space="preserve"> not included in the ProDoc, </w:t>
      </w:r>
      <w:r w:rsidR="003404FB" w:rsidRPr="009E09CA">
        <w:t>but is required to connect the project stated outcomes with the project impact/goal</w:t>
      </w:r>
      <w:r w:rsidR="00601456" w:rsidRPr="009E09CA">
        <w:t>.</w:t>
      </w:r>
      <w:r w:rsidR="00601456">
        <w:t xml:space="preserve"> </w:t>
      </w:r>
    </w:p>
    <w:p w14:paraId="3A6922EB" w14:textId="3D4BB4F3" w:rsidR="00AF3F7E" w:rsidRDefault="00142630" w:rsidP="00800714">
      <w:pPr>
        <w:jc w:val="both"/>
      </w:pPr>
      <w:r>
        <w:t xml:space="preserve">The project’s strategy included three causal pathways that converged to </w:t>
      </w:r>
      <w:r w:rsidR="006F4809">
        <w:t>enable the adoption of energy efficient logistic practices and technologies.</w:t>
      </w:r>
      <w:r>
        <w:t xml:space="preserve"> The first causal pathway, pursued under component one, </w:t>
      </w:r>
      <w:r w:rsidR="00E67D75">
        <w:t xml:space="preserve">aimed at removing policy and regulatory barriers, and </w:t>
      </w:r>
      <w:r w:rsidR="006F4809">
        <w:t>propos</w:t>
      </w:r>
      <w:r w:rsidR="00F373CE">
        <w:t>ed</w:t>
      </w:r>
      <w:r w:rsidR="006F4809">
        <w:t xml:space="preserve"> the adoption of enabling policies, </w:t>
      </w:r>
      <w:r w:rsidR="004C404F">
        <w:t>regulations,</w:t>
      </w:r>
      <w:r w:rsidR="006F4809">
        <w:t xml:space="preserve"> and incentives for the adoption of green logistic practices and technologies. This pathway include</w:t>
      </w:r>
      <w:r w:rsidR="00E67D75">
        <w:t>d</w:t>
      </w:r>
      <w:r w:rsidR="006F4809">
        <w:t xml:space="preserve"> actions for the </w:t>
      </w:r>
      <w:r w:rsidR="00E67D75">
        <w:t xml:space="preserve">design and adoption of, inter alia, a pilot financial scheme to incentivize investments in green logistics by small- and medium-sized LSPs, and policies, </w:t>
      </w:r>
      <w:r w:rsidR="004C404F">
        <w:t>regulations,</w:t>
      </w:r>
      <w:r w:rsidR="00E67D75">
        <w:t xml:space="preserve"> and standards to govern the development and adoption of green logistics in </w:t>
      </w:r>
      <w:r w:rsidR="00E67D75" w:rsidRPr="00E67D75">
        <w:t>Zhejiang Province</w:t>
      </w:r>
      <w:r w:rsidR="00E67D75">
        <w:t xml:space="preserve">. </w:t>
      </w:r>
      <w:r>
        <w:t>This pathway led to a direct outcome defined as “</w:t>
      </w:r>
      <w:r w:rsidR="00E67D75">
        <w:t>e</w:t>
      </w:r>
      <w:r w:rsidR="00E67D75" w:rsidRPr="00E67D75">
        <w:t>stablished and enforced policy and regulations on the application and operation of green logistics systems in the logistics industry in Zhejiang Province</w:t>
      </w:r>
      <w:r>
        <w:t xml:space="preserve">”. </w:t>
      </w:r>
      <w:r w:rsidR="00AF3F7E" w:rsidRPr="00AF3F7E">
        <w:t xml:space="preserve">An underlying assumption (assumption one in </w:t>
      </w:r>
      <w:r w:rsidR="00AF3F7E">
        <w:fldChar w:fldCharType="begin"/>
      </w:r>
      <w:r w:rsidR="00AF3F7E">
        <w:instrText xml:space="preserve"> REF _Ref61349255 \h </w:instrText>
      </w:r>
      <w:r w:rsidR="00AF3F7E">
        <w:fldChar w:fldCharType="separate"/>
      </w:r>
      <w:r w:rsidR="004718D8">
        <w:t xml:space="preserve">Figure </w:t>
      </w:r>
      <w:r w:rsidR="004718D8">
        <w:rPr>
          <w:noProof/>
        </w:rPr>
        <w:t>1</w:t>
      </w:r>
      <w:r w:rsidR="00AF3F7E">
        <w:fldChar w:fldCharType="end"/>
      </w:r>
      <w:r w:rsidR="00AF3F7E" w:rsidRPr="00AF3F7E">
        <w:t xml:space="preserve">) </w:t>
      </w:r>
      <w:r w:rsidR="00A76058">
        <w:t>wa</w:t>
      </w:r>
      <w:r w:rsidR="00AF3F7E" w:rsidRPr="00AF3F7E">
        <w:t>s that the</w:t>
      </w:r>
      <w:r w:rsidR="00AF3F7E">
        <w:t xml:space="preserve"> project could (through activity 1.1.2.) effectively identify the existing policies and regulations that impeded the adoption of green logistics technologies and practices, and (through activity 1.2.3.) facilitate the adoption of new or revised policies and regulations to address such barriers. </w:t>
      </w:r>
    </w:p>
    <w:p w14:paraId="0A88A3BD" w14:textId="476A9FD4" w:rsidR="00802691" w:rsidRDefault="00142630" w:rsidP="00800714">
      <w:pPr>
        <w:jc w:val="both"/>
      </w:pPr>
      <w:r>
        <w:t xml:space="preserve">The second causal pathway, under component two, </w:t>
      </w:r>
      <w:r w:rsidR="00800714">
        <w:t xml:space="preserve">addressed barriers related to (i) low levels of confidence on green logistics solutions, and (ii) lack of systematic recording and dissemination of successful experiences with the adoption energy efficient logistic practices and technologies. The second causal pathway relied on the design, implementation and monitoring of two pilot projects on (i) </w:t>
      </w:r>
      <w:r w:rsidR="00800714" w:rsidRPr="00800714">
        <w:t>energy efficient materials management</w:t>
      </w:r>
      <w:r w:rsidR="00800714">
        <w:t xml:space="preserve">, and (ii) </w:t>
      </w:r>
      <w:r w:rsidR="00800714" w:rsidRPr="00800714">
        <w:t>energy efficient physical distribution</w:t>
      </w:r>
      <w:r w:rsidR="00800714">
        <w:t xml:space="preserve"> systems. </w:t>
      </w:r>
      <w:r w:rsidR="00802691">
        <w:t xml:space="preserve">This pathway resulted in a </w:t>
      </w:r>
      <w:r w:rsidR="0077164A">
        <w:t xml:space="preserve">second </w:t>
      </w:r>
      <w:r w:rsidR="00802691">
        <w:t>direct outcome</w:t>
      </w:r>
      <w:r w:rsidR="0077164A">
        <w:t xml:space="preserve"> stated as “i</w:t>
      </w:r>
      <w:r w:rsidR="0077164A" w:rsidRPr="0077164A">
        <w:t>mproved energy efficiency in the materials management and physical distribution activities in the logistics industry in Zhejiang Province</w:t>
      </w:r>
      <w:r w:rsidR="0077164A">
        <w:t>”.</w:t>
      </w:r>
      <w:r w:rsidR="002440F1">
        <w:t xml:space="preserve"> The outcome, as originally stated, goes beyond the expected results from the implementation of the </w:t>
      </w:r>
      <w:r w:rsidR="002440F1" w:rsidRPr="009E09CA">
        <w:t>project and describe the final state of the logistics industry in Zhejiang Province</w:t>
      </w:r>
      <w:r w:rsidR="002440F1" w:rsidRPr="009E09CA">
        <w:rPr>
          <w:sz w:val="20"/>
          <w:szCs w:val="20"/>
        </w:rPr>
        <w:t xml:space="preserve">. </w:t>
      </w:r>
      <w:r w:rsidR="002440F1" w:rsidRPr="009E09CA">
        <w:t>The outcome has been rephrased as “demonstrated technologies and practices for improved energy efficiency in the materials management and physical distribution activities in the logistics industry in Zhejiang Province”.</w:t>
      </w:r>
      <w:r w:rsidR="00CA6CDF" w:rsidRPr="009E09CA">
        <w:t xml:space="preserve"> An assumption to deliver the outcome, as revised, required that the technologies, implemented in partnership with companies implementing demonstration projects, would perform as anticipated and that these results would occur early enough </w:t>
      </w:r>
      <w:r w:rsidR="004C404F" w:rsidRPr="009E09CA">
        <w:t>during</w:t>
      </w:r>
      <w:r w:rsidR="00CA6CDF" w:rsidRPr="009E09CA">
        <w:t xml:space="preserve"> the project implementation to allow for meaningful monitoring, evaluation, and dissemination</w:t>
      </w:r>
      <w:r w:rsidR="009D21AD" w:rsidRPr="009E09CA">
        <w:t xml:space="preserve"> (assumption 2)</w:t>
      </w:r>
      <w:r w:rsidR="00CA6CDF" w:rsidRPr="009E09CA">
        <w:t>.</w:t>
      </w:r>
    </w:p>
    <w:p w14:paraId="518F69FF" w14:textId="4C533DDB" w:rsidR="00142630" w:rsidRPr="009E09CA" w:rsidRDefault="00E67D75" w:rsidP="0077164A">
      <w:pPr>
        <w:jc w:val="both"/>
      </w:pPr>
      <w:r>
        <w:t xml:space="preserve">The third causal pathway, </w:t>
      </w:r>
      <w:r w:rsidR="0077164A">
        <w:t>under component three</w:t>
      </w:r>
      <w:r w:rsidR="00900EC7">
        <w:t xml:space="preserve">, addressed three barriers on (i) low levels of capacity, skills, </w:t>
      </w:r>
      <w:r w:rsidR="004C404F">
        <w:t>knowledge,</w:t>
      </w:r>
      <w:r w:rsidR="00900EC7">
        <w:t xml:space="preserve"> and cooperation related to green logistics, (i) low levels of confidence on green logistics solutions, and (ii) lack of systematic recording and dissemination of successful experiences with the adoption energy efficient logistic practices and technologies.</w:t>
      </w:r>
      <w:r w:rsidR="004C404F">
        <w:t xml:space="preserve"> Along</w:t>
      </w:r>
      <w:r w:rsidR="00900EC7">
        <w:t xml:space="preserve"> this pathway</w:t>
      </w:r>
      <w:r w:rsidR="004C404F">
        <w:t>,</w:t>
      </w:r>
      <w:r w:rsidR="00900EC7">
        <w:t xml:space="preserve"> the project </w:t>
      </w:r>
      <w:r w:rsidR="00142630">
        <w:t xml:space="preserve">built the technical capacities of stakeholders, providing training and training materials to </w:t>
      </w:r>
      <w:r w:rsidR="00900EC7">
        <w:t>personnel from L</w:t>
      </w:r>
      <w:r w:rsidR="00F10638">
        <w:t>SPs</w:t>
      </w:r>
      <w:r w:rsidR="00900EC7">
        <w:t xml:space="preserve"> </w:t>
      </w:r>
      <w:r w:rsidR="00F10638">
        <w:t>and government</w:t>
      </w:r>
      <w:r w:rsidR="00142630">
        <w:t xml:space="preserve"> agencies. The proposed direct outcome under this pathway was defined </w:t>
      </w:r>
      <w:r w:rsidR="00F10638">
        <w:t xml:space="preserve">in the ProDoc </w:t>
      </w:r>
      <w:r w:rsidR="00142630">
        <w:t xml:space="preserve">as </w:t>
      </w:r>
      <w:r w:rsidR="00142630">
        <w:lastRenderedPageBreak/>
        <w:t>“</w:t>
      </w:r>
      <w:r w:rsidR="00900EC7">
        <w:t>i</w:t>
      </w:r>
      <w:r w:rsidR="00900EC7" w:rsidRPr="00900EC7">
        <w:t>ncreased application and utilization of energy efficient materials management and physical distribution techniques, technologies and practices in the logistics and manufacturing industries in Zhejiang Province</w:t>
      </w:r>
      <w:r w:rsidR="00142630">
        <w:t xml:space="preserve">”. </w:t>
      </w:r>
      <w:r w:rsidR="00F10638" w:rsidRPr="009E09CA">
        <w:t>This definition, however, does not adequately reflect the expected results from the implementation of the proposed project activities and the delivery of outputs. Instead, the reconstructed ToC redefined this outcome as “improved capacities and access to information on green logistics systems among authorities and LSPs in Zhejiang Province”</w:t>
      </w:r>
      <w:r w:rsidR="009013A3" w:rsidRPr="009E09CA">
        <w:t xml:space="preserve">. </w:t>
      </w:r>
      <w:r w:rsidR="00E4522B" w:rsidRPr="009E09CA">
        <w:t xml:space="preserve">An assumption that was required to reach outcome 3 was related to the project’s capacity to generate effective partnerships for the delivery of training activities that would reach a significant number of LSPs and stakeholders </w:t>
      </w:r>
      <w:r w:rsidR="004C404F" w:rsidRPr="009E09CA">
        <w:t>i</w:t>
      </w:r>
      <w:r w:rsidR="00E4522B" w:rsidRPr="009E09CA">
        <w:t>n Zhejiang Province, and that those training activities would effectively build the capacities of these stakeholders</w:t>
      </w:r>
      <w:r w:rsidR="000C68AD" w:rsidRPr="009E09CA">
        <w:t xml:space="preserve"> (assumption 3)</w:t>
      </w:r>
      <w:r w:rsidR="00E4522B" w:rsidRPr="009E09CA">
        <w:t>.</w:t>
      </w:r>
    </w:p>
    <w:p w14:paraId="5D6185FA" w14:textId="6682244B" w:rsidR="00A80801" w:rsidRDefault="00E4522B" w:rsidP="00E4522B">
      <w:pPr>
        <w:jc w:val="both"/>
      </w:pPr>
      <w:r w:rsidRPr="009E09CA">
        <w:t xml:space="preserve">Collectively, the three project outcomes, as revised, led to </w:t>
      </w:r>
      <w:r w:rsidR="00894942" w:rsidRPr="009E09CA">
        <w:t>a state</w:t>
      </w:r>
      <w:r w:rsidRPr="009E09CA">
        <w:t xml:space="preserve"> where green technologies and practices have been enabled by appropriate policies and financial incentives, and the feasibility and advantages of </w:t>
      </w:r>
      <w:r w:rsidR="002D1C3D" w:rsidRPr="009E09CA">
        <w:t xml:space="preserve">(some) technologies and practices </w:t>
      </w:r>
      <w:r w:rsidRPr="009E09CA">
        <w:t>have been demonstrated by pilot projects. Training and dissemination activities have raised awareness on green technologies and have developed the skills to facilitate their adoption.</w:t>
      </w:r>
      <w:r w:rsidR="000C68AD" w:rsidRPr="009E09CA">
        <w:t xml:space="preserve"> Beyond this state, </w:t>
      </w:r>
      <w:r w:rsidR="002D1C3D" w:rsidRPr="009E09CA">
        <w:t xml:space="preserve">the path to reach the project’s goal requires an intermediate state </w:t>
      </w:r>
      <w:r w:rsidR="000C68AD" w:rsidRPr="009E09CA">
        <w:t>characterized by a situation in which green technologies and practices are extensively adopted by the logistics industry in Zhejiang Province. For</w:t>
      </w:r>
      <w:r w:rsidR="000C68AD">
        <w:t xml:space="preserve"> the </w:t>
      </w:r>
      <w:r w:rsidR="002D1C3D">
        <w:t>logistics industry in Zhejiang Province</w:t>
      </w:r>
      <w:r w:rsidR="000C68AD">
        <w:t xml:space="preserve"> to </w:t>
      </w:r>
      <w:r w:rsidR="002D1C3D">
        <w:t>reach that state</w:t>
      </w:r>
      <w:r w:rsidR="000C68AD">
        <w:t>, it is necessary that the technologies and practices demonstrated by the project are replicated at scale by a large</w:t>
      </w:r>
      <w:r w:rsidR="00DE50DC">
        <w:t>r</w:t>
      </w:r>
      <w:r w:rsidR="000C68AD">
        <w:t xml:space="preserve"> group of LSPs, and that additional technologies, so far untested in Zhejiang Province, are demonstrated and the results from </w:t>
      </w:r>
      <w:r w:rsidR="00DE50DC">
        <w:t>those experiences are sh</w:t>
      </w:r>
      <w:r w:rsidR="000C68AD">
        <w:t>ared with the industry (assumption 4).</w:t>
      </w:r>
      <w:r w:rsidR="00DE50DC">
        <w:t xml:space="preserve"> As indicated above, the goal of the project was the reduction of GHG emission</w:t>
      </w:r>
      <w:r w:rsidR="004C404F">
        <w:t>s</w:t>
      </w:r>
      <w:r w:rsidR="00DE50DC">
        <w:t xml:space="preserve"> through the widespread adoption of green logistics technologies and practices. That goal would follow the impact from the project </w:t>
      </w:r>
      <w:r w:rsidR="00D85E4D">
        <w:t>if</w:t>
      </w:r>
      <w:r w:rsidR="00DE50DC">
        <w:t xml:space="preserve"> there are no major structural changes to the logistics industry in China that could shift logistics activities to other regions in the </w:t>
      </w:r>
      <w:r w:rsidR="00894942">
        <w:t>country and</w:t>
      </w:r>
      <w:r w:rsidR="00D85E4D">
        <w:t xml:space="preserve"> provided that the</w:t>
      </w:r>
      <w:r w:rsidR="00DE50DC">
        <w:t xml:space="preserve"> energy sources available to L</w:t>
      </w:r>
      <w:r w:rsidR="00D85E4D">
        <w:t xml:space="preserve">SPs do not transition to more carbon intensive sources, </w:t>
      </w:r>
      <w:r w:rsidR="00DE50DC">
        <w:t>undermin</w:t>
      </w:r>
      <w:r w:rsidR="00D85E4D">
        <w:t>ing</w:t>
      </w:r>
      <w:r w:rsidR="00DE50DC">
        <w:t xml:space="preserve"> the gains in energy efficiency </w:t>
      </w:r>
      <w:r w:rsidR="00FA1E9F">
        <w:t xml:space="preserve">achieved </w:t>
      </w:r>
      <w:r w:rsidR="00DE50DC">
        <w:t>by the logistics industr</w:t>
      </w:r>
      <w:r w:rsidR="00D85E4D">
        <w:t xml:space="preserve">y (assumption </w:t>
      </w:r>
      <w:r w:rsidR="002D1C3D">
        <w:t>5</w:t>
      </w:r>
      <w:r w:rsidR="00D85E4D">
        <w:t>).</w:t>
      </w:r>
      <w:r w:rsidR="00DE50DC">
        <w:t xml:space="preserve"> </w:t>
      </w:r>
    </w:p>
    <w:p w14:paraId="6B900013" w14:textId="77777777" w:rsidR="000C68AD" w:rsidRDefault="000C68AD" w:rsidP="00E4522B">
      <w:pPr>
        <w:jc w:val="both"/>
      </w:pPr>
    </w:p>
    <w:p w14:paraId="4850C1E1" w14:textId="77777777" w:rsidR="001F0BF3" w:rsidRDefault="001F0BF3" w:rsidP="001F0BF3">
      <w:pPr>
        <w:rPr>
          <w:lang w:val="en-GB"/>
        </w:rPr>
      </w:pPr>
    </w:p>
    <w:p w14:paraId="7FD3ACB8" w14:textId="77777777" w:rsidR="00A80801" w:rsidRDefault="00A80801" w:rsidP="008E2C94">
      <w:pPr>
        <w:sectPr w:rsidR="00A80801" w:rsidSect="0071350E">
          <w:footerReference w:type="default" r:id="rId12"/>
          <w:type w:val="continuous"/>
          <w:pgSz w:w="12240" w:h="15840"/>
          <w:pgMar w:top="1440" w:right="1440" w:bottom="1440" w:left="1440" w:header="720" w:footer="720" w:gutter="0"/>
          <w:pgNumType w:start="0"/>
          <w:cols w:space="720"/>
          <w:titlePg/>
          <w:docGrid w:linePitch="360"/>
        </w:sectPr>
      </w:pPr>
    </w:p>
    <w:p w14:paraId="36CDBD22" w14:textId="16149856" w:rsidR="00A80801" w:rsidRDefault="002D1C3D" w:rsidP="00A80801">
      <w:pPr>
        <w:keepNext/>
        <w:jc w:val="center"/>
      </w:pPr>
      <w:r>
        <w:rPr>
          <w:noProof/>
        </w:rPr>
        <w:lastRenderedPageBreak/>
        <w:drawing>
          <wp:inline distT="0" distB="0" distL="0" distR="0" wp14:anchorId="5CEA28F4" wp14:editId="71A77C6D">
            <wp:extent cx="9047603" cy="5385922"/>
            <wp:effectExtent l="0" t="0" r="1270"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066402" cy="5397113"/>
                    </a:xfrm>
                    <a:prstGeom prst="rect">
                      <a:avLst/>
                    </a:prstGeom>
                    <a:noFill/>
                  </pic:spPr>
                </pic:pic>
              </a:graphicData>
            </a:graphic>
          </wp:inline>
        </w:drawing>
      </w:r>
    </w:p>
    <w:p w14:paraId="184489B4" w14:textId="28DCB314" w:rsidR="00A80801" w:rsidRDefault="00A80801" w:rsidP="00A80801">
      <w:pPr>
        <w:pStyle w:val="Caption"/>
        <w:jc w:val="center"/>
      </w:pPr>
      <w:bookmarkStart w:id="31" w:name="_Ref61349255"/>
      <w:r w:rsidRPr="009E09CA">
        <w:t xml:space="preserve">Figure </w:t>
      </w:r>
      <w:r w:rsidRPr="009E09CA">
        <w:fldChar w:fldCharType="begin"/>
      </w:r>
      <w:r w:rsidRPr="009E09CA">
        <w:instrText xml:space="preserve"> SEQ Figure \* ARABIC </w:instrText>
      </w:r>
      <w:r w:rsidRPr="009E09CA">
        <w:fldChar w:fldCharType="separate"/>
      </w:r>
      <w:r w:rsidR="004718D8" w:rsidRPr="009E09CA">
        <w:rPr>
          <w:noProof/>
        </w:rPr>
        <w:t>1</w:t>
      </w:r>
      <w:r w:rsidRPr="009E09CA">
        <w:fldChar w:fldCharType="end"/>
      </w:r>
      <w:bookmarkEnd w:id="31"/>
      <w:r w:rsidRPr="009E09CA">
        <w:t>. Reconstructed theory of change</w:t>
      </w:r>
    </w:p>
    <w:p w14:paraId="77501FB8" w14:textId="33CB45E1" w:rsidR="00F10638" w:rsidRPr="00F10638" w:rsidRDefault="00F10638" w:rsidP="00F10638">
      <w:pPr>
        <w:rPr>
          <w:lang w:val="en-GB"/>
        </w:rPr>
        <w:sectPr w:rsidR="00F10638" w:rsidRPr="00F10638" w:rsidSect="00A80801">
          <w:pgSz w:w="15840" w:h="12240" w:orient="landscape"/>
          <w:pgMar w:top="1440" w:right="1440" w:bottom="1440" w:left="1440" w:header="720" w:footer="720" w:gutter="0"/>
          <w:cols w:space="720"/>
          <w:docGrid w:linePitch="360"/>
        </w:sectPr>
      </w:pPr>
    </w:p>
    <w:p w14:paraId="2B6EACE5" w14:textId="67234EA3" w:rsidR="00F10638" w:rsidRDefault="001B6DEC" w:rsidP="00F10638">
      <w:r>
        <w:lastRenderedPageBreak/>
        <w:t xml:space="preserve">As discussed above, the reconstructed ToC required adjustments to the PRF, including </w:t>
      </w:r>
      <w:r w:rsidR="002D5420">
        <w:t xml:space="preserve">making </w:t>
      </w:r>
      <w:r>
        <w:t xml:space="preserve">changes to </w:t>
      </w:r>
      <w:r w:rsidR="002D5420">
        <w:t>clarify</w:t>
      </w:r>
      <w:r>
        <w:t xml:space="preserve"> definitions and</w:t>
      </w:r>
      <w:r w:rsidR="002D5420">
        <w:t xml:space="preserve"> re</w:t>
      </w:r>
      <w:r>
        <w:t>organiz</w:t>
      </w:r>
      <w:r w:rsidR="002D5420">
        <w:t xml:space="preserve">ing </w:t>
      </w:r>
      <w:r>
        <w:t xml:space="preserve">some outputs. The changes to the PRF are </w:t>
      </w:r>
      <w:r w:rsidR="002D5420">
        <w:t xml:space="preserve">described in </w:t>
      </w:r>
      <w:r w:rsidR="002D5420">
        <w:fldChar w:fldCharType="begin"/>
      </w:r>
      <w:r w:rsidR="002D5420">
        <w:instrText xml:space="preserve"> REF _Ref61607369 \h </w:instrText>
      </w:r>
      <w:r w:rsidR="002D5420">
        <w:fldChar w:fldCharType="separate"/>
      </w:r>
      <w:r w:rsidR="004718D8">
        <w:t xml:space="preserve">Table </w:t>
      </w:r>
      <w:r w:rsidR="004718D8">
        <w:rPr>
          <w:noProof/>
        </w:rPr>
        <w:t>7</w:t>
      </w:r>
      <w:r w:rsidR="002D5420">
        <w:fldChar w:fldCharType="end"/>
      </w:r>
      <w:r w:rsidR="002D5420">
        <w:t>.</w:t>
      </w:r>
    </w:p>
    <w:p w14:paraId="4DE85317" w14:textId="27991FF3" w:rsidR="001B6DEC" w:rsidRDefault="001B6DEC" w:rsidP="001B6DEC">
      <w:pPr>
        <w:pStyle w:val="Caption"/>
        <w:spacing w:after="120"/>
      </w:pPr>
      <w:bookmarkStart w:id="32" w:name="_Ref61607369"/>
      <w:r w:rsidRPr="009E09CA">
        <w:t xml:space="preserve">Table </w:t>
      </w:r>
      <w:r w:rsidRPr="009E09CA">
        <w:fldChar w:fldCharType="begin"/>
      </w:r>
      <w:r w:rsidRPr="009E09CA">
        <w:instrText xml:space="preserve"> SEQ Table \* ARABIC </w:instrText>
      </w:r>
      <w:r w:rsidRPr="009E09CA">
        <w:fldChar w:fldCharType="separate"/>
      </w:r>
      <w:r w:rsidR="004718D8" w:rsidRPr="009E09CA">
        <w:rPr>
          <w:noProof/>
        </w:rPr>
        <w:t>7</w:t>
      </w:r>
      <w:r w:rsidRPr="009E09CA">
        <w:fldChar w:fldCharType="end"/>
      </w:r>
      <w:bookmarkEnd w:id="32"/>
      <w:r w:rsidRPr="009E09CA">
        <w:t>. Changes to the project results framework and justification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3631"/>
        <w:gridCol w:w="2124"/>
        <w:gridCol w:w="2266"/>
      </w:tblGrid>
      <w:tr w:rsidR="00FA1E9F" w:rsidRPr="00FA1E9F" w14:paraId="5258802B" w14:textId="77777777" w:rsidTr="00FA1E9F">
        <w:trPr>
          <w:trHeight w:val="630"/>
          <w:tblHeader/>
        </w:trPr>
        <w:tc>
          <w:tcPr>
            <w:tcW w:w="710" w:type="pct"/>
            <w:shd w:val="clear" w:color="auto" w:fill="2E75B6" w:themeFill="accent5"/>
            <w:vAlign w:val="center"/>
          </w:tcPr>
          <w:p w14:paraId="0CB0F74C" w14:textId="77777777" w:rsidR="001B6DEC" w:rsidRPr="00FA1E9F" w:rsidRDefault="001B6DEC" w:rsidP="002D5420">
            <w:pPr>
              <w:pStyle w:val="EOTableTextBold"/>
              <w:jc w:val="center"/>
              <w:rPr>
                <w:color w:val="FFFFFF" w:themeColor="background1"/>
              </w:rPr>
            </w:pPr>
            <w:r w:rsidRPr="00FA1E9F">
              <w:rPr>
                <w:color w:val="FFFFFF" w:themeColor="background1"/>
              </w:rPr>
              <w:t>Result</w:t>
            </w:r>
          </w:p>
        </w:tc>
        <w:tc>
          <w:tcPr>
            <w:tcW w:w="1941" w:type="pct"/>
            <w:shd w:val="clear" w:color="auto" w:fill="2E75B6" w:themeFill="accent5"/>
            <w:vAlign w:val="center"/>
          </w:tcPr>
          <w:p w14:paraId="7C0BCFFC" w14:textId="77777777" w:rsidR="001B6DEC" w:rsidRPr="00FA1E9F" w:rsidRDefault="001B6DEC" w:rsidP="002D5420">
            <w:pPr>
              <w:pStyle w:val="EOTableTextBold"/>
              <w:jc w:val="center"/>
              <w:rPr>
                <w:color w:val="FFFFFF" w:themeColor="background1"/>
              </w:rPr>
            </w:pPr>
            <w:r w:rsidRPr="00FA1E9F">
              <w:rPr>
                <w:color w:val="FFFFFF" w:themeColor="background1"/>
              </w:rPr>
              <w:t>Description in the Project Document</w:t>
            </w:r>
          </w:p>
        </w:tc>
        <w:tc>
          <w:tcPr>
            <w:tcW w:w="1136" w:type="pct"/>
            <w:shd w:val="clear" w:color="auto" w:fill="2E75B6" w:themeFill="accent5"/>
            <w:vAlign w:val="center"/>
          </w:tcPr>
          <w:p w14:paraId="6C36EB48" w14:textId="3132365C" w:rsidR="001B6DEC" w:rsidRPr="00FA1E9F" w:rsidRDefault="001B6DEC" w:rsidP="002D5420">
            <w:pPr>
              <w:pStyle w:val="EOTableTextBold"/>
              <w:jc w:val="center"/>
              <w:rPr>
                <w:color w:val="FFFFFF" w:themeColor="background1"/>
              </w:rPr>
            </w:pPr>
            <w:r w:rsidRPr="00FA1E9F">
              <w:rPr>
                <w:color w:val="FFFFFF" w:themeColor="background1"/>
              </w:rPr>
              <w:t>Description in the reconstructed T</w:t>
            </w:r>
            <w:r w:rsidR="00FA1E9F">
              <w:rPr>
                <w:color w:val="FFFFFF" w:themeColor="background1"/>
              </w:rPr>
              <w:t>o</w:t>
            </w:r>
            <w:r w:rsidRPr="00FA1E9F">
              <w:rPr>
                <w:color w:val="FFFFFF" w:themeColor="background1"/>
              </w:rPr>
              <w:t>C</w:t>
            </w:r>
          </w:p>
        </w:tc>
        <w:tc>
          <w:tcPr>
            <w:tcW w:w="1212" w:type="pct"/>
            <w:shd w:val="clear" w:color="auto" w:fill="2E75B6" w:themeFill="accent5"/>
            <w:vAlign w:val="center"/>
          </w:tcPr>
          <w:p w14:paraId="11ED295D" w14:textId="5826EFA6" w:rsidR="001B6DEC" w:rsidRPr="00FA1E9F" w:rsidRDefault="001B6DEC" w:rsidP="002D5420">
            <w:pPr>
              <w:pStyle w:val="EOTableTextBold"/>
              <w:jc w:val="center"/>
              <w:rPr>
                <w:color w:val="FFFFFF" w:themeColor="background1"/>
              </w:rPr>
            </w:pPr>
            <w:r w:rsidRPr="00FA1E9F">
              <w:rPr>
                <w:color w:val="FFFFFF" w:themeColor="background1"/>
              </w:rPr>
              <w:t>Justification</w:t>
            </w:r>
          </w:p>
        </w:tc>
      </w:tr>
      <w:tr w:rsidR="001B6DEC" w:rsidRPr="007450D6" w14:paraId="32C91523" w14:textId="77777777" w:rsidTr="00FA1E9F">
        <w:trPr>
          <w:trHeight w:val="217"/>
        </w:trPr>
        <w:tc>
          <w:tcPr>
            <w:tcW w:w="710" w:type="pct"/>
            <w:shd w:val="clear" w:color="auto" w:fill="D9E2F3"/>
          </w:tcPr>
          <w:p w14:paraId="2839D1FB" w14:textId="549F5BA5" w:rsidR="001B6DEC" w:rsidRPr="007450D6" w:rsidRDefault="000949F4" w:rsidP="00197D62">
            <w:pPr>
              <w:pStyle w:val="EOTableTextBold"/>
            </w:pPr>
            <w:r w:rsidRPr="007450D6">
              <w:t>Impact</w:t>
            </w:r>
          </w:p>
        </w:tc>
        <w:tc>
          <w:tcPr>
            <w:tcW w:w="1941" w:type="pct"/>
            <w:shd w:val="clear" w:color="auto" w:fill="auto"/>
          </w:tcPr>
          <w:p w14:paraId="4D39544A" w14:textId="0AA7EF90" w:rsidR="001B6DEC" w:rsidRPr="007450D6" w:rsidRDefault="000949F4" w:rsidP="00197D62">
            <w:pPr>
              <w:pStyle w:val="EOTableText"/>
              <w:rPr>
                <w:rFonts w:ascii="Times New Roman" w:hAnsi="Times New Roman"/>
                <w:sz w:val="20"/>
                <w:szCs w:val="20"/>
              </w:rPr>
            </w:pPr>
            <w:r w:rsidRPr="007450D6">
              <w:rPr>
                <w:rFonts w:ascii="Times New Roman" w:hAnsi="Times New Roman"/>
                <w:sz w:val="20"/>
                <w:szCs w:val="20"/>
              </w:rPr>
              <w:t xml:space="preserve">Goal. </w:t>
            </w:r>
            <w:r w:rsidR="003404FB" w:rsidRPr="007450D6">
              <w:rPr>
                <w:rFonts w:ascii="Times New Roman" w:hAnsi="Times New Roman"/>
                <w:sz w:val="20"/>
                <w:szCs w:val="20"/>
              </w:rPr>
              <w:t>Reduction of greenhouse gas emissions in the logistics industry and freight transport sector of Zhejiang Province</w:t>
            </w:r>
          </w:p>
        </w:tc>
        <w:tc>
          <w:tcPr>
            <w:tcW w:w="1136" w:type="pct"/>
            <w:shd w:val="clear" w:color="auto" w:fill="auto"/>
          </w:tcPr>
          <w:p w14:paraId="2B636703" w14:textId="333DB04D" w:rsidR="001B6DEC" w:rsidRPr="007450D6" w:rsidRDefault="003404FB" w:rsidP="00197D62">
            <w:pPr>
              <w:pStyle w:val="EOTableText"/>
              <w:rPr>
                <w:rFonts w:ascii="Times New Roman" w:hAnsi="Times New Roman"/>
                <w:sz w:val="20"/>
                <w:szCs w:val="20"/>
              </w:rPr>
            </w:pPr>
            <w:r w:rsidRPr="007450D6">
              <w:rPr>
                <w:rFonts w:ascii="Times New Roman" w:hAnsi="Times New Roman"/>
                <w:sz w:val="20"/>
                <w:szCs w:val="20"/>
              </w:rPr>
              <w:t>Impact. Reduction of greenhouse gas emissions in the logistics industry and freight transport sector of Zhejiang Province</w:t>
            </w:r>
          </w:p>
        </w:tc>
        <w:tc>
          <w:tcPr>
            <w:tcW w:w="1212" w:type="pct"/>
            <w:shd w:val="clear" w:color="auto" w:fill="auto"/>
          </w:tcPr>
          <w:p w14:paraId="1F73A68C" w14:textId="68C48593" w:rsidR="001B6DEC" w:rsidRPr="009E09CA" w:rsidRDefault="001B6DEC" w:rsidP="00197D62">
            <w:pPr>
              <w:pStyle w:val="EOTableText"/>
              <w:rPr>
                <w:rFonts w:ascii="Times New Roman" w:hAnsi="Times New Roman"/>
                <w:sz w:val="20"/>
                <w:szCs w:val="20"/>
              </w:rPr>
            </w:pPr>
            <w:r w:rsidRPr="009E09CA">
              <w:rPr>
                <w:rFonts w:ascii="Times New Roman" w:hAnsi="Times New Roman"/>
                <w:sz w:val="20"/>
                <w:szCs w:val="20"/>
              </w:rPr>
              <w:t xml:space="preserve">The impact of the project is related to </w:t>
            </w:r>
            <w:r w:rsidR="003404FB" w:rsidRPr="009E09CA">
              <w:rPr>
                <w:rFonts w:ascii="Times New Roman" w:hAnsi="Times New Roman"/>
                <w:sz w:val="20"/>
                <w:szCs w:val="20"/>
              </w:rPr>
              <w:t xml:space="preserve">reduced GHG emissions from the logistics sector. The </w:t>
            </w:r>
            <w:r w:rsidR="000949F4" w:rsidRPr="009E09CA">
              <w:rPr>
                <w:rFonts w:ascii="Times New Roman" w:hAnsi="Times New Roman"/>
                <w:sz w:val="20"/>
                <w:szCs w:val="20"/>
              </w:rPr>
              <w:t>impact will be achieved if LSPs adopt and maintain at large scale green logistics technologies and practices</w:t>
            </w:r>
            <w:r w:rsidR="00FA1E9F" w:rsidRPr="009E09CA">
              <w:rPr>
                <w:rFonts w:ascii="Times New Roman" w:hAnsi="Times New Roman"/>
                <w:sz w:val="20"/>
                <w:szCs w:val="20"/>
              </w:rPr>
              <w:t>.</w:t>
            </w:r>
          </w:p>
        </w:tc>
      </w:tr>
      <w:tr w:rsidR="006C0FFA" w:rsidRPr="007450D6" w14:paraId="25EC9590" w14:textId="77777777" w:rsidTr="00FA1E9F">
        <w:trPr>
          <w:trHeight w:val="217"/>
        </w:trPr>
        <w:tc>
          <w:tcPr>
            <w:tcW w:w="710" w:type="pct"/>
            <w:shd w:val="clear" w:color="auto" w:fill="D9E2F3"/>
          </w:tcPr>
          <w:p w14:paraId="20060C85" w14:textId="39909FA8" w:rsidR="006C0FFA" w:rsidRPr="007450D6" w:rsidRDefault="006C0FFA" w:rsidP="00197D62">
            <w:pPr>
              <w:pStyle w:val="EOTableTextBold"/>
            </w:pPr>
            <w:r w:rsidRPr="007450D6">
              <w:t>Intermediate state</w:t>
            </w:r>
          </w:p>
        </w:tc>
        <w:tc>
          <w:tcPr>
            <w:tcW w:w="1941" w:type="pct"/>
            <w:shd w:val="clear" w:color="auto" w:fill="auto"/>
          </w:tcPr>
          <w:p w14:paraId="231B0882" w14:textId="73E13E45" w:rsidR="006C0FFA" w:rsidRPr="009E09CA" w:rsidRDefault="000949F4" w:rsidP="00197D62">
            <w:pPr>
              <w:pStyle w:val="EOTableText"/>
              <w:rPr>
                <w:rFonts w:ascii="Times New Roman" w:hAnsi="Times New Roman"/>
                <w:sz w:val="20"/>
                <w:szCs w:val="20"/>
              </w:rPr>
            </w:pPr>
            <w:r w:rsidRPr="009E09CA">
              <w:rPr>
                <w:rFonts w:ascii="Times New Roman" w:hAnsi="Times New Roman"/>
                <w:sz w:val="20"/>
                <w:szCs w:val="20"/>
              </w:rPr>
              <w:t>Objective. Widespread application of energy efficient green logistics techniques and practices in the logistics industry in Zhejiang Province</w:t>
            </w:r>
          </w:p>
        </w:tc>
        <w:tc>
          <w:tcPr>
            <w:tcW w:w="1136" w:type="pct"/>
            <w:shd w:val="clear" w:color="auto" w:fill="auto"/>
          </w:tcPr>
          <w:p w14:paraId="5F2233EC" w14:textId="12E729C9" w:rsidR="006C0FFA" w:rsidRPr="009E09CA" w:rsidRDefault="000949F4" w:rsidP="00197D62">
            <w:pPr>
              <w:pStyle w:val="EOTableText"/>
              <w:rPr>
                <w:rFonts w:ascii="Times New Roman" w:hAnsi="Times New Roman"/>
                <w:sz w:val="20"/>
                <w:szCs w:val="20"/>
              </w:rPr>
            </w:pPr>
            <w:r w:rsidRPr="009E09CA">
              <w:rPr>
                <w:rFonts w:ascii="Times New Roman" w:hAnsi="Times New Roman"/>
                <w:sz w:val="20"/>
                <w:szCs w:val="20"/>
              </w:rPr>
              <w:t>Intermediate state. Widespread application of energy efficient green logistics techniques and practices in the logistics industry in Zhejiang Province</w:t>
            </w:r>
          </w:p>
        </w:tc>
        <w:tc>
          <w:tcPr>
            <w:tcW w:w="1212" w:type="pct"/>
            <w:shd w:val="clear" w:color="auto" w:fill="auto"/>
          </w:tcPr>
          <w:p w14:paraId="3E2ED6A0" w14:textId="3A2EE8F8" w:rsidR="006C0FFA" w:rsidRPr="009E09CA" w:rsidRDefault="000949F4" w:rsidP="00197D62">
            <w:pPr>
              <w:pStyle w:val="EOTableText"/>
              <w:rPr>
                <w:rFonts w:ascii="Times New Roman" w:hAnsi="Times New Roman"/>
                <w:sz w:val="20"/>
                <w:szCs w:val="20"/>
              </w:rPr>
            </w:pPr>
            <w:r w:rsidRPr="009E09CA">
              <w:rPr>
                <w:rFonts w:ascii="Times New Roman" w:hAnsi="Times New Roman"/>
                <w:sz w:val="20"/>
                <w:szCs w:val="20"/>
              </w:rPr>
              <w:t>The intermediate state will be achieved if the enabling environment created by the project is sufficient to incentivize</w:t>
            </w:r>
            <w:r w:rsidR="00B01651" w:rsidRPr="009E09CA">
              <w:rPr>
                <w:rFonts w:ascii="Times New Roman" w:hAnsi="Times New Roman"/>
                <w:sz w:val="20"/>
                <w:szCs w:val="20"/>
              </w:rPr>
              <w:t xml:space="preserve"> </w:t>
            </w:r>
            <w:r w:rsidR="00FA1E9F" w:rsidRPr="009E09CA">
              <w:rPr>
                <w:rFonts w:ascii="Times New Roman" w:hAnsi="Times New Roman"/>
                <w:sz w:val="20"/>
                <w:szCs w:val="20"/>
              </w:rPr>
              <w:t xml:space="preserve">a </w:t>
            </w:r>
            <w:r w:rsidR="00B01651" w:rsidRPr="009E09CA">
              <w:rPr>
                <w:rFonts w:ascii="Times New Roman" w:hAnsi="Times New Roman"/>
                <w:sz w:val="20"/>
                <w:szCs w:val="20"/>
              </w:rPr>
              <w:t>large number of</w:t>
            </w:r>
            <w:r w:rsidRPr="009E09CA">
              <w:rPr>
                <w:rFonts w:ascii="Times New Roman" w:hAnsi="Times New Roman"/>
                <w:sz w:val="20"/>
                <w:szCs w:val="20"/>
              </w:rPr>
              <w:t xml:space="preserve"> LSPs to </w:t>
            </w:r>
            <w:r w:rsidR="002D1C3D" w:rsidRPr="009E09CA">
              <w:rPr>
                <w:rFonts w:ascii="Times New Roman" w:hAnsi="Times New Roman"/>
                <w:sz w:val="20"/>
                <w:szCs w:val="20"/>
              </w:rPr>
              <w:t xml:space="preserve">adopt </w:t>
            </w:r>
            <w:r w:rsidRPr="009E09CA">
              <w:rPr>
                <w:rFonts w:ascii="Times New Roman" w:hAnsi="Times New Roman"/>
                <w:sz w:val="20"/>
                <w:szCs w:val="20"/>
              </w:rPr>
              <w:t>green logistics technologies and practices.</w:t>
            </w:r>
          </w:p>
        </w:tc>
      </w:tr>
      <w:tr w:rsidR="000949F4" w:rsidRPr="007450D6" w14:paraId="7BC331CB" w14:textId="77777777" w:rsidTr="00FA1E9F">
        <w:trPr>
          <w:trHeight w:val="217"/>
        </w:trPr>
        <w:tc>
          <w:tcPr>
            <w:tcW w:w="710" w:type="pct"/>
            <w:vMerge w:val="restart"/>
            <w:shd w:val="clear" w:color="auto" w:fill="D9E2F3"/>
          </w:tcPr>
          <w:p w14:paraId="08900003" w14:textId="77777777" w:rsidR="000949F4" w:rsidRPr="007450D6" w:rsidRDefault="000949F4" w:rsidP="00197D62">
            <w:pPr>
              <w:pStyle w:val="EOTableTextBold"/>
            </w:pPr>
            <w:r w:rsidRPr="007450D6">
              <w:t>Outcomes</w:t>
            </w:r>
          </w:p>
        </w:tc>
        <w:tc>
          <w:tcPr>
            <w:tcW w:w="1941" w:type="pct"/>
            <w:shd w:val="clear" w:color="auto" w:fill="auto"/>
          </w:tcPr>
          <w:p w14:paraId="175D2598" w14:textId="179BB76B" w:rsidR="000949F4" w:rsidRPr="009E09CA" w:rsidRDefault="000949F4" w:rsidP="00197D62">
            <w:pPr>
              <w:pStyle w:val="EOTableText"/>
              <w:rPr>
                <w:rFonts w:ascii="Times New Roman" w:hAnsi="Times New Roman"/>
                <w:sz w:val="20"/>
                <w:szCs w:val="20"/>
              </w:rPr>
            </w:pPr>
            <w:r w:rsidRPr="009E09CA">
              <w:rPr>
                <w:rFonts w:ascii="Times New Roman" w:hAnsi="Times New Roman"/>
                <w:sz w:val="20"/>
                <w:szCs w:val="20"/>
              </w:rPr>
              <w:t>1. Established and enforced policy and regulations on the application and operation of green logistics systems in the logistics industry in Zhejiang Province</w:t>
            </w:r>
          </w:p>
        </w:tc>
        <w:tc>
          <w:tcPr>
            <w:tcW w:w="1136" w:type="pct"/>
            <w:shd w:val="clear" w:color="auto" w:fill="auto"/>
          </w:tcPr>
          <w:p w14:paraId="6B77FC07" w14:textId="4F7FDF02" w:rsidR="000949F4" w:rsidRPr="009E09CA" w:rsidRDefault="000949F4" w:rsidP="00197D62">
            <w:pPr>
              <w:pStyle w:val="EOTableText"/>
              <w:rPr>
                <w:rFonts w:ascii="Times New Roman" w:hAnsi="Times New Roman"/>
                <w:sz w:val="20"/>
                <w:szCs w:val="20"/>
              </w:rPr>
            </w:pPr>
            <w:r w:rsidRPr="009E09CA">
              <w:rPr>
                <w:rFonts w:ascii="Times New Roman" w:hAnsi="Times New Roman"/>
                <w:sz w:val="20"/>
                <w:szCs w:val="20"/>
              </w:rPr>
              <w:t>1. Established and enforced policy</w:t>
            </w:r>
            <w:r w:rsidR="008F10CB" w:rsidRPr="009E09CA">
              <w:rPr>
                <w:rFonts w:ascii="Times New Roman" w:hAnsi="Times New Roman"/>
                <w:sz w:val="20"/>
                <w:szCs w:val="20"/>
              </w:rPr>
              <w:t>,</w:t>
            </w:r>
            <w:r w:rsidRPr="009E09CA">
              <w:rPr>
                <w:rFonts w:ascii="Times New Roman" w:hAnsi="Times New Roman"/>
                <w:sz w:val="20"/>
                <w:szCs w:val="20"/>
              </w:rPr>
              <w:t xml:space="preserve"> regulations</w:t>
            </w:r>
            <w:r w:rsidR="008F10CB" w:rsidRPr="009E09CA">
              <w:rPr>
                <w:rFonts w:ascii="Times New Roman" w:hAnsi="Times New Roman"/>
                <w:sz w:val="20"/>
                <w:szCs w:val="20"/>
              </w:rPr>
              <w:t xml:space="preserve">, standards and incentive schemes for </w:t>
            </w:r>
            <w:r w:rsidRPr="009E09CA">
              <w:rPr>
                <w:rFonts w:ascii="Times New Roman" w:hAnsi="Times New Roman"/>
                <w:sz w:val="20"/>
                <w:szCs w:val="20"/>
              </w:rPr>
              <w:t>the application and operation of green logistics systems in the logistics industry in Zhejiang Province</w:t>
            </w:r>
          </w:p>
        </w:tc>
        <w:tc>
          <w:tcPr>
            <w:tcW w:w="1212" w:type="pct"/>
            <w:shd w:val="clear" w:color="auto" w:fill="auto"/>
          </w:tcPr>
          <w:p w14:paraId="750C8124" w14:textId="4F4074A3" w:rsidR="000949F4" w:rsidRPr="009E09CA" w:rsidRDefault="008F10CB" w:rsidP="008F10CB">
            <w:pPr>
              <w:pStyle w:val="EOTableText"/>
              <w:rPr>
                <w:rFonts w:ascii="Times New Roman" w:hAnsi="Times New Roman"/>
                <w:sz w:val="20"/>
                <w:szCs w:val="20"/>
              </w:rPr>
            </w:pPr>
            <w:r w:rsidRPr="009E09CA">
              <w:rPr>
                <w:rFonts w:ascii="Times New Roman" w:hAnsi="Times New Roman"/>
                <w:sz w:val="20"/>
                <w:szCs w:val="20"/>
              </w:rPr>
              <w:t xml:space="preserve">As originally stated, the definition of outcome 1 may restrict the results from component 1 to </w:t>
            </w:r>
            <w:r w:rsidRPr="009E09CA">
              <w:rPr>
                <w:rFonts w:ascii="Times New Roman" w:hAnsi="Times New Roman"/>
                <w:i/>
                <w:iCs/>
                <w:sz w:val="20"/>
                <w:szCs w:val="20"/>
              </w:rPr>
              <w:t xml:space="preserve">policies and regulations. </w:t>
            </w:r>
            <w:r w:rsidRPr="009E09CA">
              <w:rPr>
                <w:rFonts w:ascii="Times New Roman" w:hAnsi="Times New Roman"/>
                <w:sz w:val="20"/>
                <w:szCs w:val="20"/>
              </w:rPr>
              <w:t xml:space="preserve">However, a detailed inspection of the activities and outputs described in the ProDoc and reported by the project, it becomes clear the intended purposed of outcome was to develop </w:t>
            </w:r>
            <w:r w:rsidR="00FA1E9F" w:rsidRPr="009E09CA">
              <w:rPr>
                <w:rFonts w:ascii="Times New Roman" w:hAnsi="Times New Roman"/>
                <w:sz w:val="20"/>
                <w:szCs w:val="20"/>
              </w:rPr>
              <w:t xml:space="preserve">a </w:t>
            </w:r>
            <w:r w:rsidRPr="009E09CA">
              <w:rPr>
                <w:rFonts w:ascii="Times New Roman" w:hAnsi="Times New Roman"/>
                <w:sz w:val="20"/>
                <w:szCs w:val="20"/>
              </w:rPr>
              <w:t xml:space="preserve">broader range of instruments, including </w:t>
            </w:r>
            <w:r w:rsidRPr="009E09CA">
              <w:rPr>
                <w:rFonts w:ascii="Times New Roman" w:hAnsi="Times New Roman"/>
                <w:i/>
                <w:iCs/>
                <w:sz w:val="20"/>
                <w:szCs w:val="20"/>
              </w:rPr>
              <w:t>standards and incentive schemes.</w:t>
            </w:r>
          </w:p>
        </w:tc>
      </w:tr>
      <w:tr w:rsidR="001B6DEC" w:rsidRPr="007450D6" w14:paraId="4058F992" w14:textId="77777777" w:rsidTr="00FA1E9F">
        <w:trPr>
          <w:trHeight w:val="217"/>
        </w:trPr>
        <w:tc>
          <w:tcPr>
            <w:tcW w:w="710" w:type="pct"/>
            <w:vMerge/>
            <w:shd w:val="clear" w:color="auto" w:fill="D9E2F3"/>
          </w:tcPr>
          <w:p w14:paraId="0A5A325C" w14:textId="77777777" w:rsidR="001B6DEC" w:rsidRPr="007450D6" w:rsidRDefault="001B6DEC" w:rsidP="00197D62">
            <w:pPr>
              <w:pStyle w:val="EOTableTextBold"/>
            </w:pPr>
          </w:p>
        </w:tc>
        <w:tc>
          <w:tcPr>
            <w:tcW w:w="1941" w:type="pct"/>
            <w:shd w:val="clear" w:color="auto" w:fill="auto"/>
          </w:tcPr>
          <w:p w14:paraId="414A9F68" w14:textId="5D334DF9" w:rsidR="001B6DEC" w:rsidRPr="009E09CA" w:rsidRDefault="000949F4" w:rsidP="00197D62">
            <w:pPr>
              <w:pStyle w:val="EOTableText"/>
              <w:rPr>
                <w:rFonts w:ascii="Times New Roman" w:hAnsi="Times New Roman"/>
                <w:sz w:val="20"/>
                <w:szCs w:val="20"/>
              </w:rPr>
            </w:pPr>
            <w:r w:rsidRPr="009E09CA">
              <w:rPr>
                <w:rFonts w:ascii="Times New Roman" w:hAnsi="Times New Roman"/>
                <w:sz w:val="20"/>
                <w:szCs w:val="20"/>
              </w:rPr>
              <w:t>2. Improved energy efficiency in the materials management and physical distribution activities in the logistics industry in Zhejiang Province</w:t>
            </w:r>
          </w:p>
        </w:tc>
        <w:tc>
          <w:tcPr>
            <w:tcW w:w="1136" w:type="pct"/>
            <w:shd w:val="clear" w:color="auto" w:fill="auto"/>
          </w:tcPr>
          <w:p w14:paraId="66D22428" w14:textId="0827049E" w:rsidR="001B6DEC" w:rsidRPr="009E09CA" w:rsidRDefault="000949F4" w:rsidP="00197D62">
            <w:pPr>
              <w:pStyle w:val="EOTableText"/>
              <w:rPr>
                <w:rFonts w:ascii="Times New Roman" w:hAnsi="Times New Roman"/>
                <w:sz w:val="20"/>
                <w:szCs w:val="20"/>
              </w:rPr>
            </w:pPr>
            <w:r w:rsidRPr="009E09CA">
              <w:rPr>
                <w:rFonts w:ascii="Times New Roman" w:hAnsi="Times New Roman"/>
                <w:sz w:val="20"/>
                <w:szCs w:val="20"/>
              </w:rPr>
              <w:t>2. Demonstrated technologies and practices for improved energy efficiency in the materials management and physical distribution activities in the logistics industry in Zhejiang Province</w:t>
            </w:r>
          </w:p>
        </w:tc>
        <w:tc>
          <w:tcPr>
            <w:tcW w:w="1212" w:type="pct"/>
            <w:shd w:val="clear" w:color="auto" w:fill="auto"/>
          </w:tcPr>
          <w:p w14:paraId="7CC8D9D0" w14:textId="39290A59" w:rsidR="001B6DEC" w:rsidRPr="009E09CA" w:rsidRDefault="000949F4" w:rsidP="00197D62">
            <w:pPr>
              <w:pStyle w:val="EOTableText"/>
              <w:rPr>
                <w:rFonts w:ascii="Times New Roman" w:hAnsi="Times New Roman"/>
                <w:sz w:val="20"/>
                <w:szCs w:val="20"/>
              </w:rPr>
            </w:pPr>
            <w:r w:rsidRPr="009E09CA">
              <w:rPr>
                <w:rFonts w:ascii="Times New Roman" w:hAnsi="Times New Roman"/>
                <w:sz w:val="20"/>
                <w:szCs w:val="20"/>
              </w:rPr>
              <w:t xml:space="preserve">As </w:t>
            </w:r>
            <w:r w:rsidR="002440F1" w:rsidRPr="009E09CA">
              <w:rPr>
                <w:rFonts w:ascii="Times New Roman" w:hAnsi="Times New Roman"/>
                <w:sz w:val="20"/>
                <w:szCs w:val="20"/>
              </w:rPr>
              <w:t xml:space="preserve">originally </w:t>
            </w:r>
            <w:r w:rsidRPr="009E09CA">
              <w:rPr>
                <w:rFonts w:ascii="Times New Roman" w:hAnsi="Times New Roman"/>
                <w:sz w:val="20"/>
                <w:szCs w:val="20"/>
              </w:rPr>
              <w:t xml:space="preserve">stated, outcome 2 goes beyond the expected results from component 2 and </w:t>
            </w:r>
            <w:r w:rsidR="002440F1" w:rsidRPr="009E09CA">
              <w:rPr>
                <w:rFonts w:ascii="Times New Roman" w:hAnsi="Times New Roman"/>
                <w:sz w:val="20"/>
                <w:szCs w:val="20"/>
              </w:rPr>
              <w:t xml:space="preserve">describes the final state of the logistics industry Zhejiang Province, by the time the goal is achieved. </w:t>
            </w:r>
          </w:p>
        </w:tc>
      </w:tr>
      <w:tr w:rsidR="001B6DEC" w:rsidRPr="007450D6" w14:paraId="75D15ACE" w14:textId="77777777" w:rsidTr="00FA1E9F">
        <w:trPr>
          <w:trHeight w:val="217"/>
        </w:trPr>
        <w:tc>
          <w:tcPr>
            <w:tcW w:w="710" w:type="pct"/>
            <w:vMerge/>
            <w:shd w:val="clear" w:color="auto" w:fill="D9E2F3"/>
          </w:tcPr>
          <w:p w14:paraId="306B3D5E" w14:textId="77777777" w:rsidR="001B6DEC" w:rsidRPr="007450D6" w:rsidRDefault="001B6DEC" w:rsidP="00197D62">
            <w:pPr>
              <w:pStyle w:val="EOTableTextBold"/>
            </w:pPr>
          </w:p>
        </w:tc>
        <w:tc>
          <w:tcPr>
            <w:tcW w:w="1941" w:type="pct"/>
            <w:shd w:val="clear" w:color="auto" w:fill="auto"/>
          </w:tcPr>
          <w:p w14:paraId="1D1E0522" w14:textId="254C33D3" w:rsidR="001B6DEC" w:rsidRPr="009E09CA" w:rsidRDefault="001B6DEC" w:rsidP="00197D62">
            <w:pPr>
              <w:pStyle w:val="EOTableText"/>
              <w:rPr>
                <w:rFonts w:ascii="Times New Roman" w:hAnsi="Times New Roman"/>
                <w:sz w:val="20"/>
                <w:szCs w:val="20"/>
              </w:rPr>
            </w:pPr>
            <w:r w:rsidRPr="009E09CA">
              <w:rPr>
                <w:rFonts w:ascii="Times New Roman" w:hAnsi="Times New Roman"/>
                <w:sz w:val="20"/>
                <w:szCs w:val="20"/>
              </w:rPr>
              <w:t xml:space="preserve">3. </w:t>
            </w:r>
            <w:r w:rsidR="002440F1" w:rsidRPr="009E09CA">
              <w:rPr>
                <w:rFonts w:ascii="Times New Roman" w:hAnsi="Times New Roman"/>
                <w:sz w:val="20"/>
                <w:szCs w:val="20"/>
              </w:rPr>
              <w:t xml:space="preserve">Increased application and utilization of energy efficient materials management </w:t>
            </w:r>
            <w:r w:rsidR="002440F1" w:rsidRPr="009E09CA">
              <w:rPr>
                <w:rFonts w:ascii="Times New Roman" w:hAnsi="Times New Roman"/>
                <w:sz w:val="20"/>
                <w:szCs w:val="20"/>
              </w:rPr>
              <w:lastRenderedPageBreak/>
              <w:t>and physical distribution techniques, technologies and practices in the logistics and manufacturing industries in Zhejiang Province</w:t>
            </w:r>
          </w:p>
        </w:tc>
        <w:tc>
          <w:tcPr>
            <w:tcW w:w="1136" w:type="pct"/>
            <w:shd w:val="clear" w:color="auto" w:fill="auto"/>
          </w:tcPr>
          <w:p w14:paraId="23B7B5DB" w14:textId="11DBF13D" w:rsidR="001B6DEC" w:rsidRPr="009E09CA" w:rsidRDefault="001B6DEC" w:rsidP="00197D62">
            <w:pPr>
              <w:pStyle w:val="EOTableText"/>
              <w:rPr>
                <w:rFonts w:ascii="Times New Roman" w:hAnsi="Times New Roman"/>
                <w:sz w:val="20"/>
                <w:szCs w:val="20"/>
              </w:rPr>
            </w:pPr>
            <w:r w:rsidRPr="009E09CA">
              <w:rPr>
                <w:rFonts w:ascii="Times New Roman" w:hAnsi="Times New Roman"/>
                <w:sz w:val="20"/>
                <w:szCs w:val="20"/>
              </w:rPr>
              <w:lastRenderedPageBreak/>
              <w:t xml:space="preserve">3. </w:t>
            </w:r>
            <w:r w:rsidR="002440F1" w:rsidRPr="009E09CA">
              <w:rPr>
                <w:rFonts w:ascii="Times New Roman" w:hAnsi="Times New Roman"/>
                <w:sz w:val="20"/>
                <w:szCs w:val="20"/>
              </w:rPr>
              <w:t xml:space="preserve">Improved capacities and access to </w:t>
            </w:r>
            <w:r w:rsidR="002440F1" w:rsidRPr="009E09CA">
              <w:rPr>
                <w:rFonts w:ascii="Times New Roman" w:hAnsi="Times New Roman"/>
                <w:sz w:val="20"/>
                <w:szCs w:val="20"/>
              </w:rPr>
              <w:lastRenderedPageBreak/>
              <w:t>information on green logistics systems among authorities and LSPs in Zhejiang Province</w:t>
            </w:r>
          </w:p>
        </w:tc>
        <w:tc>
          <w:tcPr>
            <w:tcW w:w="1212" w:type="pct"/>
            <w:shd w:val="clear" w:color="auto" w:fill="auto"/>
          </w:tcPr>
          <w:p w14:paraId="59C8577E" w14:textId="00929147" w:rsidR="001B6DEC" w:rsidRPr="009E09CA" w:rsidRDefault="002440F1" w:rsidP="00197D62">
            <w:pPr>
              <w:pStyle w:val="EOTableText"/>
              <w:rPr>
                <w:rFonts w:ascii="Times New Roman" w:hAnsi="Times New Roman"/>
                <w:sz w:val="20"/>
                <w:szCs w:val="20"/>
              </w:rPr>
            </w:pPr>
            <w:r w:rsidRPr="009E09CA">
              <w:rPr>
                <w:rFonts w:ascii="Times New Roman" w:hAnsi="Times New Roman"/>
                <w:sz w:val="20"/>
                <w:szCs w:val="20"/>
              </w:rPr>
              <w:lastRenderedPageBreak/>
              <w:t xml:space="preserve">As originally stated, outcome 3 is a </w:t>
            </w:r>
            <w:r w:rsidRPr="009E09CA">
              <w:rPr>
                <w:rFonts w:ascii="Times New Roman" w:hAnsi="Times New Roman"/>
                <w:sz w:val="20"/>
                <w:szCs w:val="20"/>
              </w:rPr>
              <w:lastRenderedPageBreak/>
              <w:t xml:space="preserve">rephrasing of outcome 2 and, like outcome 2, goes beyond the expected results from component 3. </w:t>
            </w:r>
          </w:p>
        </w:tc>
      </w:tr>
      <w:tr w:rsidR="002440F1" w:rsidRPr="007450D6" w14:paraId="5C4D152B" w14:textId="77777777" w:rsidTr="00FA1E9F">
        <w:trPr>
          <w:trHeight w:val="444"/>
        </w:trPr>
        <w:tc>
          <w:tcPr>
            <w:tcW w:w="710" w:type="pct"/>
            <w:vMerge w:val="restart"/>
            <w:shd w:val="clear" w:color="auto" w:fill="D9E2F3"/>
          </w:tcPr>
          <w:p w14:paraId="7B958F76" w14:textId="77777777" w:rsidR="002440F1" w:rsidRPr="007450D6" w:rsidRDefault="002440F1" w:rsidP="00197D62">
            <w:pPr>
              <w:pStyle w:val="EOTableTextBold"/>
            </w:pPr>
            <w:r w:rsidRPr="007450D6">
              <w:lastRenderedPageBreak/>
              <w:t>Outputs</w:t>
            </w:r>
          </w:p>
        </w:tc>
        <w:tc>
          <w:tcPr>
            <w:tcW w:w="1941" w:type="pct"/>
            <w:shd w:val="clear" w:color="auto" w:fill="auto"/>
          </w:tcPr>
          <w:p w14:paraId="33ADA12C" w14:textId="0F3F8C16"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1.1. Completed analysis of: (1) the energy use trends and GHG emissions from the operation of the logistics industry (materials management and physical distribution) in Zhejiang Province as basis for formulating policies; and, (2) green logistics systems developed and implemented in other countries and the performance and results of their applications.</w:t>
            </w:r>
          </w:p>
        </w:tc>
        <w:tc>
          <w:tcPr>
            <w:tcW w:w="1136" w:type="pct"/>
            <w:shd w:val="clear" w:color="auto" w:fill="auto"/>
          </w:tcPr>
          <w:p w14:paraId="48A3E14D" w14:textId="77777777"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No recommended changes.</w:t>
            </w:r>
          </w:p>
          <w:p w14:paraId="270CDFD7" w14:textId="4A0DBE9A" w:rsidR="002440F1" w:rsidRPr="007450D6" w:rsidRDefault="002440F1" w:rsidP="00197D62">
            <w:pPr>
              <w:pStyle w:val="EOTableText"/>
              <w:rPr>
                <w:rFonts w:ascii="Times New Roman" w:hAnsi="Times New Roman"/>
                <w:sz w:val="20"/>
                <w:szCs w:val="20"/>
              </w:rPr>
            </w:pPr>
          </w:p>
        </w:tc>
        <w:tc>
          <w:tcPr>
            <w:tcW w:w="1212" w:type="pct"/>
            <w:shd w:val="clear" w:color="auto" w:fill="auto"/>
          </w:tcPr>
          <w:p w14:paraId="32B81D69" w14:textId="3C493CBA" w:rsidR="00B42C12" w:rsidRPr="009E09CA" w:rsidRDefault="00B42C12" w:rsidP="00197D62">
            <w:pPr>
              <w:pStyle w:val="EOTableText"/>
              <w:rPr>
                <w:rFonts w:ascii="Times New Roman" w:hAnsi="Times New Roman"/>
                <w:sz w:val="20"/>
                <w:szCs w:val="20"/>
              </w:rPr>
            </w:pPr>
            <w:r w:rsidRPr="009E09CA">
              <w:rPr>
                <w:rFonts w:ascii="Times New Roman" w:hAnsi="Times New Roman"/>
                <w:sz w:val="20"/>
                <w:szCs w:val="20"/>
              </w:rPr>
              <w:t>N.A.</w:t>
            </w:r>
          </w:p>
        </w:tc>
      </w:tr>
      <w:tr w:rsidR="001B6DEC" w:rsidRPr="007450D6" w14:paraId="7276778E" w14:textId="77777777" w:rsidTr="00FA1E9F">
        <w:trPr>
          <w:trHeight w:val="217"/>
        </w:trPr>
        <w:tc>
          <w:tcPr>
            <w:tcW w:w="710" w:type="pct"/>
            <w:vMerge/>
            <w:shd w:val="clear" w:color="auto" w:fill="D9E2F3"/>
          </w:tcPr>
          <w:p w14:paraId="1431EC2A" w14:textId="77777777" w:rsidR="001B6DEC" w:rsidRPr="007450D6" w:rsidRDefault="001B6DEC" w:rsidP="00197D62">
            <w:pPr>
              <w:pStyle w:val="EOTableTextBold"/>
            </w:pPr>
          </w:p>
        </w:tc>
        <w:tc>
          <w:tcPr>
            <w:tcW w:w="1941" w:type="pct"/>
            <w:shd w:val="clear" w:color="auto" w:fill="auto"/>
          </w:tcPr>
          <w:p w14:paraId="5A3DBD0E" w14:textId="4BAD5C0E" w:rsidR="001B6DEC"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1.2. Formulated, recommended, and implemented standards, policies, incentive schemes and implementing rules and regulations on the promotion and adoption of green logistics the logistics industry in Zhejiang Province.</w:t>
            </w:r>
          </w:p>
        </w:tc>
        <w:tc>
          <w:tcPr>
            <w:tcW w:w="1136" w:type="pct"/>
            <w:shd w:val="clear" w:color="auto" w:fill="auto"/>
          </w:tcPr>
          <w:p w14:paraId="2DF894C4" w14:textId="77777777"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No recommended changes.</w:t>
            </w:r>
          </w:p>
          <w:p w14:paraId="0D8AABF7" w14:textId="49ED418D" w:rsidR="001B6DEC" w:rsidRPr="007450D6" w:rsidRDefault="001B6DEC" w:rsidP="00197D62">
            <w:pPr>
              <w:pStyle w:val="EOTableText"/>
              <w:rPr>
                <w:rFonts w:ascii="Times New Roman" w:hAnsi="Times New Roman"/>
                <w:sz w:val="20"/>
                <w:szCs w:val="20"/>
              </w:rPr>
            </w:pPr>
          </w:p>
        </w:tc>
        <w:tc>
          <w:tcPr>
            <w:tcW w:w="1212" w:type="pct"/>
            <w:shd w:val="clear" w:color="auto" w:fill="auto"/>
          </w:tcPr>
          <w:p w14:paraId="1BF3C919" w14:textId="29A1B0C0" w:rsidR="001B6DEC" w:rsidRPr="007450D6" w:rsidRDefault="00B42C12" w:rsidP="00197D62">
            <w:pPr>
              <w:pStyle w:val="EOTableText"/>
              <w:rPr>
                <w:rFonts w:ascii="Times New Roman" w:hAnsi="Times New Roman"/>
                <w:sz w:val="20"/>
                <w:szCs w:val="20"/>
              </w:rPr>
            </w:pPr>
            <w:r>
              <w:rPr>
                <w:rFonts w:ascii="Times New Roman" w:hAnsi="Times New Roman"/>
                <w:sz w:val="20"/>
                <w:szCs w:val="20"/>
              </w:rPr>
              <w:t>N.A.</w:t>
            </w:r>
          </w:p>
        </w:tc>
      </w:tr>
      <w:tr w:rsidR="001B6DEC" w:rsidRPr="007450D6" w14:paraId="391593F3" w14:textId="77777777" w:rsidTr="00FA1E9F">
        <w:trPr>
          <w:trHeight w:val="1726"/>
        </w:trPr>
        <w:tc>
          <w:tcPr>
            <w:tcW w:w="710" w:type="pct"/>
            <w:vMerge/>
            <w:shd w:val="clear" w:color="auto" w:fill="D9E2F3"/>
          </w:tcPr>
          <w:p w14:paraId="45D57A9F" w14:textId="77777777" w:rsidR="001B6DEC" w:rsidRPr="007450D6" w:rsidRDefault="001B6DEC" w:rsidP="00197D62">
            <w:pPr>
              <w:pStyle w:val="EOTableTextBold"/>
            </w:pPr>
          </w:p>
        </w:tc>
        <w:tc>
          <w:tcPr>
            <w:tcW w:w="1941" w:type="pct"/>
            <w:shd w:val="clear" w:color="auto" w:fill="auto"/>
          </w:tcPr>
          <w:p w14:paraId="29CDFF4D" w14:textId="45AD9587" w:rsidR="001B6DEC"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1.3.  Published and disseminated guides and reference documents for the application of energy conserving and energy efficient practices in the logistics industry</w:t>
            </w:r>
          </w:p>
        </w:tc>
        <w:tc>
          <w:tcPr>
            <w:tcW w:w="1136" w:type="pct"/>
            <w:shd w:val="clear" w:color="auto" w:fill="auto"/>
          </w:tcPr>
          <w:p w14:paraId="5EC80922" w14:textId="3594FA95" w:rsidR="001B6DEC"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3.7.  Published and disseminated guides and reference documents for the application of energy conserving and energy efficient practices in the logistics industry</w:t>
            </w:r>
          </w:p>
        </w:tc>
        <w:tc>
          <w:tcPr>
            <w:tcW w:w="1212" w:type="pct"/>
            <w:shd w:val="clear" w:color="auto" w:fill="auto"/>
          </w:tcPr>
          <w:p w14:paraId="6DA048CB" w14:textId="0D25BDDA" w:rsidR="001B6DEC" w:rsidRPr="009E09CA" w:rsidRDefault="002440F1" w:rsidP="00197D62">
            <w:pPr>
              <w:pStyle w:val="EOTableText"/>
              <w:rPr>
                <w:rFonts w:ascii="Times New Roman" w:hAnsi="Times New Roman"/>
                <w:sz w:val="20"/>
                <w:szCs w:val="20"/>
              </w:rPr>
            </w:pPr>
            <w:r w:rsidRPr="009E09CA">
              <w:rPr>
                <w:rFonts w:ascii="Times New Roman" w:hAnsi="Times New Roman"/>
                <w:sz w:val="20"/>
                <w:szCs w:val="20"/>
              </w:rPr>
              <w:t xml:space="preserve">Output 1.3., as described in the ProDoc, is better listed under component 3 as it contributes to the causal pathway on improved access to knowledge. </w:t>
            </w:r>
          </w:p>
        </w:tc>
      </w:tr>
      <w:tr w:rsidR="001B6DEC" w:rsidRPr="007450D6" w14:paraId="10C92DE3" w14:textId="77777777" w:rsidTr="00FA1E9F">
        <w:trPr>
          <w:trHeight w:val="217"/>
        </w:trPr>
        <w:tc>
          <w:tcPr>
            <w:tcW w:w="710" w:type="pct"/>
            <w:vMerge/>
            <w:shd w:val="clear" w:color="auto" w:fill="D9E2F3"/>
          </w:tcPr>
          <w:p w14:paraId="0BD9A307" w14:textId="77777777" w:rsidR="001B6DEC" w:rsidRPr="007450D6" w:rsidRDefault="001B6DEC" w:rsidP="00197D62">
            <w:pPr>
              <w:pStyle w:val="EOTableTextBold"/>
            </w:pPr>
          </w:p>
        </w:tc>
        <w:tc>
          <w:tcPr>
            <w:tcW w:w="1941" w:type="pct"/>
            <w:shd w:val="clear" w:color="auto" w:fill="auto"/>
          </w:tcPr>
          <w:p w14:paraId="374FFD8A" w14:textId="7BC29C24" w:rsidR="001B6DEC"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1.4. Approved follow-up plan for the replication of the applications of the piloted green logistics policies in Zhejiang Province in other provinces and cities</w:t>
            </w:r>
          </w:p>
        </w:tc>
        <w:tc>
          <w:tcPr>
            <w:tcW w:w="1136" w:type="pct"/>
            <w:shd w:val="clear" w:color="auto" w:fill="auto"/>
          </w:tcPr>
          <w:p w14:paraId="12BE613D" w14:textId="066CDD62" w:rsidR="001B6DEC"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1.3. Approved follow-up plan for the replication of the applications of the piloted green logistics policies in Zhejiang Province in other provinces and cities</w:t>
            </w:r>
            <w:r w:rsidR="001B6DEC" w:rsidRPr="007450D6">
              <w:rPr>
                <w:rFonts w:ascii="Times New Roman" w:hAnsi="Times New Roman"/>
                <w:sz w:val="20"/>
                <w:szCs w:val="20"/>
              </w:rPr>
              <w:t>.</w:t>
            </w:r>
          </w:p>
        </w:tc>
        <w:tc>
          <w:tcPr>
            <w:tcW w:w="1212" w:type="pct"/>
            <w:shd w:val="clear" w:color="auto" w:fill="auto"/>
          </w:tcPr>
          <w:p w14:paraId="2CA52D4A" w14:textId="0BEA0130" w:rsidR="001B6DEC" w:rsidRPr="009E09CA" w:rsidRDefault="002440F1" w:rsidP="00197D62">
            <w:pPr>
              <w:pStyle w:val="EOTableText"/>
              <w:rPr>
                <w:rFonts w:ascii="Times New Roman" w:hAnsi="Times New Roman"/>
                <w:sz w:val="20"/>
                <w:szCs w:val="20"/>
              </w:rPr>
            </w:pPr>
            <w:r w:rsidRPr="009E09CA">
              <w:rPr>
                <w:rFonts w:ascii="Times New Roman" w:hAnsi="Times New Roman"/>
                <w:sz w:val="20"/>
                <w:szCs w:val="20"/>
              </w:rPr>
              <w:t>Renumbering of the output, after moving output 1.3. to component 3.</w:t>
            </w:r>
          </w:p>
          <w:p w14:paraId="57C73856" w14:textId="77777777" w:rsidR="001B6DEC" w:rsidRPr="009E09CA" w:rsidRDefault="001B6DEC" w:rsidP="00197D62">
            <w:pPr>
              <w:pStyle w:val="EOTableText"/>
              <w:rPr>
                <w:rFonts w:ascii="Times New Roman" w:hAnsi="Times New Roman"/>
                <w:sz w:val="20"/>
                <w:szCs w:val="20"/>
              </w:rPr>
            </w:pPr>
          </w:p>
        </w:tc>
      </w:tr>
      <w:tr w:rsidR="001B6DEC" w:rsidRPr="007450D6" w14:paraId="04549A80" w14:textId="77777777" w:rsidTr="00FA1E9F">
        <w:trPr>
          <w:trHeight w:val="217"/>
        </w:trPr>
        <w:tc>
          <w:tcPr>
            <w:tcW w:w="710" w:type="pct"/>
            <w:vMerge/>
            <w:shd w:val="clear" w:color="auto" w:fill="D9E2F3"/>
          </w:tcPr>
          <w:p w14:paraId="10F20D7F" w14:textId="77777777" w:rsidR="001B6DEC" w:rsidRPr="007450D6" w:rsidRDefault="001B6DEC" w:rsidP="00197D62">
            <w:pPr>
              <w:pStyle w:val="EOTableTextBold"/>
            </w:pPr>
          </w:p>
        </w:tc>
        <w:tc>
          <w:tcPr>
            <w:tcW w:w="1941" w:type="pct"/>
            <w:shd w:val="clear" w:color="auto" w:fill="auto"/>
          </w:tcPr>
          <w:p w14:paraId="30FC852C" w14:textId="518E40F3" w:rsidR="001B6DEC"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2.1. Completed designs of energy efficient materials management demonstrations focusing on using energy efficient materials management systems in packaging, warehousing, cold storage, etc., in the logistics industry in Zhejiang Province</w:t>
            </w:r>
          </w:p>
        </w:tc>
        <w:tc>
          <w:tcPr>
            <w:tcW w:w="1136" w:type="pct"/>
            <w:shd w:val="clear" w:color="auto" w:fill="auto"/>
          </w:tcPr>
          <w:p w14:paraId="20DEC0F0" w14:textId="77777777"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No recommended changes.</w:t>
            </w:r>
          </w:p>
          <w:p w14:paraId="628DC020" w14:textId="409EA2F7" w:rsidR="001B6DEC" w:rsidRPr="007450D6" w:rsidRDefault="001B6DEC" w:rsidP="00197D62">
            <w:pPr>
              <w:pStyle w:val="EOTableText"/>
              <w:rPr>
                <w:rFonts w:ascii="Times New Roman" w:hAnsi="Times New Roman"/>
                <w:sz w:val="20"/>
                <w:szCs w:val="20"/>
              </w:rPr>
            </w:pPr>
          </w:p>
        </w:tc>
        <w:tc>
          <w:tcPr>
            <w:tcW w:w="1212" w:type="pct"/>
            <w:shd w:val="clear" w:color="auto" w:fill="auto"/>
          </w:tcPr>
          <w:p w14:paraId="587E677A" w14:textId="6D53CD92" w:rsidR="001B6DEC" w:rsidRPr="007450D6" w:rsidRDefault="00B42C12" w:rsidP="00197D62">
            <w:pPr>
              <w:pStyle w:val="EOTableText"/>
              <w:rPr>
                <w:rFonts w:ascii="Times New Roman" w:hAnsi="Times New Roman"/>
                <w:sz w:val="20"/>
                <w:szCs w:val="20"/>
              </w:rPr>
            </w:pPr>
            <w:r>
              <w:rPr>
                <w:rFonts w:ascii="Times New Roman" w:hAnsi="Times New Roman"/>
                <w:sz w:val="20"/>
                <w:szCs w:val="20"/>
              </w:rPr>
              <w:t>N.A.</w:t>
            </w:r>
          </w:p>
        </w:tc>
      </w:tr>
      <w:tr w:rsidR="001B6DEC" w:rsidRPr="007450D6" w14:paraId="294B050D" w14:textId="77777777" w:rsidTr="00FA1E9F">
        <w:trPr>
          <w:trHeight w:val="217"/>
        </w:trPr>
        <w:tc>
          <w:tcPr>
            <w:tcW w:w="710" w:type="pct"/>
            <w:vMerge/>
            <w:shd w:val="clear" w:color="auto" w:fill="D9E2F3"/>
          </w:tcPr>
          <w:p w14:paraId="3CB7D88C" w14:textId="77777777" w:rsidR="001B6DEC" w:rsidRPr="007450D6" w:rsidRDefault="001B6DEC" w:rsidP="00197D62">
            <w:pPr>
              <w:pStyle w:val="EOTableTextBold"/>
            </w:pPr>
          </w:p>
        </w:tc>
        <w:tc>
          <w:tcPr>
            <w:tcW w:w="1941" w:type="pct"/>
            <w:shd w:val="clear" w:color="auto" w:fill="auto"/>
          </w:tcPr>
          <w:p w14:paraId="73FB479A" w14:textId="41D31E38" w:rsidR="001B6DEC"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2.2. Completed designs of energy efficient physical distribution demonstrations focusing on integrated multi-modal transport systems and reduction of empty load rates in the freight transport operations of the logistics in Zhejiang Province</w:t>
            </w:r>
          </w:p>
        </w:tc>
        <w:tc>
          <w:tcPr>
            <w:tcW w:w="1136" w:type="pct"/>
            <w:shd w:val="clear" w:color="auto" w:fill="auto"/>
          </w:tcPr>
          <w:p w14:paraId="3F5CA990" w14:textId="77777777"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No recommended changes.</w:t>
            </w:r>
          </w:p>
          <w:p w14:paraId="09F6C97F" w14:textId="251C079C" w:rsidR="001B6DEC" w:rsidRPr="007450D6" w:rsidRDefault="001B6DEC" w:rsidP="00197D62">
            <w:pPr>
              <w:pStyle w:val="EOTableText"/>
              <w:rPr>
                <w:rFonts w:ascii="Times New Roman" w:hAnsi="Times New Roman"/>
                <w:sz w:val="20"/>
                <w:szCs w:val="20"/>
              </w:rPr>
            </w:pPr>
          </w:p>
        </w:tc>
        <w:tc>
          <w:tcPr>
            <w:tcW w:w="1212" w:type="pct"/>
            <w:shd w:val="clear" w:color="auto" w:fill="auto"/>
          </w:tcPr>
          <w:p w14:paraId="5B9CCC00" w14:textId="12511915" w:rsidR="001B6DEC" w:rsidRPr="007450D6" w:rsidRDefault="00B42C12" w:rsidP="00197D62">
            <w:pPr>
              <w:pStyle w:val="EOTableText"/>
              <w:rPr>
                <w:rFonts w:ascii="Times New Roman" w:hAnsi="Times New Roman"/>
                <w:sz w:val="20"/>
                <w:szCs w:val="20"/>
              </w:rPr>
            </w:pPr>
            <w:r>
              <w:rPr>
                <w:rFonts w:ascii="Times New Roman" w:hAnsi="Times New Roman"/>
                <w:sz w:val="20"/>
                <w:szCs w:val="20"/>
              </w:rPr>
              <w:t>N.A.</w:t>
            </w:r>
          </w:p>
        </w:tc>
      </w:tr>
      <w:tr w:rsidR="002440F1" w:rsidRPr="007450D6" w14:paraId="420B1999" w14:textId="77777777" w:rsidTr="00FA1E9F">
        <w:trPr>
          <w:trHeight w:val="217"/>
        </w:trPr>
        <w:tc>
          <w:tcPr>
            <w:tcW w:w="710" w:type="pct"/>
            <w:vMerge/>
            <w:shd w:val="clear" w:color="auto" w:fill="D9E2F3"/>
          </w:tcPr>
          <w:p w14:paraId="3E0D9086" w14:textId="77777777" w:rsidR="002440F1" w:rsidRPr="007450D6" w:rsidRDefault="002440F1" w:rsidP="00197D62">
            <w:pPr>
              <w:pStyle w:val="EOTableTextBold"/>
            </w:pPr>
          </w:p>
        </w:tc>
        <w:tc>
          <w:tcPr>
            <w:tcW w:w="1941" w:type="pct"/>
            <w:shd w:val="clear" w:color="auto" w:fill="auto"/>
          </w:tcPr>
          <w:p w14:paraId="296E457D" w14:textId="403D6AD3"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2.3. Installed and fully operational green logistics-based centralized logistic platform in Fuyang City, Zhejiang Province</w:t>
            </w:r>
          </w:p>
        </w:tc>
        <w:tc>
          <w:tcPr>
            <w:tcW w:w="1136" w:type="pct"/>
            <w:shd w:val="clear" w:color="auto" w:fill="auto"/>
          </w:tcPr>
          <w:p w14:paraId="549FBB62" w14:textId="77777777"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No recommended changes.</w:t>
            </w:r>
          </w:p>
          <w:p w14:paraId="066C99F7" w14:textId="290A748A" w:rsidR="002440F1" w:rsidRPr="007450D6" w:rsidRDefault="002440F1" w:rsidP="00197D62">
            <w:pPr>
              <w:pStyle w:val="EOTableText"/>
              <w:rPr>
                <w:rFonts w:ascii="Times New Roman" w:hAnsi="Times New Roman"/>
                <w:sz w:val="20"/>
                <w:szCs w:val="20"/>
              </w:rPr>
            </w:pPr>
          </w:p>
        </w:tc>
        <w:tc>
          <w:tcPr>
            <w:tcW w:w="1212" w:type="pct"/>
            <w:shd w:val="clear" w:color="auto" w:fill="auto"/>
          </w:tcPr>
          <w:p w14:paraId="3C847F0E" w14:textId="6F9D9452" w:rsidR="002440F1" w:rsidRPr="007450D6" w:rsidRDefault="00B42C12" w:rsidP="00197D62">
            <w:pPr>
              <w:pStyle w:val="EOTableText"/>
              <w:rPr>
                <w:rFonts w:ascii="Times New Roman" w:hAnsi="Times New Roman"/>
                <w:sz w:val="20"/>
                <w:szCs w:val="20"/>
              </w:rPr>
            </w:pPr>
            <w:r>
              <w:rPr>
                <w:rFonts w:ascii="Times New Roman" w:hAnsi="Times New Roman"/>
                <w:sz w:val="20"/>
                <w:szCs w:val="20"/>
              </w:rPr>
              <w:t>N.A.</w:t>
            </w:r>
          </w:p>
        </w:tc>
      </w:tr>
      <w:tr w:rsidR="002440F1" w:rsidRPr="007450D6" w14:paraId="5E18EDD9" w14:textId="77777777" w:rsidTr="00FA1E9F">
        <w:trPr>
          <w:trHeight w:val="217"/>
        </w:trPr>
        <w:tc>
          <w:tcPr>
            <w:tcW w:w="710" w:type="pct"/>
            <w:vMerge/>
            <w:shd w:val="clear" w:color="auto" w:fill="D9E2F3"/>
          </w:tcPr>
          <w:p w14:paraId="3EE1D06F" w14:textId="77777777" w:rsidR="002440F1" w:rsidRPr="007450D6" w:rsidRDefault="002440F1" w:rsidP="00197D62">
            <w:pPr>
              <w:pStyle w:val="EOTableTextBold"/>
            </w:pPr>
          </w:p>
        </w:tc>
        <w:tc>
          <w:tcPr>
            <w:tcW w:w="1941" w:type="pct"/>
            <w:shd w:val="clear" w:color="auto" w:fill="auto"/>
          </w:tcPr>
          <w:p w14:paraId="78060198" w14:textId="76C74366"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2.4. Operational green logistics-based physical distribution system demonstration project in Zhejiang Province</w:t>
            </w:r>
          </w:p>
        </w:tc>
        <w:tc>
          <w:tcPr>
            <w:tcW w:w="1136" w:type="pct"/>
            <w:shd w:val="clear" w:color="auto" w:fill="auto"/>
          </w:tcPr>
          <w:p w14:paraId="6D581CEF" w14:textId="77777777"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No recommended changes.</w:t>
            </w:r>
          </w:p>
          <w:p w14:paraId="19782B2B" w14:textId="04B2AC20" w:rsidR="002440F1" w:rsidRPr="007450D6" w:rsidRDefault="002440F1" w:rsidP="00197D62">
            <w:pPr>
              <w:pStyle w:val="EOTableText"/>
              <w:rPr>
                <w:rFonts w:ascii="Times New Roman" w:hAnsi="Times New Roman"/>
                <w:sz w:val="20"/>
                <w:szCs w:val="20"/>
              </w:rPr>
            </w:pPr>
          </w:p>
        </w:tc>
        <w:tc>
          <w:tcPr>
            <w:tcW w:w="1212" w:type="pct"/>
            <w:shd w:val="clear" w:color="auto" w:fill="auto"/>
          </w:tcPr>
          <w:p w14:paraId="1564FBB4" w14:textId="11E0AC7F" w:rsidR="002440F1" w:rsidRPr="007450D6" w:rsidRDefault="00B42C12" w:rsidP="00197D62">
            <w:pPr>
              <w:pStyle w:val="EOTableText"/>
              <w:rPr>
                <w:rFonts w:ascii="Times New Roman" w:hAnsi="Times New Roman"/>
                <w:sz w:val="20"/>
                <w:szCs w:val="20"/>
              </w:rPr>
            </w:pPr>
            <w:r>
              <w:rPr>
                <w:rFonts w:ascii="Times New Roman" w:hAnsi="Times New Roman"/>
                <w:sz w:val="20"/>
                <w:szCs w:val="20"/>
              </w:rPr>
              <w:t>N.A.</w:t>
            </w:r>
          </w:p>
        </w:tc>
      </w:tr>
      <w:tr w:rsidR="002440F1" w:rsidRPr="007450D6" w14:paraId="3FC24B99" w14:textId="77777777" w:rsidTr="00FA1E9F">
        <w:trPr>
          <w:trHeight w:val="217"/>
        </w:trPr>
        <w:tc>
          <w:tcPr>
            <w:tcW w:w="710" w:type="pct"/>
            <w:shd w:val="clear" w:color="auto" w:fill="D9E2F3"/>
          </w:tcPr>
          <w:p w14:paraId="0C540510" w14:textId="77777777" w:rsidR="002440F1" w:rsidRPr="007450D6" w:rsidRDefault="002440F1" w:rsidP="00197D62">
            <w:pPr>
              <w:pStyle w:val="EOTableTextBold"/>
            </w:pPr>
          </w:p>
        </w:tc>
        <w:tc>
          <w:tcPr>
            <w:tcW w:w="1941" w:type="pct"/>
            <w:shd w:val="clear" w:color="auto" w:fill="auto"/>
          </w:tcPr>
          <w:p w14:paraId="0E52E905" w14:textId="3DAEC21A"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2.5.  Documented annual evaluation reports on the energy performance and environmental impacts of each demo project in materials management and physical distribution, and documented and disseminated demo project results</w:t>
            </w:r>
          </w:p>
        </w:tc>
        <w:tc>
          <w:tcPr>
            <w:tcW w:w="1136" w:type="pct"/>
            <w:shd w:val="clear" w:color="auto" w:fill="auto"/>
          </w:tcPr>
          <w:p w14:paraId="51C27D3C" w14:textId="77777777"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No recommended changes.</w:t>
            </w:r>
          </w:p>
          <w:p w14:paraId="1DC20CC1" w14:textId="77777777" w:rsidR="002440F1" w:rsidRPr="007450D6" w:rsidRDefault="002440F1" w:rsidP="00197D62">
            <w:pPr>
              <w:pStyle w:val="EOTableText"/>
              <w:rPr>
                <w:rFonts w:ascii="Times New Roman" w:hAnsi="Times New Roman"/>
                <w:sz w:val="20"/>
                <w:szCs w:val="20"/>
              </w:rPr>
            </w:pPr>
          </w:p>
        </w:tc>
        <w:tc>
          <w:tcPr>
            <w:tcW w:w="1212" w:type="pct"/>
            <w:shd w:val="clear" w:color="auto" w:fill="auto"/>
          </w:tcPr>
          <w:p w14:paraId="38701AD6" w14:textId="6B9A351B" w:rsidR="002440F1" w:rsidRPr="007450D6" w:rsidRDefault="00B42C12" w:rsidP="00197D62">
            <w:pPr>
              <w:pStyle w:val="EOTableText"/>
              <w:rPr>
                <w:rFonts w:ascii="Times New Roman" w:hAnsi="Times New Roman"/>
                <w:sz w:val="20"/>
                <w:szCs w:val="20"/>
              </w:rPr>
            </w:pPr>
            <w:r>
              <w:rPr>
                <w:rFonts w:ascii="Times New Roman" w:hAnsi="Times New Roman"/>
                <w:sz w:val="20"/>
                <w:szCs w:val="20"/>
              </w:rPr>
              <w:t>N.A.</w:t>
            </w:r>
          </w:p>
        </w:tc>
      </w:tr>
      <w:tr w:rsidR="002440F1" w:rsidRPr="007450D6" w14:paraId="542DBBFD" w14:textId="77777777" w:rsidTr="00FA1E9F">
        <w:trPr>
          <w:trHeight w:val="217"/>
        </w:trPr>
        <w:tc>
          <w:tcPr>
            <w:tcW w:w="710" w:type="pct"/>
            <w:shd w:val="clear" w:color="auto" w:fill="D9E2F3"/>
          </w:tcPr>
          <w:p w14:paraId="06AE5AA5" w14:textId="77777777" w:rsidR="002440F1" w:rsidRPr="007450D6" w:rsidRDefault="002440F1" w:rsidP="00197D62">
            <w:pPr>
              <w:pStyle w:val="EOTableTextBold"/>
            </w:pPr>
          </w:p>
        </w:tc>
        <w:tc>
          <w:tcPr>
            <w:tcW w:w="1941" w:type="pct"/>
            <w:shd w:val="clear" w:color="auto" w:fill="auto"/>
          </w:tcPr>
          <w:p w14:paraId="69D811DA" w14:textId="66F050FF"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2.6. Developed action plan for sustainability of the green logistics system demonstration program</w:t>
            </w:r>
          </w:p>
        </w:tc>
        <w:tc>
          <w:tcPr>
            <w:tcW w:w="1136" w:type="pct"/>
            <w:shd w:val="clear" w:color="auto" w:fill="auto"/>
          </w:tcPr>
          <w:p w14:paraId="5FF5B385" w14:textId="6F662047"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No recommended changes.</w:t>
            </w:r>
          </w:p>
          <w:p w14:paraId="2131D4F4" w14:textId="77777777" w:rsidR="002440F1" w:rsidRPr="007450D6" w:rsidRDefault="002440F1" w:rsidP="00197D62">
            <w:pPr>
              <w:pStyle w:val="EOTableText"/>
              <w:rPr>
                <w:rFonts w:ascii="Times New Roman" w:hAnsi="Times New Roman"/>
                <w:sz w:val="20"/>
                <w:szCs w:val="20"/>
              </w:rPr>
            </w:pPr>
          </w:p>
        </w:tc>
        <w:tc>
          <w:tcPr>
            <w:tcW w:w="1212" w:type="pct"/>
            <w:shd w:val="clear" w:color="auto" w:fill="auto"/>
          </w:tcPr>
          <w:p w14:paraId="0FC358AE" w14:textId="1F2F0EC5" w:rsidR="002440F1" w:rsidRPr="007450D6" w:rsidRDefault="00B42C12" w:rsidP="00197D62">
            <w:pPr>
              <w:pStyle w:val="EOTableText"/>
              <w:rPr>
                <w:rFonts w:ascii="Times New Roman" w:hAnsi="Times New Roman"/>
                <w:sz w:val="20"/>
                <w:szCs w:val="20"/>
              </w:rPr>
            </w:pPr>
            <w:r>
              <w:rPr>
                <w:rFonts w:ascii="Times New Roman" w:hAnsi="Times New Roman"/>
                <w:sz w:val="20"/>
                <w:szCs w:val="20"/>
              </w:rPr>
              <w:t>N.A.</w:t>
            </w:r>
          </w:p>
        </w:tc>
      </w:tr>
      <w:tr w:rsidR="002440F1" w:rsidRPr="007450D6" w14:paraId="72229777" w14:textId="77777777" w:rsidTr="00FA1E9F">
        <w:trPr>
          <w:trHeight w:val="217"/>
        </w:trPr>
        <w:tc>
          <w:tcPr>
            <w:tcW w:w="710" w:type="pct"/>
            <w:shd w:val="clear" w:color="auto" w:fill="D9E2F3"/>
          </w:tcPr>
          <w:p w14:paraId="07909208" w14:textId="77777777" w:rsidR="002440F1" w:rsidRPr="007450D6" w:rsidRDefault="002440F1" w:rsidP="00197D62">
            <w:pPr>
              <w:pStyle w:val="EOTableTextBold"/>
            </w:pPr>
          </w:p>
        </w:tc>
        <w:tc>
          <w:tcPr>
            <w:tcW w:w="1941" w:type="pct"/>
            <w:shd w:val="clear" w:color="auto" w:fill="auto"/>
          </w:tcPr>
          <w:p w14:paraId="503EF9F9" w14:textId="57E5EBD4"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3.1. Completed assessment report on capacity development needs in the area of green logistics and developed green logistics capacity building program</w:t>
            </w:r>
          </w:p>
        </w:tc>
        <w:tc>
          <w:tcPr>
            <w:tcW w:w="1136" w:type="pct"/>
            <w:shd w:val="clear" w:color="auto" w:fill="auto"/>
          </w:tcPr>
          <w:p w14:paraId="1B08A0B9" w14:textId="2C60F579"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No recommended changes</w:t>
            </w:r>
          </w:p>
        </w:tc>
        <w:tc>
          <w:tcPr>
            <w:tcW w:w="1212" w:type="pct"/>
            <w:shd w:val="clear" w:color="auto" w:fill="auto"/>
          </w:tcPr>
          <w:p w14:paraId="350A95D3" w14:textId="4435497B" w:rsidR="002440F1" w:rsidRPr="007450D6" w:rsidRDefault="00B42C12" w:rsidP="00197D62">
            <w:pPr>
              <w:pStyle w:val="EOTableText"/>
              <w:rPr>
                <w:rFonts w:ascii="Times New Roman" w:hAnsi="Times New Roman"/>
                <w:sz w:val="20"/>
                <w:szCs w:val="20"/>
              </w:rPr>
            </w:pPr>
            <w:r>
              <w:rPr>
                <w:rFonts w:ascii="Times New Roman" w:hAnsi="Times New Roman"/>
                <w:sz w:val="20"/>
                <w:szCs w:val="20"/>
              </w:rPr>
              <w:t>N.A.</w:t>
            </w:r>
          </w:p>
        </w:tc>
      </w:tr>
      <w:tr w:rsidR="002440F1" w:rsidRPr="007450D6" w14:paraId="6F7BE782" w14:textId="77777777" w:rsidTr="00FA1E9F">
        <w:trPr>
          <w:trHeight w:val="217"/>
        </w:trPr>
        <w:tc>
          <w:tcPr>
            <w:tcW w:w="710" w:type="pct"/>
            <w:shd w:val="clear" w:color="auto" w:fill="D9E2F3"/>
          </w:tcPr>
          <w:p w14:paraId="0596A5F5" w14:textId="77777777" w:rsidR="002440F1" w:rsidRPr="007450D6" w:rsidRDefault="002440F1" w:rsidP="00197D62">
            <w:pPr>
              <w:pStyle w:val="EOTableTextBold"/>
            </w:pPr>
          </w:p>
        </w:tc>
        <w:tc>
          <w:tcPr>
            <w:tcW w:w="1941" w:type="pct"/>
            <w:shd w:val="clear" w:color="auto" w:fill="auto"/>
          </w:tcPr>
          <w:p w14:paraId="7F695389" w14:textId="65EEC541"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3.2</w:t>
            </w:r>
            <w:r w:rsidR="0058596A">
              <w:rPr>
                <w:rFonts w:ascii="Times New Roman" w:hAnsi="Times New Roman"/>
                <w:sz w:val="20"/>
                <w:szCs w:val="20"/>
              </w:rPr>
              <w:t>.</w:t>
            </w:r>
            <w:r w:rsidRPr="007450D6">
              <w:rPr>
                <w:rFonts w:ascii="Times New Roman" w:hAnsi="Times New Roman"/>
                <w:sz w:val="20"/>
                <w:szCs w:val="20"/>
              </w:rPr>
              <w:t xml:space="preserve"> Completed green logistics training courses for government authorities and relevant stakeholders in the logistics and manufacturing industries in Zhejiang Province (e.g., concepts, practices, methodologies)</w:t>
            </w:r>
          </w:p>
        </w:tc>
        <w:tc>
          <w:tcPr>
            <w:tcW w:w="1136" w:type="pct"/>
            <w:shd w:val="clear" w:color="auto" w:fill="auto"/>
          </w:tcPr>
          <w:p w14:paraId="06B69D11" w14:textId="130A6B91"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No recommended changes</w:t>
            </w:r>
          </w:p>
        </w:tc>
        <w:tc>
          <w:tcPr>
            <w:tcW w:w="1212" w:type="pct"/>
            <w:shd w:val="clear" w:color="auto" w:fill="auto"/>
          </w:tcPr>
          <w:p w14:paraId="26B4570A" w14:textId="0B9881E0" w:rsidR="002440F1" w:rsidRPr="007450D6" w:rsidRDefault="00B42C12" w:rsidP="00197D62">
            <w:pPr>
              <w:pStyle w:val="EOTableText"/>
              <w:rPr>
                <w:rFonts w:ascii="Times New Roman" w:hAnsi="Times New Roman"/>
                <w:sz w:val="20"/>
                <w:szCs w:val="20"/>
              </w:rPr>
            </w:pPr>
            <w:r>
              <w:rPr>
                <w:rFonts w:ascii="Times New Roman" w:hAnsi="Times New Roman"/>
                <w:sz w:val="20"/>
                <w:szCs w:val="20"/>
              </w:rPr>
              <w:t>N.A.</w:t>
            </w:r>
          </w:p>
        </w:tc>
      </w:tr>
      <w:tr w:rsidR="002440F1" w:rsidRPr="007450D6" w14:paraId="58876617" w14:textId="77777777" w:rsidTr="00FA1E9F">
        <w:trPr>
          <w:trHeight w:val="217"/>
        </w:trPr>
        <w:tc>
          <w:tcPr>
            <w:tcW w:w="710" w:type="pct"/>
            <w:shd w:val="clear" w:color="auto" w:fill="D9E2F3"/>
          </w:tcPr>
          <w:p w14:paraId="7DCC2C0B" w14:textId="77777777" w:rsidR="002440F1" w:rsidRPr="007450D6" w:rsidRDefault="002440F1" w:rsidP="00197D62">
            <w:pPr>
              <w:pStyle w:val="EOTableTextBold"/>
            </w:pPr>
          </w:p>
        </w:tc>
        <w:tc>
          <w:tcPr>
            <w:tcW w:w="1941" w:type="pct"/>
            <w:shd w:val="clear" w:color="auto" w:fill="auto"/>
          </w:tcPr>
          <w:p w14:paraId="1CC2AD24" w14:textId="2ED614F5"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3.</w:t>
            </w:r>
            <w:r w:rsidR="0058596A">
              <w:rPr>
                <w:rFonts w:ascii="Times New Roman" w:hAnsi="Times New Roman"/>
                <w:sz w:val="20"/>
                <w:szCs w:val="20"/>
              </w:rPr>
              <w:t>3.</w:t>
            </w:r>
            <w:r w:rsidRPr="007450D6">
              <w:rPr>
                <w:rFonts w:ascii="Times New Roman" w:hAnsi="Times New Roman"/>
                <w:sz w:val="20"/>
                <w:szCs w:val="20"/>
              </w:rPr>
              <w:t xml:space="preserve"> Completed technical assistance program for assisting small-to-medium size LSPs on the application of green logistics systems</w:t>
            </w:r>
          </w:p>
        </w:tc>
        <w:tc>
          <w:tcPr>
            <w:tcW w:w="1136" w:type="pct"/>
            <w:shd w:val="clear" w:color="auto" w:fill="auto"/>
          </w:tcPr>
          <w:p w14:paraId="7378FD64" w14:textId="35FC6AB6"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No recommended changes</w:t>
            </w:r>
          </w:p>
        </w:tc>
        <w:tc>
          <w:tcPr>
            <w:tcW w:w="1212" w:type="pct"/>
            <w:shd w:val="clear" w:color="auto" w:fill="auto"/>
          </w:tcPr>
          <w:p w14:paraId="039DD1D4" w14:textId="5B4E9A21" w:rsidR="002440F1" w:rsidRPr="007450D6" w:rsidRDefault="00B42C12" w:rsidP="00197D62">
            <w:pPr>
              <w:pStyle w:val="EOTableText"/>
              <w:rPr>
                <w:rFonts w:ascii="Times New Roman" w:hAnsi="Times New Roman"/>
                <w:sz w:val="20"/>
                <w:szCs w:val="20"/>
              </w:rPr>
            </w:pPr>
            <w:r>
              <w:rPr>
                <w:rFonts w:ascii="Times New Roman" w:hAnsi="Times New Roman"/>
                <w:sz w:val="20"/>
                <w:szCs w:val="20"/>
              </w:rPr>
              <w:t>N.A.</w:t>
            </w:r>
          </w:p>
        </w:tc>
      </w:tr>
      <w:tr w:rsidR="002440F1" w:rsidRPr="007450D6" w14:paraId="73EB6CDA" w14:textId="77777777" w:rsidTr="00FA1E9F">
        <w:trPr>
          <w:trHeight w:val="217"/>
        </w:trPr>
        <w:tc>
          <w:tcPr>
            <w:tcW w:w="710" w:type="pct"/>
            <w:shd w:val="clear" w:color="auto" w:fill="D9E2F3"/>
          </w:tcPr>
          <w:p w14:paraId="32CF0382" w14:textId="77777777" w:rsidR="002440F1" w:rsidRPr="007450D6" w:rsidRDefault="002440F1" w:rsidP="00197D62">
            <w:pPr>
              <w:pStyle w:val="EOTableTextBold"/>
            </w:pPr>
          </w:p>
        </w:tc>
        <w:tc>
          <w:tcPr>
            <w:tcW w:w="1941" w:type="pct"/>
            <w:shd w:val="clear" w:color="auto" w:fill="auto"/>
          </w:tcPr>
          <w:p w14:paraId="4AC65F1A" w14:textId="17C8ACE1" w:rsidR="002440F1" w:rsidRPr="007450D6" w:rsidRDefault="002440F1" w:rsidP="00197D62">
            <w:pPr>
              <w:pStyle w:val="EOTableText"/>
              <w:rPr>
                <w:rFonts w:ascii="Times New Roman" w:hAnsi="Times New Roman"/>
                <w:sz w:val="20"/>
                <w:szCs w:val="20"/>
              </w:rPr>
            </w:pPr>
            <w:r w:rsidRPr="007450D6">
              <w:rPr>
                <w:rFonts w:ascii="Times New Roman" w:hAnsi="Times New Roman"/>
                <w:sz w:val="20"/>
                <w:szCs w:val="20"/>
              </w:rPr>
              <w:t>3.4</w:t>
            </w:r>
            <w:r w:rsidR="0058596A">
              <w:rPr>
                <w:rFonts w:ascii="Times New Roman" w:hAnsi="Times New Roman"/>
                <w:sz w:val="20"/>
                <w:szCs w:val="20"/>
              </w:rPr>
              <w:t>.</w:t>
            </w:r>
            <w:r w:rsidRPr="007450D6">
              <w:rPr>
                <w:rFonts w:ascii="Times New Roman" w:hAnsi="Times New Roman"/>
                <w:sz w:val="20"/>
                <w:szCs w:val="20"/>
              </w:rPr>
              <w:t xml:space="preserve"> Completed promotional workshops and/or activities to enhance awareness and knowledge in green logistics systems</w:t>
            </w:r>
          </w:p>
        </w:tc>
        <w:tc>
          <w:tcPr>
            <w:tcW w:w="1136" w:type="pct"/>
            <w:shd w:val="clear" w:color="auto" w:fill="auto"/>
          </w:tcPr>
          <w:p w14:paraId="373B5039" w14:textId="048D5F5C" w:rsidR="002440F1" w:rsidRPr="007450D6" w:rsidRDefault="00557FD6" w:rsidP="00197D62">
            <w:pPr>
              <w:pStyle w:val="EOTableText"/>
              <w:rPr>
                <w:rFonts w:ascii="Times New Roman" w:hAnsi="Times New Roman"/>
                <w:sz w:val="20"/>
                <w:szCs w:val="20"/>
              </w:rPr>
            </w:pPr>
            <w:r w:rsidRPr="007450D6">
              <w:rPr>
                <w:rFonts w:ascii="Times New Roman" w:hAnsi="Times New Roman"/>
                <w:sz w:val="20"/>
                <w:szCs w:val="20"/>
              </w:rPr>
              <w:t>No recommended changes</w:t>
            </w:r>
          </w:p>
        </w:tc>
        <w:tc>
          <w:tcPr>
            <w:tcW w:w="1212" w:type="pct"/>
            <w:shd w:val="clear" w:color="auto" w:fill="auto"/>
          </w:tcPr>
          <w:p w14:paraId="79816422" w14:textId="5C8BC9B5" w:rsidR="002440F1" w:rsidRPr="007450D6" w:rsidRDefault="00B42C12" w:rsidP="00197D62">
            <w:pPr>
              <w:pStyle w:val="EOTableText"/>
              <w:rPr>
                <w:rFonts w:ascii="Times New Roman" w:hAnsi="Times New Roman"/>
                <w:sz w:val="20"/>
                <w:szCs w:val="20"/>
              </w:rPr>
            </w:pPr>
            <w:r>
              <w:rPr>
                <w:rFonts w:ascii="Times New Roman" w:hAnsi="Times New Roman"/>
                <w:sz w:val="20"/>
                <w:szCs w:val="20"/>
              </w:rPr>
              <w:t>N.A.</w:t>
            </w:r>
          </w:p>
        </w:tc>
      </w:tr>
      <w:tr w:rsidR="00557FD6" w:rsidRPr="007450D6" w14:paraId="208D8678" w14:textId="77777777" w:rsidTr="00FA1E9F">
        <w:trPr>
          <w:trHeight w:val="217"/>
        </w:trPr>
        <w:tc>
          <w:tcPr>
            <w:tcW w:w="710" w:type="pct"/>
            <w:shd w:val="clear" w:color="auto" w:fill="D9E2F3"/>
          </w:tcPr>
          <w:p w14:paraId="49204F77" w14:textId="77777777" w:rsidR="00557FD6" w:rsidRPr="007450D6" w:rsidRDefault="00557FD6" w:rsidP="00197D62">
            <w:pPr>
              <w:pStyle w:val="EOTableTextBold"/>
            </w:pPr>
          </w:p>
        </w:tc>
        <w:tc>
          <w:tcPr>
            <w:tcW w:w="1941" w:type="pct"/>
            <w:shd w:val="clear" w:color="auto" w:fill="auto"/>
          </w:tcPr>
          <w:p w14:paraId="77956E21" w14:textId="5443FE4A" w:rsidR="00557FD6" w:rsidRPr="007450D6" w:rsidRDefault="00557FD6" w:rsidP="00197D62">
            <w:pPr>
              <w:pStyle w:val="EOTableText"/>
              <w:rPr>
                <w:rFonts w:ascii="Times New Roman" w:hAnsi="Times New Roman"/>
                <w:sz w:val="20"/>
                <w:szCs w:val="20"/>
              </w:rPr>
            </w:pPr>
            <w:r w:rsidRPr="007450D6">
              <w:rPr>
                <w:rFonts w:ascii="Times New Roman" w:hAnsi="Times New Roman"/>
                <w:sz w:val="20"/>
                <w:szCs w:val="20"/>
              </w:rPr>
              <w:t>3.5</w:t>
            </w:r>
            <w:r w:rsidR="0058596A">
              <w:rPr>
                <w:rFonts w:ascii="Times New Roman" w:hAnsi="Times New Roman"/>
                <w:sz w:val="20"/>
                <w:szCs w:val="20"/>
              </w:rPr>
              <w:t>.</w:t>
            </w:r>
            <w:r w:rsidRPr="007450D6">
              <w:rPr>
                <w:rFonts w:ascii="Times New Roman" w:hAnsi="Times New Roman"/>
                <w:sz w:val="20"/>
                <w:szCs w:val="20"/>
              </w:rPr>
              <w:t xml:space="preserve"> Completed and fully evaluated program for the promotion and capacity building of green logistics systems</w:t>
            </w:r>
          </w:p>
        </w:tc>
        <w:tc>
          <w:tcPr>
            <w:tcW w:w="1136" w:type="pct"/>
            <w:shd w:val="clear" w:color="auto" w:fill="auto"/>
          </w:tcPr>
          <w:p w14:paraId="3AAEE964" w14:textId="5704C8C6" w:rsidR="00557FD6" w:rsidRPr="007450D6" w:rsidRDefault="00557FD6" w:rsidP="00197D62">
            <w:pPr>
              <w:pStyle w:val="EOTableText"/>
              <w:rPr>
                <w:rFonts w:ascii="Times New Roman" w:hAnsi="Times New Roman"/>
                <w:sz w:val="20"/>
                <w:szCs w:val="20"/>
              </w:rPr>
            </w:pPr>
            <w:r w:rsidRPr="007450D6">
              <w:rPr>
                <w:rFonts w:ascii="Times New Roman" w:hAnsi="Times New Roman"/>
                <w:sz w:val="20"/>
                <w:szCs w:val="20"/>
              </w:rPr>
              <w:t>No recommended changes</w:t>
            </w:r>
          </w:p>
        </w:tc>
        <w:tc>
          <w:tcPr>
            <w:tcW w:w="1212" w:type="pct"/>
            <w:shd w:val="clear" w:color="auto" w:fill="auto"/>
          </w:tcPr>
          <w:p w14:paraId="633C6F7A" w14:textId="3926D793" w:rsidR="00557FD6" w:rsidRPr="007450D6" w:rsidRDefault="00B42C12" w:rsidP="00197D62">
            <w:pPr>
              <w:pStyle w:val="EOTableText"/>
              <w:rPr>
                <w:rFonts w:ascii="Times New Roman" w:hAnsi="Times New Roman"/>
                <w:sz w:val="20"/>
                <w:szCs w:val="20"/>
              </w:rPr>
            </w:pPr>
            <w:r>
              <w:rPr>
                <w:rFonts w:ascii="Times New Roman" w:hAnsi="Times New Roman"/>
                <w:sz w:val="20"/>
                <w:szCs w:val="20"/>
              </w:rPr>
              <w:t>N.A.</w:t>
            </w:r>
          </w:p>
        </w:tc>
      </w:tr>
      <w:tr w:rsidR="00557FD6" w:rsidRPr="007450D6" w14:paraId="02E2A057" w14:textId="77777777" w:rsidTr="00FA1E9F">
        <w:trPr>
          <w:trHeight w:val="217"/>
        </w:trPr>
        <w:tc>
          <w:tcPr>
            <w:tcW w:w="710" w:type="pct"/>
            <w:shd w:val="clear" w:color="auto" w:fill="D9E2F3"/>
          </w:tcPr>
          <w:p w14:paraId="2B26E575" w14:textId="77777777" w:rsidR="00557FD6" w:rsidRPr="007450D6" w:rsidRDefault="00557FD6" w:rsidP="00197D62">
            <w:pPr>
              <w:pStyle w:val="EOTableTextBold"/>
            </w:pPr>
          </w:p>
        </w:tc>
        <w:tc>
          <w:tcPr>
            <w:tcW w:w="1941" w:type="pct"/>
            <w:shd w:val="clear" w:color="auto" w:fill="auto"/>
          </w:tcPr>
          <w:p w14:paraId="0E3D8902" w14:textId="60713136" w:rsidR="00557FD6" w:rsidRPr="007450D6" w:rsidRDefault="00557FD6" w:rsidP="00197D62">
            <w:pPr>
              <w:pStyle w:val="EOTableText"/>
              <w:rPr>
                <w:rFonts w:ascii="Times New Roman" w:hAnsi="Times New Roman"/>
                <w:sz w:val="20"/>
                <w:szCs w:val="20"/>
              </w:rPr>
            </w:pPr>
            <w:r w:rsidRPr="007450D6">
              <w:rPr>
                <w:rFonts w:ascii="Times New Roman" w:hAnsi="Times New Roman"/>
                <w:sz w:val="20"/>
                <w:szCs w:val="20"/>
              </w:rPr>
              <w:t>3.6</w:t>
            </w:r>
            <w:r w:rsidR="0058596A">
              <w:rPr>
                <w:rFonts w:ascii="Times New Roman" w:hAnsi="Times New Roman"/>
                <w:sz w:val="20"/>
                <w:szCs w:val="20"/>
              </w:rPr>
              <w:t>.</w:t>
            </w:r>
            <w:r w:rsidRPr="007450D6">
              <w:rPr>
                <w:rFonts w:ascii="Times New Roman" w:hAnsi="Times New Roman"/>
                <w:sz w:val="20"/>
                <w:szCs w:val="20"/>
              </w:rPr>
              <w:t xml:space="preserve"> Designed, endorsed and implemented an energy performance rating program and green logistics information sharing system for LSPs in Zhejiang Province</w:t>
            </w:r>
          </w:p>
        </w:tc>
        <w:tc>
          <w:tcPr>
            <w:tcW w:w="1136" w:type="pct"/>
            <w:shd w:val="clear" w:color="auto" w:fill="auto"/>
          </w:tcPr>
          <w:p w14:paraId="69BDBA7C" w14:textId="72ABE435" w:rsidR="00557FD6" w:rsidRPr="007450D6" w:rsidRDefault="00557FD6" w:rsidP="00197D62">
            <w:pPr>
              <w:pStyle w:val="EOTableText"/>
              <w:rPr>
                <w:rFonts w:ascii="Times New Roman" w:hAnsi="Times New Roman"/>
                <w:sz w:val="20"/>
                <w:szCs w:val="20"/>
              </w:rPr>
            </w:pPr>
            <w:r w:rsidRPr="007450D6">
              <w:rPr>
                <w:rFonts w:ascii="Times New Roman" w:hAnsi="Times New Roman"/>
                <w:sz w:val="20"/>
                <w:szCs w:val="20"/>
              </w:rPr>
              <w:t>No recommended changes</w:t>
            </w:r>
          </w:p>
        </w:tc>
        <w:tc>
          <w:tcPr>
            <w:tcW w:w="1212" w:type="pct"/>
            <w:shd w:val="clear" w:color="auto" w:fill="auto"/>
          </w:tcPr>
          <w:p w14:paraId="2EA8200F" w14:textId="529D7CA9" w:rsidR="00557FD6" w:rsidRPr="007450D6" w:rsidRDefault="00B42C12" w:rsidP="00197D62">
            <w:pPr>
              <w:pStyle w:val="EOTableText"/>
              <w:rPr>
                <w:rFonts w:ascii="Times New Roman" w:hAnsi="Times New Roman"/>
                <w:sz w:val="20"/>
                <w:szCs w:val="20"/>
              </w:rPr>
            </w:pPr>
            <w:r>
              <w:rPr>
                <w:rFonts w:ascii="Times New Roman" w:hAnsi="Times New Roman"/>
                <w:sz w:val="20"/>
                <w:szCs w:val="20"/>
              </w:rPr>
              <w:t>N.A.</w:t>
            </w:r>
          </w:p>
        </w:tc>
      </w:tr>
      <w:tr w:rsidR="00557FD6" w:rsidRPr="007450D6" w14:paraId="06206E8B" w14:textId="77777777" w:rsidTr="00FA1E9F">
        <w:trPr>
          <w:trHeight w:val="217"/>
        </w:trPr>
        <w:tc>
          <w:tcPr>
            <w:tcW w:w="710" w:type="pct"/>
            <w:shd w:val="clear" w:color="auto" w:fill="D9E2F3"/>
          </w:tcPr>
          <w:p w14:paraId="344EDF41" w14:textId="77777777" w:rsidR="00557FD6" w:rsidRPr="007450D6" w:rsidRDefault="00557FD6" w:rsidP="00197D62">
            <w:pPr>
              <w:pStyle w:val="EOTableTextBold"/>
            </w:pPr>
          </w:p>
        </w:tc>
        <w:tc>
          <w:tcPr>
            <w:tcW w:w="1941" w:type="pct"/>
            <w:shd w:val="clear" w:color="auto" w:fill="auto"/>
          </w:tcPr>
          <w:p w14:paraId="50D79FD9" w14:textId="03A566BC" w:rsidR="00557FD6" w:rsidRPr="007450D6" w:rsidRDefault="0058596A" w:rsidP="00197D62">
            <w:pPr>
              <w:pStyle w:val="EOTableText"/>
              <w:rPr>
                <w:rFonts w:ascii="Times New Roman" w:hAnsi="Times New Roman"/>
                <w:sz w:val="20"/>
                <w:szCs w:val="20"/>
              </w:rPr>
            </w:pPr>
            <w:r>
              <w:rPr>
                <w:rFonts w:ascii="Times New Roman" w:hAnsi="Times New Roman"/>
                <w:sz w:val="20"/>
                <w:szCs w:val="20"/>
              </w:rPr>
              <w:t>-</w:t>
            </w:r>
          </w:p>
        </w:tc>
        <w:tc>
          <w:tcPr>
            <w:tcW w:w="1136" w:type="pct"/>
            <w:shd w:val="clear" w:color="auto" w:fill="auto"/>
          </w:tcPr>
          <w:p w14:paraId="7B1C1C7F" w14:textId="766F7032" w:rsidR="00557FD6" w:rsidRPr="007450D6" w:rsidRDefault="00557FD6" w:rsidP="00197D62">
            <w:pPr>
              <w:pStyle w:val="EOTableText"/>
              <w:rPr>
                <w:rFonts w:ascii="Times New Roman" w:hAnsi="Times New Roman"/>
                <w:sz w:val="20"/>
                <w:szCs w:val="20"/>
              </w:rPr>
            </w:pPr>
            <w:r w:rsidRPr="007450D6">
              <w:rPr>
                <w:rFonts w:ascii="Times New Roman" w:hAnsi="Times New Roman"/>
                <w:sz w:val="20"/>
                <w:szCs w:val="20"/>
              </w:rPr>
              <w:t>3.7.  Published and disseminated guides and reference documents for the application of energy conserving and energy efficient practices in the logistics industry</w:t>
            </w:r>
          </w:p>
        </w:tc>
        <w:tc>
          <w:tcPr>
            <w:tcW w:w="1212" w:type="pct"/>
            <w:shd w:val="clear" w:color="auto" w:fill="auto"/>
          </w:tcPr>
          <w:p w14:paraId="007E3E15" w14:textId="73E84062" w:rsidR="00557FD6" w:rsidRPr="007450D6" w:rsidRDefault="00557FD6" w:rsidP="00197D62">
            <w:pPr>
              <w:pStyle w:val="EOTableText"/>
              <w:rPr>
                <w:rFonts w:ascii="Times New Roman" w:hAnsi="Times New Roman"/>
                <w:sz w:val="20"/>
                <w:szCs w:val="20"/>
              </w:rPr>
            </w:pPr>
            <w:r w:rsidRPr="009E09CA">
              <w:rPr>
                <w:rFonts w:ascii="Times New Roman" w:hAnsi="Times New Roman"/>
                <w:sz w:val="20"/>
                <w:szCs w:val="20"/>
              </w:rPr>
              <w:t>Output moved from component 1 to 3.</w:t>
            </w:r>
          </w:p>
        </w:tc>
      </w:tr>
    </w:tbl>
    <w:p w14:paraId="4C9CF4A4" w14:textId="4FEB9246" w:rsidR="008E2C94" w:rsidRDefault="008E2C94" w:rsidP="00DE67CF">
      <w:pPr>
        <w:pStyle w:val="Heading1"/>
        <w:numPr>
          <w:ilvl w:val="0"/>
          <w:numId w:val="47"/>
        </w:numPr>
      </w:pPr>
      <w:bookmarkStart w:id="33" w:name="_Ref63864892"/>
      <w:bookmarkStart w:id="34" w:name="_Toc64632053"/>
      <w:r w:rsidRPr="008E2C94">
        <w:lastRenderedPageBreak/>
        <w:t>Findings</w:t>
      </w:r>
      <w:bookmarkEnd w:id="33"/>
      <w:bookmarkEnd w:id="34"/>
    </w:p>
    <w:p w14:paraId="40F85405" w14:textId="4F35D875" w:rsidR="008E2C94" w:rsidRDefault="008E2C94" w:rsidP="00DE67CF">
      <w:pPr>
        <w:pStyle w:val="Heading2"/>
        <w:numPr>
          <w:ilvl w:val="1"/>
          <w:numId w:val="47"/>
        </w:numPr>
      </w:pPr>
      <w:bookmarkStart w:id="35" w:name="_Toc64632054"/>
      <w:r w:rsidRPr="008E2C94">
        <w:t>Project Design/Formulation</w:t>
      </w:r>
      <w:bookmarkEnd w:id="35"/>
    </w:p>
    <w:p w14:paraId="648BF4EF" w14:textId="1356387E" w:rsidR="008E2C94" w:rsidRPr="00DE67CF" w:rsidRDefault="008E2C94" w:rsidP="00DE67CF">
      <w:pPr>
        <w:pStyle w:val="ListParagraph"/>
        <w:numPr>
          <w:ilvl w:val="2"/>
          <w:numId w:val="47"/>
        </w:numPr>
        <w:jc w:val="both"/>
        <w:rPr>
          <w:color w:val="2E75B6" w:themeColor="accent5"/>
        </w:rPr>
      </w:pPr>
      <w:r w:rsidRPr="00DE67CF">
        <w:rPr>
          <w:color w:val="2E75B6" w:themeColor="accent5"/>
        </w:rPr>
        <w:t xml:space="preserve">Analysis of </w:t>
      </w:r>
      <w:r w:rsidR="009503FE">
        <w:rPr>
          <w:color w:val="2E75B6" w:themeColor="accent5"/>
        </w:rPr>
        <w:t>project results framework</w:t>
      </w:r>
    </w:p>
    <w:p w14:paraId="7B189F1E" w14:textId="617809D5" w:rsidR="00A22267" w:rsidRDefault="000E3BC6" w:rsidP="000E3BC6">
      <w:pPr>
        <w:jc w:val="both"/>
      </w:pPr>
      <w:r>
        <w:t xml:space="preserve">The project </w:t>
      </w:r>
      <w:r w:rsidR="00A22267">
        <w:t>follow</w:t>
      </w:r>
      <w:r w:rsidR="00512F29">
        <w:t>ed</w:t>
      </w:r>
      <w:r w:rsidR="00A22267">
        <w:t xml:space="preserve"> a conventional strategy for barriers removal based on three main types of </w:t>
      </w:r>
      <w:r>
        <w:t xml:space="preserve">interventions </w:t>
      </w:r>
      <w:r w:rsidR="009503FE">
        <w:t xml:space="preserve">that were </w:t>
      </w:r>
      <w:r w:rsidR="00A22267">
        <w:t>grouped i</w:t>
      </w:r>
      <w:r>
        <w:t xml:space="preserve">n three components on: (1) </w:t>
      </w:r>
      <w:r w:rsidRPr="009503FE">
        <w:rPr>
          <w:i/>
          <w:iCs/>
        </w:rPr>
        <w:t>policy and regulatory support</w:t>
      </w:r>
      <w:r>
        <w:t xml:space="preserve"> aimed at removing policy and regulatory barriers</w:t>
      </w:r>
      <w:r w:rsidR="009503FE">
        <w:t>;</w:t>
      </w:r>
      <w:r>
        <w:t xml:space="preserve"> (2) </w:t>
      </w:r>
      <w:r w:rsidRPr="009503FE">
        <w:rPr>
          <w:i/>
          <w:iCs/>
        </w:rPr>
        <w:t>demonstration of green logistics systems</w:t>
      </w:r>
      <w:r>
        <w:t xml:space="preserve"> designed to remove barriers related to low levels of capacity, knowledge, skills, and cooperation among stakeholders in the logistics industry, and to increase the level of confidence on the feasibility of green logistics techniques and practices, and (3) </w:t>
      </w:r>
      <w:r w:rsidRPr="009503FE">
        <w:rPr>
          <w:i/>
          <w:iCs/>
        </w:rPr>
        <w:t>capacity building and promotion of green logistic and systems</w:t>
      </w:r>
      <w:r>
        <w:t xml:space="preserve">, aimed at </w:t>
      </w:r>
      <w:r w:rsidR="009503FE">
        <w:t>improving</w:t>
      </w:r>
      <w:r>
        <w:t xml:space="preserve"> access to information on the design, development, and operation of green logistics, and to contribute to the removal of the barrier related to low levels of capacity, knowledge, skills and cooperation among stakeholders.</w:t>
      </w:r>
      <w:r>
        <w:rPr>
          <w:rStyle w:val="FootnoteReference"/>
        </w:rPr>
        <w:footnoteReference w:id="15"/>
      </w:r>
      <w:r>
        <w:t xml:space="preserve"> </w:t>
      </w:r>
      <w:r w:rsidR="00A22267">
        <w:t>Th</w:t>
      </w:r>
      <w:r w:rsidR="009503FE">
        <w:t>e TE concluded that th</w:t>
      </w:r>
      <w:r w:rsidR="00A22267">
        <w:t xml:space="preserve">is strategy is adequate to address the problems described in the ProDoc and to reach the proposed project objectives. </w:t>
      </w:r>
    </w:p>
    <w:p w14:paraId="2467DBF6" w14:textId="551E1502" w:rsidR="00A22267" w:rsidRPr="009E09CA" w:rsidRDefault="009503FE" w:rsidP="000E3BC6">
      <w:pPr>
        <w:jc w:val="both"/>
      </w:pPr>
      <w:r>
        <w:t>The ProDoc made a solid presentation of the problems to be addressed by the project, providing evidence of the observed situation in Zhejiang Province and in China</w:t>
      </w:r>
      <w:r w:rsidRPr="009E09CA">
        <w:t xml:space="preserve">. </w:t>
      </w:r>
      <w:r w:rsidR="00A22267" w:rsidRPr="009E09CA">
        <w:t>While the ProDoc d</w:t>
      </w:r>
      <w:r w:rsidR="00512F29" w:rsidRPr="009E09CA">
        <w:t>id</w:t>
      </w:r>
      <w:r w:rsidR="00A22267" w:rsidRPr="009E09CA">
        <w:t xml:space="preserve"> not include a formal discussion of the project´s ToC, the structure and description of the project´s components, outputs and activities </w:t>
      </w:r>
      <w:r w:rsidR="003245CD" w:rsidRPr="009E09CA">
        <w:t xml:space="preserve">are </w:t>
      </w:r>
      <w:r w:rsidR="00A22267" w:rsidRPr="009E09CA">
        <w:t>logic and presented in a clear and concise manner. The linkages</w:t>
      </w:r>
      <w:r w:rsidR="003245CD" w:rsidRPr="009E09CA">
        <w:t xml:space="preserve"> and sequencing of</w:t>
      </w:r>
      <w:r w:rsidR="00A22267" w:rsidRPr="009E09CA">
        <w:t xml:space="preserve"> activities</w:t>
      </w:r>
      <w:r w:rsidR="003245CD" w:rsidRPr="009E09CA">
        <w:t xml:space="preserve"> and</w:t>
      </w:r>
      <w:r w:rsidR="00A22267" w:rsidRPr="009E09CA">
        <w:t xml:space="preserve"> outpu</w:t>
      </w:r>
      <w:r w:rsidR="003245CD" w:rsidRPr="009E09CA">
        <w:t xml:space="preserve">ts </w:t>
      </w:r>
      <w:r w:rsidR="00512F29" w:rsidRPr="009E09CA">
        <w:t>wer</w:t>
      </w:r>
      <w:r w:rsidR="003245CD" w:rsidRPr="009E09CA">
        <w:t>e described explicitly</w:t>
      </w:r>
      <w:r w:rsidR="006F15BF" w:rsidRPr="009E09CA">
        <w:t xml:space="preserve"> in the narrative provided in section 2.5 of the ProDoc</w:t>
      </w:r>
      <w:r w:rsidR="003245CD" w:rsidRPr="009E09CA">
        <w:t>.</w:t>
      </w:r>
      <w:r w:rsidR="006F15BF" w:rsidRPr="009E09CA">
        <w:t xml:space="preserve"> Key assumptions </w:t>
      </w:r>
      <w:r w:rsidR="00512F29" w:rsidRPr="009E09CA">
        <w:t>were</w:t>
      </w:r>
      <w:r w:rsidR="006F15BF" w:rsidRPr="009E09CA">
        <w:t xml:space="preserve"> listed in the PRF in section 4.</w:t>
      </w:r>
    </w:p>
    <w:p w14:paraId="2BDDB7E5" w14:textId="131E80B2" w:rsidR="00821B0E" w:rsidRDefault="00821B0E" w:rsidP="000E3BC6">
      <w:pPr>
        <w:jc w:val="both"/>
      </w:pPr>
      <w:r w:rsidRPr="009E09CA">
        <w:t>The PRF include</w:t>
      </w:r>
      <w:r w:rsidR="00512F29" w:rsidRPr="009E09CA">
        <w:t>d</w:t>
      </w:r>
      <w:r w:rsidRPr="009E09CA">
        <w:t xml:space="preserve"> SMART indicators at the goal, objective, and outcome level. </w:t>
      </w:r>
      <w:r w:rsidR="0082488D" w:rsidRPr="009E09CA">
        <w:t>Indicators and targets for component two were defined only in terms of fuel savings and GHG emissions reductions. As discussed in section 4.2.3, while these indicators are valid and necessary, a combination of these indicators with indicators at a lower level (e.g. output level) would have been more effective at supporting project management, monitoring and reporting.</w:t>
      </w:r>
    </w:p>
    <w:p w14:paraId="68405E05" w14:textId="5D99BC72" w:rsidR="008E2C94" w:rsidRDefault="008E2C94" w:rsidP="00DE67CF">
      <w:pPr>
        <w:pStyle w:val="ListParagraph"/>
        <w:numPr>
          <w:ilvl w:val="2"/>
          <w:numId w:val="47"/>
        </w:numPr>
        <w:jc w:val="both"/>
        <w:rPr>
          <w:color w:val="2E75B6" w:themeColor="accent5"/>
        </w:rPr>
      </w:pPr>
      <w:r w:rsidRPr="008E2C94">
        <w:rPr>
          <w:color w:val="2E75B6" w:themeColor="accent5"/>
        </w:rPr>
        <w:t>Assumptions and risks</w:t>
      </w:r>
    </w:p>
    <w:p w14:paraId="6DDF533A" w14:textId="40716158" w:rsidR="00037438" w:rsidRPr="009E09CA" w:rsidRDefault="00512F29" w:rsidP="008E2C94">
      <w:pPr>
        <w:jc w:val="both"/>
      </w:pPr>
      <w:r>
        <w:t xml:space="preserve">Critical assumptions were listed in the PRF and </w:t>
      </w:r>
      <w:r w:rsidR="00F26166">
        <w:t xml:space="preserve">a risk analysis was summarized in a </w:t>
      </w:r>
      <w:r>
        <w:t xml:space="preserve">risk log included in Annex I of the ProDoc. The assumptions listed were reasonable and sound. The risks </w:t>
      </w:r>
      <w:r w:rsidR="00F26166">
        <w:t>registered</w:t>
      </w:r>
      <w:r>
        <w:t xml:space="preserve"> in the </w:t>
      </w:r>
      <w:r w:rsidR="00F26166">
        <w:t xml:space="preserve">risk log are </w:t>
      </w:r>
      <w:r w:rsidR="00F26166" w:rsidRPr="009E09CA">
        <w:t xml:space="preserve">reasonable and the proposed risk management measures are adequate. </w:t>
      </w:r>
      <w:r w:rsidR="00075C60" w:rsidRPr="009E09CA">
        <w:t>The analysis did not include risks related to externalities that could have a large disruptive effect on project implementation. In hindsight, it is evident that the global COVID-19 pandemic and the ensuing economic slowdown impacted project implementation and evaluability</w:t>
      </w:r>
      <w:r w:rsidR="00152B8D" w:rsidRPr="009E09CA">
        <w:t xml:space="preserve"> but, for o</w:t>
      </w:r>
      <w:r w:rsidR="00075C60" w:rsidRPr="009E09CA">
        <w:t>bvious</w:t>
      </w:r>
      <w:r w:rsidR="00152B8D" w:rsidRPr="009E09CA">
        <w:t xml:space="preserve"> reasons</w:t>
      </w:r>
      <w:r w:rsidR="00075C60" w:rsidRPr="009E09CA">
        <w:t>, the pandemic could not have been predicted during project design</w:t>
      </w:r>
      <w:r w:rsidR="00152B8D" w:rsidRPr="009E09CA">
        <w:t xml:space="preserve">. </w:t>
      </w:r>
    </w:p>
    <w:p w14:paraId="0863E6EC" w14:textId="7B6CFAB6" w:rsidR="008E2C94" w:rsidRPr="009E09CA" w:rsidRDefault="008E2C94" w:rsidP="00DE67CF">
      <w:pPr>
        <w:pStyle w:val="ListParagraph"/>
        <w:numPr>
          <w:ilvl w:val="2"/>
          <w:numId w:val="47"/>
        </w:numPr>
        <w:jc w:val="both"/>
        <w:rPr>
          <w:color w:val="2E75B6" w:themeColor="accent5"/>
        </w:rPr>
      </w:pPr>
      <w:r w:rsidRPr="009E09CA">
        <w:rPr>
          <w:color w:val="2E75B6" w:themeColor="accent5"/>
        </w:rPr>
        <w:t>Lessons from other relevant projects incorporated into project design</w:t>
      </w:r>
    </w:p>
    <w:p w14:paraId="36CEA63A" w14:textId="1B196C0B" w:rsidR="00C84305" w:rsidRDefault="00C2314B" w:rsidP="008E2C94">
      <w:pPr>
        <w:jc w:val="both"/>
      </w:pPr>
      <w:r w:rsidRPr="009E09CA">
        <w:t>Implicit in the project design is the years-long experience of UNDP and other GEF implementing agencies on the implementation of the barriers</w:t>
      </w:r>
      <w:r w:rsidR="00D33D58" w:rsidRPr="009E09CA">
        <w:t>-</w:t>
      </w:r>
      <w:r w:rsidRPr="009E09CA">
        <w:t xml:space="preserve">removal approach in different contexts. </w:t>
      </w:r>
      <w:r w:rsidR="00C84305" w:rsidRPr="009E09CA">
        <w:t xml:space="preserve">The ProDoc also lists, on paragraph 25, seven projects on transportation and logistics that were used as reference for the design of the proposal. </w:t>
      </w:r>
      <w:r w:rsidR="00D33D58" w:rsidRPr="009E09CA">
        <w:t>However, n</w:t>
      </w:r>
      <w:r w:rsidR="0061022F" w:rsidRPr="009E09CA">
        <w:t>o d</w:t>
      </w:r>
      <w:r w:rsidR="00C84305" w:rsidRPr="009E09CA">
        <w:t xml:space="preserve">etails </w:t>
      </w:r>
      <w:r w:rsidR="0061022F" w:rsidRPr="009E09CA">
        <w:t xml:space="preserve">were included </w:t>
      </w:r>
      <w:r w:rsidR="00C84305" w:rsidRPr="009E09CA">
        <w:t xml:space="preserve">on how </w:t>
      </w:r>
      <w:r w:rsidR="0061022F" w:rsidRPr="009E09CA">
        <w:t xml:space="preserve">experiences with </w:t>
      </w:r>
      <w:r w:rsidR="00C84305" w:rsidRPr="009E09CA">
        <w:t xml:space="preserve">those projects </w:t>
      </w:r>
      <w:r w:rsidR="0061022F" w:rsidRPr="009E09CA">
        <w:t>were incorporated in</w:t>
      </w:r>
      <w:r w:rsidR="00D33D58" w:rsidRPr="009E09CA">
        <w:t xml:space="preserve"> </w:t>
      </w:r>
      <w:r w:rsidR="0061022F" w:rsidRPr="009E09CA">
        <w:t>t</w:t>
      </w:r>
      <w:r w:rsidR="00D33D58" w:rsidRPr="009E09CA">
        <w:t>he</w:t>
      </w:r>
      <w:r w:rsidR="0061022F" w:rsidRPr="009E09CA">
        <w:t xml:space="preserve"> project design.</w:t>
      </w:r>
    </w:p>
    <w:p w14:paraId="1EDB0690" w14:textId="00B4E555" w:rsidR="00EB2848" w:rsidRPr="009E09CA" w:rsidRDefault="00C2314B" w:rsidP="008E2C94">
      <w:pPr>
        <w:jc w:val="both"/>
      </w:pPr>
      <w:r>
        <w:lastRenderedPageBreak/>
        <w:t xml:space="preserve">At the time of project design, climate change mitigation in the logistics sector in developing countries was a relatively novel topic, especially under GEF, and few directly relevant </w:t>
      </w:r>
      <w:r w:rsidR="000A3508">
        <w:t xml:space="preserve">project </w:t>
      </w:r>
      <w:r>
        <w:t>examples could have been reference</w:t>
      </w:r>
      <w:r w:rsidR="000A3508">
        <w:t>d</w:t>
      </w:r>
      <w:r>
        <w:t xml:space="preserve">. However, </w:t>
      </w:r>
      <w:r w:rsidR="004917AA">
        <w:t>initiatives to reduce the environmental impact of the logistic industr</w:t>
      </w:r>
      <w:r w:rsidR="000A3508">
        <w:t>y</w:t>
      </w:r>
      <w:r w:rsidR="004917AA">
        <w:t xml:space="preserve"> in developed country did </w:t>
      </w:r>
      <w:r w:rsidR="004917AA" w:rsidRPr="009E09CA">
        <w:t xml:space="preserve">exist (e.g. U.S. Environmental Protection Agency programme “SmartWay”), and those experiences could have been used as </w:t>
      </w:r>
      <w:r w:rsidR="000A3508" w:rsidRPr="009E09CA">
        <w:t xml:space="preserve">an </w:t>
      </w:r>
      <w:r w:rsidR="004917AA" w:rsidRPr="009E09CA">
        <w:t>input to project design. On the other hand, the project design did include an output related to the analysis of green logistics in countries other than China (output 1.1.).</w:t>
      </w:r>
    </w:p>
    <w:p w14:paraId="7B9E9DEF" w14:textId="512E1FA4" w:rsidR="008E2C94" w:rsidRPr="009E09CA" w:rsidRDefault="008E2C94" w:rsidP="00DE67CF">
      <w:pPr>
        <w:pStyle w:val="ListParagraph"/>
        <w:numPr>
          <w:ilvl w:val="2"/>
          <w:numId w:val="47"/>
        </w:numPr>
        <w:jc w:val="both"/>
        <w:rPr>
          <w:color w:val="2E75B6" w:themeColor="accent5"/>
        </w:rPr>
      </w:pPr>
      <w:r w:rsidRPr="009E09CA">
        <w:rPr>
          <w:color w:val="2E75B6" w:themeColor="accent5"/>
        </w:rPr>
        <w:t>Planned stakeholder participation</w:t>
      </w:r>
    </w:p>
    <w:p w14:paraId="6102B9E1" w14:textId="5F34BC45" w:rsidR="00BD5B40" w:rsidRPr="009E09CA" w:rsidRDefault="004B0AC1" w:rsidP="008E2C94">
      <w:pPr>
        <w:jc w:val="both"/>
      </w:pPr>
      <w:r w:rsidRPr="009E09CA">
        <w:t>In section 1.3., the ProDoc listed stakeholders and their roles and responsibilities under the project</w:t>
      </w:r>
      <w:r w:rsidR="00BD5B40" w:rsidRPr="009E09CA">
        <w:t xml:space="preserve"> (see also section 2 of this TE report on main stakeholders)</w:t>
      </w:r>
      <w:r w:rsidRPr="009E09CA">
        <w:t xml:space="preserve">. Five main stakeholders were included: (i) Zhejiang Provincial Development and Reform Commission, (ii) Fuyang City Government, (iii) Zhejiang Fuyang Port International Co. Ltd., (iv) Fuyang Hangzhou </w:t>
      </w:r>
      <w:r w:rsidR="009442F5" w:rsidRPr="009E09CA">
        <w:t>Transf</w:t>
      </w:r>
      <w:r w:rsidR="00D33D58" w:rsidRPr="009E09CA">
        <w:t>a</w:t>
      </w:r>
      <w:r w:rsidR="009442F5" w:rsidRPr="009E09CA">
        <w:t>r</w:t>
      </w:r>
      <w:r w:rsidR="00D33D58" w:rsidRPr="009E09CA">
        <w:t xml:space="preserve"> </w:t>
      </w:r>
      <w:r w:rsidRPr="009E09CA">
        <w:t xml:space="preserve">Logistics Base Co., Ltd., and (v) </w:t>
      </w:r>
      <w:r w:rsidR="00D33D58" w:rsidRPr="009E09CA">
        <w:t>o</w:t>
      </w:r>
      <w:r w:rsidRPr="009E09CA">
        <w:t>ther Zhejiang Province-based logistic service providers. The first four stakeholders on the list had direct roles in project implementation</w:t>
      </w:r>
      <w:r w:rsidR="00D155C1" w:rsidRPr="009E09CA">
        <w:t xml:space="preserve">, provided cofinancing resources, and were members of the </w:t>
      </w:r>
      <w:r w:rsidR="00D33D58" w:rsidRPr="009E09CA">
        <w:t>PSC</w:t>
      </w:r>
      <w:r w:rsidR="00D155C1" w:rsidRPr="009E09CA">
        <w:t xml:space="preserve">. </w:t>
      </w:r>
      <w:r w:rsidRPr="009E09CA">
        <w:t xml:space="preserve">The project included activities to engage with the fifth stakeholder listed (LSPs in Zhejiang Province), mainly through training and knowledge dissemination activities. </w:t>
      </w:r>
      <w:r w:rsidR="00BD5B40" w:rsidRPr="009E09CA">
        <w:t>T</w:t>
      </w:r>
      <w:r w:rsidR="00E97BA3" w:rsidRPr="009E09CA">
        <w:t xml:space="preserve">he analysis included in the ProDoc did not include </w:t>
      </w:r>
      <w:r w:rsidR="00BD5B40" w:rsidRPr="009E09CA">
        <w:t xml:space="preserve">stakeholders that </w:t>
      </w:r>
      <w:r w:rsidR="00D33D58" w:rsidRPr="009E09CA">
        <w:t>had</w:t>
      </w:r>
      <w:r w:rsidR="00BD5B40" w:rsidRPr="009E09CA">
        <w:t xml:space="preserve"> important roles during project implementation (e.g. </w:t>
      </w:r>
      <w:r w:rsidR="00BD5B40" w:rsidRPr="009E09CA">
        <w:rPr>
          <w:lang w:val="en-GB"/>
        </w:rPr>
        <w:t xml:space="preserve">Zhejiang Logistics Association, </w:t>
      </w:r>
      <w:r w:rsidR="00D33D58" w:rsidRPr="009E09CA">
        <w:t>Zhejiang Gongshang University</w:t>
      </w:r>
      <w:r w:rsidR="00BD5B40" w:rsidRPr="009E09CA">
        <w:t xml:space="preserve">, </w:t>
      </w:r>
      <w:r w:rsidR="00D33D58" w:rsidRPr="009E09CA">
        <w:t xml:space="preserve">Zhejiang Standardization Research Institute, </w:t>
      </w:r>
      <w:r w:rsidR="00BD5B40" w:rsidRPr="009E09CA">
        <w:t xml:space="preserve">etc.). The ProDoc did not include a stakeholder engagement plan, but such </w:t>
      </w:r>
      <w:r w:rsidR="005B3983" w:rsidRPr="009E09CA">
        <w:t>a plan was not mandatory at the time the document was produced.</w:t>
      </w:r>
    </w:p>
    <w:p w14:paraId="4A922B17" w14:textId="690DEAAD" w:rsidR="008E2C94" w:rsidRPr="009E09CA" w:rsidRDefault="008E2C94" w:rsidP="00DE67CF">
      <w:pPr>
        <w:pStyle w:val="ListParagraph"/>
        <w:numPr>
          <w:ilvl w:val="2"/>
          <w:numId w:val="47"/>
        </w:numPr>
        <w:jc w:val="both"/>
        <w:rPr>
          <w:color w:val="2E75B6" w:themeColor="accent5"/>
        </w:rPr>
      </w:pPr>
      <w:r w:rsidRPr="009E09CA">
        <w:rPr>
          <w:color w:val="2E75B6" w:themeColor="accent5"/>
        </w:rPr>
        <w:t xml:space="preserve">Linkages between </w:t>
      </w:r>
      <w:r w:rsidR="00D33D58" w:rsidRPr="009E09CA">
        <w:rPr>
          <w:color w:val="2E75B6" w:themeColor="accent5"/>
        </w:rPr>
        <w:t xml:space="preserve">the </w:t>
      </w:r>
      <w:r w:rsidRPr="009E09CA">
        <w:rPr>
          <w:color w:val="2E75B6" w:themeColor="accent5"/>
        </w:rPr>
        <w:t>project and other interventions within the sector</w:t>
      </w:r>
    </w:p>
    <w:p w14:paraId="02B84017" w14:textId="1B2ADE6A" w:rsidR="00762497" w:rsidRDefault="00C84305" w:rsidP="00C84305">
      <w:pPr>
        <w:jc w:val="both"/>
      </w:pPr>
      <w:r w:rsidRPr="00C84305">
        <w:t xml:space="preserve">The </w:t>
      </w:r>
      <w:r>
        <w:t xml:space="preserve">ProDoc listed various investment and initiatives in the logistics sector of </w:t>
      </w:r>
      <w:r w:rsidR="00F124B3">
        <w:t>Zhejiang</w:t>
      </w:r>
      <w:r>
        <w:t xml:space="preserve"> Province as part of the project´s bas</w:t>
      </w:r>
      <w:r w:rsidR="0061022F">
        <w:t>e</w:t>
      </w:r>
      <w:r>
        <w:t>line:</w:t>
      </w:r>
    </w:p>
    <w:p w14:paraId="6E97ED78" w14:textId="534A73EB" w:rsidR="00C84305" w:rsidRPr="0061022F" w:rsidRDefault="00C84305" w:rsidP="00AC0D02">
      <w:pPr>
        <w:pStyle w:val="ListParagraph"/>
        <w:numPr>
          <w:ilvl w:val="0"/>
          <w:numId w:val="43"/>
        </w:numPr>
        <w:jc w:val="both"/>
        <w:rPr>
          <w:lang w:val="en-GB"/>
        </w:rPr>
      </w:pPr>
      <w:r w:rsidRPr="0061022F">
        <w:rPr>
          <w:lang w:val="en-GB"/>
        </w:rPr>
        <w:t xml:space="preserve">Transformation of </w:t>
      </w:r>
      <w:r w:rsidR="0061022F" w:rsidRPr="0061022F">
        <w:rPr>
          <w:lang w:val="en-GB"/>
        </w:rPr>
        <w:t>R</w:t>
      </w:r>
      <w:r w:rsidRPr="0061022F">
        <w:rPr>
          <w:lang w:val="en-GB"/>
        </w:rPr>
        <w:t xml:space="preserve">oad and </w:t>
      </w:r>
      <w:r w:rsidR="0061022F" w:rsidRPr="0061022F">
        <w:rPr>
          <w:lang w:val="en-GB"/>
        </w:rPr>
        <w:t>P</w:t>
      </w:r>
      <w:r w:rsidRPr="0061022F">
        <w:rPr>
          <w:lang w:val="en-GB"/>
        </w:rPr>
        <w:t xml:space="preserve">ort </w:t>
      </w:r>
      <w:r w:rsidR="0061022F" w:rsidRPr="0061022F">
        <w:rPr>
          <w:lang w:val="en-GB"/>
        </w:rPr>
        <w:t>L</w:t>
      </w:r>
      <w:r w:rsidRPr="0061022F">
        <w:rPr>
          <w:lang w:val="en-GB"/>
        </w:rPr>
        <w:t xml:space="preserve">ogistics </w:t>
      </w:r>
      <w:r w:rsidR="0061022F" w:rsidRPr="0061022F">
        <w:rPr>
          <w:lang w:val="en-GB"/>
        </w:rPr>
        <w:t>P</w:t>
      </w:r>
      <w:r w:rsidRPr="0061022F">
        <w:rPr>
          <w:lang w:val="en-GB"/>
        </w:rPr>
        <w:t>roject;</w:t>
      </w:r>
    </w:p>
    <w:p w14:paraId="71092F1E" w14:textId="78B7B64A" w:rsidR="00C84305" w:rsidRPr="0061022F" w:rsidRDefault="00C84305" w:rsidP="00AC0D02">
      <w:pPr>
        <w:pStyle w:val="ListParagraph"/>
        <w:numPr>
          <w:ilvl w:val="0"/>
          <w:numId w:val="43"/>
        </w:numPr>
        <w:jc w:val="both"/>
        <w:rPr>
          <w:lang w:val="en-GB"/>
        </w:rPr>
      </w:pPr>
      <w:r w:rsidRPr="0061022F">
        <w:rPr>
          <w:lang w:val="en-GB"/>
        </w:rPr>
        <w:t xml:space="preserve">International </w:t>
      </w:r>
      <w:r w:rsidR="0061022F" w:rsidRPr="0061022F">
        <w:rPr>
          <w:lang w:val="en-GB"/>
        </w:rPr>
        <w:t>P</w:t>
      </w:r>
      <w:r w:rsidRPr="0061022F">
        <w:rPr>
          <w:lang w:val="en-GB"/>
        </w:rPr>
        <w:t xml:space="preserve">ort </w:t>
      </w:r>
      <w:r w:rsidR="0061022F" w:rsidRPr="0061022F">
        <w:rPr>
          <w:lang w:val="en-GB"/>
        </w:rPr>
        <w:t>Lo</w:t>
      </w:r>
      <w:r w:rsidRPr="0061022F">
        <w:rPr>
          <w:lang w:val="en-GB"/>
        </w:rPr>
        <w:t xml:space="preserve">gistics </w:t>
      </w:r>
      <w:r w:rsidR="0061022F" w:rsidRPr="0061022F">
        <w:rPr>
          <w:lang w:val="en-GB"/>
        </w:rPr>
        <w:t>P</w:t>
      </w:r>
      <w:r w:rsidRPr="0061022F">
        <w:rPr>
          <w:lang w:val="en-GB"/>
        </w:rPr>
        <w:t>roject;</w:t>
      </w:r>
    </w:p>
    <w:p w14:paraId="621CAA0F" w14:textId="5B139D4C" w:rsidR="00C84305" w:rsidRPr="0061022F" w:rsidRDefault="0061022F" w:rsidP="00AC0D02">
      <w:pPr>
        <w:pStyle w:val="ListParagraph"/>
        <w:numPr>
          <w:ilvl w:val="0"/>
          <w:numId w:val="43"/>
        </w:numPr>
        <w:jc w:val="both"/>
        <w:rPr>
          <w:lang w:val="en-GB"/>
        </w:rPr>
      </w:pPr>
      <w:r w:rsidRPr="0061022F">
        <w:rPr>
          <w:lang w:val="en-GB"/>
        </w:rPr>
        <w:t>Stage out Action Plan for Rejuvenation of Inland Water Navigation in Zhejiang Province;</w:t>
      </w:r>
    </w:p>
    <w:p w14:paraId="1A8665B2" w14:textId="3DBE4F5B" w:rsidR="0061022F" w:rsidRPr="0061022F" w:rsidRDefault="0061022F" w:rsidP="00AC0D02">
      <w:pPr>
        <w:pStyle w:val="ListParagraph"/>
        <w:numPr>
          <w:ilvl w:val="0"/>
          <w:numId w:val="43"/>
        </w:numPr>
        <w:jc w:val="both"/>
        <w:rPr>
          <w:lang w:val="en-GB"/>
        </w:rPr>
      </w:pPr>
      <w:r w:rsidRPr="0061022F">
        <w:rPr>
          <w:lang w:val="en-GB"/>
        </w:rPr>
        <w:t>13</w:t>
      </w:r>
      <w:r w:rsidRPr="0061022F">
        <w:rPr>
          <w:vertAlign w:val="superscript"/>
          <w:lang w:val="en-GB"/>
        </w:rPr>
        <w:t>th</w:t>
      </w:r>
      <w:r w:rsidRPr="0061022F">
        <w:rPr>
          <w:lang w:val="en-GB"/>
        </w:rPr>
        <w:t xml:space="preserve"> Five</w:t>
      </w:r>
      <w:r>
        <w:rPr>
          <w:lang w:val="en-GB"/>
        </w:rPr>
        <w:t>-</w:t>
      </w:r>
      <w:r w:rsidRPr="0061022F">
        <w:rPr>
          <w:lang w:val="en-GB"/>
        </w:rPr>
        <w:t>Year Plan for the Development of Modern Logistics Industry in Zhejiang Province;</w:t>
      </w:r>
    </w:p>
    <w:p w14:paraId="65950C2C" w14:textId="2E3C5929" w:rsidR="0061022F" w:rsidRPr="0061022F" w:rsidRDefault="0061022F" w:rsidP="00AC0D02">
      <w:pPr>
        <w:pStyle w:val="ListParagraph"/>
        <w:numPr>
          <w:ilvl w:val="0"/>
          <w:numId w:val="43"/>
        </w:numPr>
        <w:jc w:val="both"/>
        <w:rPr>
          <w:lang w:val="en-GB"/>
        </w:rPr>
      </w:pPr>
      <w:r w:rsidRPr="0061022F">
        <w:rPr>
          <w:lang w:val="en-GB"/>
        </w:rPr>
        <w:t>Setting of the Standards of Zhejiang Province Green Logistics;</w:t>
      </w:r>
    </w:p>
    <w:p w14:paraId="5C354426" w14:textId="02F9945E" w:rsidR="0061022F" w:rsidRPr="0061022F" w:rsidRDefault="0061022F" w:rsidP="00AC0D02">
      <w:pPr>
        <w:pStyle w:val="ListParagraph"/>
        <w:numPr>
          <w:ilvl w:val="0"/>
          <w:numId w:val="43"/>
        </w:numPr>
        <w:jc w:val="both"/>
        <w:rPr>
          <w:lang w:val="en-GB"/>
        </w:rPr>
      </w:pPr>
      <w:r w:rsidRPr="0061022F">
        <w:rPr>
          <w:lang w:val="en-GB"/>
        </w:rPr>
        <w:t>Hangzhou Modern Logistics Development Plan;</w:t>
      </w:r>
    </w:p>
    <w:p w14:paraId="3BBD97D1" w14:textId="063AC782" w:rsidR="0061022F" w:rsidRPr="0061022F" w:rsidRDefault="0061022F" w:rsidP="00AC0D02">
      <w:pPr>
        <w:pStyle w:val="ListParagraph"/>
        <w:numPr>
          <w:ilvl w:val="0"/>
          <w:numId w:val="43"/>
        </w:numPr>
        <w:jc w:val="both"/>
        <w:rPr>
          <w:lang w:val="en-GB"/>
        </w:rPr>
      </w:pPr>
      <w:r w:rsidRPr="0061022F">
        <w:rPr>
          <w:lang w:val="en-GB"/>
        </w:rPr>
        <w:t>Transportation Information Platform;</w:t>
      </w:r>
      <w:r w:rsidR="00D33D58">
        <w:rPr>
          <w:lang w:val="en-GB"/>
        </w:rPr>
        <w:t xml:space="preserve"> and,</w:t>
      </w:r>
    </w:p>
    <w:p w14:paraId="5810C9B1" w14:textId="77620F5C" w:rsidR="0061022F" w:rsidRPr="0061022F" w:rsidRDefault="0061022F" w:rsidP="00AC0D02">
      <w:pPr>
        <w:pStyle w:val="ListParagraph"/>
        <w:numPr>
          <w:ilvl w:val="0"/>
          <w:numId w:val="43"/>
        </w:numPr>
        <w:jc w:val="both"/>
        <w:rPr>
          <w:lang w:val="en-GB"/>
        </w:rPr>
      </w:pPr>
      <w:r w:rsidRPr="0061022F">
        <w:rPr>
          <w:lang w:val="en-GB"/>
        </w:rPr>
        <w:t>Improvement of Container Full-Load Rate and Implementation of the Water-Land Transhipment Project;</w:t>
      </w:r>
    </w:p>
    <w:p w14:paraId="21FF76AE" w14:textId="5AE02D2F" w:rsidR="0061022F" w:rsidRPr="009E09CA" w:rsidRDefault="003D678D" w:rsidP="003D678D">
      <w:pPr>
        <w:jc w:val="both"/>
      </w:pPr>
      <w:r>
        <w:t xml:space="preserve">As part of the project’s baseline, these project and initiatives contributed towards cofinancing targets and to the </w:t>
      </w:r>
      <w:r w:rsidRPr="009E09CA">
        <w:t>achievement of project results.</w:t>
      </w:r>
    </w:p>
    <w:p w14:paraId="0DA834E0" w14:textId="4C6FD86C" w:rsidR="00134975" w:rsidRPr="009E09CA" w:rsidRDefault="00134975" w:rsidP="00DE67CF">
      <w:pPr>
        <w:pStyle w:val="ListParagraph"/>
        <w:numPr>
          <w:ilvl w:val="2"/>
          <w:numId w:val="47"/>
        </w:numPr>
        <w:jc w:val="both"/>
        <w:rPr>
          <w:color w:val="2E75B6" w:themeColor="accent5"/>
        </w:rPr>
      </w:pPr>
      <w:r w:rsidRPr="009E09CA">
        <w:rPr>
          <w:color w:val="2E75B6" w:themeColor="accent5"/>
        </w:rPr>
        <w:t>Gender responsiveness of project design</w:t>
      </w:r>
    </w:p>
    <w:p w14:paraId="79CE84D1" w14:textId="7EDA12A4" w:rsidR="00134975" w:rsidRPr="009E09CA" w:rsidRDefault="00EC47A6" w:rsidP="00EC47A6">
      <w:pPr>
        <w:jc w:val="both"/>
      </w:pPr>
      <w:r w:rsidRPr="009E09CA">
        <w:t>The project design included no consideration</w:t>
      </w:r>
      <w:r w:rsidR="00FA5CAA" w:rsidRPr="009E09CA">
        <w:t>s</w:t>
      </w:r>
      <w:r w:rsidRPr="009E09CA">
        <w:t xml:space="preserve"> on gender other than general observations in the social and environmental screening about improved environmental quality that could benefit women, and about the project creating job opportunities for women. </w:t>
      </w:r>
      <w:r w:rsidR="00FA5CAA" w:rsidRPr="009E09CA">
        <w:t xml:space="preserve">The CEO endorsement request indicated that the project would promote job opportunities for women through training activities under component 3. </w:t>
      </w:r>
    </w:p>
    <w:p w14:paraId="0F0A07D4" w14:textId="29756AAA" w:rsidR="00FA5CAA" w:rsidRPr="00EC47A6" w:rsidRDefault="00FA5CAA" w:rsidP="00EC47A6">
      <w:pPr>
        <w:jc w:val="both"/>
      </w:pPr>
      <w:r w:rsidRPr="009E09CA">
        <w:t>No gender analysis or action plan were included in</w:t>
      </w:r>
      <w:r>
        <w:t xml:space="preserve"> the project design, although a gender action plan was not a mandatary component of UNDP/GEF proposal at the time</w:t>
      </w:r>
      <w:r w:rsidR="0078365A">
        <w:t xml:space="preserve"> the project was formulated</w:t>
      </w:r>
      <w:r>
        <w:t>.</w:t>
      </w:r>
    </w:p>
    <w:p w14:paraId="413639C5" w14:textId="038D42C2" w:rsidR="00A539A4" w:rsidRDefault="00A539A4" w:rsidP="00DE67CF">
      <w:pPr>
        <w:pStyle w:val="ListParagraph"/>
        <w:numPr>
          <w:ilvl w:val="2"/>
          <w:numId w:val="47"/>
        </w:numPr>
        <w:jc w:val="both"/>
        <w:rPr>
          <w:color w:val="2E75B6" w:themeColor="accent5"/>
        </w:rPr>
      </w:pPr>
      <w:r w:rsidRPr="00A539A4">
        <w:rPr>
          <w:color w:val="2E75B6" w:themeColor="accent5"/>
        </w:rPr>
        <w:lastRenderedPageBreak/>
        <w:t>Social and Environmental Safeguards</w:t>
      </w:r>
    </w:p>
    <w:p w14:paraId="5D46CA24" w14:textId="58F25654" w:rsidR="004910D2" w:rsidRPr="004910D2" w:rsidRDefault="004910D2" w:rsidP="004910D2">
      <w:pPr>
        <w:jc w:val="both"/>
      </w:pPr>
      <w:r w:rsidRPr="004910D2">
        <w:t xml:space="preserve">The ProDoc </w:t>
      </w:r>
      <w:r>
        <w:t>included the standard UNDP social and environmental screening report in Annex X. The project was classified as low risk and no specific risk</w:t>
      </w:r>
      <w:r w:rsidR="002161D1">
        <w:t>s</w:t>
      </w:r>
      <w:r>
        <w:t xml:space="preserve"> related to social and environmental safeguards were identified.</w:t>
      </w:r>
    </w:p>
    <w:p w14:paraId="4352559F" w14:textId="243FD64F" w:rsidR="008E2C94" w:rsidRPr="008E2C94" w:rsidRDefault="008E2C94" w:rsidP="00DE67CF">
      <w:pPr>
        <w:pStyle w:val="Heading2"/>
        <w:numPr>
          <w:ilvl w:val="1"/>
          <w:numId w:val="47"/>
        </w:numPr>
      </w:pPr>
      <w:bookmarkStart w:id="36" w:name="_Toc64632055"/>
      <w:r w:rsidRPr="008E2C94">
        <w:t>Project Implementation</w:t>
      </w:r>
      <w:bookmarkEnd w:id="36"/>
    </w:p>
    <w:p w14:paraId="57FF92CF" w14:textId="0FD34A1C" w:rsidR="008E2C94" w:rsidRPr="00DE67CF" w:rsidRDefault="008E2C94" w:rsidP="00DE67CF">
      <w:pPr>
        <w:pStyle w:val="ListParagraph"/>
        <w:numPr>
          <w:ilvl w:val="2"/>
          <w:numId w:val="47"/>
        </w:numPr>
        <w:jc w:val="both"/>
        <w:rPr>
          <w:color w:val="2E75B6" w:themeColor="accent5"/>
        </w:rPr>
      </w:pPr>
      <w:bookmarkStart w:id="37" w:name="_Ref62049983"/>
      <w:r w:rsidRPr="00DE67CF">
        <w:rPr>
          <w:color w:val="2E75B6" w:themeColor="accent5"/>
        </w:rPr>
        <w:t>Adaptive management</w:t>
      </w:r>
      <w:bookmarkEnd w:id="37"/>
      <w:r w:rsidRPr="00DE67CF">
        <w:rPr>
          <w:color w:val="2E75B6" w:themeColor="accent5"/>
        </w:rPr>
        <w:t xml:space="preserve"> </w:t>
      </w:r>
    </w:p>
    <w:p w14:paraId="3AC869B4" w14:textId="6099FD44" w:rsidR="007F35EB" w:rsidRPr="009E09CA" w:rsidRDefault="007F35EB" w:rsidP="008E2C94">
      <w:pPr>
        <w:jc w:val="both"/>
      </w:pPr>
      <w:r w:rsidRPr="007F35EB">
        <w:t xml:space="preserve">During the </w:t>
      </w:r>
      <w:r>
        <w:t>inception workshop, held on 24 March 20017, stakeholders identified changes to the project context and noted that the project scope had to change to reflect these new circumstances: “</w:t>
      </w:r>
      <w:r w:rsidRPr="007F35EB">
        <w:t>Since the Project Concept Paper has been submitted to and approved by GEF in February 2014, some major senior beneficiary demands changed before the project is finally approved by UNDP in December 2016. So the project scope and content are quite different with what is originally designed. Significant changes and adjustments are necessary to be reviewed and identified to ensure a clear project operation procedure and successful project implementation.</w:t>
      </w:r>
      <w:r>
        <w:t>”</w:t>
      </w:r>
      <w:r w:rsidR="002161D1">
        <w:rPr>
          <w:rStyle w:val="FootnoteReference"/>
        </w:rPr>
        <w:footnoteReference w:id="16"/>
      </w:r>
      <w:r>
        <w:t xml:space="preserve"> The workplan</w:t>
      </w:r>
      <w:r w:rsidR="00000CD6">
        <w:t xml:space="preserve">s for </w:t>
      </w:r>
      <w:r w:rsidR="00BD564E">
        <w:t xml:space="preserve">the first year of implementation of the project </w:t>
      </w:r>
      <w:r w:rsidR="00000CD6">
        <w:t>and for</w:t>
      </w:r>
      <w:r w:rsidR="00BD564E">
        <w:t xml:space="preserve"> </w:t>
      </w:r>
      <w:r w:rsidR="002161D1">
        <w:t xml:space="preserve">the </w:t>
      </w:r>
      <w:r w:rsidR="00BD564E">
        <w:t xml:space="preserve">entire four </w:t>
      </w:r>
      <w:r w:rsidR="00BD564E" w:rsidRPr="009E09CA">
        <w:t xml:space="preserve">years of the project´s lifetime </w:t>
      </w:r>
      <w:r w:rsidR="00000CD6" w:rsidRPr="009E09CA">
        <w:t>that were included in annexes 4 and 5 of the inception workshop report h</w:t>
      </w:r>
      <w:r w:rsidRPr="009E09CA">
        <w:t xml:space="preserve">ad little resemblance to the </w:t>
      </w:r>
      <w:r w:rsidR="00000CD6" w:rsidRPr="009E09CA">
        <w:t>project described in the</w:t>
      </w:r>
      <w:r w:rsidRPr="009E09CA">
        <w:t xml:space="preserve"> ProDoc. </w:t>
      </w:r>
      <w:r w:rsidR="00D2569A" w:rsidRPr="009E09CA">
        <w:t xml:space="preserve">No formal approval of the changes discussed during the inception workshop </w:t>
      </w:r>
      <w:r w:rsidR="00BD564E" w:rsidRPr="009E09CA">
        <w:t xml:space="preserve">was </w:t>
      </w:r>
      <w:r w:rsidR="00320489" w:rsidRPr="009E09CA">
        <w:t>recorded by</w:t>
      </w:r>
      <w:r w:rsidR="00BD564E" w:rsidRPr="009E09CA">
        <w:t xml:space="preserve"> UNDP´s country office in China</w:t>
      </w:r>
      <w:r w:rsidR="008D3508" w:rsidRPr="009E09CA">
        <w:t>.</w:t>
      </w:r>
    </w:p>
    <w:p w14:paraId="2F431D65" w14:textId="5C892E78" w:rsidR="008D3508" w:rsidRDefault="00757150" w:rsidP="008E2C94">
      <w:pPr>
        <w:jc w:val="both"/>
      </w:pPr>
      <w:r w:rsidRPr="009E09CA">
        <w:t xml:space="preserve">The MTR produced ten recommendations that are presented in </w:t>
      </w:r>
      <w:r w:rsidRPr="009E09CA">
        <w:fldChar w:fldCharType="begin"/>
      </w:r>
      <w:r w:rsidRPr="009E09CA">
        <w:instrText xml:space="preserve"> REF _Ref61440717 \h </w:instrText>
      </w:r>
      <w:r w:rsidR="009E09CA">
        <w:instrText xml:space="preserve"> \* MERGEFORMAT </w:instrText>
      </w:r>
      <w:r w:rsidRPr="009E09CA">
        <w:fldChar w:fldCharType="separate"/>
      </w:r>
      <w:r w:rsidR="004718D8" w:rsidRPr="009E09CA">
        <w:t xml:space="preserve">Table </w:t>
      </w:r>
      <w:r w:rsidR="004718D8" w:rsidRPr="009E09CA">
        <w:rPr>
          <w:noProof/>
        </w:rPr>
        <w:t>8</w:t>
      </w:r>
      <w:r w:rsidRPr="009E09CA">
        <w:fldChar w:fldCharType="end"/>
      </w:r>
      <w:r w:rsidRPr="009E09CA">
        <w:t>, together with their respective management response and observations from the evaluation team.</w:t>
      </w:r>
      <w:r w:rsidR="00C579CB" w:rsidRPr="009E09CA">
        <w:t xml:space="preserve"> As shown in </w:t>
      </w:r>
      <w:r w:rsidR="000900AB" w:rsidRPr="009E09CA">
        <w:fldChar w:fldCharType="begin"/>
      </w:r>
      <w:r w:rsidR="000900AB" w:rsidRPr="009E09CA">
        <w:instrText xml:space="preserve"> REF _Ref61440717 \h </w:instrText>
      </w:r>
      <w:r w:rsidR="009E09CA">
        <w:instrText xml:space="preserve"> \* MERGEFORMAT </w:instrText>
      </w:r>
      <w:r w:rsidR="000900AB" w:rsidRPr="009E09CA">
        <w:fldChar w:fldCharType="separate"/>
      </w:r>
      <w:r w:rsidR="004718D8" w:rsidRPr="009E09CA">
        <w:t xml:space="preserve">Table </w:t>
      </w:r>
      <w:r w:rsidR="004718D8" w:rsidRPr="009E09CA">
        <w:rPr>
          <w:noProof/>
        </w:rPr>
        <w:t>8</w:t>
      </w:r>
      <w:r w:rsidR="000900AB" w:rsidRPr="009E09CA">
        <w:fldChar w:fldCharType="end"/>
      </w:r>
      <w:r w:rsidR="00C579CB" w:rsidRPr="009E09CA">
        <w:t xml:space="preserve">, the recommendations from the MTR and the actions to respond to these recommendations were not </w:t>
      </w:r>
      <w:r w:rsidR="00E44821" w:rsidRPr="009E09CA">
        <w:t>particularly</w:t>
      </w:r>
      <w:r w:rsidR="00C579CB" w:rsidRPr="009E09CA">
        <w:t xml:space="preserve"> effective since</w:t>
      </w:r>
      <w:r w:rsidR="000900AB" w:rsidRPr="009E09CA">
        <w:t>:</w:t>
      </w:r>
      <w:r w:rsidR="00C579CB" w:rsidRPr="009E09CA">
        <w:t xml:space="preserve"> (i) some recommendations were not applicable</w:t>
      </w:r>
      <w:r w:rsidR="00C579CB">
        <w:t xml:space="preserve"> due to time or resource constraints (e.g. A.2., B.6.</w:t>
      </w:r>
      <w:r w:rsidR="00E44821">
        <w:t>, B.7.</w:t>
      </w:r>
      <w:r w:rsidR="00C579CB">
        <w:t>), (ii) some recommendations pointed to issues that had already been identified and reacted to (e.g. A.3. B.1.</w:t>
      </w:r>
      <w:r w:rsidR="00E44821">
        <w:t>)</w:t>
      </w:r>
      <w:r w:rsidR="00C579CB">
        <w:t>, and/or (iii) responses to some recommendations were not implemented (A.1., B.1.</w:t>
      </w:r>
      <w:r w:rsidR="00E44821">
        <w:t>)</w:t>
      </w:r>
    </w:p>
    <w:p w14:paraId="6D79C697" w14:textId="607EE3D7" w:rsidR="00757150" w:rsidRDefault="00757150" w:rsidP="00757150">
      <w:pPr>
        <w:pStyle w:val="Caption"/>
      </w:pPr>
      <w:bookmarkStart w:id="38" w:name="_Ref61440717"/>
      <w:bookmarkStart w:id="39" w:name="_Ref61440713"/>
      <w:r>
        <w:t xml:space="preserve">Table </w:t>
      </w:r>
      <w:r>
        <w:fldChar w:fldCharType="begin"/>
      </w:r>
      <w:r>
        <w:instrText xml:space="preserve"> SEQ Table \* ARABIC </w:instrText>
      </w:r>
      <w:r>
        <w:fldChar w:fldCharType="separate"/>
      </w:r>
      <w:r w:rsidR="004718D8">
        <w:rPr>
          <w:noProof/>
        </w:rPr>
        <w:t>8</w:t>
      </w:r>
      <w:r>
        <w:fldChar w:fldCharType="end"/>
      </w:r>
      <w:bookmarkEnd w:id="38"/>
      <w:r>
        <w:t>. Recommendation from mid-term review</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B66C93" w:rsidRPr="00B66C93" w14:paraId="40A62398" w14:textId="77777777" w:rsidTr="00B66C93">
        <w:trPr>
          <w:trHeight w:val="630"/>
          <w:tblHeader/>
        </w:trPr>
        <w:tc>
          <w:tcPr>
            <w:tcW w:w="1666" w:type="pct"/>
            <w:shd w:val="clear" w:color="auto" w:fill="2E75B6" w:themeFill="accent5"/>
            <w:vAlign w:val="center"/>
          </w:tcPr>
          <w:p w14:paraId="3B28B42F" w14:textId="1FAC0E92" w:rsidR="00757150" w:rsidRPr="00B66C93" w:rsidRDefault="00757150" w:rsidP="00197D62">
            <w:pPr>
              <w:pStyle w:val="EOTableTextBold"/>
              <w:rPr>
                <w:color w:val="FFFFFF" w:themeColor="background1"/>
              </w:rPr>
            </w:pPr>
            <w:r w:rsidRPr="00B66C93">
              <w:rPr>
                <w:color w:val="FFFFFF" w:themeColor="background1"/>
              </w:rPr>
              <w:t>Recommendation</w:t>
            </w:r>
            <w:r w:rsidR="00746EA6" w:rsidRPr="00B66C93">
              <w:rPr>
                <w:color w:val="FFFFFF" w:themeColor="background1"/>
              </w:rPr>
              <w:t>s</w:t>
            </w:r>
            <w:r w:rsidR="00746EA6" w:rsidRPr="00B66C93">
              <w:rPr>
                <w:color w:val="FFFFFF" w:themeColor="background1"/>
                <w:vertAlign w:val="superscript"/>
              </w:rPr>
              <w:t>†</w:t>
            </w:r>
          </w:p>
        </w:tc>
        <w:tc>
          <w:tcPr>
            <w:tcW w:w="1667" w:type="pct"/>
            <w:shd w:val="clear" w:color="auto" w:fill="2E75B6" w:themeFill="accent5"/>
            <w:vAlign w:val="center"/>
          </w:tcPr>
          <w:p w14:paraId="23953A87" w14:textId="20676D2B" w:rsidR="00757150" w:rsidRPr="00B66C93" w:rsidRDefault="00757150" w:rsidP="00197D62">
            <w:pPr>
              <w:pStyle w:val="EOTableTextBold"/>
              <w:rPr>
                <w:color w:val="FFFFFF" w:themeColor="background1"/>
              </w:rPr>
            </w:pPr>
            <w:r w:rsidRPr="00B66C93">
              <w:rPr>
                <w:color w:val="FFFFFF" w:themeColor="background1"/>
              </w:rPr>
              <w:t>Management response</w:t>
            </w:r>
            <w:r w:rsidR="00CD2B78" w:rsidRPr="00B66C93">
              <w:rPr>
                <w:color w:val="FFFFFF" w:themeColor="background1"/>
                <w:vertAlign w:val="superscript"/>
              </w:rPr>
              <w:t>‡</w:t>
            </w:r>
          </w:p>
        </w:tc>
        <w:tc>
          <w:tcPr>
            <w:tcW w:w="1667" w:type="pct"/>
            <w:shd w:val="clear" w:color="auto" w:fill="2E75B6" w:themeFill="accent5"/>
            <w:vAlign w:val="center"/>
          </w:tcPr>
          <w:p w14:paraId="2EF32383" w14:textId="61AAA239" w:rsidR="00757150" w:rsidRPr="00B66C93" w:rsidRDefault="00757150" w:rsidP="00197D62">
            <w:pPr>
              <w:pStyle w:val="EOTableTextBold"/>
              <w:rPr>
                <w:color w:val="FFFFFF" w:themeColor="background1"/>
              </w:rPr>
            </w:pPr>
            <w:r w:rsidRPr="00B66C93">
              <w:rPr>
                <w:color w:val="FFFFFF" w:themeColor="background1"/>
              </w:rPr>
              <w:t>Comments</w:t>
            </w:r>
          </w:p>
        </w:tc>
      </w:tr>
      <w:tr w:rsidR="0099713D" w:rsidRPr="00B2059A" w14:paraId="3EEA8EA7" w14:textId="77777777" w:rsidTr="0099713D">
        <w:trPr>
          <w:trHeight w:val="217"/>
        </w:trPr>
        <w:tc>
          <w:tcPr>
            <w:tcW w:w="5000" w:type="pct"/>
            <w:gridSpan w:val="3"/>
            <w:shd w:val="clear" w:color="auto" w:fill="D1E3F3" w:themeFill="accent5" w:themeFillTint="33"/>
          </w:tcPr>
          <w:p w14:paraId="4CAA5E25" w14:textId="2DEF6AC8" w:rsidR="0099713D" w:rsidRPr="00B2059A" w:rsidRDefault="0099713D" w:rsidP="00AC0D02">
            <w:pPr>
              <w:pStyle w:val="EOTableText"/>
              <w:numPr>
                <w:ilvl w:val="0"/>
                <w:numId w:val="44"/>
              </w:numPr>
              <w:rPr>
                <w:rFonts w:ascii="Times New Roman" w:hAnsi="Times New Roman"/>
                <w:sz w:val="20"/>
                <w:szCs w:val="20"/>
              </w:rPr>
            </w:pPr>
            <w:r w:rsidRPr="00B2059A">
              <w:rPr>
                <w:rFonts w:ascii="Times New Roman" w:hAnsi="Times New Roman"/>
                <w:sz w:val="20"/>
                <w:szCs w:val="20"/>
              </w:rPr>
              <w:t>Project design, objective and strategy</w:t>
            </w:r>
          </w:p>
        </w:tc>
      </w:tr>
      <w:tr w:rsidR="00757150" w:rsidRPr="00B2059A" w14:paraId="79EDAD5D" w14:textId="77777777" w:rsidTr="00757150">
        <w:trPr>
          <w:trHeight w:val="217"/>
        </w:trPr>
        <w:tc>
          <w:tcPr>
            <w:tcW w:w="1666" w:type="pct"/>
            <w:shd w:val="clear" w:color="auto" w:fill="auto"/>
          </w:tcPr>
          <w:p w14:paraId="472974E4" w14:textId="3B55F1FC" w:rsidR="00757150" w:rsidRPr="00B2059A" w:rsidRDefault="0099713D" w:rsidP="00197D62">
            <w:pPr>
              <w:pStyle w:val="EOTableText"/>
              <w:rPr>
                <w:rFonts w:ascii="Times New Roman" w:hAnsi="Times New Roman"/>
                <w:sz w:val="20"/>
                <w:szCs w:val="20"/>
              </w:rPr>
            </w:pPr>
            <w:r w:rsidRPr="00B2059A">
              <w:rPr>
                <w:rFonts w:ascii="Times New Roman" w:hAnsi="Times New Roman"/>
                <w:sz w:val="20"/>
                <w:szCs w:val="20"/>
              </w:rPr>
              <w:t>A.</w:t>
            </w:r>
            <w:r w:rsidR="00746EA6" w:rsidRPr="00B2059A">
              <w:rPr>
                <w:rFonts w:ascii="Times New Roman" w:hAnsi="Times New Roman"/>
                <w:sz w:val="20"/>
                <w:szCs w:val="20"/>
              </w:rPr>
              <w:t xml:space="preserve">1. </w:t>
            </w:r>
            <w:r w:rsidR="00757150" w:rsidRPr="00B2059A">
              <w:rPr>
                <w:rFonts w:ascii="Times New Roman" w:hAnsi="Times New Roman"/>
                <w:sz w:val="20"/>
                <w:szCs w:val="20"/>
              </w:rPr>
              <w:t>“</w:t>
            </w:r>
            <w:r w:rsidRPr="00B2059A">
              <w:rPr>
                <w:rFonts w:ascii="Times New Roman" w:hAnsi="Times New Roman"/>
                <w:sz w:val="20"/>
                <w:szCs w:val="20"/>
              </w:rPr>
              <w:t>As the GLIZP project document was made several years ago, and the provincial logistics industry has undergone changes, it is recommended that the project use an updated methodology to calculate the fuel and GHG emissions reductions, as is being used by the PMU. This methodology is aligned with the original goal, objective, and output of the project.</w:t>
            </w:r>
            <w:r w:rsidR="00757150" w:rsidRPr="00B2059A">
              <w:rPr>
                <w:rFonts w:ascii="Times New Roman" w:hAnsi="Times New Roman"/>
                <w:sz w:val="20"/>
                <w:szCs w:val="20"/>
              </w:rPr>
              <w:t>”</w:t>
            </w:r>
          </w:p>
        </w:tc>
        <w:tc>
          <w:tcPr>
            <w:tcW w:w="1667" w:type="pct"/>
            <w:shd w:val="clear" w:color="auto" w:fill="auto"/>
          </w:tcPr>
          <w:p w14:paraId="423B8F69" w14:textId="77777777" w:rsidR="00CD2B78" w:rsidRPr="00B2059A" w:rsidRDefault="00CD2B78" w:rsidP="00197D62">
            <w:pPr>
              <w:pStyle w:val="EOTableText"/>
              <w:rPr>
                <w:rFonts w:ascii="Times New Roman" w:hAnsi="Times New Roman"/>
                <w:sz w:val="20"/>
                <w:szCs w:val="20"/>
              </w:rPr>
            </w:pPr>
            <w:r w:rsidRPr="00B2059A">
              <w:rPr>
                <w:rFonts w:ascii="Times New Roman" w:hAnsi="Times New Roman"/>
                <w:sz w:val="20"/>
                <w:szCs w:val="20"/>
              </w:rPr>
              <w:t>“Agreed.</w:t>
            </w:r>
          </w:p>
          <w:p w14:paraId="1C761F9A" w14:textId="01F9792E" w:rsidR="00757150" w:rsidRPr="00B2059A" w:rsidRDefault="00CD2B78" w:rsidP="00197D62">
            <w:pPr>
              <w:pStyle w:val="EOTableText"/>
              <w:rPr>
                <w:rFonts w:ascii="Times New Roman" w:hAnsi="Times New Roman"/>
                <w:sz w:val="20"/>
                <w:szCs w:val="20"/>
              </w:rPr>
            </w:pPr>
            <w:r w:rsidRPr="00B2059A">
              <w:rPr>
                <w:rFonts w:ascii="Times New Roman" w:hAnsi="Times New Roman"/>
                <w:sz w:val="20"/>
                <w:szCs w:val="20"/>
              </w:rPr>
              <w:t>PMU will continue to use the new method to calculate fuel and greenhouse gas emissions reductions over the next project implementation period”</w:t>
            </w:r>
          </w:p>
        </w:tc>
        <w:tc>
          <w:tcPr>
            <w:tcW w:w="1667" w:type="pct"/>
            <w:shd w:val="clear" w:color="auto" w:fill="auto"/>
          </w:tcPr>
          <w:p w14:paraId="7AA72970" w14:textId="1568DB08" w:rsidR="00757150" w:rsidRPr="009E09CA" w:rsidRDefault="000900AB" w:rsidP="00197D62">
            <w:pPr>
              <w:pStyle w:val="EOTableText"/>
              <w:rPr>
                <w:rFonts w:ascii="Times New Roman" w:hAnsi="Times New Roman"/>
                <w:sz w:val="20"/>
                <w:szCs w:val="20"/>
              </w:rPr>
            </w:pPr>
            <w:r w:rsidRPr="009E09CA">
              <w:rPr>
                <w:rFonts w:ascii="Times New Roman" w:hAnsi="Times New Roman"/>
                <w:sz w:val="20"/>
                <w:szCs w:val="20"/>
              </w:rPr>
              <w:t xml:space="preserve">The calculation of GHG emissions reductions by the project had major shortcoming that were not properly identified and corrected. It remains unclear how and when the methodology was updated. </w:t>
            </w:r>
            <w:r w:rsidR="008745EB" w:rsidRPr="009E09CA">
              <w:rPr>
                <w:rFonts w:ascii="Times New Roman" w:hAnsi="Times New Roman"/>
                <w:sz w:val="20"/>
                <w:szCs w:val="20"/>
              </w:rPr>
              <w:t xml:space="preserve">Changes to the methodology to assess fuel savings and GHG emissions reductions were not reflected in the targets and indicators reported in PIRs. </w:t>
            </w:r>
          </w:p>
        </w:tc>
      </w:tr>
      <w:tr w:rsidR="00757150" w:rsidRPr="00B2059A" w14:paraId="6791DCF0" w14:textId="77777777" w:rsidTr="00757150">
        <w:trPr>
          <w:trHeight w:val="217"/>
        </w:trPr>
        <w:tc>
          <w:tcPr>
            <w:tcW w:w="1666" w:type="pct"/>
            <w:shd w:val="clear" w:color="auto" w:fill="auto"/>
          </w:tcPr>
          <w:p w14:paraId="380283BB" w14:textId="56BE3A73" w:rsidR="00757150" w:rsidRPr="00B2059A" w:rsidRDefault="0099713D" w:rsidP="00197D62">
            <w:pPr>
              <w:pStyle w:val="EOTableText"/>
              <w:rPr>
                <w:rFonts w:ascii="Times New Roman" w:hAnsi="Times New Roman"/>
                <w:sz w:val="20"/>
                <w:szCs w:val="20"/>
              </w:rPr>
            </w:pPr>
            <w:r w:rsidRPr="00B2059A">
              <w:rPr>
                <w:rFonts w:ascii="Times New Roman" w:hAnsi="Times New Roman"/>
                <w:sz w:val="20"/>
                <w:szCs w:val="20"/>
              </w:rPr>
              <w:t>A.</w:t>
            </w:r>
            <w:r w:rsidR="00746EA6" w:rsidRPr="00B2059A">
              <w:rPr>
                <w:rFonts w:ascii="Times New Roman" w:hAnsi="Times New Roman"/>
                <w:sz w:val="20"/>
                <w:szCs w:val="20"/>
              </w:rPr>
              <w:t>2. “</w:t>
            </w:r>
            <w:r w:rsidRPr="00B2059A">
              <w:rPr>
                <w:rFonts w:ascii="Times New Roman" w:hAnsi="Times New Roman"/>
                <w:sz w:val="20"/>
                <w:szCs w:val="20"/>
              </w:rPr>
              <w:t xml:space="preserve">As fuel consumption constitutes a large fraction of the total energy consumption in the logistics industry, particularly in physical distribution of goods, it is </w:t>
            </w:r>
            <w:r w:rsidRPr="00B2059A">
              <w:rPr>
                <w:rFonts w:ascii="Times New Roman" w:hAnsi="Times New Roman"/>
                <w:sz w:val="20"/>
                <w:szCs w:val="20"/>
              </w:rPr>
              <w:lastRenderedPageBreak/>
              <w:t>recommended that green or low-carbon mobility be an important component of the GLIZP project, such as through the promotion of widescale adoption/upgrading of new energy vehicles in the logistics industry.</w:t>
            </w:r>
            <w:r w:rsidR="00746EA6" w:rsidRPr="00B2059A">
              <w:rPr>
                <w:rFonts w:ascii="Times New Roman" w:hAnsi="Times New Roman"/>
                <w:sz w:val="20"/>
                <w:szCs w:val="20"/>
              </w:rPr>
              <w:t>”</w:t>
            </w:r>
          </w:p>
        </w:tc>
        <w:tc>
          <w:tcPr>
            <w:tcW w:w="1667" w:type="pct"/>
            <w:shd w:val="clear" w:color="auto" w:fill="auto"/>
          </w:tcPr>
          <w:p w14:paraId="37164BAB" w14:textId="77777777" w:rsidR="00CD2B78" w:rsidRPr="00B2059A" w:rsidRDefault="00CD2B78" w:rsidP="00197D62">
            <w:pPr>
              <w:pStyle w:val="EOTableText"/>
              <w:rPr>
                <w:rFonts w:ascii="Times New Roman" w:hAnsi="Times New Roman"/>
                <w:sz w:val="20"/>
                <w:szCs w:val="20"/>
              </w:rPr>
            </w:pPr>
            <w:r w:rsidRPr="00B2059A">
              <w:rPr>
                <w:rFonts w:ascii="Times New Roman" w:hAnsi="Times New Roman"/>
                <w:sz w:val="20"/>
                <w:szCs w:val="20"/>
              </w:rPr>
              <w:lastRenderedPageBreak/>
              <w:t>“Agreed.</w:t>
            </w:r>
          </w:p>
          <w:p w14:paraId="6D61A314" w14:textId="77777777" w:rsidR="00CD2B78" w:rsidRPr="00B2059A" w:rsidRDefault="00CD2B78" w:rsidP="00197D62">
            <w:pPr>
              <w:pStyle w:val="EOTableText"/>
              <w:rPr>
                <w:rFonts w:ascii="Times New Roman" w:hAnsi="Times New Roman"/>
                <w:sz w:val="20"/>
                <w:szCs w:val="20"/>
              </w:rPr>
            </w:pPr>
            <w:r w:rsidRPr="00B2059A">
              <w:rPr>
                <w:rFonts w:ascii="Times New Roman" w:hAnsi="Times New Roman"/>
                <w:sz w:val="20"/>
                <w:szCs w:val="20"/>
              </w:rPr>
              <w:t xml:space="preserve">1. At present, PMU mainly adopts measures such as optimizing the transportation structure, establishing a freight dispatch </w:t>
            </w:r>
            <w:r w:rsidRPr="00B2059A">
              <w:rPr>
                <w:rFonts w:ascii="Times New Roman" w:hAnsi="Times New Roman"/>
                <w:sz w:val="20"/>
                <w:szCs w:val="20"/>
              </w:rPr>
              <w:lastRenderedPageBreak/>
              <w:t>platform, and management innovation to reduce energy consumption in the transportation link.</w:t>
            </w:r>
          </w:p>
          <w:p w14:paraId="53846F81" w14:textId="68C3E66F" w:rsidR="00757150" w:rsidRPr="00B2059A" w:rsidRDefault="008745EB" w:rsidP="00197D62">
            <w:pPr>
              <w:pStyle w:val="EOTableText"/>
              <w:rPr>
                <w:rFonts w:ascii="Times New Roman" w:hAnsi="Times New Roman"/>
                <w:sz w:val="20"/>
                <w:szCs w:val="20"/>
              </w:rPr>
            </w:pPr>
            <w:r w:rsidRPr="00B2059A">
              <w:rPr>
                <w:rFonts w:ascii="Times New Roman" w:hAnsi="Times New Roman"/>
                <w:sz w:val="20"/>
                <w:szCs w:val="20"/>
              </w:rPr>
              <w:t xml:space="preserve">2. </w:t>
            </w:r>
            <w:r w:rsidR="00CD2B78" w:rsidRPr="00B2059A">
              <w:rPr>
                <w:rFonts w:ascii="Times New Roman" w:hAnsi="Times New Roman"/>
                <w:sz w:val="20"/>
                <w:szCs w:val="20"/>
              </w:rPr>
              <w:t>Due to the limitation of technology and cost, it is impossible to replace all fuel-powered trucks with new energy vehicles in the short term. But we can start from the field of physical distribution of goods in stages, and gradually increase the proportion of new energy vehicles in the physical distribution of goods</w:t>
            </w:r>
            <w:r w:rsidR="0099713D" w:rsidRPr="00B2059A">
              <w:rPr>
                <w:rFonts w:ascii="Times New Roman" w:hAnsi="Times New Roman"/>
                <w:sz w:val="20"/>
                <w:szCs w:val="20"/>
              </w:rPr>
              <w:t>.</w:t>
            </w:r>
            <w:r w:rsidR="00CD2B78" w:rsidRPr="00B2059A">
              <w:rPr>
                <w:rFonts w:ascii="Times New Roman" w:hAnsi="Times New Roman"/>
                <w:sz w:val="20"/>
                <w:szCs w:val="20"/>
              </w:rPr>
              <w:t>”</w:t>
            </w:r>
          </w:p>
        </w:tc>
        <w:tc>
          <w:tcPr>
            <w:tcW w:w="1667" w:type="pct"/>
            <w:shd w:val="clear" w:color="auto" w:fill="auto"/>
          </w:tcPr>
          <w:p w14:paraId="1AB68826" w14:textId="09D4A075" w:rsidR="00757150" w:rsidRPr="009E09CA" w:rsidRDefault="007434C1" w:rsidP="00197D62">
            <w:pPr>
              <w:pStyle w:val="EOTableText"/>
              <w:rPr>
                <w:rFonts w:ascii="Times New Roman" w:hAnsi="Times New Roman"/>
                <w:sz w:val="20"/>
                <w:szCs w:val="20"/>
              </w:rPr>
            </w:pPr>
            <w:r w:rsidRPr="009E09CA">
              <w:rPr>
                <w:rFonts w:ascii="Times New Roman" w:hAnsi="Times New Roman"/>
                <w:sz w:val="20"/>
                <w:szCs w:val="20"/>
              </w:rPr>
              <w:lastRenderedPageBreak/>
              <w:t>T</w:t>
            </w:r>
            <w:r w:rsidR="008745EB" w:rsidRPr="009E09CA">
              <w:rPr>
                <w:rFonts w:ascii="Times New Roman" w:hAnsi="Times New Roman"/>
                <w:sz w:val="20"/>
                <w:szCs w:val="20"/>
              </w:rPr>
              <w:t xml:space="preserve">he project had approximately 18 months left when the recommendation was made, </w:t>
            </w:r>
            <w:r w:rsidRPr="009E09CA">
              <w:rPr>
                <w:rFonts w:ascii="Times New Roman" w:hAnsi="Times New Roman"/>
                <w:sz w:val="20"/>
                <w:szCs w:val="20"/>
              </w:rPr>
              <w:t xml:space="preserve">making the implementation of the </w:t>
            </w:r>
            <w:r w:rsidRPr="009E09CA">
              <w:rPr>
                <w:rFonts w:ascii="Times New Roman" w:hAnsi="Times New Roman"/>
                <w:sz w:val="20"/>
                <w:szCs w:val="20"/>
              </w:rPr>
              <w:lastRenderedPageBreak/>
              <w:t xml:space="preserve">recommendation </w:t>
            </w:r>
            <w:r w:rsidR="008745EB" w:rsidRPr="009E09CA">
              <w:rPr>
                <w:rFonts w:ascii="Times New Roman" w:hAnsi="Times New Roman"/>
                <w:sz w:val="20"/>
                <w:szCs w:val="20"/>
              </w:rPr>
              <w:t>an almost impossible task.</w:t>
            </w:r>
          </w:p>
        </w:tc>
      </w:tr>
      <w:tr w:rsidR="00CD2B78" w:rsidRPr="00B2059A" w14:paraId="4233748F" w14:textId="77777777" w:rsidTr="00757150">
        <w:trPr>
          <w:trHeight w:val="217"/>
        </w:trPr>
        <w:tc>
          <w:tcPr>
            <w:tcW w:w="1666" w:type="pct"/>
            <w:shd w:val="clear" w:color="auto" w:fill="auto"/>
          </w:tcPr>
          <w:p w14:paraId="6411558D" w14:textId="59FFF1D2" w:rsidR="00CD2B78" w:rsidRPr="00B2059A" w:rsidRDefault="0099713D" w:rsidP="00197D62">
            <w:pPr>
              <w:pStyle w:val="EOTableText"/>
              <w:rPr>
                <w:rFonts w:ascii="Times New Roman" w:hAnsi="Times New Roman"/>
                <w:sz w:val="20"/>
                <w:szCs w:val="20"/>
              </w:rPr>
            </w:pPr>
            <w:r w:rsidRPr="00B2059A">
              <w:rPr>
                <w:rFonts w:ascii="Times New Roman" w:hAnsi="Times New Roman"/>
                <w:sz w:val="20"/>
                <w:szCs w:val="20"/>
              </w:rPr>
              <w:lastRenderedPageBreak/>
              <w:t>A.</w:t>
            </w:r>
            <w:r w:rsidR="00CD2B78" w:rsidRPr="00B2059A">
              <w:rPr>
                <w:rFonts w:ascii="Times New Roman" w:hAnsi="Times New Roman"/>
                <w:sz w:val="20"/>
                <w:szCs w:val="20"/>
              </w:rPr>
              <w:t>3. “</w:t>
            </w:r>
            <w:r w:rsidRPr="00B2059A">
              <w:rPr>
                <w:rFonts w:ascii="Times New Roman" w:hAnsi="Times New Roman"/>
                <w:sz w:val="20"/>
                <w:szCs w:val="20"/>
              </w:rPr>
              <w:t>The GLIZP project can explore opportunities for influencing improvements in resource and energy efficiency and circular economy in upstream and downstream areas of physical distribution and materials management, such as in recycling of packaging materials, reducing water consumption and using energy saving and monitoring devices at material storage facilities, and engaging LSPs and shippers/receiver in choosing green logistics solutions.</w:t>
            </w:r>
            <w:r w:rsidR="00CD2B78" w:rsidRPr="00B2059A">
              <w:rPr>
                <w:rFonts w:ascii="Times New Roman" w:hAnsi="Times New Roman"/>
                <w:sz w:val="20"/>
                <w:szCs w:val="20"/>
              </w:rPr>
              <w:t>”</w:t>
            </w:r>
          </w:p>
        </w:tc>
        <w:tc>
          <w:tcPr>
            <w:tcW w:w="1667" w:type="pct"/>
            <w:shd w:val="clear" w:color="auto" w:fill="auto"/>
          </w:tcPr>
          <w:p w14:paraId="0C179CB0" w14:textId="77777777" w:rsidR="00133B82" w:rsidRPr="00B2059A" w:rsidRDefault="00CD2B78" w:rsidP="00197D62">
            <w:pPr>
              <w:pStyle w:val="EOTableText"/>
              <w:rPr>
                <w:rFonts w:ascii="Times New Roman" w:hAnsi="Times New Roman"/>
                <w:sz w:val="20"/>
                <w:szCs w:val="20"/>
              </w:rPr>
            </w:pPr>
            <w:r w:rsidRPr="00B2059A">
              <w:rPr>
                <w:rFonts w:ascii="Times New Roman" w:hAnsi="Times New Roman"/>
                <w:sz w:val="20"/>
                <w:szCs w:val="20"/>
              </w:rPr>
              <w:t>“</w:t>
            </w:r>
            <w:r w:rsidR="0099713D" w:rsidRPr="00B2059A">
              <w:rPr>
                <w:rFonts w:ascii="Times New Roman" w:hAnsi="Times New Roman"/>
                <w:sz w:val="20"/>
                <w:szCs w:val="20"/>
              </w:rPr>
              <w:t xml:space="preserve">Agreed. </w:t>
            </w:r>
          </w:p>
          <w:p w14:paraId="080BF863" w14:textId="38AAD0C3" w:rsidR="00CD2B78" w:rsidRPr="00B2059A" w:rsidRDefault="0099713D" w:rsidP="00197D62">
            <w:pPr>
              <w:pStyle w:val="EOTableText"/>
              <w:rPr>
                <w:rFonts w:ascii="Times New Roman" w:hAnsi="Times New Roman"/>
                <w:sz w:val="20"/>
                <w:szCs w:val="20"/>
              </w:rPr>
            </w:pPr>
            <w:r w:rsidRPr="00B2059A">
              <w:rPr>
                <w:rFonts w:ascii="Times New Roman" w:hAnsi="Times New Roman"/>
                <w:sz w:val="20"/>
                <w:szCs w:val="20"/>
              </w:rPr>
              <w:t>Fuyang port implemented the "Box-Callback", which means the red wine box recycling measures. Consumers will send the used red wine wooden box to Fuyang port red wine store</w:t>
            </w:r>
            <w:r w:rsidRPr="00B2059A">
              <w:rPr>
                <w:rFonts w:ascii="Times New Roman" w:eastAsia="MS Gothic" w:hAnsi="Times New Roman"/>
                <w:sz w:val="20"/>
                <w:szCs w:val="20"/>
              </w:rPr>
              <w:t>，</w:t>
            </w:r>
            <w:r w:rsidRPr="00B2059A">
              <w:rPr>
                <w:rFonts w:ascii="Times New Roman" w:hAnsi="Times New Roman"/>
                <w:sz w:val="20"/>
                <w:szCs w:val="20"/>
              </w:rPr>
              <w:t>so as to obtain special low-carbon and environmental protection coupons in exchange for red wine.</w:t>
            </w:r>
            <w:r w:rsidR="00CD2B78" w:rsidRPr="00B2059A">
              <w:rPr>
                <w:rFonts w:ascii="Times New Roman" w:hAnsi="Times New Roman"/>
                <w:sz w:val="20"/>
                <w:szCs w:val="20"/>
              </w:rPr>
              <w:t>”</w:t>
            </w:r>
          </w:p>
        </w:tc>
        <w:tc>
          <w:tcPr>
            <w:tcW w:w="1667" w:type="pct"/>
            <w:shd w:val="clear" w:color="auto" w:fill="auto"/>
          </w:tcPr>
          <w:p w14:paraId="3C84801C" w14:textId="56A5B2CF" w:rsidR="00A617C0" w:rsidRPr="00B2059A" w:rsidRDefault="00A617C0" w:rsidP="00540AF6">
            <w:pPr>
              <w:pStyle w:val="EOTableText"/>
              <w:rPr>
                <w:rFonts w:ascii="Times New Roman" w:hAnsi="Times New Roman"/>
                <w:sz w:val="20"/>
                <w:szCs w:val="20"/>
              </w:rPr>
            </w:pPr>
            <w:r w:rsidRPr="00B2059A">
              <w:rPr>
                <w:rFonts w:ascii="Times New Roman" w:hAnsi="Times New Roman"/>
                <w:sz w:val="20"/>
                <w:szCs w:val="20"/>
              </w:rPr>
              <w:t>The concepts recommended by the MTR were already part of the green technologies and practices proposed by the project (e.g. description of outputs 2.1. and 2.3. on section 2.6 of the ProDoc). These concepts were also discussed in at least one of the project’s outputs on green logistics technologies.</w:t>
            </w:r>
            <w:r w:rsidRPr="00B2059A">
              <w:rPr>
                <w:rStyle w:val="FootnoteReference"/>
                <w:rFonts w:ascii="Times New Roman" w:hAnsi="Times New Roman"/>
                <w:sz w:val="20"/>
                <w:szCs w:val="20"/>
              </w:rPr>
              <w:footnoteReference w:id="17"/>
            </w:r>
            <w:r w:rsidR="00540AF6" w:rsidRPr="00B2059A">
              <w:rPr>
                <w:rFonts w:ascii="Times New Roman" w:hAnsi="Times New Roman"/>
                <w:sz w:val="20"/>
                <w:szCs w:val="20"/>
              </w:rPr>
              <w:t xml:space="preserve"> Moreover, as indicated by the management response, the concepts were already demonstrated by one of the pilot projects.</w:t>
            </w:r>
          </w:p>
        </w:tc>
      </w:tr>
      <w:tr w:rsidR="00197D62" w:rsidRPr="00B2059A" w14:paraId="61B21CBF" w14:textId="77777777" w:rsidTr="00B2059A">
        <w:trPr>
          <w:trHeight w:val="217"/>
        </w:trPr>
        <w:tc>
          <w:tcPr>
            <w:tcW w:w="5000" w:type="pct"/>
            <w:gridSpan w:val="3"/>
            <w:shd w:val="clear" w:color="auto" w:fill="D1E3F3" w:themeFill="accent5" w:themeFillTint="33"/>
          </w:tcPr>
          <w:p w14:paraId="3EA1D696" w14:textId="3C896C4C" w:rsidR="00197D62" w:rsidRPr="00B2059A" w:rsidRDefault="00197D62" w:rsidP="00AC0D02">
            <w:pPr>
              <w:pStyle w:val="EOTableText"/>
              <w:numPr>
                <w:ilvl w:val="0"/>
                <w:numId w:val="45"/>
              </w:numPr>
              <w:rPr>
                <w:rFonts w:ascii="Times New Roman" w:hAnsi="Times New Roman"/>
                <w:sz w:val="20"/>
                <w:szCs w:val="20"/>
              </w:rPr>
            </w:pPr>
            <w:r w:rsidRPr="00B2059A">
              <w:rPr>
                <w:rFonts w:ascii="Times New Roman" w:hAnsi="Times New Roman"/>
                <w:sz w:val="20"/>
                <w:szCs w:val="20"/>
              </w:rPr>
              <w:t>Project implementation and adaptive management</w:t>
            </w:r>
          </w:p>
        </w:tc>
      </w:tr>
      <w:tr w:rsidR="00CD2B78" w:rsidRPr="00B2059A" w14:paraId="69E8FA10" w14:textId="77777777" w:rsidTr="00757150">
        <w:trPr>
          <w:trHeight w:val="217"/>
        </w:trPr>
        <w:tc>
          <w:tcPr>
            <w:tcW w:w="1666" w:type="pct"/>
            <w:shd w:val="clear" w:color="auto" w:fill="auto"/>
          </w:tcPr>
          <w:p w14:paraId="0FD13A74" w14:textId="62CC71F1" w:rsidR="00CD2B78" w:rsidRPr="00B2059A" w:rsidRDefault="00197D62" w:rsidP="00197D62">
            <w:pPr>
              <w:pStyle w:val="EOTableText"/>
              <w:rPr>
                <w:rFonts w:ascii="Times New Roman" w:hAnsi="Times New Roman"/>
                <w:sz w:val="20"/>
                <w:szCs w:val="20"/>
              </w:rPr>
            </w:pPr>
            <w:r w:rsidRPr="00B2059A">
              <w:rPr>
                <w:rFonts w:ascii="Times New Roman" w:hAnsi="Times New Roman"/>
                <w:sz w:val="20"/>
                <w:szCs w:val="20"/>
              </w:rPr>
              <w:t>B.1.</w:t>
            </w:r>
            <w:r w:rsidR="00CD2B78" w:rsidRPr="00B2059A">
              <w:rPr>
                <w:rFonts w:ascii="Times New Roman" w:hAnsi="Times New Roman"/>
                <w:sz w:val="20"/>
                <w:szCs w:val="20"/>
              </w:rPr>
              <w:t xml:space="preserve"> “</w:t>
            </w:r>
            <w:r w:rsidR="0099713D" w:rsidRPr="00B2059A">
              <w:rPr>
                <w:rFonts w:ascii="Times New Roman" w:hAnsi="Times New Roman"/>
                <w:sz w:val="20"/>
                <w:szCs w:val="20"/>
              </w:rPr>
              <w:t xml:space="preserve">In the remaining duration of the GLIZP project, the PMU can consider the preparation of case studies on the successful implementation of activities and achievement of outputs/outcomes, such as the demonstration of low-carbon materials storage system at the Zhejiang Fuyang Port International Logistics Port Co. with integrated application of low-cost green technologies and the green logistics accounting systems, and the reductions in the GHG emissions through the use of multi-modal transport for physical distribution of goods. These case studies can substantively inform local/-sub-national efforts for </w:t>
            </w:r>
            <w:r w:rsidR="0099713D" w:rsidRPr="00B2059A">
              <w:rPr>
                <w:rFonts w:ascii="Times New Roman" w:hAnsi="Times New Roman"/>
                <w:sz w:val="20"/>
                <w:szCs w:val="20"/>
              </w:rPr>
              <w:lastRenderedPageBreak/>
              <w:t>supporting/developing policy and regulatory environments and technical standards for green logistics within China.</w:t>
            </w:r>
            <w:r w:rsidR="00CD2B78" w:rsidRPr="00B2059A">
              <w:rPr>
                <w:rFonts w:ascii="Times New Roman" w:hAnsi="Times New Roman"/>
                <w:sz w:val="20"/>
                <w:szCs w:val="20"/>
              </w:rPr>
              <w:t>”</w:t>
            </w:r>
          </w:p>
        </w:tc>
        <w:tc>
          <w:tcPr>
            <w:tcW w:w="1667" w:type="pct"/>
            <w:shd w:val="clear" w:color="auto" w:fill="auto"/>
          </w:tcPr>
          <w:p w14:paraId="20445890" w14:textId="77777777" w:rsidR="00A617C0" w:rsidRPr="00B2059A" w:rsidRDefault="00CD2B78" w:rsidP="00197D62">
            <w:pPr>
              <w:pStyle w:val="EOTableText"/>
              <w:rPr>
                <w:rFonts w:ascii="Times New Roman" w:hAnsi="Times New Roman"/>
                <w:sz w:val="20"/>
                <w:szCs w:val="20"/>
              </w:rPr>
            </w:pPr>
            <w:r w:rsidRPr="00B2059A">
              <w:rPr>
                <w:rFonts w:ascii="Times New Roman" w:hAnsi="Times New Roman"/>
                <w:sz w:val="20"/>
                <w:szCs w:val="20"/>
              </w:rPr>
              <w:lastRenderedPageBreak/>
              <w:t>“</w:t>
            </w:r>
            <w:r w:rsidR="0099713D" w:rsidRPr="00B2059A">
              <w:rPr>
                <w:rFonts w:ascii="Times New Roman" w:hAnsi="Times New Roman"/>
                <w:sz w:val="20"/>
                <w:szCs w:val="20"/>
              </w:rPr>
              <w:t xml:space="preserve">Agreed. 1. </w:t>
            </w:r>
          </w:p>
          <w:p w14:paraId="54BEC770" w14:textId="2F8CC5BB" w:rsidR="0099713D" w:rsidRPr="00B2059A" w:rsidRDefault="00FD48CA" w:rsidP="00197D62">
            <w:pPr>
              <w:pStyle w:val="EOTableText"/>
              <w:rPr>
                <w:rFonts w:ascii="Times New Roman" w:hAnsi="Times New Roman"/>
                <w:sz w:val="20"/>
                <w:szCs w:val="20"/>
              </w:rPr>
            </w:pPr>
            <w:r w:rsidRPr="00B2059A">
              <w:rPr>
                <w:rFonts w:ascii="Times New Roman" w:hAnsi="Times New Roman"/>
                <w:sz w:val="20"/>
                <w:szCs w:val="20"/>
              </w:rPr>
              <w:t xml:space="preserve">1. </w:t>
            </w:r>
            <w:r w:rsidR="0099713D" w:rsidRPr="00B2059A">
              <w:rPr>
                <w:rFonts w:ascii="Times New Roman" w:hAnsi="Times New Roman"/>
                <w:sz w:val="20"/>
                <w:szCs w:val="20"/>
              </w:rPr>
              <w:t>In September 2019, PMU implement projects such as "Green logistics policy promotion mode research and promotion plan formulation project" and "Zhejiang and Shanghai integration green logistics policy pilot demonstration research project", systematically summarized the experience of demonstration projects, provided the reference for the state to formulate green logistics policy, and put forward promotion suggestions.</w:t>
            </w:r>
          </w:p>
          <w:p w14:paraId="68BC4031" w14:textId="35F60534" w:rsidR="00CD2B78" w:rsidRPr="00B2059A" w:rsidRDefault="0099713D" w:rsidP="00197D62">
            <w:pPr>
              <w:pStyle w:val="EOTableText"/>
              <w:rPr>
                <w:rFonts w:ascii="Times New Roman" w:hAnsi="Times New Roman"/>
                <w:sz w:val="20"/>
                <w:szCs w:val="20"/>
              </w:rPr>
            </w:pPr>
            <w:r w:rsidRPr="00B2059A">
              <w:rPr>
                <w:rFonts w:ascii="Times New Roman" w:hAnsi="Times New Roman"/>
                <w:sz w:val="20"/>
                <w:szCs w:val="20"/>
              </w:rPr>
              <w:t xml:space="preserve">2. 2020 plans to research green management system of small and medium-sized logistics enterprises, and further study the green logistics </w:t>
            </w:r>
            <w:r w:rsidRPr="00B2059A">
              <w:rPr>
                <w:rFonts w:ascii="Times New Roman" w:hAnsi="Times New Roman"/>
                <w:sz w:val="20"/>
                <w:szCs w:val="20"/>
              </w:rPr>
              <w:lastRenderedPageBreak/>
              <w:t>management experience of demonstration enterprises, to promote the application in more enterprises.</w:t>
            </w:r>
            <w:r w:rsidR="00CD2B78" w:rsidRPr="00B2059A">
              <w:rPr>
                <w:rFonts w:ascii="Times New Roman" w:hAnsi="Times New Roman"/>
                <w:sz w:val="20"/>
                <w:szCs w:val="20"/>
              </w:rPr>
              <w:t>”</w:t>
            </w:r>
          </w:p>
        </w:tc>
        <w:tc>
          <w:tcPr>
            <w:tcW w:w="1667" w:type="pct"/>
            <w:shd w:val="clear" w:color="auto" w:fill="auto"/>
          </w:tcPr>
          <w:p w14:paraId="6FE5853C" w14:textId="0E24D07C" w:rsidR="00CD2B78" w:rsidRPr="00B2059A" w:rsidRDefault="00A617C0" w:rsidP="00197D62">
            <w:pPr>
              <w:pStyle w:val="EOTableText"/>
              <w:rPr>
                <w:rFonts w:ascii="Times New Roman" w:hAnsi="Times New Roman"/>
                <w:sz w:val="20"/>
                <w:szCs w:val="20"/>
              </w:rPr>
            </w:pPr>
            <w:r w:rsidRPr="00B2059A">
              <w:rPr>
                <w:rFonts w:ascii="Times New Roman" w:hAnsi="Times New Roman"/>
                <w:sz w:val="20"/>
                <w:szCs w:val="20"/>
              </w:rPr>
              <w:lastRenderedPageBreak/>
              <w:t xml:space="preserve">The case studies that the MTR refers </w:t>
            </w:r>
            <w:r w:rsidR="001F4CB1">
              <w:rPr>
                <w:rFonts w:ascii="Times New Roman" w:hAnsi="Times New Roman"/>
                <w:sz w:val="20"/>
                <w:szCs w:val="20"/>
              </w:rPr>
              <w:t>could</w:t>
            </w:r>
            <w:r w:rsidRPr="00B2059A">
              <w:rPr>
                <w:rFonts w:ascii="Times New Roman" w:hAnsi="Times New Roman"/>
                <w:sz w:val="20"/>
                <w:szCs w:val="20"/>
              </w:rPr>
              <w:t xml:space="preserve"> correspond to project output 2.5.  on “documented annual evaluation reports on the energy performance and environmental impacts of each demo project in materials management and physical distribution, and documented and disseminated demo project results”.</w:t>
            </w:r>
          </w:p>
          <w:p w14:paraId="44B639C4" w14:textId="7AFE7DBD" w:rsidR="00FD48CA" w:rsidRPr="00B2059A" w:rsidRDefault="001F4CB1" w:rsidP="00197D62">
            <w:pPr>
              <w:pStyle w:val="EOTableText"/>
              <w:rPr>
                <w:rFonts w:ascii="Times New Roman" w:hAnsi="Times New Roman"/>
                <w:bCs/>
                <w:sz w:val="20"/>
                <w:szCs w:val="20"/>
              </w:rPr>
            </w:pPr>
            <w:r>
              <w:rPr>
                <w:rFonts w:ascii="Times New Roman" w:hAnsi="Times New Roman"/>
                <w:sz w:val="20"/>
                <w:szCs w:val="20"/>
              </w:rPr>
              <w:t>While the performance of two pilot projects were monitored, the project did not produce case studies of these experiences for widespread dissemination, as recommended by the MTR.</w:t>
            </w:r>
          </w:p>
          <w:p w14:paraId="18F77FA7" w14:textId="573D90B6" w:rsidR="00A617C0" w:rsidRPr="00B2059A" w:rsidRDefault="00A617C0" w:rsidP="00197D62">
            <w:pPr>
              <w:pStyle w:val="EOTableText"/>
              <w:rPr>
                <w:rFonts w:ascii="Times New Roman" w:hAnsi="Times New Roman"/>
                <w:sz w:val="20"/>
                <w:szCs w:val="20"/>
              </w:rPr>
            </w:pPr>
          </w:p>
        </w:tc>
      </w:tr>
      <w:tr w:rsidR="00CD2B78" w:rsidRPr="00B2059A" w14:paraId="4AAEBE25" w14:textId="77777777" w:rsidTr="00757150">
        <w:trPr>
          <w:trHeight w:val="217"/>
        </w:trPr>
        <w:tc>
          <w:tcPr>
            <w:tcW w:w="1666" w:type="pct"/>
            <w:shd w:val="clear" w:color="auto" w:fill="auto"/>
          </w:tcPr>
          <w:p w14:paraId="66B529B8" w14:textId="37F9628B" w:rsidR="00CD2B78" w:rsidRPr="00B2059A" w:rsidRDefault="00197D62" w:rsidP="00197D62">
            <w:pPr>
              <w:pStyle w:val="EOTableText"/>
              <w:rPr>
                <w:rFonts w:ascii="Times New Roman" w:hAnsi="Times New Roman"/>
                <w:sz w:val="20"/>
                <w:szCs w:val="20"/>
              </w:rPr>
            </w:pPr>
            <w:r w:rsidRPr="00B2059A">
              <w:rPr>
                <w:rFonts w:ascii="Times New Roman" w:hAnsi="Times New Roman"/>
                <w:sz w:val="20"/>
                <w:szCs w:val="20"/>
              </w:rPr>
              <w:t xml:space="preserve">B.2. </w:t>
            </w:r>
            <w:r w:rsidR="00CD2B78" w:rsidRPr="00B2059A">
              <w:rPr>
                <w:rFonts w:ascii="Times New Roman" w:hAnsi="Times New Roman"/>
                <w:sz w:val="20"/>
                <w:szCs w:val="20"/>
              </w:rPr>
              <w:t>“</w:t>
            </w:r>
            <w:r w:rsidR="0099713D" w:rsidRPr="00B2059A">
              <w:rPr>
                <w:rFonts w:ascii="Times New Roman" w:hAnsi="Times New Roman"/>
                <w:sz w:val="20"/>
                <w:szCs w:val="20"/>
              </w:rPr>
              <w:t>The PMU can consider focusing its efforts on the incorporation of the Green Logistics Development Index System in local/provincial plans, policies, and programs for supporting the development of the green logistics industry in Zhejiang Province, and influence national policies and programs for green economic development.</w:t>
            </w:r>
            <w:r w:rsidR="00CD2B78" w:rsidRPr="00B2059A">
              <w:rPr>
                <w:rFonts w:ascii="Times New Roman" w:hAnsi="Times New Roman"/>
                <w:sz w:val="20"/>
                <w:szCs w:val="20"/>
              </w:rPr>
              <w:t>”</w:t>
            </w:r>
          </w:p>
        </w:tc>
        <w:tc>
          <w:tcPr>
            <w:tcW w:w="1667" w:type="pct"/>
            <w:shd w:val="clear" w:color="auto" w:fill="auto"/>
          </w:tcPr>
          <w:p w14:paraId="4F0E6397" w14:textId="0E6148CE" w:rsidR="00CD2B78" w:rsidRPr="00B2059A" w:rsidRDefault="00CD2B78" w:rsidP="00197D62">
            <w:pPr>
              <w:pStyle w:val="EOTableText"/>
              <w:rPr>
                <w:rFonts w:ascii="Times New Roman" w:hAnsi="Times New Roman"/>
                <w:sz w:val="20"/>
                <w:szCs w:val="20"/>
              </w:rPr>
            </w:pPr>
            <w:r w:rsidRPr="00B2059A">
              <w:rPr>
                <w:rFonts w:ascii="Times New Roman" w:hAnsi="Times New Roman"/>
                <w:sz w:val="20"/>
                <w:szCs w:val="20"/>
              </w:rPr>
              <w:t>“</w:t>
            </w:r>
            <w:r w:rsidR="0099713D" w:rsidRPr="00B2059A">
              <w:rPr>
                <w:rFonts w:ascii="Times New Roman" w:hAnsi="Times New Roman"/>
                <w:sz w:val="20"/>
                <w:szCs w:val="20"/>
              </w:rPr>
              <w:t>PMU has been committed to promoting the development index system of green logistics into the planning, policies, and programs supporting the development of green logistics industry in Zhejiang Province, and has achieved certain results. Firstly, the proposal on the normalized release of green logistics index to promote the high-quality development of modern logistics in Zhejiang Province submitted by PMU was approved by Feng Fei, executive vice governor of Zhejiang Province. Secondly, the provincial development and Reform Commission has also issued the Zhejiang green logistics development index regularly. Thirdly, the establishment of green logistics monitoring system has been added to the development plan of the logistics industry in Zhejiang Province during the 14th Five-Year Plan period. Next, PMU will work hard to promote the government departments in charge of developing the green logistics development index system into the "14th Five-Year" logistics development plan of Zhejiang province.</w:t>
            </w:r>
            <w:r w:rsidRPr="00B2059A">
              <w:rPr>
                <w:rFonts w:ascii="Times New Roman" w:hAnsi="Times New Roman"/>
                <w:sz w:val="20"/>
                <w:szCs w:val="20"/>
              </w:rPr>
              <w:t>”</w:t>
            </w:r>
          </w:p>
        </w:tc>
        <w:tc>
          <w:tcPr>
            <w:tcW w:w="1667" w:type="pct"/>
            <w:shd w:val="clear" w:color="auto" w:fill="auto"/>
          </w:tcPr>
          <w:p w14:paraId="760F7956" w14:textId="5AF3E6EE" w:rsidR="00CD2B78" w:rsidRPr="00B2059A" w:rsidRDefault="003E04FB" w:rsidP="00197D62">
            <w:pPr>
              <w:pStyle w:val="EOTableText"/>
              <w:rPr>
                <w:rFonts w:ascii="Times New Roman" w:hAnsi="Times New Roman"/>
                <w:sz w:val="20"/>
                <w:szCs w:val="20"/>
              </w:rPr>
            </w:pPr>
            <w:r>
              <w:rPr>
                <w:rFonts w:ascii="Times New Roman" w:hAnsi="Times New Roman"/>
                <w:sz w:val="20"/>
                <w:szCs w:val="20"/>
              </w:rPr>
              <w:t xml:space="preserve">Stakeholders interviewing for the TE agreed that the </w:t>
            </w:r>
            <w:r w:rsidR="00B6681D">
              <w:rPr>
                <w:rFonts w:ascii="Times New Roman" w:hAnsi="Times New Roman"/>
                <w:sz w:val="20"/>
                <w:szCs w:val="20"/>
              </w:rPr>
              <w:t xml:space="preserve">inclusion of green logistics concepts in the </w:t>
            </w:r>
            <w:r w:rsidR="00B6681D" w:rsidRPr="003E04FB">
              <w:rPr>
                <w:rFonts w:ascii="Times New Roman" w:hAnsi="Times New Roman"/>
                <w:sz w:val="20"/>
                <w:szCs w:val="20"/>
              </w:rPr>
              <w:t>14</w:t>
            </w:r>
            <w:r w:rsidR="00B6681D" w:rsidRPr="003E04FB">
              <w:rPr>
                <w:rFonts w:ascii="Times New Roman" w:hAnsi="Times New Roman"/>
                <w:sz w:val="20"/>
                <w:szCs w:val="20"/>
                <w:vertAlign w:val="superscript"/>
              </w:rPr>
              <w:t>th</w:t>
            </w:r>
            <w:r w:rsidR="00B6681D" w:rsidRPr="003E04FB">
              <w:rPr>
                <w:rFonts w:ascii="Times New Roman" w:hAnsi="Times New Roman"/>
                <w:sz w:val="20"/>
                <w:szCs w:val="20"/>
              </w:rPr>
              <w:t xml:space="preserve"> Five-Year Plan by the Government of Zhejiang Province</w:t>
            </w:r>
            <w:r w:rsidR="00B6681D">
              <w:rPr>
                <w:rFonts w:ascii="Times New Roman" w:hAnsi="Times New Roman"/>
                <w:sz w:val="20"/>
                <w:szCs w:val="20"/>
              </w:rPr>
              <w:t xml:space="preserve"> was an important achievement of the project.</w:t>
            </w:r>
          </w:p>
        </w:tc>
      </w:tr>
      <w:tr w:rsidR="00CD2B78" w:rsidRPr="00B2059A" w14:paraId="1089552B" w14:textId="77777777" w:rsidTr="00757150">
        <w:trPr>
          <w:trHeight w:val="444"/>
        </w:trPr>
        <w:tc>
          <w:tcPr>
            <w:tcW w:w="1666" w:type="pct"/>
            <w:shd w:val="clear" w:color="auto" w:fill="auto"/>
          </w:tcPr>
          <w:p w14:paraId="136B78C3" w14:textId="2FA02453" w:rsidR="00CD2B78" w:rsidRPr="00B2059A" w:rsidRDefault="00197D62" w:rsidP="00197D62">
            <w:pPr>
              <w:pStyle w:val="EOTableText"/>
              <w:rPr>
                <w:rFonts w:ascii="Times New Roman" w:hAnsi="Times New Roman"/>
                <w:sz w:val="20"/>
                <w:szCs w:val="20"/>
              </w:rPr>
            </w:pPr>
            <w:r w:rsidRPr="00B2059A">
              <w:rPr>
                <w:rFonts w:ascii="Times New Roman" w:hAnsi="Times New Roman"/>
                <w:sz w:val="20"/>
                <w:szCs w:val="20"/>
              </w:rPr>
              <w:t xml:space="preserve">B.3. </w:t>
            </w:r>
            <w:r w:rsidR="00CD2B78" w:rsidRPr="00B2059A">
              <w:rPr>
                <w:rFonts w:ascii="Times New Roman" w:hAnsi="Times New Roman"/>
                <w:sz w:val="20"/>
                <w:szCs w:val="20"/>
              </w:rPr>
              <w:t>“</w:t>
            </w:r>
            <w:r w:rsidR="0099713D" w:rsidRPr="00B2059A">
              <w:rPr>
                <w:rFonts w:ascii="Times New Roman" w:hAnsi="Times New Roman"/>
                <w:sz w:val="20"/>
                <w:szCs w:val="20"/>
              </w:rPr>
              <w:t>As most of the capacity building activities will be carried out in the remaining duration of the GLIZP project, the PMU and ZPDRC can consider engaging with other provincial/local governments in China for participating in the capacity building activities and sharing the experience of the project’s successful implementation of demonstrations to replicate and scale-up green logistics industry development activities in China.</w:t>
            </w:r>
            <w:r w:rsidR="00CD2B78" w:rsidRPr="00B2059A">
              <w:rPr>
                <w:rFonts w:ascii="Times New Roman" w:hAnsi="Times New Roman"/>
                <w:sz w:val="20"/>
                <w:szCs w:val="20"/>
              </w:rPr>
              <w:t>”</w:t>
            </w:r>
          </w:p>
        </w:tc>
        <w:tc>
          <w:tcPr>
            <w:tcW w:w="1667" w:type="pct"/>
            <w:shd w:val="clear" w:color="auto" w:fill="auto"/>
          </w:tcPr>
          <w:p w14:paraId="00762B7A" w14:textId="77777777" w:rsidR="005F14D4" w:rsidRPr="00B2059A" w:rsidRDefault="00CD2B78" w:rsidP="00197D62">
            <w:pPr>
              <w:pStyle w:val="EOTableText"/>
              <w:rPr>
                <w:rFonts w:ascii="Times New Roman" w:hAnsi="Times New Roman"/>
                <w:sz w:val="20"/>
                <w:szCs w:val="20"/>
              </w:rPr>
            </w:pPr>
            <w:r w:rsidRPr="00B2059A">
              <w:rPr>
                <w:rFonts w:ascii="Times New Roman" w:hAnsi="Times New Roman"/>
                <w:sz w:val="20"/>
                <w:szCs w:val="20"/>
              </w:rPr>
              <w:t>“</w:t>
            </w:r>
            <w:r w:rsidR="0099713D" w:rsidRPr="00B2059A">
              <w:rPr>
                <w:rFonts w:ascii="Times New Roman" w:hAnsi="Times New Roman"/>
                <w:sz w:val="20"/>
                <w:szCs w:val="20"/>
              </w:rPr>
              <w:t xml:space="preserve">Agreed. </w:t>
            </w:r>
          </w:p>
          <w:p w14:paraId="52E19740" w14:textId="44295387" w:rsidR="00CD2B78" w:rsidRPr="00B2059A" w:rsidRDefault="0099713D" w:rsidP="00197D62">
            <w:pPr>
              <w:pStyle w:val="EOTableText"/>
              <w:rPr>
                <w:rFonts w:ascii="Times New Roman" w:hAnsi="Times New Roman"/>
                <w:sz w:val="20"/>
                <w:szCs w:val="20"/>
              </w:rPr>
            </w:pPr>
            <w:r w:rsidRPr="00B2059A">
              <w:rPr>
                <w:rFonts w:ascii="Times New Roman" w:hAnsi="Times New Roman"/>
                <w:sz w:val="20"/>
                <w:szCs w:val="20"/>
              </w:rPr>
              <w:t>PMU plans to cooperate with Shanghai to carry out green logistics capacity building activities in Shanghai and share the experience of successful implementation demonstration of the project.</w:t>
            </w:r>
            <w:r w:rsidR="00CD2B78" w:rsidRPr="00B2059A">
              <w:rPr>
                <w:rFonts w:ascii="Times New Roman" w:hAnsi="Times New Roman"/>
                <w:sz w:val="20"/>
                <w:szCs w:val="20"/>
              </w:rPr>
              <w:t>”</w:t>
            </w:r>
          </w:p>
        </w:tc>
        <w:tc>
          <w:tcPr>
            <w:tcW w:w="1667" w:type="pct"/>
            <w:shd w:val="clear" w:color="auto" w:fill="auto"/>
          </w:tcPr>
          <w:p w14:paraId="33745262" w14:textId="7B4E7DC2" w:rsidR="00CD2B78" w:rsidRPr="00B2059A" w:rsidRDefault="00FD3F22" w:rsidP="00197D62">
            <w:pPr>
              <w:pStyle w:val="EOTableText"/>
              <w:rPr>
                <w:rFonts w:ascii="Times New Roman" w:hAnsi="Times New Roman"/>
                <w:sz w:val="20"/>
                <w:szCs w:val="20"/>
              </w:rPr>
            </w:pPr>
            <w:r>
              <w:rPr>
                <w:rFonts w:ascii="Times New Roman" w:hAnsi="Times New Roman"/>
                <w:sz w:val="20"/>
                <w:szCs w:val="20"/>
              </w:rPr>
              <w:t>Interviews with stakeholders indicated that the project had implemented capacity building activities in collaboration with stakeholders in Shanghai. These activities, however, were not documented.</w:t>
            </w:r>
          </w:p>
        </w:tc>
      </w:tr>
      <w:tr w:rsidR="00CD2B78" w:rsidRPr="00B2059A" w14:paraId="519A41D5" w14:textId="77777777" w:rsidTr="00757150">
        <w:trPr>
          <w:trHeight w:val="217"/>
        </w:trPr>
        <w:tc>
          <w:tcPr>
            <w:tcW w:w="1666" w:type="pct"/>
            <w:shd w:val="clear" w:color="auto" w:fill="auto"/>
          </w:tcPr>
          <w:p w14:paraId="12E40116" w14:textId="29F6DEDC" w:rsidR="00CD2B78" w:rsidRPr="00B2059A" w:rsidRDefault="00197D62" w:rsidP="00197D62">
            <w:pPr>
              <w:pStyle w:val="EOTableText"/>
              <w:rPr>
                <w:rFonts w:ascii="Times New Roman" w:hAnsi="Times New Roman"/>
                <w:sz w:val="20"/>
                <w:szCs w:val="20"/>
              </w:rPr>
            </w:pPr>
            <w:r w:rsidRPr="00B2059A">
              <w:rPr>
                <w:rFonts w:ascii="Times New Roman" w:hAnsi="Times New Roman"/>
                <w:sz w:val="20"/>
                <w:szCs w:val="20"/>
              </w:rPr>
              <w:t xml:space="preserve">B.4. </w:t>
            </w:r>
            <w:r w:rsidR="00CD2B78" w:rsidRPr="00B2059A">
              <w:rPr>
                <w:rFonts w:ascii="Times New Roman" w:hAnsi="Times New Roman"/>
                <w:sz w:val="20"/>
                <w:szCs w:val="20"/>
              </w:rPr>
              <w:t>“</w:t>
            </w:r>
            <w:r w:rsidR="0099713D" w:rsidRPr="00B2059A">
              <w:rPr>
                <w:rFonts w:ascii="Times New Roman" w:hAnsi="Times New Roman"/>
                <w:sz w:val="20"/>
                <w:szCs w:val="20"/>
              </w:rPr>
              <w:t xml:space="preserve">The demonstrations on low-carbon materials </w:t>
            </w:r>
            <w:r w:rsidR="0099713D" w:rsidRPr="00B2059A">
              <w:rPr>
                <w:rFonts w:ascii="Times New Roman" w:hAnsi="Times New Roman"/>
                <w:sz w:val="20"/>
                <w:szCs w:val="20"/>
              </w:rPr>
              <w:lastRenderedPageBreak/>
              <w:t>storage/warehousing system can be replicated to increase annual fuel saving and reductions in GHG emissions in the logistics industry in Zhejiang Province. Presently, although the EOP target has been met for the annual fuel savings and GHG emissions reductions through improved energy efficiency in the materials management and physical distribution activities in the logistics industry in Zhejiang Province, the actual fuel savings and GHG emissions reductions in materials management are less than expected and are being compensated by higher-than-expected fuel savings and GHG emissions reductions in physical distribution.</w:t>
            </w:r>
            <w:r w:rsidR="00CD2B78" w:rsidRPr="00B2059A">
              <w:rPr>
                <w:rFonts w:ascii="Times New Roman" w:hAnsi="Times New Roman"/>
                <w:sz w:val="20"/>
                <w:szCs w:val="20"/>
              </w:rPr>
              <w:t>”</w:t>
            </w:r>
          </w:p>
        </w:tc>
        <w:tc>
          <w:tcPr>
            <w:tcW w:w="1667" w:type="pct"/>
            <w:shd w:val="clear" w:color="auto" w:fill="auto"/>
          </w:tcPr>
          <w:p w14:paraId="38173E70" w14:textId="4CCCB904" w:rsidR="00CD2B78" w:rsidRPr="00B2059A" w:rsidRDefault="00CD2B78" w:rsidP="00197D62">
            <w:pPr>
              <w:pStyle w:val="EOTableText"/>
              <w:rPr>
                <w:rFonts w:ascii="Times New Roman" w:hAnsi="Times New Roman"/>
                <w:sz w:val="20"/>
                <w:szCs w:val="20"/>
              </w:rPr>
            </w:pPr>
            <w:r w:rsidRPr="00B2059A">
              <w:rPr>
                <w:rFonts w:ascii="Times New Roman" w:hAnsi="Times New Roman"/>
                <w:sz w:val="20"/>
                <w:szCs w:val="20"/>
              </w:rPr>
              <w:lastRenderedPageBreak/>
              <w:t>“</w:t>
            </w:r>
            <w:r w:rsidR="0099713D" w:rsidRPr="00B2059A">
              <w:rPr>
                <w:rFonts w:ascii="Times New Roman" w:hAnsi="Times New Roman"/>
                <w:sz w:val="20"/>
                <w:szCs w:val="20"/>
              </w:rPr>
              <w:t xml:space="preserve">PMU has been committed to promoting green warehouse </w:t>
            </w:r>
            <w:r w:rsidR="0099713D" w:rsidRPr="00B2059A">
              <w:rPr>
                <w:rFonts w:ascii="Times New Roman" w:hAnsi="Times New Roman"/>
                <w:sz w:val="20"/>
                <w:szCs w:val="20"/>
              </w:rPr>
              <w:lastRenderedPageBreak/>
              <w:t>construction and operation experience in Zhejiang Province. At present, PMU mainly adopts the following measures to promote the green warehouse construction and operation experience of demonstration enterprises: first, organize capacity-building activities, invite main management personnel of demonstration enterprises to carry out propaganda activities and share green storage construction and operation experience of demonstration enterprises with small and medium-sized logistics enterprises in Zhejiang Province; second, organizing small and medium-sized logistics enterprises in Zhejiang Province to visit and inspect green warehousing of demonstration enterprises, Third, cooperate with other provinces and cities in China (Shanghai), select local small and medium-sized logistics enterprises, and promote green logistics pilot in Zhejiang Province.</w:t>
            </w:r>
            <w:r w:rsidRPr="00B2059A">
              <w:rPr>
                <w:rFonts w:ascii="Times New Roman" w:hAnsi="Times New Roman"/>
                <w:sz w:val="20"/>
                <w:szCs w:val="20"/>
              </w:rPr>
              <w:t>”</w:t>
            </w:r>
          </w:p>
        </w:tc>
        <w:tc>
          <w:tcPr>
            <w:tcW w:w="1667" w:type="pct"/>
            <w:shd w:val="clear" w:color="auto" w:fill="auto"/>
          </w:tcPr>
          <w:p w14:paraId="6EC33377" w14:textId="5A48F429" w:rsidR="00CD2B78" w:rsidRPr="00B2059A" w:rsidRDefault="00073B63" w:rsidP="00197D62">
            <w:pPr>
              <w:pStyle w:val="EOTableText"/>
              <w:rPr>
                <w:rFonts w:ascii="Times New Roman" w:hAnsi="Times New Roman"/>
                <w:sz w:val="20"/>
                <w:szCs w:val="20"/>
              </w:rPr>
            </w:pPr>
            <w:r>
              <w:rPr>
                <w:rFonts w:ascii="Times New Roman" w:hAnsi="Times New Roman"/>
                <w:sz w:val="20"/>
                <w:szCs w:val="20"/>
              </w:rPr>
              <w:lastRenderedPageBreak/>
              <w:t xml:space="preserve">Apparently, the MTR failed to identity the issues with the </w:t>
            </w:r>
            <w:r>
              <w:rPr>
                <w:rFonts w:ascii="Times New Roman" w:hAnsi="Times New Roman"/>
                <w:sz w:val="20"/>
                <w:szCs w:val="20"/>
              </w:rPr>
              <w:lastRenderedPageBreak/>
              <w:t xml:space="preserve">estimation of GHG emissions reductions by the project. </w:t>
            </w:r>
            <w:r w:rsidR="0094097E">
              <w:rPr>
                <w:rFonts w:ascii="Times New Roman" w:hAnsi="Times New Roman"/>
                <w:sz w:val="20"/>
                <w:szCs w:val="20"/>
              </w:rPr>
              <w:t xml:space="preserve">As discussed in section 4.3.2., the two demonstration projects delivered only 1% of </w:t>
            </w:r>
            <w:r w:rsidR="0094097E" w:rsidRPr="009E09CA">
              <w:rPr>
                <w:rFonts w:ascii="Times New Roman" w:hAnsi="Times New Roman"/>
                <w:sz w:val="20"/>
                <w:szCs w:val="20"/>
              </w:rPr>
              <w:t xml:space="preserve">the project’s target </w:t>
            </w:r>
            <w:r w:rsidRPr="009E09CA">
              <w:rPr>
                <w:rFonts w:ascii="Times New Roman" w:hAnsi="Times New Roman"/>
                <w:sz w:val="20"/>
                <w:szCs w:val="20"/>
              </w:rPr>
              <w:t xml:space="preserve">for </w:t>
            </w:r>
            <w:r w:rsidR="0094097E" w:rsidRPr="009E09CA">
              <w:rPr>
                <w:rFonts w:ascii="Times New Roman" w:hAnsi="Times New Roman"/>
                <w:sz w:val="20"/>
                <w:szCs w:val="20"/>
              </w:rPr>
              <w:t>GHG emissions reductions</w:t>
            </w:r>
            <w:r w:rsidRPr="009E09CA">
              <w:rPr>
                <w:rFonts w:ascii="Times New Roman" w:hAnsi="Times New Roman"/>
                <w:sz w:val="20"/>
                <w:szCs w:val="20"/>
              </w:rPr>
              <w:t xml:space="preserve"> under component 2. The extrapolation of the results from these two pilots to the rest of the logistics industry in Zhejiang Province is not an accurate estimation of the project’s indirect impacts.</w:t>
            </w:r>
          </w:p>
        </w:tc>
      </w:tr>
      <w:tr w:rsidR="00CD2B78" w:rsidRPr="00B2059A" w14:paraId="61C843FA" w14:textId="77777777" w:rsidTr="00757150">
        <w:trPr>
          <w:trHeight w:val="1726"/>
        </w:trPr>
        <w:tc>
          <w:tcPr>
            <w:tcW w:w="1666" w:type="pct"/>
            <w:shd w:val="clear" w:color="auto" w:fill="auto"/>
          </w:tcPr>
          <w:p w14:paraId="14713BD8" w14:textId="5848B174" w:rsidR="00CD2B78" w:rsidRPr="00B2059A" w:rsidRDefault="00197D62" w:rsidP="00197D62">
            <w:pPr>
              <w:pStyle w:val="EOTableText"/>
              <w:rPr>
                <w:rFonts w:ascii="Times New Roman" w:hAnsi="Times New Roman"/>
                <w:sz w:val="20"/>
                <w:szCs w:val="20"/>
              </w:rPr>
            </w:pPr>
            <w:r w:rsidRPr="00B2059A">
              <w:rPr>
                <w:rFonts w:ascii="Times New Roman" w:hAnsi="Times New Roman"/>
                <w:sz w:val="20"/>
                <w:szCs w:val="20"/>
              </w:rPr>
              <w:lastRenderedPageBreak/>
              <w:t xml:space="preserve">B.5. </w:t>
            </w:r>
            <w:r w:rsidR="0099713D" w:rsidRPr="00B2059A">
              <w:rPr>
                <w:rFonts w:ascii="Times New Roman" w:hAnsi="Times New Roman"/>
                <w:sz w:val="20"/>
                <w:szCs w:val="20"/>
              </w:rPr>
              <w:t>“The successful demonstrations from the GLIZP project can serve as useful examples for the China’s international Belt and Road Initiative (BRI); logistics and related infrastructure is the largest component of BRI and there is tremendous potential for green logistics to be a medium of creating sustainable development outcomes both nationally and internationally, as well as for South-South cooperation for sharing China’s tested and validated solutions and technologies for green logistics. In this regard, the PMU and ZPDRC can engage with the relevant national agencies/institutions to incorporate green logistics demonstrations and capacity building activities in the BRI, as well as facilitate the participation of personnel from BRI countries in the GLIZP project capacity building activities</w:t>
            </w:r>
            <w:r w:rsidR="00CD2B78" w:rsidRPr="00B2059A">
              <w:rPr>
                <w:rFonts w:ascii="Times New Roman" w:hAnsi="Times New Roman"/>
                <w:sz w:val="20"/>
                <w:szCs w:val="20"/>
              </w:rPr>
              <w:t>”</w:t>
            </w:r>
          </w:p>
        </w:tc>
        <w:tc>
          <w:tcPr>
            <w:tcW w:w="1667" w:type="pct"/>
            <w:shd w:val="clear" w:color="auto" w:fill="auto"/>
          </w:tcPr>
          <w:p w14:paraId="571189C9" w14:textId="6DA3F5BA" w:rsidR="00CD2B78" w:rsidRPr="00B2059A" w:rsidRDefault="00CD2B78" w:rsidP="00197D62">
            <w:pPr>
              <w:pStyle w:val="EOTableText"/>
              <w:rPr>
                <w:rFonts w:ascii="Times New Roman" w:hAnsi="Times New Roman"/>
                <w:sz w:val="20"/>
                <w:szCs w:val="20"/>
              </w:rPr>
            </w:pPr>
            <w:r w:rsidRPr="00B2059A">
              <w:rPr>
                <w:rFonts w:ascii="Times New Roman" w:hAnsi="Times New Roman"/>
                <w:sz w:val="20"/>
                <w:szCs w:val="20"/>
              </w:rPr>
              <w:t>“</w:t>
            </w:r>
            <w:r w:rsidR="0099713D" w:rsidRPr="00B2059A">
              <w:rPr>
                <w:rFonts w:ascii="Times New Roman" w:hAnsi="Times New Roman"/>
                <w:sz w:val="20"/>
                <w:szCs w:val="20"/>
              </w:rPr>
              <w:t>We agree with you very much and we have been trying to achieve it. We have been in good cooperation with specific countries along the Belt and Road is in the low carbon sector. For example, we successfully hosted one exhibition about the Zhejiang low carbon technology which included the "The Belt and Road" cooperation project and the conference. Over 30 technical officials from 18 countries along the Belt and Road attended the meeting. At the same time, we shared the experience of low carbon development in Zhejiang Province, including green logistics, and organized their field visits to Zhejiang's low-carbon industries.</w:t>
            </w:r>
            <w:r w:rsidRPr="00B2059A">
              <w:rPr>
                <w:rFonts w:ascii="Times New Roman" w:hAnsi="Times New Roman"/>
                <w:sz w:val="20"/>
                <w:szCs w:val="20"/>
              </w:rPr>
              <w:t>”</w:t>
            </w:r>
          </w:p>
        </w:tc>
        <w:tc>
          <w:tcPr>
            <w:tcW w:w="1667" w:type="pct"/>
            <w:shd w:val="clear" w:color="auto" w:fill="auto"/>
          </w:tcPr>
          <w:p w14:paraId="56DFC653" w14:textId="47AEC94A" w:rsidR="00CD2B78" w:rsidRPr="00B2059A" w:rsidRDefault="002841FF" w:rsidP="00197D62">
            <w:pPr>
              <w:pStyle w:val="EOTableText"/>
              <w:rPr>
                <w:rFonts w:ascii="Times New Roman" w:hAnsi="Times New Roman"/>
                <w:sz w:val="20"/>
                <w:szCs w:val="20"/>
              </w:rPr>
            </w:pPr>
            <w:r w:rsidRPr="00B2059A">
              <w:rPr>
                <w:rFonts w:ascii="Times New Roman" w:hAnsi="Times New Roman"/>
                <w:sz w:val="20"/>
                <w:szCs w:val="20"/>
              </w:rPr>
              <w:t>No comment.</w:t>
            </w:r>
          </w:p>
        </w:tc>
      </w:tr>
      <w:tr w:rsidR="00CD2B78" w:rsidRPr="00B2059A" w14:paraId="51CCF8EA" w14:textId="77777777" w:rsidTr="00757150">
        <w:trPr>
          <w:trHeight w:val="217"/>
        </w:trPr>
        <w:tc>
          <w:tcPr>
            <w:tcW w:w="1666" w:type="pct"/>
            <w:shd w:val="clear" w:color="auto" w:fill="auto"/>
          </w:tcPr>
          <w:p w14:paraId="15E337D0" w14:textId="596C745A" w:rsidR="00CD2B78" w:rsidRPr="00B2059A" w:rsidRDefault="00197D62" w:rsidP="00197D62">
            <w:pPr>
              <w:pStyle w:val="EOTableText"/>
              <w:rPr>
                <w:rFonts w:ascii="Times New Roman" w:hAnsi="Times New Roman"/>
                <w:sz w:val="20"/>
                <w:szCs w:val="20"/>
              </w:rPr>
            </w:pPr>
            <w:r w:rsidRPr="00B2059A">
              <w:rPr>
                <w:rFonts w:ascii="Times New Roman" w:hAnsi="Times New Roman"/>
                <w:sz w:val="20"/>
                <w:szCs w:val="20"/>
              </w:rPr>
              <w:lastRenderedPageBreak/>
              <w:t xml:space="preserve">B.6. </w:t>
            </w:r>
            <w:r w:rsidR="00CD2B78" w:rsidRPr="00B2059A">
              <w:rPr>
                <w:rFonts w:ascii="Times New Roman" w:hAnsi="Times New Roman"/>
                <w:sz w:val="20"/>
                <w:szCs w:val="20"/>
              </w:rPr>
              <w:t>“</w:t>
            </w:r>
            <w:r w:rsidR="0099713D" w:rsidRPr="00B2059A">
              <w:rPr>
                <w:rFonts w:ascii="Times New Roman" w:hAnsi="Times New Roman"/>
                <w:sz w:val="20"/>
                <w:szCs w:val="20"/>
              </w:rPr>
              <w:t>The PMU/ZPDRC/UNDP can consider including in the remaining two-year work plan an activity on researching what kinds of new jobs are employing women in the green logistics industry due to the GLIZP project’s implementation.</w:t>
            </w:r>
            <w:r w:rsidR="00CD2B78" w:rsidRPr="00B2059A">
              <w:rPr>
                <w:rFonts w:ascii="Times New Roman" w:hAnsi="Times New Roman"/>
                <w:sz w:val="20"/>
                <w:szCs w:val="20"/>
              </w:rPr>
              <w:t>”</w:t>
            </w:r>
          </w:p>
        </w:tc>
        <w:tc>
          <w:tcPr>
            <w:tcW w:w="1667" w:type="pct"/>
            <w:shd w:val="clear" w:color="auto" w:fill="auto"/>
          </w:tcPr>
          <w:p w14:paraId="7CFDB039" w14:textId="77777777" w:rsidR="0099713D" w:rsidRPr="00B2059A" w:rsidRDefault="00CD2B78" w:rsidP="00197D62">
            <w:pPr>
              <w:pStyle w:val="EOTableText"/>
              <w:rPr>
                <w:rFonts w:ascii="Times New Roman" w:hAnsi="Times New Roman"/>
                <w:sz w:val="20"/>
                <w:szCs w:val="20"/>
              </w:rPr>
            </w:pPr>
            <w:r w:rsidRPr="00B2059A">
              <w:rPr>
                <w:rFonts w:ascii="Times New Roman" w:hAnsi="Times New Roman"/>
                <w:sz w:val="20"/>
                <w:szCs w:val="20"/>
              </w:rPr>
              <w:t>“</w:t>
            </w:r>
            <w:r w:rsidR="0099713D" w:rsidRPr="00B2059A">
              <w:rPr>
                <w:rFonts w:ascii="Times New Roman" w:hAnsi="Times New Roman"/>
                <w:sz w:val="20"/>
                <w:szCs w:val="20"/>
              </w:rPr>
              <w:t>Due to the implementation of the green logistics policy, a lot of new work has been added. For example, because of the adjustment of transport structure, the transportation of highways to waterways has created more job opportunities for the wharf operators and crew members.</w:t>
            </w:r>
          </w:p>
          <w:p w14:paraId="48E0E401" w14:textId="2B5E7BF6" w:rsidR="00CD2B78" w:rsidRPr="00B2059A" w:rsidRDefault="0099713D" w:rsidP="00197D62">
            <w:pPr>
              <w:pStyle w:val="EOTableText"/>
              <w:rPr>
                <w:rFonts w:ascii="Times New Roman" w:hAnsi="Times New Roman"/>
                <w:sz w:val="20"/>
                <w:szCs w:val="20"/>
              </w:rPr>
            </w:pPr>
            <w:r w:rsidRPr="00B2059A">
              <w:rPr>
                <w:rFonts w:ascii="Times New Roman" w:hAnsi="Times New Roman"/>
                <w:sz w:val="20"/>
                <w:szCs w:val="20"/>
              </w:rPr>
              <w:t>Because of the relatively short duration of the project, PMU is considering joining this activity in the next phase of the project.</w:t>
            </w:r>
            <w:r w:rsidR="00CD2B78" w:rsidRPr="00B2059A">
              <w:rPr>
                <w:rFonts w:ascii="Times New Roman" w:hAnsi="Times New Roman"/>
                <w:sz w:val="20"/>
                <w:szCs w:val="20"/>
              </w:rPr>
              <w:t>”</w:t>
            </w:r>
          </w:p>
        </w:tc>
        <w:tc>
          <w:tcPr>
            <w:tcW w:w="1667" w:type="pct"/>
            <w:shd w:val="clear" w:color="auto" w:fill="auto"/>
          </w:tcPr>
          <w:p w14:paraId="3964242F" w14:textId="70C578E5" w:rsidR="00CD2B78" w:rsidRPr="00B2059A" w:rsidRDefault="00CA0B2A" w:rsidP="00197D62">
            <w:pPr>
              <w:pStyle w:val="EOTableText"/>
              <w:rPr>
                <w:rFonts w:ascii="Times New Roman" w:hAnsi="Times New Roman"/>
                <w:sz w:val="20"/>
                <w:szCs w:val="20"/>
              </w:rPr>
            </w:pPr>
            <w:r w:rsidRPr="009E09CA">
              <w:rPr>
                <w:rFonts w:ascii="Times New Roman" w:hAnsi="Times New Roman"/>
                <w:sz w:val="20"/>
                <w:szCs w:val="20"/>
              </w:rPr>
              <w:t>Noting that gender considerations had not been included in the project design and implementation was an adequate observation of the MTR. However, given that most training activities were going to be completed during the last months of the project, a better recommendation and response would have been to develop</w:t>
            </w:r>
            <w:r w:rsidRPr="00B2059A">
              <w:rPr>
                <w:rFonts w:ascii="Times New Roman" w:hAnsi="Times New Roman"/>
                <w:sz w:val="20"/>
                <w:szCs w:val="20"/>
              </w:rPr>
              <w:t xml:space="preserve"> targeted training activities for women and thus have an incidence on how women benefit from the project activities and on how the role of women is perceived in the logistics industry.</w:t>
            </w:r>
          </w:p>
        </w:tc>
      </w:tr>
      <w:tr w:rsidR="00CD2B78" w:rsidRPr="00B2059A" w14:paraId="7CA77718" w14:textId="77777777" w:rsidTr="00757150">
        <w:trPr>
          <w:trHeight w:val="217"/>
        </w:trPr>
        <w:tc>
          <w:tcPr>
            <w:tcW w:w="1666" w:type="pct"/>
            <w:shd w:val="clear" w:color="auto" w:fill="auto"/>
          </w:tcPr>
          <w:p w14:paraId="2C1EBE9A" w14:textId="1EBDC050" w:rsidR="00CD2B78" w:rsidRPr="00B2059A" w:rsidRDefault="00197D62" w:rsidP="00197D62">
            <w:pPr>
              <w:pStyle w:val="EOTableText"/>
              <w:rPr>
                <w:rFonts w:ascii="Times New Roman" w:hAnsi="Times New Roman"/>
                <w:sz w:val="20"/>
                <w:szCs w:val="20"/>
              </w:rPr>
            </w:pPr>
            <w:r w:rsidRPr="00B2059A">
              <w:rPr>
                <w:rFonts w:ascii="Times New Roman" w:hAnsi="Times New Roman"/>
                <w:sz w:val="20"/>
                <w:szCs w:val="20"/>
              </w:rPr>
              <w:t xml:space="preserve">B.7. </w:t>
            </w:r>
            <w:r w:rsidR="00CD2B78" w:rsidRPr="00B2059A">
              <w:rPr>
                <w:rFonts w:ascii="Times New Roman" w:hAnsi="Times New Roman"/>
                <w:sz w:val="20"/>
                <w:szCs w:val="20"/>
              </w:rPr>
              <w:t>“</w:t>
            </w:r>
            <w:r w:rsidR="0099713D" w:rsidRPr="00B2059A">
              <w:rPr>
                <w:rFonts w:ascii="Times New Roman" w:hAnsi="Times New Roman"/>
                <w:sz w:val="20"/>
                <w:szCs w:val="20"/>
              </w:rPr>
              <w:t>The PMU, NDRC, and UNDP can consider incorporating within the work plan, a project activity that focuses on researching and providing recommendations for policy integration at the local/provincial/national levels, such as between policies for green logistics development and promotion of new energy vehicles, and green logistics development and promotion of energy efficiency/conservation devices.</w:t>
            </w:r>
            <w:r w:rsidR="00CD2B78" w:rsidRPr="00B2059A">
              <w:rPr>
                <w:rFonts w:ascii="Times New Roman" w:hAnsi="Times New Roman"/>
                <w:sz w:val="20"/>
                <w:szCs w:val="20"/>
              </w:rPr>
              <w:t>”</w:t>
            </w:r>
          </w:p>
        </w:tc>
        <w:tc>
          <w:tcPr>
            <w:tcW w:w="1667" w:type="pct"/>
            <w:shd w:val="clear" w:color="auto" w:fill="auto"/>
          </w:tcPr>
          <w:p w14:paraId="6311ABBC" w14:textId="6BA67EC9" w:rsidR="00CD2B78" w:rsidRPr="00B2059A" w:rsidRDefault="00CD2B78" w:rsidP="00197D62">
            <w:pPr>
              <w:pStyle w:val="EOTableText"/>
              <w:rPr>
                <w:rFonts w:ascii="Times New Roman" w:hAnsi="Times New Roman"/>
                <w:sz w:val="20"/>
                <w:szCs w:val="20"/>
              </w:rPr>
            </w:pPr>
            <w:r w:rsidRPr="00B2059A">
              <w:rPr>
                <w:rFonts w:ascii="Times New Roman" w:hAnsi="Times New Roman"/>
                <w:sz w:val="20"/>
                <w:szCs w:val="20"/>
              </w:rPr>
              <w:t>“</w:t>
            </w:r>
            <w:r w:rsidR="0099713D" w:rsidRPr="00B2059A">
              <w:rPr>
                <w:rFonts w:ascii="Times New Roman" w:hAnsi="Times New Roman"/>
                <w:sz w:val="20"/>
                <w:szCs w:val="20"/>
              </w:rPr>
              <w:t>Green logistics is a systematic project involving many the upstream and downstream industries and all aspects of residents' life. Besides, at the management level, it involves multiple departments such as development, business, transportation, and so on. It needs to integrate multi-sector policies and form a policy force to jointly promote the development of green logistics. In the course of project development, we have also been paying attention to the change of green logistics policy. For example, in the study of green logistics policy promotion mode, we have summed up the practice of integrating green logistics policies in some provinces and cities. Because of the relatively short duration of the project, PMU is considering joining this activity in the next phase of the project.</w:t>
            </w:r>
            <w:r w:rsidRPr="00B2059A">
              <w:rPr>
                <w:rFonts w:ascii="Times New Roman" w:hAnsi="Times New Roman"/>
                <w:sz w:val="20"/>
                <w:szCs w:val="20"/>
              </w:rPr>
              <w:t>”</w:t>
            </w:r>
          </w:p>
        </w:tc>
        <w:tc>
          <w:tcPr>
            <w:tcW w:w="1667" w:type="pct"/>
            <w:shd w:val="clear" w:color="auto" w:fill="auto"/>
          </w:tcPr>
          <w:p w14:paraId="37F63DA3" w14:textId="15749C2B" w:rsidR="00CD2B78" w:rsidRPr="00B2059A" w:rsidRDefault="006C566F" w:rsidP="00197D62">
            <w:pPr>
              <w:pStyle w:val="EOTableText"/>
              <w:rPr>
                <w:rFonts w:ascii="Times New Roman" w:hAnsi="Times New Roman"/>
                <w:sz w:val="20"/>
                <w:szCs w:val="20"/>
              </w:rPr>
            </w:pPr>
            <w:r w:rsidRPr="00B2059A">
              <w:rPr>
                <w:rFonts w:ascii="Times New Roman" w:hAnsi="Times New Roman"/>
                <w:sz w:val="20"/>
                <w:szCs w:val="20"/>
              </w:rPr>
              <w:t xml:space="preserve">Mainstreaming green logistics in policies and plans was an important aspect the project. </w:t>
            </w:r>
            <w:r w:rsidR="00B6681D">
              <w:rPr>
                <w:rFonts w:ascii="Times New Roman" w:hAnsi="Times New Roman"/>
                <w:sz w:val="20"/>
                <w:szCs w:val="20"/>
              </w:rPr>
              <w:t xml:space="preserve">As indicated above, the </w:t>
            </w:r>
            <w:r w:rsidR="00B6681D" w:rsidRPr="00B6681D">
              <w:rPr>
                <w:rFonts w:ascii="Times New Roman" w:hAnsi="Times New Roman"/>
                <w:sz w:val="20"/>
                <w:szCs w:val="20"/>
              </w:rPr>
              <w:t>inclusion of green logistics concepts in the 14</w:t>
            </w:r>
            <w:r w:rsidR="00B6681D" w:rsidRPr="00B03E5C">
              <w:rPr>
                <w:rFonts w:ascii="Times New Roman" w:hAnsi="Times New Roman"/>
                <w:sz w:val="20"/>
                <w:szCs w:val="20"/>
                <w:vertAlign w:val="superscript"/>
              </w:rPr>
              <w:t>th</w:t>
            </w:r>
            <w:r w:rsidR="00B6681D" w:rsidRPr="00B6681D">
              <w:rPr>
                <w:rFonts w:ascii="Times New Roman" w:hAnsi="Times New Roman"/>
                <w:sz w:val="20"/>
                <w:szCs w:val="20"/>
              </w:rPr>
              <w:t xml:space="preserve"> Five-Year Plan by the Government of Zhejiang Province was an important achievement of the project.</w:t>
            </w:r>
            <w:r w:rsidR="00B6681D">
              <w:rPr>
                <w:rFonts w:ascii="Times New Roman" w:hAnsi="Times New Roman"/>
                <w:sz w:val="20"/>
                <w:szCs w:val="20"/>
              </w:rPr>
              <w:t xml:space="preserve"> </w:t>
            </w:r>
            <w:r w:rsidR="003B4195">
              <w:rPr>
                <w:rFonts w:ascii="Times New Roman" w:hAnsi="Times New Roman"/>
                <w:sz w:val="20"/>
                <w:szCs w:val="20"/>
              </w:rPr>
              <w:t xml:space="preserve">An alternative approach to </w:t>
            </w:r>
            <w:r w:rsidRPr="00B2059A">
              <w:rPr>
                <w:rFonts w:ascii="Times New Roman" w:hAnsi="Times New Roman"/>
                <w:sz w:val="20"/>
                <w:szCs w:val="20"/>
              </w:rPr>
              <w:t xml:space="preserve">recommending a new activity, </w:t>
            </w:r>
            <w:r w:rsidR="003B4195">
              <w:rPr>
                <w:rFonts w:ascii="Times New Roman" w:hAnsi="Times New Roman"/>
                <w:sz w:val="20"/>
                <w:szCs w:val="20"/>
              </w:rPr>
              <w:t>wo</w:t>
            </w:r>
            <w:r w:rsidRPr="00B2059A">
              <w:rPr>
                <w:rFonts w:ascii="Times New Roman" w:hAnsi="Times New Roman"/>
                <w:sz w:val="20"/>
                <w:szCs w:val="20"/>
              </w:rPr>
              <w:t xml:space="preserve">uld have been </w:t>
            </w:r>
            <w:r w:rsidR="003B4195">
              <w:rPr>
                <w:rFonts w:ascii="Times New Roman" w:hAnsi="Times New Roman"/>
                <w:sz w:val="20"/>
                <w:szCs w:val="20"/>
              </w:rPr>
              <w:t xml:space="preserve">to </w:t>
            </w:r>
            <w:r w:rsidRPr="00B2059A">
              <w:rPr>
                <w:rFonts w:ascii="Times New Roman" w:hAnsi="Times New Roman"/>
                <w:sz w:val="20"/>
                <w:szCs w:val="20"/>
              </w:rPr>
              <w:t>includ</w:t>
            </w:r>
            <w:r w:rsidR="003B4195">
              <w:rPr>
                <w:rFonts w:ascii="Times New Roman" w:hAnsi="Times New Roman"/>
                <w:sz w:val="20"/>
                <w:szCs w:val="20"/>
              </w:rPr>
              <w:t xml:space="preserve">e </w:t>
            </w:r>
            <w:r w:rsidR="00B6681D">
              <w:rPr>
                <w:rFonts w:ascii="Times New Roman" w:hAnsi="Times New Roman"/>
                <w:sz w:val="20"/>
                <w:szCs w:val="20"/>
              </w:rPr>
              <w:t xml:space="preserve">the </w:t>
            </w:r>
            <w:r w:rsidR="003B4195">
              <w:rPr>
                <w:rFonts w:ascii="Times New Roman" w:hAnsi="Times New Roman"/>
                <w:sz w:val="20"/>
                <w:szCs w:val="20"/>
              </w:rPr>
              <w:t xml:space="preserve">mainstreaming </w:t>
            </w:r>
            <w:r w:rsidR="00B6681D">
              <w:rPr>
                <w:rFonts w:ascii="Times New Roman" w:hAnsi="Times New Roman"/>
                <w:sz w:val="20"/>
                <w:szCs w:val="20"/>
              </w:rPr>
              <w:t xml:space="preserve">of green logistics </w:t>
            </w:r>
            <w:r w:rsidRPr="00B2059A">
              <w:rPr>
                <w:rFonts w:ascii="Times New Roman" w:hAnsi="Times New Roman"/>
                <w:sz w:val="20"/>
                <w:szCs w:val="20"/>
              </w:rPr>
              <w:t>in the scope of output 1.4.</w:t>
            </w:r>
            <w:r w:rsidR="00B6681D">
              <w:rPr>
                <w:rFonts w:ascii="Times New Roman" w:hAnsi="Times New Roman"/>
                <w:sz w:val="20"/>
                <w:szCs w:val="20"/>
              </w:rPr>
              <w:t xml:space="preserve"> on an</w:t>
            </w:r>
            <w:r w:rsidRPr="00B2059A">
              <w:rPr>
                <w:rFonts w:ascii="Times New Roman" w:hAnsi="Times New Roman"/>
                <w:sz w:val="20"/>
                <w:szCs w:val="20"/>
              </w:rPr>
              <w:t xml:space="preserve"> “</w:t>
            </w:r>
            <w:r w:rsidR="00B6681D">
              <w:rPr>
                <w:rFonts w:ascii="Times New Roman" w:hAnsi="Times New Roman"/>
                <w:sz w:val="20"/>
                <w:szCs w:val="20"/>
              </w:rPr>
              <w:t>a</w:t>
            </w:r>
            <w:r w:rsidRPr="00B2059A">
              <w:rPr>
                <w:rFonts w:ascii="Times New Roman" w:hAnsi="Times New Roman"/>
                <w:sz w:val="20"/>
                <w:szCs w:val="20"/>
              </w:rPr>
              <w:t>pproved follow-up plan for the replication of the applications of the piloted green logistics policies in Zhejiang Province in other provinces and cities.”</w:t>
            </w:r>
            <w:r w:rsidR="00156657" w:rsidRPr="00B6681D">
              <w:rPr>
                <w:rFonts w:ascii="Times New Roman" w:hAnsi="Times New Roman"/>
                <w:sz w:val="20"/>
                <w:szCs w:val="20"/>
              </w:rPr>
              <w:t xml:space="preserve">. </w:t>
            </w:r>
            <w:r w:rsidR="00784610">
              <w:rPr>
                <w:rFonts w:ascii="Times New Roman" w:hAnsi="Times New Roman"/>
                <w:sz w:val="20"/>
                <w:szCs w:val="20"/>
              </w:rPr>
              <w:t xml:space="preserve">While a plan to promote green logistics in the Shanghai and Yangtze River Delta regions was proposed in March 2020, the plan does not elaborate on actions to mainstream green logistics in policies and development plans beyond the </w:t>
            </w:r>
            <w:r w:rsidR="00784610" w:rsidRPr="00B6681D">
              <w:rPr>
                <w:rFonts w:ascii="Times New Roman" w:hAnsi="Times New Roman"/>
                <w:sz w:val="20"/>
                <w:szCs w:val="20"/>
              </w:rPr>
              <w:t>Zhejiang Province</w:t>
            </w:r>
            <w:r w:rsidR="00784610">
              <w:rPr>
                <w:rFonts w:ascii="Times New Roman" w:hAnsi="Times New Roman"/>
                <w:sz w:val="20"/>
                <w:szCs w:val="20"/>
              </w:rPr>
              <w:t>.</w:t>
            </w:r>
            <w:r w:rsidR="00784610">
              <w:rPr>
                <w:rStyle w:val="FootnoteReference"/>
                <w:szCs w:val="20"/>
              </w:rPr>
              <w:footnoteReference w:id="18"/>
            </w:r>
          </w:p>
        </w:tc>
      </w:tr>
    </w:tbl>
    <w:p w14:paraId="54C3531C" w14:textId="781D5D1F" w:rsidR="00CD2B78" w:rsidRDefault="00746EA6" w:rsidP="00CD2B78">
      <w:pPr>
        <w:spacing w:after="0"/>
        <w:jc w:val="both"/>
        <w:rPr>
          <w:sz w:val="18"/>
          <w:szCs w:val="18"/>
        </w:rPr>
      </w:pPr>
      <w:r w:rsidRPr="00746EA6">
        <w:rPr>
          <w:rFonts w:cs="Times New Roman"/>
          <w:sz w:val="18"/>
          <w:szCs w:val="18"/>
          <w:vertAlign w:val="superscript"/>
        </w:rPr>
        <w:t>†</w:t>
      </w:r>
      <w:r w:rsidRPr="00746EA6">
        <w:rPr>
          <w:sz w:val="18"/>
          <w:szCs w:val="18"/>
          <w:vertAlign w:val="superscript"/>
        </w:rPr>
        <w:t xml:space="preserve"> </w:t>
      </w:r>
      <w:r w:rsidR="00197D62">
        <w:rPr>
          <w:sz w:val="18"/>
          <w:szCs w:val="18"/>
        </w:rPr>
        <w:t>Quoted from Table 3 (pp. 6-7) of the</w:t>
      </w:r>
      <w:r w:rsidRPr="00746EA6">
        <w:rPr>
          <w:sz w:val="18"/>
          <w:szCs w:val="18"/>
        </w:rPr>
        <w:t xml:space="preserve"> MTR report.</w:t>
      </w:r>
    </w:p>
    <w:p w14:paraId="0604F60E" w14:textId="5998873C" w:rsidR="00CD2B78" w:rsidRDefault="00CD2B78" w:rsidP="00CD2B78">
      <w:pPr>
        <w:spacing w:after="0"/>
        <w:jc w:val="both"/>
        <w:rPr>
          <w:vertAlign w:val="superscript"/>
        </w:rPr>
      </w:pPr>
      <w:r w:rsidRPr="00CD2B78">
        <w:rPr>
          <w:vertAlign w:val="superscript"/>
        </w:rPr>
        <w:t>‡</w:t>
      </w:r>
      <w:r>
        <w:rPr>
          <w:vertAlign w:val="superscript"/>
        </w:rPr>
        <w:t xml:space="preserve"> </w:t>
      </w:r>
      <w:r w:rsidRPr="00CD2B78">
        <w:rPr>
          <w:sz w:val="18"/>
          <w:szCs w:val="18"/>
        </w:rPr>
        <w:t>Quoted from management response to the MTR.</w:t>
      </w:r>
      <w:r>
        <w:rPr>
          <w:vertAlign w:val="superscript"/>
        </w:rPr>
        <w:t xml:space="preserve"> </w:t>
      </w:r>
    </w:p>
    <w:p w14:paraId="4B88E8A1" w14:textId="5E514E8A" w:rsidR="0093243F" w:rsidRDefault="0093243F" w:rsidP="00CD2B78">
      <w:pPr>
        <w:spacing w:after="0"/>
        <w:jc w:val="both"/>
        <w:rPr>
          <w:vertAlign w:val="superscript"/>
        </w:rPr>
      </w:pPr>
    </w:p>
    <w:p w14:paraId="703EED1B" w14:textId="391B1101" w:rsidR="0093243F" w:rsidRDefault="0093243F" w:rsidP="00CD2B78">
      <w:pPr>
        <w:spacing w:after="0"/>
        <w:jc w:val="both"/>
        <w:rPr>
          <w:vertAlign w:val="superscript"/>
        </w:rPr>
      </w:pPr>
    </w:p>
    <w:p w14:paraId="5E68384A" w14:textId="77777777" w:rsidR="0093243F" w:rsidRDefault="0093243F" w:rsidP="00CD2B78">
      <w:pPr>
        <w:spacing w:after="0"/>
        <w:jc w:val="both"/>
        <w:rPr>
          <w:vertAlign w:val="superscript"/>
        </w:rPr>
      </w:pPr>
    </w:p>
    <w:p w14:paraId="56609079" w14:textId="5EDF473E" w:rsidR="00AF6342" w:rsidRDefault="00AF6342" w:rsidP="00CD2B78">
      <w:pPr>
        <w:spacing w:after="0"/>
        <w:jc w:val="both"/>
        <w:rPr>
          <w:vertAlign w:val="superscript"/>
        </w:rPr>
      </w:pPr>
    </w:p>
    <w:p w14:paraId="2BB65AB6" w14:textId="77777777" w:rsidR="00B2059A" w:rsidRPr="008E2C94" w:rsidRDefault="00B2059A" w:rsidP="00DE67CF">
      <w:pPr>
        <w:pStyle w:val="ListParagraph"/>
        <w:numPr>
          <w:ilvl w:val="2"/>
          <w:numId w:val="47"/>
        </w:numPr>
        <w:jc w:val="both"/>
        <w:rPr>
          <w:color w:val="2E75B6" w:themeColor="accent5"/>
        </w:rPr>
      </w:pPr>
      <w:r w:rsidRPr="008E2C94">
        <w:rPr>
          <w:color w:val="2E75B6" w:themeColor="accent5"/>
        </w:rPr>
        <w:lastRenderedPageBreak/>
        <w:t>Actual stakeholder participation and partnership arrangements</w:t>
      </w:r>
    </w:p>
    <w:p w14:paraId="3E7E2CB7" w14:textId="09883A79" w:rsidR="00B2059A" w:rsidRDefault="00B2059A" w:rsidP="00B2059A">
      <w:pPr>
        <w:spacing w:after="0"/>
        <w:jc w:val="both"/>
      </w:pPr>
      <w:r>
        <w:t xml:space="preserve">The project developed effective partnerships with stakeholders, especially with businesses and business associations in the logistics industry in Zhejiang Province. </w:t>
      </w:r>
      <w:r w:rsidR="00BA743B">
        <w:t>Noteworthy</w:t>
      </w:r>
      <w:r>
        <w:t xml:space="preserve"> partnerships include</w:t>
      </w:r>
      <w:r w:rsidR="00043118">
        <w:t>d</w:t>
      </w:r>
      <w:r>
        <w:t xml:space="preserve"> those with Zhejiang Fuyang Port International Co. Ltd. and Fuyang Hangzhou </w:t>
      </w:r>
      <w:r w:rsidR="009442F5">
        <w:t>Transf</w:t>
      </w:r>
      <w:r w:rsidR="00043118">
        <w:t>a</w:t>
      </w:r>
      <w:r w:rsidR="009442F5">
        <w:t>r</w:t>
      </w:r>
      <w:r w:rsidR="00043118">
        <w:t xml:space="preserve"> </w:t>
      </w:r>
      <w:r>
        <w:t>Logistics Base Co., Ltd. who were instrumental in the implementation of the two demonstration projects. Additional partnerships that supported the implementation of the project, in particular for the elaboration of individual project outputs, included</w:t>
      </w:r>
      <w:r w:rsidR="00CB5E99">
        <w:t xml:space="preserve"> (in alphabetical order)</w:t>
      </w:r>
      <w:r>
        <w:t>:</w:t>
      </w:r>
    </w:p>
    <w:p w14:paraId="1D4751C9" w14:textId="541946B0" w:rsidR="00B2059A" w:rsidRDefault="00B2059A" w:rsidP="00B2059A">
      <w:pPr>
        <w:spacing w:after="0"/>
        <w:jc w:val="both"/>
      </w:pPr>
    </w:p>
    <w:p w14:paraId="5DD72109" w14:textId="2CA8E62A" w:rsidR="00CB5E99" w:rsidRDefault="00CB5E99" w:rsidP="00AC0D02">
      <w:pPr>
        <w:pStyle w:val="ListParagraph"/>
        <w:numPr>
          <w:ilvl w:val="0"/>
          <w:numId w:val="46"/>
        </w:numPr>
        <w:spacing w:after="0"/>
        <w:jc w:val="both"/>
      </w:pPr>
      <w:r>
        <w:t>China Quality Certification Center;</w:t>
      </w:r>
    </w:p>
    <w:p w14:paraId="24D55882" w14:textId="6692999F" w:rsidR="00CB5E99" w:rsidRDefault="00CB5E99" w:rsidP="00AC0D02">
      <w:pPr>
        <w:pStyle w:val="ListParagraph"/>
        <w:numPr>
          <w:ilvl w:val="0"/>
          <w:numId w:val="46"/>
        </w:numPr>
        <w:spacing w:after="0"/>
        <w:jc w:val="both"/>
      </w:pPr>
      <w:r>
        <w:t xml:space="preserve">Hangzhou Huancheng Environmental Technology Co., Ltd.; </w:t>
      </w:r>
    </w:p>
    <w:p w14:paraId="666FA8FD" w14:textId="61F32625" w:rsidR="00CB5E99" w:rsidRDefault="00CB5E99" w:rsidP="00AC0D02">
      <w:pPr>
        <w:pStyle w:val="ListParagraph"/>
        <w:numPr>
          <w:ilvl w:val="0"/>
          <w:numId w:val="46"/>
        </w:numPr>
        <w:spacing w:after="0"/>
        <w:jc w:val="both"/>
      </w:pPr>
      <w:r>
        <w:t xml:space="preserve">International Logistics Port Co., Ltd.; </w:t>
      </w:r>
    </w:p>
    <w:p w14:paraId="480B31C8" w14:textId="08DF6D52" w:rsidR="008714D5" w:rsidRDefault="008714D5" w:rsidP="00AC0D02">
      <w:pPr>
        <w:pStyle w:val="ListParagraph"/>
        <w:numPr>
          <w:ilvl w:val="0"/>
          <w:numId w:val="46"/>
        </w:numPr>
        <w:spacing w:after="0"/>
        <w:jc w:val="both"/>
      </w:pPr>
      <w:r w:rsidRPr="008714D5">
        <w:t>Shanghai Fuchi Business Information Consulting Co., Ltd</w:t>
      </w:r>
      <w:r>
        <w:t>.;</w:t>
      </w:r>
    </w:p>
    <w:p w14:paraId="305303C2" w14:textId="26BD2BC2" w:rsidR="00CB5E99" w:rsidRDefault="00CB5E99" w:rsidP="00AC0D02">
      <w:pPr>
        <w:pStyle w:val="ListParagraph"/>
        <w:numPr>
          <w:ilvl w:val="0"/>
          <w:numId w:val="46"/>
        </w:numPr>
        <w:spacing w:after="0"/>
        <w:jc w:val="both"/>
      </w:pPr>
      <w:r>
        <w:t>Shanghai Information Center;</w:t>
      </w:r>
    </w:p>
    <w:p w14:paraId="53E934BF" w14:textId="57C19534" w:rsidR="00CB5E99" w:rsidRDefault="00CB5E99" w:rsidP="00AC0D02">
      <w:pPr>
        <w:pStyle w:val="ListParagraph"/>
        <w:numPr>
          <w:ilvl w:val="0"/>
          <w:numId w:val="46"/>
        </w:numPr>
        <w:spacing w:after="0"/>
        <w:jc w:val="both"/>
      </w:pPr>
      <w:r>
        <w:t xml:space="preserve">Tianjin Emission Rights Exchange Co., Ltd.; </w:t>
      </w:r>
    </w:p>
    <w:p w14:paraId="0D08E611" w14:textId="445DDED7" w:rsidR="00CB5E99" w:rsidRDefault="00CB5E99" w:rsidP="00AC0D02">
      <w:pPr>
        <w:pStyle w:val="ListParagraph"/>
        <w:numPr>
          <w:ilvl w:val="0"/>
          <w:numId w:val="46"/>
        </w:numPr>
        <w:spacing w:after="0"/>
        <w:jc w:val="both"/>
      </w:pPr>
      <w:r>
        <w:t>Zhejiang Economic Information Development Co., Ltd.</w:t>
      </w:r>
      <w:r w:rsidR="00BA743B">
        <w:t>;</w:t>
      </w:r>
    </w:p>
    <w:p w14:paraId="3CDE90C2" w14:textId="7565C5CB" w:rsidR="00BA743B" w:rsidRDefault="00BA743B" w:rsidP="005D7AE6">
      <w:pPr>
        <w:pStyle w:val="ListParagraph"/>
        <w:numPr>
          <w:ilvl w:val="0"/>
          <w:numId w:val="46"/>
        </w:numPr>
        <w:spacing w:after="0"/>
        <w:jc w:val="both"/>
      </w:pPr>
      <w:r w:rsidRPr="00BA743B">
        <w:t>Zhejiang Gongshang University</w:t>
      </w:r>
      <w:r w:rsidR="005D7AE6">
        <w:t xml:space="preserve"> Press Co. Ltd.</w:t>
      </w:r>
      <w:r>
        <w:t>;</w:t>
      </w:r>
    </w:p>
    <w:p w14:paraId="3ADC2E01" w14:textId="2E154AA8" w:rsidR="00CB5E99" w:rsidRDefault="00CB5E99" w:rsidP="00AC0D02">
      <w:pPr>
        <w:pStyle w:val="ListParagraph"/>
        <w:numPr>
          <w:ilvl w:val="0"/>
          <w:numId w:val="46"/>
        </w:numPr>
        <w:spacing w:after="0"/>
        <w:jc w:val="both"/>
      </w:pPr>
      <w:r>
        <w:t>Zhejiang Industrial and Commercial University;</w:t>
      </w:r>
    </w:p>
    <w:p w14:paraId="01DDE9B3" w14:textId="2E6EEE81" w:rsidR="008714D5" w:rsidRDefault="008714D5" w:rsidP="00AC0D02">
      <w:pPr>
        <w:pStyle w:val="ListParagraph"/>
        <w:numPr>
          <w:ilvl w:val="0"/>
          <w:numId w:val="46"/>
        </w:numPr>
        <w:spacing w:after="0"/>
        <w:jc w:val="both"/>
      </w:pPr>
      <w:r w:rsidRPr="008714D5">
        <w:t xml:space="preserve">Zhejiang Institute of </w:t>
      </w:r>
      <w:r>
        <w:t>S</w:t>
      </w:r>
      <w:r w:rsidRPr="008714D5">
        <w:t>tandardization</w:t>
      </w:r>
      <w:r>
        <w:t>;</w:t>
      </w:r>
    </w:p>
    <w:p w14:paraId="5C71B002" w14:textId="27C3D4DC" w:rsidR="00BA743B" w:rsidRDefault="00BA743B" w:rsidP="00AC0D02">
      <w:pPr>
        <w:pStyle w:val="ListParagraph"/>
        <w:numPr>
          <w:ilvl w:val="0"/>
          <w:numId w:val="46"/>
        </w:numPr>
        <w:spacing w:after="0"/>
        <w:jc w:val="both"/>
      </w:pPr>
      <w:r w:rsidRPr="00BA743B">
        <w:t>Zhejiang International Freight Forwarding Association</w:t>
      </w:r>
      <w:r>
        <w:t>;</w:t>
      </w:r>
    </w:p>
    <w:p w14:paraId="68B9B064" w14:textId="7A67D41C" w:rsidR="00B2059A" w:rsidRDefault="00CB5E99" w:rsidP="00AC0D02">
      <w:pPr>
        <w:pStyle w:val="ListParagraph"/>
        <w:numPr>
          <w:ilvl w:val="0"/>
          <w:numId w:val="46"/>
        </w:numPr>
        <w:spacing w:after="0"/>
        <w:jc w:val="both"/>
      </w:pPr>
      <w:r>
        <w:t>Zhejiang Logistics Association; and,</w:t>
      </w:r>
    </w:p>
    <w:p w14:paraId="076346C5" w14:textId="5CE8EF8C" w:rsidR="00B2059A" w:rsidRDefault="00B2059A" w:rsidP="00AC0D02">
      <w:pPr>
        <w:pStyle w:val="ListParagraph"/>
        <w:numPr>
          <w:ilvl w:val="0"/>
          <w:numId w:val="46"/>
        </w:numPr>
        <w:spacing w:after="0"/>
        <w:jc w:val="both"/>
      </w:pPr>
      <w:r>
        <w:t>Zhejiang Technology and Business University</w:t>
      </w:r>
      <w:r w:rsidR="00BA743B">
        <w:t>.</w:t>
      </w:r>
    </w:p>
    <w:p w14:paraId="00828041" w14:textId="315B4CE4" w:rsidR="00B2059A" w:rsidRPr="00BA743B" w:rsidRDefault="00B2059A" w:rsidP="00CD2B78">
      <w:pPr>
        <w:spacing w:after="0"/>
        <w:jc w:val="both"/>
      </w:pPr>
    </w:p>
    <w:p w14:paraId="16A18B51" w14:textId="5449B8E8" w:rsidR="00BA743B" w:rsidRPr="00BA743B" w:rsidRDefault="00BA743B" w:rsidP="00CD2B78">
      <w:pPr>
        <w:spacing w:after="0"/>
        <w:jc w:val="both"/>
      </w:pPr>
      <w:r>
        <w:t xml:space="preserve">Partnership with the organizations listed above were, in most cases, based on contractual arrangements for the delivery of specific products commissioned by the project. Other types of collaboration were less frequent and could have been explored further, </w:t>
      </w:r>
      <w:r w:rsidR="00043118">
        <w:t>especially for</w:t>
      </w:r>
      <w:r>
        <w:t xml:space="preserve"> outreach and dissemination purposes. Notably, the project did not set up a website</w:t>
      </w:r>
      <w:r w:rsidR="00C8490E">
        <w:t>,</w:t>
      </w:r>
      <w:r>
        <w:t xml:space="preserve"> </w:t>
      </w:r>
      <w:r w:rsidR="00C8490E">
        <w:t>configured a newsletter, or disposed of other means to reach out to a broader audience inside and outside the logistics industry in Zhejiang P</w:t>
      </w:r>
      <w:r w:rsidR="00C579CB">
        <w:t>r</w:t>
      </w:r>
      <w:r w:rsidR="00C8490E">
        <w:t xml:space="preserve">ovince. The project did, however, surveyed small- and medium-sized LSPs and provided training to </w:t>
      </w:r>
      <w:r w:rsidR="00596865">
        <w:t>staff of a</w:t>
      </w:r>
      <w:r w:rsidR="00C8490E">
        <w:t xml:space="preserve"> number of these companies.</w:t>
      </w:r>
      <w:r w:rsidR="00435B70">
        <w:t xml:space="preserve"> The project also developed technical guidelines whose intended audience were small- and medium-sized LSPs.</w:t>
      </w:r>
    </w:p>
    <w:p w14:paraId="3AFDB025" w14:textId="09F2DB3F" w:rsidR="00BA743B" w:rsidRDefault="00BA743B" w:rsidP="00CD2B78">
      <w:pPr>
        <w:spacing w:after="0"/>
        <w:jc w:val="both"/>
      </w:pPr>
    </w:p>
    <w:p w14:paraId="44D1AC52" w14:textId="1B35666E" w:rsidR="004E31A7" w:rsidRPr="004E31A7" w:rsidRDefault="004E31A7" w:rsidP="00CD2B78">
      <w:pPr>
        <w:spacing w:after="0"/>
        <w:jc w:val="both"/>
      </w:pPr>
      <w:r>
        <w:t>The project’s outreach, awareness and training activities did not include gender considerations, including actions to promote the participation of women or women groups.</w:t>
      </w:r>
    </w:p>
    <w:p w14:paraId="464840C0" w14:textId="61516093" w:rsidR="00BA743B" w:rsidRPr="004E31A7" w:rsidRDefault="00BA743B" w:rsidP="00CD2B78">
      <w:pPr>
        <w:spacing w:after="0"/>
        <w:jc w:val="both"/>
      </w:pPr>
    </w:p>
    <w:p w14:paraId="4175A37B" w14:textId="77777777" w:rsidR="00EA1E5E" w:rsidRDefault="00EA1E5E" w:rsidP="00DE67CF">
      <w:pPr>
        <w:pStyle w:val="ListParagraph"/>
        <w:numPr>
          <w:ilvl w:val="2"/>
          <w:numId w:val="47"/>
        </w:numPr>
        <w:jc w:val="both"/>
        <w:rPr>
          <w:color w:val="2E75B6" w:themeColor="accent5"/>
        </w:rPr>
      </w:pPr>
      <w:bookmarkStart w:id="40" w:name="_Ref62034375"/>
      <w:r w:rsidRPr="008E2C94">
        <w:rPr>
          <w:color w:val="2E75B6" w:themeColor="accent5"/>
        </w:rPr>
        <w:t>Project finance and cofinance</w:t>
      </w:r>
      <w:bookmarkEnd w:id="40"/>
    </w:p>
    <w:p w14:paraId="590D7987" w14:textId="5F44626C" w:rsidR="00EA1E5E" w:rsidRDefault="00EA1E5E" w:rsidP="00EA1E5E">
      <w:pPr>
        <w:jc w:val="both"/>
      </w:pPr>
      <w:r>
        <w:t>The project received a grant from GEF for USD 2,913,700 and committed to mobilize USD 12,130,000 in cofinancing resources</w:t>
      </w:r>
      <w:r w:rsidR="00AA2C8E">
        <w:t xml:space="preserve">. </w:t>
      </w:r>
      <w:r w:rsidR="00AA2C8E">
        <w:fldChar w:fldCharType="begin"/>
      </w:r>
      <w:r w:rsidR="00AA2C8E">
        <w:instrText xml:space="preserve"> REF _Ref61514749 \h </w:instrText>
      </w:r>
      <w:r w:rsidR="00AA2C8E">
        <w:fldChar w:fldCharType="separate"/>
      </w:r>
      <w:r w:rsidR="004718D8">
        <w:t xml:space="preserve">Table </w:t>
      </w:r>
      <w:r w:rsidR="004718D8">
        <w:rPr>
          <w:noProof/>
        </w:rPr>
        <w:t>9</w:t>
      </w:r>
      <w:r w:rsidR="00AA2C8E">
        <w:fldChar w:fldCharType="end"/>
      </w:r>
      <w:r w:rsidR="00AA2C8E">
        <w:t xml:space="preserve"> summarizes the confirmed financing sources </w:t>
      </w:r>
      <w:r w:rsidR="0028188B">
        <w:t>at the start</w:t>
      </w:r>
      <w:r w:rsidR="00AA2C8E">
        <w:t xml:space="preserve"> the project</w:t>
      </w:r>
      <w:r>
        <w:t>:</w:t>
      </w:r>
    </w:p>
    <w:p w14:paraId="5D80A685" w14:textId="2B811BA0" w:rsidR="0093243F" w:rsidRDefault="0093243F" w:rsidP="00EA1E5E">
      <w:pPr>
        <w:jc w:val="both"/>
      </w:pPr>
    </w:p>
    <w:p w14:paraId="130DA4C4" w14:textId="117EE74B" w:rsidR="0093243F" w:rsidRDefault="0093243F" w:rsidP="00EA1E5E">
      <w:pPr>
        <w:jc w:val="both"/>
      </w:pPr>
    </w:p>
    <w:p w14:paraId="4C7BEC35" w14:textId="77777777" w:rsidR="0093243F" w:rsidRDefault="0093243F" w:rsidP="00EA1E5E">
      <w:pPr>
        <w:jc w:val="both"/>
      </w:pPr>
    </w:p>
    <w:p w14:paraId="22B0F44E" w14:textId="004AF59E" w:rsidR="00AA2C8E" w:rsidRDefault="00AA2C8E" w:rsidP="00AA2C8E">
      <w:pPr>
        <w:pStyle w:val="Caption"/>
      </w:pPr>
      <w:bookmarkStart w:id="41" w:name="_Ref61514749"/>
      <w:r>
        <w:lastRenderedPageBreak/>
        <w:t xml:space="preserve">Table </w:t>
      </w:r>
      <w:r>
        <w:fldChar w:fldCharType="begin"/>
      </w:r>
      <w:r>
        <w:instrText xml:space="preserve"> SEQ Table \* ARABIC </w:instrText>
      </w:r>
      <w:r>
        <w:fldChar w:fldCharType="separate"/>
      </w:r>
      <w:r w:rsidR="004718D8">
        <w:rPr>
          <w:noProof/>
        </w:rPr>
        <w:t>9</w:t>
      </w:r>
      <w:r>
        <w:fldChar w:fldCharType="end"/>
      </w:r>
      <w:bookmarkEnd w:id="41"/>
      <w:r>
        <w:t>. Financing sources at project start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789"/>
        <w:gridCol w:w="1881"/>
        <w:gridCol w:w="1559"/>
      </w:tblGrid>
      <w:tr w:rsidR="00AA2C8E" w:rsidRPr="00644615" w14:paraId="246B9FE1" w14:textId="77777777" w:rsidTr="00AA2C8E">
        <w:trPr>
          <w:trHeight w:val="321"/>
        </w:trPr>
        <w:tc>
          <w:tcPr>
            <w:tcW w:w="2547" w:type="dxa"/>
            <w:shd w:val="clear" w:color="auto" w:fill="77ACDC" w:themeFill="accent5" w:themeFillTint="99"/>
            <w:vAlign w:val="center"/>
          </w:tcPr>
          <w:p w14:paraId="34A94AB7" w14:textId="77777777" w:rsidR="00AA2C8E" w:rsidRPr="00644615" w:rsidRDefault="00AA2C8E" w:rsidP="00671C9A">
            <w:pPr>
              <w:spacing w:after="0" w:line="240" w:lineRule="auto"/>
              <w:jc w:val="center"/>
              <w:rPr>
                <w:rFonts w:cs="Arial"/>
                <w:b/>
                <w:bCs/>
                <w:sz w:val="20"/>
                <w:szCs w:val="20"/>
              </w:rPr>
            </w:pPr>
            <w:r w:rsidRPr="00644615">
              <w:rPr>
                <w:rFonts w:cs="Arial"/>
                <w:b/>
                <w:bCs/>
                <w:sz w:val="20"/>
                <w:szCs w:val="20"/>
              </w:rPr>
              <w:t>Source</w:t>
            </w:r>
          </w:p>
        </w:tc>
        <w:tc>
          <w:tcPr>
            <w:tcW w:w="3789" w:type="dxa"/>
            <w:shd w:val="clear" w:color="auto" w:fill="77ACDC" w:themeFill="accent5" w:themeFillTint="99"/>
            <w:vAlign w:val="center"/>
          </w:tcPr>
          <w:p w14:paraId="5DA4264C" w14:textId="77777777" w:rsidR="00AA2C8E" w:rsidRPr="00644615" w:rsidRDefault="00AA2C8E" w:rsidP="00671C9A">
            <w:pPr>
              <w:spacing w:after="0" w:line="240" w:lineRule="auto"/>
              <w:jc w:val="center"/>
              <w:rPr>
                <w:rFonts w:cs="Arial"/>
                <w:b/>
                <w:bCs/>
                <w:sz w:val="20"/>
                <w:szCs w:val="20"/>
              </w:rPr>
            </w:pPr>
            <w:r w:rsidRPr="00644615">
              <w:rPr>
                <w:rFonts w:cs="Arial"/>
                <w:b/>
                <w:bCs/>
                <w:sz w:val="20"/>
                <w:szCs w:val="20"/>
              </w:rPr>
              <w:t>Name of Source</w:t>
            </w:r>
          </w:p>
        </w:tc>
        <w:tc>
          <w:tcPr>
            <w:tcW w:w="1881" w:type="dxa"/>
            <w:shd w:val="clear" w:color="auto" w:fill="77ACDC" w:themeFill="accent5" w:themeFillTint="99"/>
            <w:vAlign w:val="center"/>
          </w:tcPr>
          <w:p w14:paraId="7D5E06F3" w14:textId="77777777" w:rsidR="00AA2C8E" w:rsidRPr="00644615" w:rsidRDefault="00AA2C8E" w:rsidP="00671C9A">
            <w:pPr>
              <w:spacing w:after="0" w:line="240" w:lineRule="auto"/>
              <w:jc w:val="center"/>
              <w:rPr>
                <w:rFonts w:cs="Arial"/>
                <w:b/>
                <w:bCs/>
                <w:sz w:val="20"/>
                <w:szCs w:val="20"/>
              </w:rPr>
            </w:pPr>
            <w:r w:rsidRPr="00644615">
              <w:rPr>
                <w:rFonts w:cs="Arial"/>
                <w:b/>
                <w:bCs/>
                <w:sz w:val="20"/>
                <w:szCs w:val="20"/>
              </w:rPr>
              <w:t>Type of Support</w:t>
            </w:r>
          </w:p>
        </w:tc>
        <w:tc>
          <w:tcPr>
            <w:tcW w:w="1559" w:type="dxa"/>
            <w:shd w:val="clear" w:color="auto" w:fill="77ACDC" w:themeFill="accent5" w:themeFillTint="99"/>
            <w:vAlign w:val="center"/>
          </w:tcPr>
          <w:p w14:paraId="1B3D9436" w14:textId="77777777" w:rsidR="00AA2C8E" w:rsidRPr="00644615" w:rsidRDefault="00AA2C8E" w:rsidP="00671C9A">
            <w:pPr>
              <w:spacing w:after="0" w:line="240" w:lineRule="auto"/>
              <w:jc w:val="center"/>
              <w:rPr>
                <w:rFonts w:cs="Arial"/>
                <w:b/>
                <w:bCs/>
                <w:sz w:val="20"/>
                <w:szCs w:val="20"/>
              </w:rPr>
            </w:pPr>
            <w:r w:rsidRPr="00644615">
              <w:rPr>
                <w:rFonts w:cs="Arial"/>
                <w:b/>
                <w:bCs/>
                <w:sz w:val="20"/>
                <w:szCs w:val="20"/>
              </w:rPr>
              <w:t>Amount (US</w:t>
            </w:r>
            <w:r>
              <w:rPr>
                <w:rFonts w:cs="Arial"/>
                <w:b/>
                <w:bCs/>
                <w:sz w:val="20"/>
                <w:szCs w:val="20"/>
              </w:rPr>
              <w:t>D</w:t>
            </w:r>
            <w:r w:rsidRPr="00644615">
              <w:rPr>
                <w:rFonts w:cs="Arial"/>
                <w:b/>
                <w:bCs/>
                <w:sz w:val="20"/>
                <w:szCs w:val="20"/>
              </w:rPr>
              <w:t>)</w:t>
            </w:r>
          </w:p>
        </w:tc>
      </w:tr>
      <w:tr w:rsidR="00AA2C8E" w:rsidRPr="00AA2C8E" w14:paraId="6C73DFE1" w14:textId="77777777" w:rsidTr="00AA2C8E">
        <w:trPr>
          <w:trHeight w:val="146"/>
        </w:trPr>
        <w:tc>
          <w:tcPr>
            <w:tcW w:w="2547" w:type="dxa"/>
            <w:shd w:val="clear" w:color="auto" w:fill="FFFFFF" w:themeFill="background1"/>
            <w:vAlign w:val="center"/>
          </w:tcPr>
          <w:p w14:paraId="061E2BD3" w14:textId="595AACA8" w:rsidR="00AA2C8E" w:rsidRPr="00AA2C8E" w:rsidRDefault="00AA2C8E" w:rsidP="00AA2C8E">
            <w:pPr>
              <w:spacing w:after="0" w:line="240" w:lineRule="auto"/>
              <w:rPr>
                <w:rFonts w:cs="Arial"/>
                <w:sz w:val="20"/>
                <w:szCs w:val="20"/>
              </w:rPr>
            </w:pPr>
            <w:r>
              <w:rPr>
                <w:rFonts w:cs="Arial"/>
                <w:sz w:val="20"/>
                <w:szCs w:val="20"/>
              </w:rPr>
              <w:t>GEF</w:t>
            </w:r>
          </w:p>
        </w:tc>
        <w:tc>
          <w:tcPr>
            <w:tcW w:w="3789" w:type="dxa"/>
            <w:shd w:val="clear" w:color="auto" w:fill="FFFFFF" w:themeFill="background1"/>
            <w:vAlign w:val="center"/>
          </w:tcPr>
          <w:p w14:paraId="4E83F68F" w14:textId="54EA3A5D" w:rsidR="00AA2C8E" w:rsidRPr="00AA2C8E" w:rsidRDefault="00AA2C8E" w:rsidP="00AA2C8E">
            <w:pPr>
              <w:spacing w:after="0" w:line="240" w:lineRule="auto"/>
              <w:rPr>
                <w:rFonts w:cs="Arial"/>
                <w:sz w:val="20"/>
                <w:szCs w:val="20"/>
              </w:rPr>
            </w:pPr>
            <w:r w:rsidRPr="00AA2C8E">
              <w:rPr>
                <w:rFonts w:cs="Arial"/>
                <w:sz w:val="20"/>
                <w:szCs w:val="20"/>
              </w:rPr>
              <w:t>G</w:t>
            </w:r>
            <w:r>
              <w:rPr>
                <w:rFonts w:cs="Arial"/>
                <w:sz w:val="20"/>
                <w:szCs w:val="20"/>
              </w:rPr>
              <w:t>EF Trust Fund</w:t>
            </w:r>
          </w:p>
        </w:tc>
        <w:tc>
          <w:tcPr>
            <w:tcW w:w="1881" w:type="dxa"/>
            <w:shd w:val="clear" w:color="auto" w:fill="FFFFFF" w:themeFill="background1"/>
            <w:vAlign w:val="center"/>
          </w:tcPr>
          <w:p w14:paraId="3796B749" w14:textId="6BA3325B" w:rsidR="00AA2C8E" w:rsidRPr="00AA2C8E" w:rsidRDefault="00AA2C8E" w:rsidP="00671C9A">
            <w:pPr>
              <w:spacing w:after="0" w:line="240" w:lineRule="auto"/>
              <w:jc w:val="center"/>
              <w:rPr>
                <w:rFonts w:cs="Arial"/>
                <w:sz w:val="20"/>
                <w:szCs w:val="20"/>
              </w:rPr>
            </w:pPr>
            <w:r w:rsidRPr="00AA2C8E">
              <w:rPr>
                <w:rFonts w:cs="Arial"/>
                <w:sz w:val="20"/>
                <w:szCs w:val="20"/>
              </w:rPr>
              <w:t>Grant</w:t>
            </w:r>
          </w:p>
        </w:tc>
        <w:tc>
          <w:tcPr>
            <w:tcW w:w="1559" w:type="dxa"/>
            <w:shd w:val="clear" w:color="auto" w:fill="FFFFFF" w:themeFill="background1"/>
            <w:vAlign w:val="center"/>
          </w:tcPr>
          <w:p w14:paraId="2C0239E5" w14:textId="706D7B5D" w:rsidR="00AA2C8E" w:rsidRPr="00AA2C8E" w:rsidRDefault="00AA2C8E" w:rsidP="00AA2C8E">
            <w:pPr>
              <w:tabs>
                <w:tab w:val="left" w:pos="1260"/>
              </w:tabs>
              <w:spacing w:after="0" w:line="240" w:lineRule="auto"/>
              <w:jc w:val="right"/>
              <w:rPr>
                <w:rFonts w:cs="Arial"/>
                <w:sz w:val="20"/>
                <w:szCs w:val="20"/>
              </w:rPr>
            </w:pPr>
            <w:r w:rsidRPr="00AA2C8E">
              <w:rPr>
                <w:rFonts w:cs="Arial"/>
                <w:sz w:val="20"/>
                <w:szCs w:val="20"/>
              </w:rPr>
              <w:t>2,913,700</w:t>
            </w:r>
          </w:p>
        </w:tc>
      </w:tr>
      <w:tr w:rsidR="00AA2C8E" w:rsidRPr="00CE39A0" w14:paraId="130375D4" w14:textId="77777777" w:rsidTr="00671C9A">
        <w:trPr>
          <w:trHeight w:val="123"/>
        </w:trPr>
        <w:tc>
          <w:tcPr>
            <w:tcW w:w="8217" w:type="dxa"/>
            <w:gridSpan w:val="3"/>
            <w:shd w:val="clear" w:color="auto" w:fill="D1E3F3" w:themeFill="accent5" w:themeFillTint="33"/>
          </w:tcPr>
          <w:p w14:paraId="2EFC5628" w14:textId="37B859B7" w:rsidR="00AA2C8E" w:rsidRPr="00644615" w:rsidRDefault="00AA2C8E" w:rsidP="00671C9A">
            <w:pPr>
              <w:tabs>
                <w:tab w:val="left" w:pos="1260"/>
              </w:tabs>
              <w:spacing w:after="0" w:line="240" w:lineRule="auto"/>
              <w:rPr>
                <w:rFonts w:cs="Arial"/>
                <w:sz w:val="20"/>
                <w:szCs w:val="20"/>
              </w:rPr>
            </w:pPr>
            <w:r w:rsidRPr="00644615">
              <w:rPr>
                <w:rFonts w:cs="Arial"/>
                <w:sz w:val="20"/>
                <w:szCs w:val="20"/>
              </w:rPr>
              <w:t> </w:t>
            </w:r>
            <w:r w:rsidRPr="00644615">
              <w:rPr>
                <w:rFonts w:cs="Arial"/>
                <w:i/>
                <w:sz w:val="20"/>
                <w:szCs w:val="20"/>
              </w:rPr>
              <w:t xml:space="preserve">Sub-Total </w:t>
            </w:r>
            <w:r>
              <w:rPr>
                <w:rFonts w:cs="Arial"/>
                <w:i/>
                <w:sz w:val="20"/>
                <w:szCs w:val="20"/>
              </w:rPr>
              <w:t>GEF</w:t>
            </w:r>
          </w:p>
        </w:tc>
        <w:tc>
          <w:tcPr>
            <w:tcW w:w="1559" w:type="dxa"/>
            <w:shd w:val="clear" w:color="auto" w:fill="D1E3F3" w:themeFill="accent5" w:themeFillTint="33"/>
          </w:tcPr>
          <w:p w14:paraId="2181FE3F" w14:textId="1B47EA09" w:rsidR="00AA2C8E" w:rsidRPr="00AA2C8E" w:rsidRDefault="00AA2C8E" w:rsidP="00671C9A">
            <w:pPr>
              <w:tabs>
                <w:tab w:val="left" w:pos="1260"/>
              </w:tabs>
              <w:spacing w:after="0" w:line="240" w:lineRule="auto"/>
              <w:jc w:val="right"/>
              <w:rPr>
                <w:rFonts w:cs="Arial"/>
                <w:b/>
                <w:bCs/>
                <w:sz w:val="20"/>
                <w:szCs w:val="20"/>
              </w:rPr>
            </w:pPr>
            <w:r w:rsidRPr="00AA2C8E">
              <w:rPr>
                <w:rFonts w:cs="Arial"/>
                <w:b/>
                <w:bCs/>
                <w:sz w:val="20"/>
                <w:szCs w:val="20"/>
              </w:rPr>
              <w:t>2,913,700</w:t>
            </w:r>
          </w:p>
        </w:tc>
      </w:tr>
      <w:tr w:rsidR="00AA2C8E" w:rsidRPr="00644615" w14:paraId="6E15F249" w14:textId="77777777" w:rsidTr="00AA2C8E">
        <w:trPr>
          <w:trHeight w:val="219"/>
        </w:trPr>
        <w:tc>
          <w:tcPr>
            <w:tcW w:w="9776" w:type="dxa"/>
            <w:gridSpan w:val="4"/>
            <w:shd w:val="clear" w:color="auto" w:fill="A4C7E8" w:themeFill="accent5" w:themeFillTint="66"/>
            <w:vAlign w:val="center"/>
          </w:tcPr>
          <w:p w14:paraId="34459FF3" w14:textId="68304152" w:rsidR="00AA2C8E" w:rsidRDefault="00AA2C8E" w:rsidP="00671C9A">
            <w:pPr>
              <w:spacing w:after="0" w:line="240" w:lineRule="auto"/>
              <w:jc w:val="center"/>
            </w:pPr>
            <w:r>
              <w:t>Cofinancing</w:t>
            </w:r>
          </w:p>
        </w:tc>
      </w:tr>
      <w:tr w:rsidR="00AA2C8E" w:rsidRPr="00CE39A0" w14:paraId="45CF9944" w14:textId="77777777" w:rsidTr="00AA2C8E">
        <w:trPr>
          <w:trHeight w:val="224"/>
        </w:trPr>
        <w:tc>
          <w:tcPr>
            <w:tcW w:w="2547" w:type="dxa"/>
            <w:shd w:val="clear" w:color="auto" w:fill="auto"/>
          </w:tcPr>
          <w:p w14:paraId="4FE1406C" w14:textId="77777777" w:rsidR="00AA2C8E" w:rsidRPr="00644615" w:rsidRDefault="00AA2C8E" w:rsidP="00671C9A">
            <w:pPr>
              <w:tabs>
                <w:tab w:val="left" w:pos="1260"/>
              </w:tabs>
              <w:spacing w:after="0" w:line="240" w:lineRule="auto"/>
              <w:rPr>
                <w:rFonts w:cs="Arial"/>
                <w:sz w:val="20"/>
                <w:szCs w:val="20"/>
              </w:rPr>
            </w:pPr>
            <w:r w:rsidRPr="00644615">
              <w:rPr>
                <w:rFonts w:cs="Arial"/>
                <w:sz w:val="20"/>
                <w:szCs w:val="20"/>
              </w:rPr>
              <w:t>Local Government</w:t>
            </w:r>
          </w:p>
        </w:tc>
        <w:tc>
          <w:tcPr>
            <w:tcW w:w="3789" w:type="dxa"/>
            <w:shd w:val="clear" w:color="auto" w:fill="auto"/>
          </w:tcPr>
          <w:p w14:paraId="0F71463B" w14:textId="77777777" w:rsidR="00AA2C8E" w:rsidRPr="00644615" w:rsidRDefault="00AA2C8E" w:rsidP="00671C9A">
            <w:pPr>
              <w:tabs>
                <w:tab w:val="left" w:pos="1260"/>
              </w:tabs>
              <w:spacing w:after="0" w:line="240" w:lineRule="auto"/>
              <w:rPr>
                <w:rFonts w:cs="Arial"/>
                <w:sz w:val="20"/>
                <w:szCs w:val="20"/>
              </w:rPr>
            </w:pPr>
            <w:r w:rsidRPr="00644615">
              <w:rPr>
                <w:rFonts w:cs="Arial"/>
                <w:sz w:val="20"/>
                <w:szCs w:val="20"/>
              </w:rPr>
              <w:t>Zhejiang Provincial Government</w:t>
            </w:r>
          </w:p>
        </w:tc>
        <w:tc>
          <w:tcPr>
            <w:tcW w:w="1881" w:type="dxa"/>
            <w:shd w:val="clear" w:color="auto" w:fill="auto"/>
          </w:tcPr>
          <w:p w14:paraId="079FF47E" w14:textId="77777777" w:rsidR="00AA2C8E" w:rsidRPr="00644615" w:rsidRDefault="00AA2C8E" w:rsidP="00AA2C8E">
            <w:pPr>
              <w:tabs>
                <w:tab w:val="left" w:pos="1260"/>
              </w:tabs>
              <w:spacing w:after="0" w:line="240" w:lineRule="auto"/>
              <w:jc w:val="center"/>
              <w:rPr>
                <w:rFonts w:cs="Arial"/>
                <w:sz w:val="20"/>
                <w:szCs w:val="20"/>
              </w:rPr>
            </w:pPr>
            <w:r w:rsidRPr="00644615">
              <w:rPr>
                <w:rFonts w:cs="Arial"/>
                <w:sz w:val="20"/>
                <w:szCs w:val="20"/>
              </w:rPr>
              <w:t>Cash</w:t>
            </w:r>
          </w:p>
        </w:tc>
        <w:tc>
          <w:tcPr>
            <w:tcW w:w="1559" w:type="dxa"/>
            <w:shd w:val="clear" w:color="auto" w:fill="auto"/>
          </w:tcPr>
          <w:p w14:paraId="1E733BF3" w14:textId="77777777" w:rsidR="00AA2C8E" w:rsidRPr="00644615" w:rsidRDefault="00AA2C8E" w:rsidP="00671C9A">
            <w:pPr>
              <w:tabs>
                <w:tab w:val="left" w:pos="1260"/>
              </w:tabs>
              <w:spacing w:after="0" w:line="240" w:lineRule="auto"/>
              <w:jc w:val="right"/>
              <w:rPr>
                <w:rFonts w:cs="Arial"/>
                <w:sz w:val="20"/>
                <w:szCs w:val="20"/>
              </w:rPr>
            </w:pPr>
            <w:r w:rsidRPr="00644615">
              <w:rPr>
                <w:rFonts w:cs="Arial"/>
                <w:sz w:val="20"/>
                <w:szCs w:val="20"/>
              </w:rPr>
              <w:t>1,000,000</w:t>
            </w:r>
          </w:p>
        </w:tc>
      </w:tr>
      <w:tr w:rsidR="00AA2C8E" w:rsidRPr="00CE39A0" w14:paraId="50C2A50E" w14:textId="77777777" w:rsidTr="00AA2C8E">
        <w:trPr>
          <w:trHeight w:val="127"/>
        </w:trPr>
        <w:tc>
          <w:tcPr>
            <w:tcW w:w="2547" w:type="dxa"/>
            <w:shd w:val="clear" w:color="auto" w:fill="auto"/>
          </w:tcPr>
          <w:p w14:paraId="4837A430" w14:textId="77777777" w:rsidR="00AA2C8E" w:rsidRPr="00644615" w:rsidRDefault="00AA2C8E" w:rsidP="00671C9A">
            <w:pPr>
              <w:tabs>
                <w:tab w:val="left" w:pos="1260"/>
              </w:tabs>
              <w:spacing w:after="0" w:line="240" w:lineRule="auto"/>
              <w:rPr>
                <w:rFonts w:cs="Arial"/>
                <w:sz w:val="20"/>
                <w:szCs w:val="20"/>
              </w:rPr>
            </w:pPr>
            <w:r w:rsidRPr="00644615">
              <w:rPr>
                <w:rFonts w:cs="Arial"/>
                <w:sz w:val="20"/>
                <w:szCs w:val="20"/>
              </w:rPr>
              <w:t>Local Government</w:t>
            </w:r>
          </w:p>
        </w:tc>
        <w:tc>
          <w:tcPr>
            <w:tcW w:w="3789" w:type="dxa"/>
            <w:shd w:val="clear" w:color="auto" w:fill="auto"/>
          </w:tcPr>
          <w:p w14:paraId="19A2A127" w14:textId="77777777" w:rsidR="00AA2C8E" w:rsidRPr="00644615" w:rsidRDefault="00AA2C8E" w:rsidP="00671C9A">
            <w:pPr>
              <w:tabs>
                <w:tab w:val="left" w:pos="1260"/>
              </w:tabs>
              <w:spacing w:after="0" w:line="240" w:lineRule="auto"/>
              <w:rPr>
                <w:rFonts w:cs="Arial"/>
                <w:sz w:val="20"/>
                <w:szCs w:val="20"/>
              </w:rPr>
            </w:pPr>
            <w:r w:rsidRPr="00644615">
              <w:rPr>
                <w:rFonts w:cs="Arial"/>
                <w:sz w:val="20"/>
                <w:szCs w:val="20"/>
              </w:rPr>
              <w:t>Zhejiang Provincial Government</w:t>
            </w:r>
          </w:p>
        </w:tc>
        <w:tc>
          <w:tcPr>
            <w:tcW w:w="1881" w:type="dxa"/>
            <w:shd w:val="clear" w:color="auto" w:fill="auto"/>
          </w:tcPr>
          <w:p w14:paraId="0F0D153C" w14:textId="77777777" w:rsidR="00AA2C8E" w:rsidRPr="00644615" w:rsidRDefault="00AA2C8E" w:rsidP="00AA2C8E">
            <w:pPr>
              <w:tabs>
                <w:tab w:val="left" w:pos="1260"/>
              </w:tabs>
              <w:spacing w:after="0" w:line="240" w:lineRule="auto"/>
              <w:jc w:val="center"/>
              <w:rPr>
                <w:rFonts w:cs="Arial"/>
                <w:sz w:val="20"/>
                <w:szCs w:val="20"/>
              </w:rPr>
            </w:pPr>
            <w:r w:rsidRPr="00644615">
              <w:rPr>
                <w:rFonts w:cs="Arial"/>
                <w:sz w:val="20"/>
                <w:szCs w:val="20"/>
              </w:rPr>
              <w:t>In-kind</w:t>
            </w:r>
          </w:p>
        </w:tc>
        <w:tc>
          <w:tcPr>
            <w:tcW w:w="1559" w:type="dxa"/>
            <w:shd w:val="clear" w:color="auto" w:fill="auto"/>
          </w:tcPr>
          <w:p w14:paraId="03F45DE4" w14:textId="77777777" w:rsidR="00AA2C8E" w:rsidRPr="00644615" w:rsidRDefault="00AA2C8E" w:rsidP="00671C9A">
            <w:pPr>
              <w:tabs>
                <w:tab w:val="left" w:pos="1260"/>
              </w:tabs>
              <w:spacing w:after="0" w:line="240" w:lineRule="auto"/>
              <w:jc w:val="right"/>
              <w:rPr>
                <w:rFonts w:cs="Arial"/>
                <w:sz w:val="20"/>
                <w:szCs w:val="20"/>
              </w:rPr>
            </w:pPr>
            <w:r w:rsidRPr="00644615">
              <w:rPr>
                <w:rFonts w:cs="Arial"/>
                <w:sz w:val="20"/>
                <w:szCs w:val="20"/>
              </w:rPr>
              <w:t>300,000</w:t>
            </w:r>
          </w:p>
        </w:tc>
      </w:tr>
      <w:tr w:rsidR="00AA2C8E" w:rsidRPr="00CE39A0" w14:paraId="1D764906" w14:textId="77777777" w:rsidTr="00AA2C8E">
        <w:trPr>
          <w:trHeight w:val="173"/>
        </w:trPr>
        <w:tc>
          <w:tcPr>
            <w:tcW w:w="2547" w:type="dxa"/>
            <w:shd w:val="clear" w:color="auto" w:fill="auto"/>
          </w:tcPr>
          <w:p w14:paraId="5642F0E3" w14:textId="77777777" w:rsidR="00AA2C8E" w:rsidRPr="00644615" w:rsidRDefault="00AA2C8E" w:rsidP="00671C9A">
            <w:pPr>
              <w:tabs>
                <w:tab w:val="left" w:pos="1260"/>
              </w:tabs>
              <w:spacing w:after="0" w:line="240" w:lineRule="auto"/>
              <w:rPr>
                <w:rFonts w:cs="Arial"/>
                <w:sz w:val="20"/>
                <w:szCs w:val="20"/>
              </w:rPr>
            </w:pPr>
            <w:r w:rsidRPr="00644615">
              <w:rPr>
                <w:rFonts w:cs="Arial"/>
                <w:sz w:val="20"/>
                <w:szCs w:val="20"/>
              </w:rPr>
              <w:t>Local Government</w:t>
            </w:r>
          </w:p>
        </w:tc>
        <w:tc>
          <w:tcPr>
            <w:tcW w:w="3789" w:type="dxa"/>
            <w:shd w:val="clear" w:color="auto" w:fill="auto"/>
          </w:tcPr>
          <w:p w14:paraId="61201665" w14:textId="77777777" w:rsidR="00AA2C8E" w:rsidRPr="00644615" w:rsidRDefault="00AA2C8E" w:rsidP="00671C9A">
            <w:pPr>
              <w:tabs>
                <w:tab w:val="left" w:pos="1260"/>
              </w:tabs>
              <w:spacing w:after="0" w:line="240" w:lineRule="auto"/>
              <w:rPr>
                <w:rFonts w:cs="Arial"/>
                <w:sz w:val="20"/>
                <w:szCs w:val="20"/>
              </w:rPr>
            </w:pPr>
            <w:r w:rsidRPr="00644615">
              <w:rPr>
                <w:rFonts w:cs="Arial"/>
                <w:sz w:val="20"/>
                <w:szCs w:val="20"/>
              </w:rPr>
              <w:t>Fuyang City Government</w:t>
            </w:r>
          </w:p>
        </w:tc>
        <w:tc>
          <w:tcPr>
            <w:tcW w:w="1881" w:type="dxa"/>
            <w:shd w:val="clear" w:color="auto" w:fill="auto"/>
          </w:tcPr>
          <w:p w14:paraId="27080A0B" w14:textId="77777777" w:rsidR="00AA2C8E" w:rsidRPr="00644615" w:rsidRDefault="00AA2C8E" w:rsidP="00AA2C8E">
            <w:pPr>
              <w:tabs>
                <w:tab w:val="left" w:pos="1260"/>
              </w:tabs>
              <w:spacing w:after="0" w:line="240" w:lineRule="auto"/>
              <w:jc w:val="center"/>
              <w:rPr>
                <w:rFonts w:cs="Arial"/>
                <w:sz w:val="20"/>
                <w:szCs w:val="20"/>
              </w:rPr>
            </w:pPr>
            <w:r w:rsidRPr="00644615">
              <w:rPr>
                <w:rFonts w:cs="Arial"/>
                <w:sz w:val="20"/>
                <w:szCs w:val="20"/>
              </w:rPr>
              <w:t>Cash</w:t>
            </w:r>
          </w:p>
        </w:tc>
        <w:tc>
          <w:tcPr>
            <w:tcW w:w="1559" w:type="dxa"/>
            <w:shd w:val="clear" w:color="auto" w:fill="auto"/>
          </w:tcPr>
          <w:p w14:paraId="7A760A4E" w14:textId="77777777" w:rsidR="00AA2C8E" w:rsidRPr="00644615" w:rsidRDefault="00AA2C8E" w:rsidP="00671C9A">
            <w:pPr>
              <w:tabs>
                <w:tab w:val="left" w:pos="1260"/>
              </w:tabs>
              <w:spacing w:after="0" w:line="240" w:lineRule="auto"/>
              <w:jc w:val="right"/>
              <w:rPr>
                <w:rFonts w:cs="Arial"/>
                <w:sz w:val="20"/>
                <w:szCs w:val="20"/>
              </w:rPr>
            </w:pPr>
            <w:r w:rsidRPr="00644615">
              <w:rPr>
                <w:rFonts w:cs="Arial"/>
                <w:sz w:val="20"/>
                <w:szCs w:val="20"/>
              </w:rPr>
              <w:t>2,000,000</w:t>
            </w:r>
          </w:p>
        </w:tc>
      </w:tr>
      <w:tr w:rsidR="00AA2C8E" w:rsidRPr="00CE39A0" w14:paraId="419485A5" w14:textId="77777777" w:rsidTr="00AA2C8E">
        <w:trPr>
          <w:trHeight w:val="205"/>
        </w:trPr>
        <w:tc>
          <w:tcPr>
            <w:tcW w:w="2547" w:type="dxa"/>
            <w:shd w:val="clear" w:color="auto" w:fill="auto"/>
          </w:tcPr>
          <w:p w14:paraId="5DDC3A3A" w14:textId="77777777" w:rsidR="00AA2C8E" w:rsidRPr="00644615" w:rsidRDefault="00AA2C8E" w:rsidP="00671C9A">
            <w:pPr>
              <w:tabs>
                <w:tab w:val="left" w:pos="1260"/>
              </w:tabs>
              <w:spacing w:after="0" w:line="240" w:lineRule="auto"/>
              <w:rPr>
                <w:rFonts w:cs="Arial"/>
                <w:sz w:val="20"/>
                <w:szCs w:val="20"/>
              </w:rPr>
            </w:pPr>
            <w:r w:rsidRPr="00644615">
              <w:rPr>
                <w:rFonts w:cs="Arial"/>
                <w:sz w:val="20"/>
                <w:szCs w:val="20"/>
              </w:rPr>
              <w:t>Local Government</w:t>
            </w:r>
          </w:p>
        </w:tc>
        <w:tc>
          <w:tcPr>
            <w:tcW w:w="3789" w:type="dxa"/>
            <w:shd w:val="clear" w:color="auto" w:fill="auto"/>
          </w:tcPr>
          <w:p w14:paraId="64B2B51C" w14:textId="77777777" w:rsidR="00AA2C8E" w:rsidRPr="00644615" w:rsidRDefault="00AA2C8E" w:rsidP="00671C9A">
            <w:pPr>
              <w:tabs>
                <w:tab w:val="left" w:pos="1260"/>
              </w:tabs>
              <w:spacing w:after="0" w:line="240" w:lineRule="auto"/>
              <w:rPr>
                <w:rFonts w:cs="Arial"/>
                <w:sz w:val="20"/>
                <w:szCs w:val="20"/>
              </w:rPr>
            </w:pPr>
            <w:r w:rsidRPr="00644615">
              <w:rPr>
                <w:rFonts w:cs="Arial"/>
                <w:sz w:val="20"/>
                <w:szCs w:val="20"/>
              </w:rPr>
              <w:t>Fuyang City Government</w:t>
            </w:r>
          </w:p>
        </w:tc>
        <w:tc>
          <w:tcPr>
            <w:tcW w:w="1881" w:type="dxa"/>
            <w:shd w:val="clear" w:color="auto" w:fill="auto"/>
          </w:tcPr>
          <w:p w14:paraId="36DADE8C" w14:textId="77777777" w:rsidR="00AA2C8E" w:rsidRPr="00644615" w:rsidRDefault="00AA2C8E" w:rsidP="00AA2C8E">
            <w:pPr>
              <w:tabs>
                <w:tab w:val="left" w:pos="1260"/>
              </w:tabs>
              <w:spacing w:after="0" w:line="240" w:lineRule="auto"/>
              <w:jc w:val="center"/>
              <w:rPr>
                <w:rFonts w:cs="Arial"/>
                <w:sz w:val="20"/>
                <w:szCs w:val="20"/>
              </w:rPr>
            </w:pPr>
            <w:r w:rsidRPr="00644615">
              <w:rPr>
                <w:rFonts w:cs="Arial"/>
                <w:sz w:val="20"/>
                <w:szCs w:val="20"/>
              </w:rPr>
              <w:t>In-kind</w:t>
            </w:r>
          </w:p>
        </w:tc>
        <w:tc>
          <w:tcPr>
            <w:tcW w:w="1559" w:type="dxa"/>
            <w:shd w:val="clear" w:color="auto" w:fill="auto"/>
          </w:tcPr>
          <w:p w14:paraId="05985F81" w14:textId="77777777" w:rsidR="00AA2C8E" w:rsidRPr="00644615" w:rsidRDefault="00AA2C8E" w:rsidP="00671C9A">
            <w:pPr>
              <w:tabs>
                <w:tab w:val="left" w:pos="1260"/>
              </w:tabs>
              <w:spacing w:after="0" w:line="240" w:lineRule="auto"/>
              <w:jc w:val="right"/>
              <w:rPr>
                <w:rFonts w:cs="Arial"/>
                <w:sz w:val="20"/>
                <w:szCs w:val="20"/>
              </w:rPr>
            </w:pPr>
            <w:r w:rsidRPr="00644615">
              <w:rPr>
                <w:rFonts w:cs="Arial"/>
                <w:sz w:val="20"/>
                <w:szCs w:val="20"/>
              </w:rPr>
              <w:t>180,000</w:t>
            </w:r>
          </w:p>
        </w:tc>
      </w:tr>
      <w:tr w:rsidR="00AA2C8E" w:rsidRPr="00CE39A0" w14:paraId="1CFD1CF7" w14:textId="77777777" w:rsidTr="00AA2C8E">
        <w:trPr>
          <w:trHeight w:val="123"/>
        </w:trPr>
        <w:tc>
          <w:tcPr>
            <w:tcW w:w="8217" w:type="dxa"/>
            <w:gridSpan w:val="3"/>
            <w:shd w:val="clear" w:color="auto" w:fill="D1E3F3" w:themeFill="accent5" w:themeFillTint="33"/>
          </w:tcPr>
          <w:p w14:paraId="79D7E41A" w14:textId="77777777" w:rsidR="00AA2C8E" w:rsidRPr="00644615" w:rsidRDefault="00AA2C8E" w:rsidP="00671C9A">
            <w:pPr>
              <w:tabs>
                <w:tab w:val="left" w:pos="1260"/>
              </w:tabs>
              <w:spacing w:after="0" w:line="240" w:lineRule="auto"/>
              <w:rPr>
                <w:rFonts w:cs="Arial"/>
                <w:sz w:val="20"/>
                <w:szCs w:val="20"/>
              </w:rPr>
            </w:pPr>
            <w:r w:rsidRPr="00644615">
              <w:rPr>
                <w:rFonts w:cs="Arial"/>
                <w:sz w:val="20"/>
                <w:szCs w:val="20"/>
              </w:rPr>
              <w:t> </w:t>
            </w:r>
            <w:r w:rsidRPr="00644615">
              <w:rPr>
                <w:rFonts w:cs="Arial"/>
                <w:i/>
                <w:sz w:val="20"/>
                <w:szCs w:val="20"/>
              </w:rPr>
              <w:t>Sub-Total Government</w:t>
            </w:r>
            <w:r w:rsidRPr="00644615">
              <w:rPr>
                <w:rFonts w:cs="Arial"/>
                <w:sz w:val="20"/>
                <w:szCs w:val="20"/>
              </w:rPr>
              <w:t> </w:t>
            </w:r>
          </w:p>
        </w:tc>
        <w:tc>
          <w:tcPr>
            <w:tcW w:w="1559" w:type="dxa"/>
            <w:shd w:val="clear" w:color="auto" w:fill="D1E3F3" w:themeFill="accent5" w:themeFillTint="33"/>
          </w:tcPr>
          <w:p w14:paraId="6A56BF7D" w14:textId="77777777" w:rsidR="00AA2C8E" w:rsidRPr="00644615" w:rsidRDefault="00AA2C8E" w:rsidP="00671C9A">
            <w:pPr>
              <w:tabs>
                <w:tab w:val="left" w:pos="1260"/>
              </w:tabs>
              <w:spacing w:after="0" w:line="240" w:lineRule="auto"/>
              <w:jc w:val="right"/>
              <w:rPr>
                <w:rFonts w:cs="Arial"/>
                <w:b/>
                <w:bCs/>
                <w:sz w:val="20"/>
                <w:szCs w:val="20"/>
              </w:rPr>
            </w:pPr>
            <w:r w:rsidRPr="00644615">
              <w:rPr>
                <w:rFonts w:cs="Arial"/>
                <w:b/>
                <w:bCs/>
                <w:sz w:val="20"/>
                <w:szCs w:val="20"/>
              </w:rPr>
              <w:t>3,480,000</w:t>
            </w:r>
          </w:p>
        </w:tc>
      </w:tr>
      <w:tr w:rsidR="00AA2C8E" w:rsidRPr="00CE39A0" w14:paraId="0918D87D" w14:textId="77777777" w:rsidTr="00AA2C8E">
        <w:trPr>
          <w:trHeight w:val="155"/>
        </w:trPr>
        <w:tc>
          <w:tcPr>
            <w:tcW w:w="2547" w:type="dxa"/>
            <w:vMerge w:val="restart"/>
            <w:shd w:val="clear" w:color="auto" w:fill="auto"/>
          </w:tcPr>
          <w:p w14:paraId="354D018E" w14:textId="77777777" w:rsidR="00AA2C8E" w:rsidRPr="00644615" w:rsidRDefault="00AA2C8E" w:rsidP="00671C9A">
            <w:pPr>
              <w:tabs>
                <w:tab w:val="left" w:pos="1260"/>
              </w:tabs>
              <w:spacing w:after="0" w:line="240" w:lineRule="auto"/>
              <w:rPr>
                <w:rFonts w:cs="Arial"/>
                <w:sz w:val="20"/>
                <w:szCs w:val="20"/>
              </w:rPr>
            </w:pPr>
            <w:r w:rsidRPr="00644615">
              <w:rPr>
                <w:rFonts w:cs="Arial"/>
                <w:sz w:val="20"/>
                <w:szCs w:val="20"/>
              </w:rPr>
              <w:t>Private Sector</w:t>
            </w:r>
          </w:p>
        </w:tc>
        <w:tc>
          <w:tcPr>
            <w:tcW w:w="3789" w:type="dxa"/>
            <w:vMerge w:val="restart"/>
            <w:shd w:val="clear" w:color="auto" w:fill="auto"/>
          </w:tcPr>
          <w:p w14:paraId="6641658C" w14:textId="0A07765A" w:rsidR="00AA2C8E" w:rsidRPr="00644615" w:rsidRDefault="00AA2C8E" w:rsidP="00671C9A">
            <w:pPr>
              <w:tabs>
                <w:tab w:val="left" w:pos="1260"/>
              </w:tabs>
              <w:spacing w:after="0" w:line="240" w:lineRule="auto"/>
              <w:rPr>
                <w:rFonts w:cs="Arial"/>
                <w:sz w:val="20"/>
                <w:szCs w:val="20"/>
              </w:rPr>
            </w:pPr>
            <w:r w:rsidRPr="00644615">
              <w:rPr>
                <w:rFonts w:cs="Arial"/>
                <w:sz w:val="20"/>
                <w:szCs w:val="20"/>
              </w:rPr>
              <w:t xml:space="preserve">Fuyang Hangzhou </w:t>
            </w:r>
            <w:r w:rsidR="009442F5">
              <w:rPr>
                <w:rFonts w:cs="Arial"/>
                <w:sz w:val="20"/>
                <w:szCs w:val="20"/>
              </w:rPr>
              <w:t>Transf</w:t>
            </w:r>
            <w:r w:rsidR="00F124B3">
              <w:rPr>
                <w:rFonts w:cs="Arial"/>
                <w:sz w:val="20"/>
                <w:szCs w:val="20"/>
              </w:rPr>
              <w:t>a</w:t>
            </w:r>
            <w:r w:rsidR="009442F5">
              <w:rPr>
                <w:rFonts w:cs="Arial"/>
                <w:sz w:val="20"/>
                <w:szCs w:val="20"/>
              </w:rPr>
              <w:t>r</w:t>
            </w:r>
            <w:r w:rsidR="00F124B3">
              <w:rPr>
                <w:rFonts w:cs="Arial"/>
                <w:sz w:val="20"/>
                <w:szCs w:val="20"/>
              </w:rPr>
              <w:t xml:space="preserve"> </w:t>
            </w:r>
            <w:r w:rsidRPr="00644615">
              <w:rPr>
                <w:rFonts w:cs="Arial"/>
                <w:sz w:val="20"/>
                <w:szCs w:val="20"/>
              </w:rPr>
              <w:t>Logistics Base Co., Ltd.</w:t>
            </w:r>
          </w:p>
        </w:tc>
        <w:tc>
          <w:tcPr>
            <w:tcW w:w="1881" w:type="dxa"/>
            <w:shd w:val="clear" w:color="auto" w:fill="auto"/>
          </w:tcPr>
          <w:p w14:paraId="75E19834" w14:textId="77777777" w:rsidR="00AA2C8E" w:rsidRPr="00644615" w:rsidRDefault="00AA2C8E" w:rsidP="00AA2C8E">
            <w:pPr>
              <w:tabs>
                <w:tab w:val="left" w:pos="1260"/>
              </w:tabs>
              <w:spacing w:after="0" w:line="240" w:lineRule="auto"/>
              <w:jc w:val="center"/>
              <w:rPr>
                <w:rFonts w:cs="Arial"/>
                <w:sz w:val="20"/>
                <w:szCs w:val="20"/>
              </w:rPr>
            </w:pPr>
            <w:r w:rsidRPr="00644615">
              <w:rPr>
                <w:sz w:val="20"/>
                <w:szCs w:val="20"/>
              </w:rPr>
              <w:t>Cash/Grant</w:t>
            </w:r>
          </w:p>
        </w:tc>
        <w:tc>
          <w:tcPr>
            <w:tcW w:w="1559" w:type="dxa"/>
            <w:shd w:val="clear" w:color="auto" w:fill="auto"/>
          </w:tcPr>
          <w:p w14:paraId="6A98F5C1" w14:textId="77777777" w:rsidR="00AA2C8E" w:rsidRPr="00644615" w:rsidRDefault="00AA2C8E" w:rsidP="00671C9A">
            <w:pPr>
              <w:tabs>
                <w:tab w:val="left" w:pos="1260"/>
              </w:tabs>
              <w:spacing w:after="0" w:line="240" w:lineRule="auto"/>
              <w:jc w:val="right"/>
              <w:rPr>
                <w:rFonts w:cs="Arial"/>
                <w:sz w:val="20"/>
                <w:szCs w:val="20"/>
              </w:rPr>
            </w:pPr>
            <w:r w:rsidRPr="00644615">
              <w:rPr>
                <w:sz w:val="20"/>
                <w:szCs w:val="20"/>
              </w:rPr>
              <w:t>210,000</w:t>
            </w:r>
          </w:p>
        </w:tc>
      </w:tr>
      <w:tr w:rsidR="00AA2C8E" w:rsidRPr="00CE39A0" w14:paraId="56B87D00" w14:textId="77777777" w:rsidTr="00AA2C8E">
        <w:trPr>
          <w:trHeight w:val="131"/>
        </w:trPr>
        <w:tc>
          <w:tcPr>
            <w:tcW w:w="2547" w:type="dxa"/>
            <w:vMerge/>
            <w:shd w:val="clear" w:color="auto" w:fill="auto"/>
          </w:tcPr>
          <w:p w14:paraId="1935F20E" w14:textId="77777777" w:rsidR="00AA2C8E" w:rsidRPr="00644615" w:rsidRDefault="00AA2C8E" w:rsidP="00671C9A">
            <w:pPr>
              <w:tabs>
                <w:tab w:val="left" w:pos="1260"/>
              </w:tabs>
              <w:spacing w:after="0" w:line="240" w:lineRule="auto"/>
              <w:rPr>
                <w:rFonts w:cs="Arial"/>
                <w:sz w:val="20"/>
                <w:szCs w:val="20"/>
              </w:rPr>
            </w:pPr>
          </w:p>
        </w:tc>
        <w:tc>
          <w:tcPr>
            <w:tcW w:w="3789" w:type="dxa"/>
            <w:vMerge/>
            <w:shd w:val="clear" w:color="auto" w:fill="auto"/>
          </w:tcPr>
          <w:p w14:paraId="4593B0DE" w14:textId="77777777" w:rsidR="00AA2C8E" w:rsidRPr="00644615" w:rsidRDefault="00AA2C8E" w:rsidP="00671C9A">
            <w:pPr>
              <w:tabs>
                <w:tab w:val="left" w:pos="1260"/>
              </w:tabs>
              <w:spacing w:after="0" w:line="240" w:lineRule="auto"/>
              <w:rPr>
                <w:rFonts w:cs="Arial"/>
                <w:sz w:val="20"/>
                <w:szCs w:val="20"/>
              </w:rPr>
            </w:pPr>
          </w:p>
        </w:tc>
        <w:tc>
          <w:tcPr>
            <w:tcW w:w="1881" w:type="dxa"/>
            <w:shd w:val="clear" w:color="auto" w:fill="auto"/>
          </w:tcPr>
          <w:p w14:paraId="4DF50DD0" w14:textId="1AA1617B" w:rsidR="00AA2C8E" w:rsidRPr="00644615" w:rsidRDefault="00AA2C8E" w:rsidP="00AA2C8E">
            <w:pPr>
              <w:tabs>
                <w:tab w:val="left" w:pos="1260"/>
              </w:tabs>
              <w:spacing w:after="0" w:line="240" w:lineRule="auto"/>
              <w:jc w:val="center"/>
              <w:rPr>
                <w:rFonts w:cs="Arial"/>
                <w:sz w:val="20"/>
                <w:szCs w:val="20"/>
              </w:rPr>
            </w:pPr>
            <w:r w:rsidRPr="00644615">
              <w:rPr>
                <w:sz w:val="20"/>
                <w:szCs w:val="20"/>
              </w:rPr>
              <w:t>In-kind</w:t>
            </w:r>
          </w:p>
        </w:tc>
        <w:tc>
          <w:tcPr>
            <w:tcW w:w="1559" w:type="dxa"/>
            <w:shd w:val="clear" w:color="auto" w:fill="auto"/>
          </w:tcPr>
          <w:p w14:paraId="4D1FC43F" w14:textId="77777777" w:rsidR="00AA2C8E" w:rsidRPr="00644615" w:rsidRDefault="00AA2C8E" w:rsidP="00671C9A">
            <w:pPr>
              <w:tabs>
                <w:tab w:val="left" w:pos="1260"/>
              </w:tabs>
              <w:spacing w:after="0" w:line="240" w:lineRule="auto"/>
              <w:jc w:val="right"/>
              <w:rPr>
                <w:rFonts w:cs="Arial"/>
                <w:sz w:val="20"/>
                <w:szCs w:val="20"/>
              </w:rPr>
            </w:pPr>
            <w:r w:rsidRPr="00644615">
              <w:rPr>
                <w:sz w:val="20"/>
                <w:szCs w:val="20"/>
              </w:rPr>
              <w:t>3,640,000</w:t>
            </w:r>
          </w:p>
        </w:tc>
      </w:tr>
      <w:tr w:rsidR="00AA2C8E" w:rsidRPr="00CE39A0" w14:paraId="5B02B022" w14:textId="77777777" w:rsidTr="00AA2C8E">
        <w:trPr>
          <w:trHeight w:val="106"/>
        </w:trPr>
        <w:tc>
          <w:tcPr>
            <w:tcW w:w="2547" w:type="dxa"/>
            <w:vMerge w:val="restart"/>
            <w:shd w:val="clear" w:color="auto" w:fill="auto"/>
          </w:tcPr>
          <w:p w14:paraId="7EA05A37" w14:textId="77777777" w:rsidR="00AA2C8E" w:rsidRPr="00644615" w:rsidRDefault="00AA2C8E" w:rsidP="00671C9A">
            <w:pPr>
              <w:tabs>
                <w:tab w:val="left" w:pos="1260"/>
              </w:tabs>
              <w:spacing w:after="0" w:line="240" w:lineRule="auto"/>
              <w:rPr>
                <w:rFonts w:cs="Arial"/>
                <w:sz w:val="20"/>
                <w:szCs w:val="20"/>
              </w:rPr>
            </w:pPr>
            <w:r w:rsidRPr="00644615">
              <w:rPr>
                <w:rFonts w:cs="Arial"/>
                <w:sz w:val="20"/>
                <w:szCs w:val="20"/>
              </w:rPr>
              <w:t>Private Sector</w:t>
            </w:r>
          </w:p>
        </w:tc>
        <w:tc>
          <w:tcPr>
            <w:tcW w:w="3789" w:type="dxa"/>
            <w:vMerge w:val="restart"/>
            <w:shd w:val="clear" w:color="auto" w:fill="auto"/>
          </w:tcPr>
          <w:p w14:paraId="68B1DB6D" w14:textId="77777777" w:rsidR="00AA2C8E" w:rsidRPr="00644615" w:rsidRDefault="00AA2C8E" w:rsidP="00671C9A">
            <w:pPr>
              <w:tabs>
                <w:tab w:val="left" w:pos="1260"/>
              </w:tabs>
              <w:spacing w:after="0" w:line="240" w:lineRule="auto"/>
              <w:rPr>
                <w:rFonts w:cs="Arial"/>
                <w:sz w:val="20"/>
                <w:szCs w:val="20"/>
              </w:rPr>
            </w:pPr>
            <w:r w:rsidRPr="00644615">
              <w:rPr>
                <w:rFonts w:cs="Arial"/>
                <w:sz w:val="20"/>
                <w:szCs w:val="20"/>
              </w:rPr>
              <w:t>Zhejiang Fuyang Port International Co. Ltd.</w:t>
            </w:r>
          </w:p>
        </w:tc>
        <w:tc>
          <w:tcPr>
            <w:tcW w:w="1881" w:type="dxa"/>
            <w:shd w:val="clear" w:color="auto" w:fill="auto"/>
          </w:tcPr>
          <w:p w14:paraId="0A3BD0B9" w14:textId="77777777" w:rsidR="00AA2C8E" w:rsidRPr="00644615" w:rsidRDefault="00AA2C8E" w:rsidP="00AA2C8E">
            <w:pPr>
              <w:tabs>
                <w:tab w:val="left" w:pos="1260"/>
              </w:tabs>
              <w:spacing w:after="0" w:line="240" w:lineRule="auto"/>
              <w:jc w:val="center"/>
              <w:rPr>
                <w:rFonts w:cs="Arial"/>
                <w:sz w:val="20"/>
                <w:szCs w:val="20"/>
              </w:rPr>
            </w:pPr>
            <w:r w:rsidRPr="00644615">
              <w:rPr>
                <w:sz w:val="20"/>
                <w:szCs w:val="20"/>
              </w:rPr>
              <w:t>Cash/Grant</w:t>
            </w:r>
          </w:p>
        </w:tc>
        <w:tc>
          <w:tcPr>
            <w:tcW w:w="1559" w:type="dxa"/>
            <w:shd w:val="clear" w:color="auto" w:fill="auto"/>
          </w:tcPr>
          <w:p w14:paraId="33C300CE" w14:textId="77777777" w:rsidR="00AA2C8E" w:rsidRPr="00644615" w:rsidRDefault="00AA2C8E" w:rsidP="00671C9A">
            <w:pPr>
              <w:tabs>
                <w:tab w:val="left" w:pos="1260"/>
              </w:tabs>
              <w:spacing w:after="0" w:line="240" w:lineRule="auto"/>
              <w:jc w:val="right"/>
              <w:rPr>
                <w:rFonts w:cs="Arial"/>
                <w:sz w:val="20"/>
                <w:szCs w:val="20"/>
              </w:rPr>
            </w:pPr>
            <w:r w:rsidRPr="00644615">
              <w:rPr>
                <w:sz w:val="20"/>
                <w:szCs w:val="20"/>
              </w:rPr>
              <w:t>2,730,000</w:t>
            </w:r>
          </w:p>
        </w:tc>
      </w:tr>
      <w:tr w:rsidR="00AA2C8E" w:rsidRPr="00CE39A0" w14:paraId="538C2DD4" w14:textId="77777777" w:rsidTr="00AA2C8E">
        <w:trPr>
          <w:trHeight w:val="47"/>
        </w:trPr>
        <w:tc>
          <w:tcPr>
            <w:tcW w:w="2547" w:type="dxa"/>
            <w:vMerge/>
            <w:shd w:val="clear" w:color="auto" w:fill="auto"/>
          </w:tcPr>
          <w:p w14:paraId="112BE544" w14:textId="77777777" w:rsidR="00AA2C8E" w:rsidRPr="00644615" w:rsidRDefault="00AA2C8E" w:rsidP="00671C9A">
            <w:pPr>
              <w:tabs>
                <w:tab w:val="left" w:pos="1260"/>
              </w:tabs>
              <w:spacing w:after="0" w:line="240" w:lineRule="auto"/>
              <w:rPr>
                <w:rFonts w:cs="Arial"/>
                <w:sz w:val="20"/>
                <w:szCs w:val="20"/>
              </w:rPr>
            </w:pPr>
          </w:p>
        </w:tc>
        <w:tc>
          <w:tcPr>
            <w:tcW w:w="3789" w:type="dxa"/>
            <w:vMerge/>
            <w:shd w:val="clear" w:color="auto" w:fill="auto"/>
          </w:tcPr>
          <w:p w14:paraId="5C071E2B" w14:textId="77777777" w:rsidR="00AA2C8E" w:rsidRPr="00644615" w:rsidRDefault="00AA2C8E" w:rsidP="00671C9A">
            <w:pPr>
              <w:tabs>
                <w:tab w:val="left" w:pos="1260"/>
              </w:tabs>
              <w:spacing w:after="0" w:line="240" w:lineRule="auto"/>
              <w:rPr>
                <w:rFonts w:cs="Arial"/>
                <w:sz w:val="20"/>
                <w:szCs w:val="20"/>
              </w:rPr>
            </w:pPr>
          </w:p>
        </w:tc>
        <w:tc>
          <w:tcPr>
            <w:tcW w:w="1881" w:type="dxa"/>
            <w:shd w:val="clear" w:color="auto" w:fill="auto"/>
          </w:tcPr>
          <w:p w14:paraId="181D47DE" w14:textId="3C256B86" w:rsidR="00AA2C8E" w:rsidRPr="00644615" w:rsidRDefault="00AA2C8E" w:rsidP="00AA2C8E">
            <w:pPr>
              <w:tabs>
                <w:tab w:val="left" w:pos="1260"/>
              </w:tabs>
              <w:spacing w:after="0" w:line="240" w:lineRule="auto"/>
              <w:jc w:val="center"/>
              <w:rPr>
                <w:rFonts w:cs="Arial"/>
                <w:sz w:val="20"/>
                <w:szCs w:val="20"/>
              </w:rPr>
            </w:pPr>
            <w:r w:rsidRPr="00644615">
              <w:rPr>
                <w:sz w:val="20"/>
                <w:szCs w:val="20"/>
              </w:rPr>
              <w:t>In-kind</w:t>
            </w:r>
          </w:p>
        </w:tc>
        <w:tc>
          <w:tcPr>
            <w:tcW w:w="1559" w:type="dxa"/>
            <w:shd w:val="clear" w:color="auto" w:fill="auto"/>
          </w:tcPr>
          <w:p w14:paraId="365AC6DF" w14:textId="77777777" w:rsidR="00AA2C8E" w:rsidRPr="00644615" w:rsidRDefault="00AA2C8E" w:rsidP="00671C9A">
            <w:pPr>
              <w:tabs>
                <w:tab w:val="left" w:pos="1260"/>
              </w:tabs>
              <w:spacing w:after="0" w:line="240" w:lineRule="auto"/>
              <w:jc w:val="right"/>
              <w:rPr>
                <w:rFonts w:cs="Arial"/>
                <w:sz w:val="20"/>
                <w:szCs w:val="20"/>
              </w:rPr>
            </w:pPr>
            <w:r w:rsidRPr="00644615">
              <w:rPr>
                <w:sz w:val="20"/>
                <w:szCs w:val="20"/>
              </w:rPr>
              <w:t>1,820,000</w:t>
            </w:r>
          </w:p>
        </w:tc>
      </w:tr>
      <w:tr w:rsidR="00AA2C8E" w:rsidRPr="00CE39A0" w14:paraId="44598C46" w14:textId="77777777" w:rsidTr="00AA2C8E">
        <w:trPr>
          <w:trHeight w:val="242"/>
        </w:trPr>
        <w:tc>
          <w:tcPr>
            <w:tcW w:w="8217" w:type="dxa"/>
            <w:gridSpan w:val="3"/>
            <w:shd w:val="clear" w:color="auto" w:fill="D1E3F3" w:themeFill="accent5" w:themeFillTint="33"/>
          </w:tcPr>
          <w:p w14:paraId="43C70F88" w14:textId="77777777" w:rsidR="00AA2C8E" w:rsidRPr="00644615" w:rsidRDefault="00AA2C8E" w:rsidP="00671C9A">
            <w:pPr>
              <w:tabs>
                <w:tab w:val="left" w:pos="1260"/>
              </w:tabs>
              <w:spacing w:after="0" w:line="240" w:lineRule="auto"/>
              <w:rPr>
                <w:rFonts w:cs="Arial"/>
                <w:i/>
                <w:sz w:val="20"/>
                <w:szCs w:val="20"/>
              </w:rPr>
            </w:pPr>
            <w:r w:rsidRPr="00644615">
              <w:rPr>
                <w:rFonts w:cs="Arial"/>
                <w:sz w:val="20"/>
                <w:szCs w:val="20"/>
              </w:rPr>
              <w:t> </w:t>
            </w:r>
            <w:r w:rsidRPr="00644615">
              <w:rPr>
                <w:rFonts w:cs="Arial"/>
                <w:i/>
                <w:sz w:val="20"/>
                <w:szCs w:val="20"/>
              </w:rPr>
              <w:t>Sub-Total Private</w:t>
            </w:r>
            <w:r>
              <w:rPr>
                <w:rFonts w:cs="Arial"/>
                <w:i/>
                <w:sz w:val="20"/>
                <w:szCs w:val="20"/>
              </w:rPr>
              <w:t xml:space="preserve"> Sector</w:t>
            </w:r>
          </w:p>
        </w:tc>
        <w:tc>
          <w:tcPr>
            <w:tcW w:w="1559" w:type="dxa"/>
            <w:shd w:val="clear" w:color="auto" w:fill="D1E3F3" w:themeFill="accent5" w:themeFillTint="33"/>
          </w:tcPr>
          <w:p w14:paraId="46ABB55D" w14:textId="77777777" w:rsidR="00AA2C8E" w:rsidRPr="00644615" w:rsidRDefault="00AA2C8E" w:rsidP="00671C9A">
            <w:pPr>
              <w:tabs>
                <w:tab w:val="left" w:pos="1260"/>
              </w:tabs>
              <w:spacing w:after="0" w:line="240" w:lineRule="auto"/>
              <w:jc w:val="right"/>
              <w:rPr>
                <w:rFonts w:cs="Arial"/>
                <w:b/>
                <w:bCs/>
                <w:sz w:val="20"/>
                <w:szCs w:val="20"/>
              </w:rPr>
            </w:pPr>
            <w:r w:rsidRPr="00644615">
              <w:rPr>
                <w:rFonts w:cs="Arial"/>
                <w:b/>
                <w:bCs/>
                <w:sz w:val="20"/>
                <w:szCs w:val="20"/>
              </w:rPr>
              <w:t>8,400,000</w:t>
            </w:r>
          </w:p>
        </w:tc>
      </w:tr>
      <w:tr w:rsidR="00AA2C8E" w:rsidRPr="00CE39A0" w14:paraId="77988B11" w14:textId="77777777" w:rsidTr="00AA2C8E">
        <w:trPr>
          <w:trHeight w:val="199"/>
        </w:trPr>
        <w:tc>
          <w:tcPr>
            <w:tcW w:w="2547" w:type="dxa"/>
            <w:shd w:val="clear" w:color="auto" w:fill="auto"/>
          </w:tcPr>
          <w:p w14:paraId="3A672AF4" w14:textId="77777777" w:rsidR="00AA2C8E" w:rsidRPr="00644615" w:rsidRDefault="00AA2C8E" w:rsidP="00671C9A">
            <w:pPr>
              <w:tabs>
                <w:tab w:val="left" w:pos="1260"/>
              </w:tabs>
              <w:spacing w:after="0" w:line="240" w:lineRule="auto"/>
              <w:rPr>
                <w:rFonts w:cs="Arial"/>
                <w:sz w:val="20"/>
                <w:szCs w:val="20"/>
              </w:rPr>
            </w:pPr>
            <w:r w:rsidRPr="00644615">
              <w:rPr>
                <w:rFonts w:cs="Arial"/>
                <w:sz w:val="20"/>
                <w:szCs w:val="20"/>
              </w:rPr>
              <w:t>GEF Implementing Agency</w:t>
            </w:r>
          </w:p>
        </w:tc>
        <w:tc>
          <w:tcPr>
            <w:tcW w:w="3789" w:type="dxa"/>
            <w:shd w:val="clear" w:color="auto" w:fill="auto"/>
          </w:tcPr>
          <w:p w14:paraId="22E79E18" w14:textId="77777777" w:rsidR="00AA2C8E" w:rsidRPr="00644615" w:rsidRDefault="00AA2C8E" w:rsidP="00671C9A">
            <w:pPr>
              <w:tabs>
                <w:tab w:val="left" w:pos="1260"/>
              </w:tabs>
              <w:spacing w:after="0" w:line="240" w:lineRule="auto"/>
              <w:rPr>
                <w:rFonts w:cs="Arial"/>
                <w:sz w:val="20"/>
                <w:szCs w:val="20"/>
              </w:rPr>
            </w:pPr>
            <w:r w:rsidRPr="00644615">
              <w:rPr>
                <w:rFonts w:cs="Arial"/>
                <w:sz w:val="20"/>
                <w:szCs w:val="20"/>
              </w:rPr>
              <w:t>UNDP</w:t>
            </w:r>
          </w:p>
        </w:tc>
        <w:tc>
          <w:tcPr>
            <w:tcW w:w="1881" w:type="dxa"/>
            <w:shd w:val="clear" w:color="auto" w:fill="auto"/>
          </w:tcPr>
          <w:p w14:paraId="2AA8D530" w14:textId="77777777" w:rsidR="00AA2C8E" w:rsidRPr="00644615" w:rsidRDefault="00AA2C8E" w:rsidP="00AA2C8E">
            <w:pPr>
              <w:tabs>
                <w:tab w:val="left" w:pos="1260"/>
              </w:tabs>
              <w:spacing w:after="0" w:line="240" w:lineRule="auto"/>
              <w:jc w:val="center"/>
              <w:rPr>
                <w:rFonts w:cs="Arial"/>
                <w:sz w:val="20"/>
                <w:szCs w:val="20"/>
              </w:rPr>
            </w:pPr>
            <w:r w:rsidRPr="00644615">
              <w:rPr>
                <w:rFonts w:cs="Arial"/>
                <w:sz w:val="20"/>
                <w:szCs w:val="20"/>
              </w:rPr>
              <w:t>Grant</w:t>
            </w:r>
          </w:p>
        </w:tc>
        <w:tc>
          <w:tcPr>
            <w:tcW w:w="1559" w:type="dxa"/>
            <w:shd w:val="clear" w:color="auto" w:fill="auto"/>
          </w:tcPr>
          <w:p w14:paraId="2A075D71" w14:textId="77777777" w:rsidR="00AA2C8E" w:rsidRPr="00644615" w:rsidRDefault="00AA2C8E" w:rsidP="00671C9A">
            <w:pPr>
              <w:tabs>
                <w:tab w:val="left" w:pos="1260"/>
              </w:tabs>
              <w:spacing w:after="0" w:line="240" w:lineRule="auto"/>
              <w:jc w:val="right"/>
              <w:rPr>
                <w:rFonts w:cs="Arial"/>
                <w:bCs/>
                <w:sz w:val="20"/>
                <w:szCs w:val="20"/>
              </w:rPr>
            </w:pPr>
            <w:r w:rsidRPr="00644615">
              <w:rPr>
                <w:rFonts w:cs="Arial"/>
                <w:bCs/>
                <w:sz w:val="20"/>
                <w:szCs w:val="20"/>
              </w:rPr>
              <w:t>250,000</w:t>
            </w:r>
          </w:p>
        </w:tc>
      </w:tr>
      <w:tr w:rsidR="00AA2C8E" w:rsidRPr="00CE39A0" w14:paraId="20F09279" w14:textId="77777777" w:rsidTr="00AA2C8E">
        <w:trPr>
          <w:trHeight w:val="161"/>
        </w:trPr>
        <w:tc>
          <w:tcPr>
            <w:tcW w:w="8217" w:type="dxa"/>
            <w:gridSpan w:val="3"/>
            <w:shd w:val="clear" w:color="auto" w:fill="D1E3F3" w:themeFill="accent5" w:themeFillTint="33"/>
          </w:tcPr>
          <w:p w14:paraId="321C1545" w14:textId="77777777" w:rsidR="00AA2C8E" w:rsidRPr="00644615" w:rsidRDefault="00AA2C8E" w:rsidP="00671C9A">
            <w:pPr>
              <w:tabs>
                <w:tab w:val="left" w:pos="1260"/>
              </w:tabs>
              <w:spacing w:after="0" w:line="240" w:lineRule="auto"/>
              <w:rPr>
                <w:rFonts w:cs="Arial"/>
                <w:b/>
                <w:bCs/>
                <w:sz w:val="20"/>
                <w:szCs w:val="20"/>
              </w:rPr>
            </w:pPr>
            <w:r w:rsidRPr="00644615">
              <w:rPr>
                <w:rFonts w:cs="Arial"/>
                <w:b/>
                <w:bCs/>
                <w:sz w:val="20"/>
                <w:szCs w:val="20"/>
              </w:rPr>
              <w:t>Total Co-financing</w:t>
            </w:r>
          </w:p>
        </w:tc>
        <w:tc>
          <w:tcPr>
            <w:tcW w:w="1559" w:type="dxa"/>
            <w:shd w:val="clear" w:color="auto" w:fill="D1E3F3" w:themeFill="accent5" w:themeFillTint="33"/>
          </w:tcPr>
          <w:p w14:paraId="7A68C8E9" w14:textId="77777777" w:rsidR="00AA2C8E" w:rsidRPr="00644615" w:rsidRDefault="00AA2C8E" w:rsidP="00671C9A">
            <w:pPr>
              <w:tabs>
                <w:tab w:val="left" w:pos="1260"/>
              </w:tabs>
              <w:spacing w:after="0" w:line="240" w:lineRule="auto"/>
              <w:jc w:val="right"/>
              <w:rPr>
                <w:rFonts w:cs="Arial"/>
                <w:b/>
                <w:bCs/>
                <w:sz w:val="20"/>
                <w:szCs w:val="20"/>
              </w:rPr>
            </w:pPr>
            <w:r w:rsidRPr="00644615">
              <w:rPr>
                <w:rFonts w:cs="Arial"/>
                <w:b/>
                <w:bCs/>
                <w:sz w:val="20"/>
                <w:szCs w:val="20"/>
              </w:rPr>
              <w:t>12,130,000</w:t>
            </w:r>
          </w:p>
        </w:tc>
      </w:tr>
      <w:tr w:rsidR="00AA2C8E" w:rsidRPr="00CE39A0" w14:paraId="6D9E43E8" w14:textId="77777777" w:rsidTr="00AA2C8E">
        <w:trPr>
          <w:trHeight w:val="161"/>
        </w:trPr>
        <w:tc>
          <w:tcPr>
            <w:tcW w:w="8217" w:type="dxa"/>
            <w:gridSpan w:val="3"/>
            <w:shd w:val="clear" w:color="auto" w:fill="A4C7E8" w:themeFill="accent5" w:themeFillTint="66"/>
          </w:tcPr>
          <w:p w14:paraId="48D3348E" w14:textId="5F850A34" w:rsidR="00AA2C8E" w:rsidRPr="00644615" w:rsidRDefault="00AA2C8E" w:rsidP="00671C9A">
            <w:pPr>
              <w:tabs>
                <w:tab w:val="left" w:pos="1260"/>
              </w:tabs>
              <w:spacing w:after="0" w:line="240" w:lineRule="auto"/>
              <w:rPr>
                <w:rFonts w:cs="Arial"/>
                <w:b/>
                <w:bCs/>
                <w:sz w:val="20"/>
                <w:szCs w:val="20"/>
              </w:rPr>
            </w:pPr>
            <w:r>
              <w:rPr>
                <w:rFonts w:cs="Arial"/>
                <w:b/>
                <w:bCs/>
                <w:sz w:val="20"/>
                <w:szCs w:val="20"/>
              </w:rPr>
              <w:t>Grand total</w:t>
            </w:r>
          </w:p>
        </w:tc>
        <w:tc>
          <w:tcPr>
            <w:tcW w:w="1559" w:type="dxa"/>
            <w:shd w:val="clear" w:color="auto" w:fill="A4C7E8" w:themeFill="accent5" w:themeFillTint="66"/>
          </w:tcPr>
          <w:p w14:paraId="6993FEAE" w14:textId="0AE6C0BA" w:rsidR="00AA2C8E" w:rsidRPr="00644615" w:rsidRDefault="00AA2C8E" w:rsidP="00671C9A">
            <w:pPr>
              <w:tabs>
                <w:tab w:val="left" w:pos="1260"/>
              </w:tabs>
              <w:spacing w:after="0" w:line="240" w:lineRule="auto"/>
              <w:jc w:val="right"/>
              <w:rPr>
                <w:rFonts w:cs="Arial"/>
                <w:b/>
                <w:bCs/>
                <w:sz w:val="20"/>
                <w:szCs w:val="20"/>
              </w:rPr>
            </w:pPr>
            <w:r>
              <w:rPr>
                <w:rFonts w:cs="Arial"/>
                <w:b/>
                <w:bCs/>
                <w:sz w:val="20"/>
                <w:szCs w:val="20"/>
              </w:rPr>
              <w:t>15,043,700</w:t>
            </w:r>
          </w:p>
        </w:tc>
      </w:tr>
    </w:tbl>
    <w:p w14:paraId="4830014D" w14:textId="77777777" w:rsidR="00AA2C8E" w:rsidRPr="0028188B" w:rsidRDefault="00AA2C8E" w:rsidP="00AA2C8E">
      <w:pPr>
        <w:jc w:val="both"/>
        <w:rPr>
          <w:sz w:val="18"/>
          <w:szCs w:val="18"/>
        </w:rPr>
      </w:pPr>
      <w:r w:rsidRPr="0028188B">
        <w:rPr>
          <w:sz w:val="18"/>
          <w:szCs w:val="18"/>
        </w:rPr>
        <w:t>Source: Report of inception workshop, page 25.</w:t>
      </w:r>
    </w:p>
    <w:p w14:paraId="0C2CA9BE" w14:textId="6DA6EF09" w:rsidR="00AA2C8E" w:rsidRDefault="00133DC6" w:rsidP="00EA1E5E">
      <w:pPr>
        <w:jc w:val="both"/>
      </w:pPr>
      <w:r w:rsidRPr="0028188B">
        <w:t xml:space="preserve">As of </w:t>
      </w:r>
      <w:r w:rsidR="0028188B" w:rsidRPr="0028188B">
        <w:t>February</w:t>
      </w:r>
      <w:r w:rsidRPr="0028188B">
        <w:t xml:space="preserve"> 2020</w:t>
      </w:r>
      <w:r w:rsidR="00195EF5" w:rsidRPr="0028188B">
        <w:t>, the project had disbursed USD 2,</w:t>
      </w:r>
      <w:r w:rsidR="0028188B" w:rsidRPr="0028188B">
        <w:t>870</w:t>
      </w:r>
      <w:r w:rsidR="00195EF5" w:rsidRPr="0028188B">
        <w:t>,</w:t>
      </w:r>
      <w:r w:rsidR="0028188B" w:rsidRPr="0028188B">
        <w:t xml:space="preserve">261 </w:t>
      </w:r>
      <w:r w:rsidR="00195EF5" w:rsidRPr="0028188B">
        <w:t>(</w:t>
      </w:r>
      <w:r w:rsidR="0028188B" w:rsidRPr="0028188B">
        <w:t>98.5</w:t>
      </w:r>
      <w:r w:rsidR="00195EF5" w:rsidRPr="0028188B">
        <w:t xml:space="preserve">%) of the GEF grant. </w:t>
      </w:r>
      <w:r w:rsidR="00E21D81" w:rsidRPr="0028188B">
        <w:t>The b</w:t>
      </w:r>
      <w:r w:rsidR="00543E40" w:rsidRPr="0028188B">
        <w:t xml:space="preserve">udget execution, </w:t>
      </w:r>
      <w:r w:rsidR="00E21D81" w:rsidRPr="0028188B">
        <w:t xml:space="preserve">as </w:t>
      </w:r>
      <w:r w:rsidR="00543E40" w:rsidRPr="0028188B">
        <w:t>compared to pl</w:t>
      </w:r>
      <w:r w:rsidR="00272421" w:rsidRPr="0028188B">
        <w:t>a</w:t>
      </w:r>
      <w:r w:rsidR="00543E40" w:rsidRPr="0028188B">
        <w:t xml:space="preserve">nned </w:t>
      </w:r>
      <w:r w:rsidR="00272421" w:rsidRPr="0028188B">
        <w:t>budget</w:t>
      </w:r>
      <w:r w:rsidR="00F40652" w:rsidRPr="0028188B">
        <w:t>s</w:t>
      </w:r>
      <w:r w:rsidR="00272421" w:rsidRPr="0028188B">
        <w:t xml:space="preserve"> in annual work plans (AWP)</w:t>
      </w:r>
      <w:r w:rsidR="00E21D81" w:rsidRPr="0028188B">
        <w:t>,</w:t>
      </w:r>
      <w:r w:rsidR="00272421" w:rsidRPr="0028188B">
        <w:t xml:space="preserve"> was </w:t>
      </w:r>
      <w:r w:rsidR="00E21D81" w:rsidRPr="0028188B">
        <w:t xml:space="preserve">remarkably good, reporting execution ratios </w:t>
      </w:r>
      <w:r w:rsidR="0028188B">
        <w:t xml:space="preserve">ranging </w:t>
      </w:r>
      <w:r w:rsidR="00E21D81" w:rsidRPr="0028188B">
        <w:t>from 84 to 100</w:t>
      </w:r>
      <w:r w:rsidR="00E21D81">
        <w:t>%</w:t>
      </w:r>
      <w:r w:rsidR="0028188B">
        <w:t xml:space="preserve"> (see </w:t>
      </w:r>
      <w:r w:rsidR="0028188B">
        <w:fldChar w:fldCharType="begin"/>
      </w:r>
      <w:r w:rsidR="0028188B">
        <w:instrText xml:space="preserve"> REF _Ref64359166 \h </w:instrText>
      </w:r>
      <w:r w:rsidR="0028188B">
        <w:fldChar w:fldCharType="separate"/>
      </w:r>
      <w:r w:rsidR="004718D8">
        <w:t xml:space="preserve">Table </w:t>
      </w:r>
      <w:r w:rsidR="004718D8">
        <w:rPr>
          <w:noProof/>
        </w:rPr>
        <w:t>10</w:t>
      </w:r>
      <w:r w:rsidR="0028188B">
        <w:fldChar w:fldCharType="end"/>
      </w:r>
      <w:r w:rsidR="0028188B">
        <w:t>)</w:t>
      </w:r>
      <w:r w:rsidR="00E21D81">
        <w:t xml:space="preserve">. </w:t>
      </w:r>
      <w:r w:rsidR="00F40652">
        <w:t xml:space="preserve">The </w:t>
      </w:r>
      <w:r w:rsidR="0028188B">
        <w:t xml:space="preserve">small </w:t>
      </w:r>
      <w:r w:rsidR="00F40652">
        <w:t xml:space="preserve">discrepancies between planned budgets in AWP and in the ProDoc are explained by a slow start of the project in 2017 and the efforts by the project team to accelerate implementation during 2018. </w:t>
      </w:r>
    </w:p>
    <w:p w14:paraId="68850FFE" w14:textId="56290C36" w:rsidR="00E91F62" w:rsidRDefault="00E91F62" w:rsidP="00E91F62">
      <w:pPr>
        <w:pStyle w:val="Caption"/>
      </w:pPr>
      <w:bookmarkStart w:id="42" w:name="_Ref64359166"/>
      <w:r>
        <w:t xml:space="preserve">Table </w:t>
      </w:r>
      <w:r>
        <w:fldChar w:fldCharType="begin"/>
      </w:r>
      <w:r>
        <w:instrText xml:space="preserve"> SEQ Table \* ARABIC </w:instrText>
      </w:r>
      <w:r>
        <w:fldChar w:fldCharType="separate"/>
      </w:r>
      <w:r w:rsidR="004718D8">
        <w:rPr>
          <w:noProof/>
        </w:rPr>
        <w:t>10</w:t>
      </w:r>
      <w:r>
        <w:fldChar w:fldCharType="end"/>
      </w:r>
      <w:bookmarkEnd w:id="42"/>
      <w:r>
        <w:t>. Planned and actual disbursement of GEF resources</w:t>
      </w:r>
    </w:p>
    <w:tbl>
      <w:tblPr>
        <w:tblStyle w:val="TableGrid"/>
        <w:tblW w:w="9346" w:type="dxa"/>
        <w:tblLayout w:type="fixed"/>
        <w:tblLook w:val="04A0" w:firstRow="1" w:lastRow="0" w:firstColumn="1" w:lastColumn="0" w:noHBand="0" w:noVBand="1"/>
      </w:tblPr>
      <w:tblGrid>
        <w:gridCol w:w="1866"/>
        <w:gridCol w:w="1870"/>
        <w:gridCol w:w="1870"/>
        <w:gridCol w:w="2044"/>
        <w:gridCol w:w="1696"/>
      </w:tblGrid>
      <w:tr w:rsidR="00543E40" w14:paraId="49670220" w14:textId="63546522" w:rsidTr="001611B4">
        <w:trPr>
          <w:trHeight w:val="266"/>
        </w:trPr>
        <w:tc>
          <w:tcPr>
            <w:tcW w:w="1866" w:type="dxa"/>
            <w:shd w:val="clear" w:color="auto" w:fill="77ACDC" w:themeFill="accent5" w:themeFillTint="99"/>
          </w:tcPr>
          <w:p w14:paraId="7ABD3385" w14:textId="17C17B1D" w:rsidR="00543E40" w:rsidRPr="00E76478" w:rsidRDefault="00543E40" w:rsidP="00543E40">
            <w:pPr>
              <w:jc w:val="both"/>
            </w:pPr>
            <w:r w:rsidRPr="00E76478">
              <w:t>Year</w:t>
            </w:r>
          </w:p>
        </w:tc>
        <w:tc>
          <w:tcPr>
            <w:tcW w:w="1870" w:type="dxa"/>
            <w:shd w:val="clear" w:color="auto" w:fill="77ACDC" w:themeFill="accent5" w:themeFillTint="99"/>
          </w:tcPr>
          <w:p w14:paraId="60D3CF08" w14:textId="05B476D4" w:rsidR="00543E40" w:rsidRPr="00E76478" w:rsidRDefault="00543E40" w:rsidP="00543E40">
            <w:pPr>
              <w:jc w:val="both"/>
            </w:pPr>
            <w:r w:rsidRPr="00E76478">
              <w:t>Planned budget</w:t>
            </w:r>
            <w:r>
              <w:t xml:space="preserve"> in ProDoc </w:t>
            </w:r>
            <w:r w:rsidRPr="00E76478">
              <w:t>(USD)</w:t>
            </w:r>
          </w:p>
        </w:tc>
        <w:tc>
          <w:tcPr>
            <w:tcW w:w="1870" w:type="dxa"/>
            <w:shd w:val="clear" w:color="auto" w:fill="77ACDC" w:themeFill="accent5" w:themeFillTint="99"/>
          </w:tcPr>
          <w:p w14:paraId="754B8DB7" w14:textId="3D96E4C9" w:rsidR="00543E40" w:rsidRPr="00E76478" w:rsidRDefault="00543E40" w:rsidP="00543E40">
            <w:pPr>
              <w:jc w:val="both"/>
            </w:pPr>
            <w:r w:rsidRPr="00E76478">
              <w:t>Planned budget</w:t>
            </w:r>
            <w:r>
              <w:t xml:space="preserve"> in AWP</w:t>
            </w:r>
            <w:r w:rsidRPr="00E76478">
              <w:t xml:space="preserve"> (USD)</w:t>
            </w:r>
          </w:p>
        </w:tc>
        <w:tc>
          <w:tcPr>
            <w:tcW w:w="2044" w:type="dxa"/>
            <w:shd w:val="clear" w:color="auto" w:fill="77ACDC" w:themeFill="accent5" w:themeFillTint="99"/>
          </w:tcPr>
          <w:p w14:paraId="540567B9" w14:textId="77777777" w:rsidR="00543E40" w:rsidRPr="00E76478" w:rsidRDefault="00543E40" w:rsidP="00543E40">
            <w:pPr>
              <w:jc w:val="both"/>
            </w:pPr>
            <w:r w:rsidRPr="00E76478">
              <w:t>Actual expenditure</w:t>
            </w:r>
          </w:p>
          <w:p w14:paraId="288EC546" w14:textId="6E690F47" w:rsidR="00543E40" w:rsidRPr="00E76478" w:rsidRDefault="00543E40" w:rsidP="00543E40">
            <w:pPr>
              <w:jc w:val="both"/>
            </w:pPr>
            <w:r w:rsidRPr="00E76478">
              <w:t>(USD)</w:t>
            </w:r>
          </w:p>
        </w:tc>
        <w:tc>
          <w:tcPr>
            <w:tcW w:w="1696" w:type="dxa"/>
            <w:shd w:val="clear" w:color="auto" w:fill="77ACDC" w:themeFill="accent5" w:themeFillTint="99"/>
          </w:tcPr>
          <w:p w14:paraId="37B8A8BC" w14:textId="443F00AB" w:rsidR="00543E40" w:rsidRPr="00E76478" w:rsidRDefault="00E21D81" w:rsidP="00543E40">
            <w:pPr>
              <w:jc w:val="both"/>
            </w:pPr>
            <w:r>
              <w:t>Execution r</w:t>
            </w:r>
            <w:r w:rsidR="00543E40" w:rsidRPr="00E76478">
              <w:t>atio</w:t>
            </w:r>
          </w:p>
        </w:tc>
      </w:tr>
      <w:tr w:rsidR="00543E40" w14:paraId="2C32D5FB" w14:textId="6DB8E28F" w:rsidTr="001611B4">
        <w:trPr>
          <w:trHeight w:val="174"/>
        </w:trPr>
        <w:tc>
          <w:tcPr>
            <w:tcW w:w="1866" w:type="dxa"/>
          </w:tcPr>
          <w:p w14:paraId="1144CC63" w14:textId="68145359" w:rsidR="00543E40" w:rsidRPr="00E76478" w:rsidRDefault="00543E40" w:rsidP="00543E40">
            <w:pPr>
              <w:jc w:val="both"/>
            </w:pPr>
            <w:r w:rsidRPr="00E76478">
              <w:t>2017</w:t>
            </w:r>
          </w:p>
        </w:tc>
        <w:tc>
          <w:tcPr>
            <w:tcW w:w="1870" w:type="dxa"/>
          </w:tcPr>
          <w:p w14:paraId="5C7CD070" w14:textId="6B011336" w:rsidR="00543E40" w:rsidRPr="00E76478" w:rsidRDefault="00543E40" w:rsidP="00543E40">
            <w:pPr>
              <w:jc w:val="right"/>
            </w:pPr>
            <w:r>
              <w:t>701,000</w:t>
            </w:r>
          </w:p>
        </w:tc>
        <w:tc>
          <w:tcPr>
            <w:tcW w:w="1870" w:type="dxa"/>
          </w:tcPr>
          <w:p w14:paraId="18AA2B00" w14:textId="38BA41D8" w:rsidR="00543E40" w:rsidRPr="00E76478" w:rsidRDefault="00543E40" w:rsidP="00543E40">
            <w:pPr>
              <w:jc w:val="right"/>
            </w:pPr>
            <w:r w:rsidRPr="00E76478">
              <w:t>210,000</w:t>
            </w:r>
          </w:p>
        </w:tc>
        <w:tc>
          <w:tcPr>
            <w:tcW w:w="2044" w:type="dxa"/>
          </w:tcPr>
          <w:p w14:paraId="40D36A7A" w14:textId="5FDF9F69" w:rsidR="00543E40" w:rsidRPr="00E76478" w:rsidRDefault="00543E40" w:rsidP="00543E40">
            <w:pPr>
              <w:jc w:val="right"/>
            </w:pPr>
            <w:r w:rsidRPr="00E76478">
              <w:t>196.000</w:t>
            </w:r>
          </w:p>
        </w:tc>
        <w:tc>
          <w:tcPr>
            <w:tcW w:w="1696" w:type="dxa"/>
          </w:tcPr>
          <w:p w14:paraId="68D88228" w14:textId="54ABEF2E" w:rsidR="00543E40" w:rsidRPr="00E76478" w:rsidRDefault="00543E40" w:rsidP="00543E40">
            <w:pPr>
              <w:jc w:val="right"/>
            </w:pPr>
            <w:r>
              <w:t>93.3%</w:t>
            </w:r>
          </w:p>
        </w:tc>
      </w:tr>
      <w:tr w:rsidR="00543E40" w14:paraId="3597D8AB" w14:textId="55061C43" w:rsidTr="001611B4">
        <w:tc>
          <w:tcPr>
            <w:tcW w:w="1866" w:type="dxa"/>
          </w:tcPr>
          <w:p w14:paraId="3547BDA6" w14:textId="464208CA" w:rsidR="00543E40" w:rsidRPr="00E76478" w:rsidRDefault="00543E40" w:rsidP="00543E40">
            <w:pPr>
              <w:jc w:val="both"/>
            </w:pPr>
            <w:r w:rsidRPr="00E76478">
              <w:t>2018</w:t>
            </w:r>
          </w:p>
        </w:tc>
        <w:tc>
          <w:tcPr>
            <w:tcW w:w="1870" w:type="dxa"/>
          </w:tcPr>
          <w:p w14:paraId="4E637802" w14:textId="47C051D7" w:rsidR="00543E40" w:rsidRPr="00E76478" w:rsidRDefault="00543E40" w:rsidP="00543E40">
            <w:pPr>
              <w:jc w:val="right"/>
            </w:pPr>
            <w:r>
              <w:t>867,000</w:t>
            </w:r>
          </w:p>
        </w:tc>
        <w:tc>
          <w:tcPr>
            <w:tcW w:w="1870" w:type="dxa"/>
          </w:tcPr>
          <w:p w14:paraId="5F61FE12" w14:textId="3B5531C7" w:rsidR="00543E40" w:rsidRPr="00E76478" w:rsidRDefault="00543E40" w:rsidP="00543E40">
            <w:pPr>
              <w:jc w:val="right"/>
            </w:pPr>
            <w:r w:rsidRPr="00E76478">
              <w:t>1,390,500</w:t>
            </w:r>
          </w:p>
        </w:tc>
        <w:tc>
          <w:tcPr>
            <w:tcW w:w="2044" w:type="dxa"/>
          </w:tcPr>
          <w:p w14:paraId="270D3ACA" w14:textId="69D8428E" w:rsidR="00543E40" w:rsidRPr="00E76478" w:rsidRDefault="00543E40" w:rsidP="00543E40">
            <w:pPr>
              <w:jc w:val="right"/>
            </w:pPr>
            <w:r w:rsidRPr="00E76478">
              <w:t>1</w:t>
            </w:r>
            <w:r>
              <w:t>,</w:t>
            </w:r>
            <w:r w:rsidRPr="00E76478">
              <w:t>384</w:t>
            </w:r>
            <w:r>
              <w:t>,</w:t>
            </w:r>
            <w:r w:rsidRPr="00E76478">
              <w:t>568</w:t>
            </w:r>
          </w:p>
        </w:tc>
        <w:tc>
          <w:tcPr>
            <w:tcW w:w="1696" w:type="dxa"/>
          </w:tcPr>
          <w:p w14:paraId="6677071C" w14:textId="3F7617A2" w:rsidR="00543E40" w:rsidRPr="00E76478" w:rsidRDefault="00543E40" w:rsidP="00543E40">
            <w:pPr>
              <w:jc w:val="right"/>
            </w:pPr>
            <w:r>
              <w:t>99.6%</w:t>
            </w:r>
          </w:p>
        </w:tc>
      </w:tr>
      <w:tr w:rsidR="00543E40" w14:paraId="1EEB9CB2" w14:textId="7F58B607" w:rsidTr="001611B4">
        <w:tc>
          <w:tcPr>
            <w:tcW w:w="1866" w:type="dxa"/>
          </w:tcPr>
          <w:p w14:paraId="1D5FE3E0" w14:textId="0F306AED" w:rsidR="00543E40" w:rsidRPr="00E76478" w:rsidRDefault="00543E40" w:rsidP="00543E40">
            <w:pPr>
              <w:jc w:val="both"/>
            </w:pPr>
            <w:r w:rsidRPr="00E76478">
              <w:t>2019</w:t>
            </w:r>
          </w:p>
        </w:tc>
        <w:tc>
          <w:tcPr>
            <w:tcW w:w="1870" w:type="dxa"/>
          </w:tcPr>
          <w:p w14:paraId="669A8E35" w14:textId="3CDB5A35" w:rsidR="00543E40" w:rsidRPr="00E76478" w:rsidRDefault="00543E40" w:rsidP="00543E40">
            <w:pPr>
              <w:jc w:val="right"/>
            </w:pPr>
            <w:r>
              <w:t>648,500</w:t>
            </w:r>
          </w:p>
        </w:tc>
        <w:tc>
          <w:tcPr>
            <w:tcW w:w="1870" w:type="dxa"/>
          </w:tcPr>
          <w:p w14:paraId="14A06195" w14:textId="58FFC0F6" w:rsidR="00543E40" w:rsidRPr="00E76478" w:rsidRDefault="00543E40" w:rsidP="00543E40">
            <w:pPr>
              <w:jc w:val="right"/>
            </w:pPr>
            <w:r w:rsidRPr="00E76478">
              <w:t>821,100</w:t>
            </w:r>
          </w:p>
        </w:tc>
        <w:tc>
          <w:tcPr>
            <w:tcW w:w="2044" w:type="dxa"/>
          </w:tcPr>
          <w:p w14:paraId="12E1B124" w14:textId="361365E8" w:rsidR="00543E40" w:rsidRPr="00E76478" w:rsidRDefault="00543E40" w:rsidP="00543E40">
            <w:pPr>
              <w:jc w:val="right"/>
            </w:pPr>
            <w:r w:rsidRPr="00E76478">
              <w:t>686.208</w:t>
            </w:r>
          </w:p>
        </w:tc>
        <w:tc>
          <w:tcPr>
            <w:tcW w:w="1696" w:type="dxa"/>
          </w:tcPr>
          <w:p w14:paraId="094C2A39" w14:textId="4B6F37AC" w:rsidR="00543E40" w:rsidRPr="00E76478" w:rsidRDefault="00543E40" w:rsidP="00543E40">
            <w:pPr>
              <w:jc w:val="right"/>
            </w:pPr>
            <w:r>
              <w:t>83.6%</w:t>
            </w:r>
          </w:p>
        </w:tc>
      </w:tr>
      <w:tr w:rsidR="00543E40" w14:paraId="0D4A8846" w14:textId="49FC93F7" w:rsidTr="001611B4">
        <w:tc>
          <w:tcPr>
            <w:tcW w:w="1866" w:type="dxa"/>
          </w:tcPr>
          <w:p w14:paraId="4FE71CFF" w14:textId="2C317101" w:rsidR="00543E40" w:rsidRPr="00E76478" w:rsidRDefault="00543E40" w:rsidP="00543E40">
            <w:pPr>
              <w:jc w:val="both"/>
            </w:pPr>
            <w:r w:rsidRPr="00E76478">
              <w:t>2020</w:t>
            </w:r>
          </w:p>
        </w:tc>
        <w:tc>
          <w:tcPr>
            <w:tcW w:w="1870" w:type="dxa"/>
          </w:tcPr>
          <w:p w14:paraId="271A42EC" w14:textId="2503C69C" w:rsidR="00543E40" w:rsidRPr="00E76478" w:rsidRDefault="00543E40" w:rsidP="00543E40">
            <w:pPr>
              <w:jc w:val="right"/>
            </w:pPr>
            <w:r>
              <w:t>558,450</w:t>
            </w:r>
          </w:p>
        </w:tc>
        <w:tc>
          <w:tcPr>
            <w:tcW w:w="1870" w:type="dxa"/>
          </w:tcPr>
          <w:p w14:paraId="54F2BA8A" w14:textId="6D27534F" w:rsidR="00543E40" w:rsidRPr="00E76478" w:rsidRDefault="00543E40" w:rsidP="00543E40">
            <w:pPr>
              <w:jc w:val="right"/>
            </w:pPr>
            <w:r w:rsidRPr="00E76478">
              <w:t>609,620</w:t>
            </w:r>
          </w:p>
        </w:tc>
        <w:tc>
          <w:tcPr>
            <w:tcW w:w="2044" w:type="dxa"/>
          </w:tcPr>
          <w:p w14:paraId="24A3ED8D" w14:textId="48B86A79" w:rsidR="00543E40" w:rsidRPr="00ED2F1E" w:rsidRDefault="001611B4" w:rsidP="00543E40">
            <w:pPr>
              <w:jc w:val="right"/>
            </w:pPr>
            <w:r>
              <w:t>603,485</w:t>
            </w:r>
          </w:p>
        </w:tc>
        <w:tc>
          <w:tcPr>
            <w:tcW w:w="1696" w:type="dxa"/>
          </w:tcPr>
          <w:p w14:paraId="79C53A9A" w14:textId="2B019772" w:rsidR="00543E40" w:rsidRPr="00ED2F1E" w:rsidRDefault="00ED2F1E" w:rsidP="00543E40">
            <w:pPr>
              <w:jc w:val="right"/>
            </w:pPr>
            <w:r>
              <w:t>9</w:t>
            </w:r>
            <w:r w:rsidR="001611B4">
              <w:t>9.0</w:t>
            </w:r>
            <w:r>
              <w:t>%</w:t>
            </w:r>
          </w:p>
        </w:tc>
      </w:tr>
      <w:tr w:rsidR="00543E40" w14:paraId="10340ABC" w14:textId="1E6617EA" w:rsidTr="001611B4">
        <w:tc>
          <w:tcPr>
            <w:tcW w:w="1866" w:type="dxa"/>
            <w:shd w:val="clear" w:color="auto" w:fill="D1E3F3" w:themeFill="accent5" w:themeFillTint="33"/>
          </w:tcPr>
          <w:p w14:paraId="7F5A8BA4" w14:textId="77777777" w:rsidR="00543E40" w:rsidRPr="00E76478" w:rsidRDefault="00543E40" w:rsidP="00543E40">
            <w:pPr>
              <w:jc w:val="both"/>
              <w:rPr>
                <w:b/>
                <w:bCs/>
              </w:rPr>
            </w:pPr>
            <w:r w:rsidRPr="00E76478">
              <w:rPr>
                <w:b/>
                <w:bCs/>
              </w:rPr>
              <w:t>Total</w:t>
            </w:r>
          </w:p>
        </w:tc>
        <w:tc>
          <w:tcPr>
            <w:tcW w:w="1870" w:type="dxa"/>
            <w:shd w:val="clear" w:color="auto" w:fill="D1E3F3" w:themeFill="accent5" w:themeFillTint="33"/>
          </w:tcPr>
          <w:p w14:paraId="76683A3F" w14:textId="77777777" w:rsidR="00543E40" w:rsidRPr="00E76478" w:rsidRDefault="00543E40" w:rsidP="00543E40">
            <w:pPr>
              <w:jc w:val="right"/>
              <w:rPr>
                <w:rFonts w:cs="Arial"/>
                <w:b/>
                <w:bCs/>
              </w:rPr>
            </w:pPr>
          </w:p>
        </w:tc>
        <w:tc>
          <w:tcPr>
            <w:tcW w:w="1870" w:type="dxa"/>
            <w:shd w:val="clear" w:color="auto" w:fill="D1E3F3" w:themeFill="accent5" w:themeFillTint="33"/>
          </w:tcPr>
          <w:p w14:paraId="1542AC76" w14:textId="358625E3" w:rsidR="00543E40" w:rsidRPr="00E76478" w:rsidRDefault="00543E40" w:rsidP="00543E40">
            <w:pPr>
              <w:jc w:val="right"/>
              <w:rPr>
                <w:b/>
                <w:bCs/>
              </w:rPr>
            </w:pPr>
            <w:r w:rsidRPr="00E76478">
              <w:rPr>
                <w:rFonts w:cs="Arial"/>
                <w:b/>
                <w:bCs/>
              </w:rPr>
              <w:t>2,913,700</w:t>
            </w:r>
            <w:r w:rsidRPr="00B2059A">
              <w:rPr>
                <w:vertAlign w:val="superscript"/>
              </w:rPr>
              <w:t>†</w:t>
            </w:r>
          </w:p>
        </w:tc>
        <w:tc>
          <w:tcPr>
            <w:tcW w:w="2044" w:type="dxa"/>
            <w:shd w:val="clear" w:color="auto" w:fill="D1E3F3" w:themeFill="accent5" w:themeFillTint="33"/>
          </w:tcPr>
          <w:p w14:paraId="1A66B464" w14:textId="042DA116" w:rsidR="00543E40" w:rsidRPr="00E76478" w:rsidRDefault="00543E40" w:rsidP="00543E40">
            <w:pPr>
              <w:jc w:val="right"/>
              <w:rPr>
                <w:b/>
                <w:bCs/>
              </w:rPr>
            </w:pPr>
            <w:r w:rsidRPr="00E76478">
              <w:rPr>
                <w:b/>
                <w:bCs/>
              </w:rPr>
              <w:t>2,</w:t>
            </w:r>
            <w:r w:rsidR="001611B4">
              <w:rPr>
                <w:b/>
                <w:bCs/>
              </w:rPr>
              <w:t>870</w:t>
            </w:r>
            <w:r w:rsidRPr="00E76478">
              <w:rPr>
                <w:b/>
                <w:bCs/>
              </w:rPr>
              <w:t>,</w:t>
            </w:r>
            <w:r w:rsidR="001611B4">
              <w:rPr>
                <w:b/>
                <w:bCs/>
              </w:rPr>
              <w:t>261</w:t>
            </w:r>
          </w:p>
        </w:tc>
        <w:tc>
          <w:tcPr>
            <w:tcW w:w="1696" w:type="dxa"/>
            <w:shd w:val="clear" w:color="auto" w:fill="D1E3F3" w:themeFill="accent5" w:themeFillTint="33"/>
          </w:tcPr>
          <w:p w14:paraId="4DB02A1F" w14:textId="685EA368" w:rsidR="00543E40" w:rsidRPr="00E76478" w:rsidRDefault="00ED2F1E" w:rsidP="00543E40">
            <w:pPr>
              <w:jc w:val="right"/>
              <w:rPr>
                <w:b/>
                <w:bCs/>
              </w:rPr>
            </w:pPr>
            <w:r w:rsidRPr="00ED2F1E">
              <w:rPr>
                <w:b/>
                <w:bCs/>
              </w:rPr>
              <w:t>98.</w:t>
            </w:r>
            <w:r w:rsidR="001611B4">
              <w:rPr>
                <w:b/>
                <w:bCs/>
              </w:rPr>
              <w:t>5</w:t>
            </w:r>
            <w:r w:rsidRPr="00ED2F1E">
              <w:rPr>
                <w:b/>
                <w:bCs/>
              </w:rPr>
              <w:t>%</w:t>
            </w:r>
          </w:p>
        </w:tc>
      </w:tr>
    </w:tbl>
    <w:p w14:paraId="10C12F83" w14:textId="67D10C7F" w:rsidR="00195EF5" w:rsidRPr="00E76478" w:rsidRDefault="00E76478" w:rsidP="00EA1E5E">
      <w:pPr>
        <w:jc w:val="both"/>
        <w:rPr>
          <w:sz w:val="18"/>
          <w:szCs w:val="18"/>
        </w:rPr>
      </w:pPr>
      <w:r w:rsidRPr="00E76478">
        <w:rPr>
          <w:sz w:val="18"/>
          <w:szCs w:val="18"/>
          <w:vertAlign w:val="superscript"/>
        </w:rPr>
        <w:t xml:space="preserve">† </w:t>
      </w:r>
      <w:r w:rsidRPr="00E76478">
        <w:rPr>
          <w:sz w:val="18"/>
          <w:szCs w:val="18"/>
        </w:rPr>
        <w:t>Total GEF grant</w:t>
      </w:r>
      <w:r>
        <w:rPr>
          <w:sz w:val="18"/>
          <w:szCs w:val="18"/>
        </w:rPr>
        <w:t xml:space="preserve"> and </w:t>
      </w:r>
      <w:r w:rsidR="00E91F62">
        <w:rPr>
          <w:sz w:val="18"/>
          <w:szCs w:val="18"/>
        </w:rPr>
        <w:t xml:space="preserve">not </w:t>
      </w:r>
      <w:r>
        <w:rPr>
          <w:sz w:val="18"/>
          <w:szCs w:val="18"/>
        </w:rPr>
        <w:t>the</w:t>
      </w:r>
      <w:r w:rsidRPr="00E76478">
        <w:rPr>
          <w:sz w:val="18"/>
          <w:szCs w:val="18"/>
        </w:rPr>
        <w:t xml:space="preserve"> </w:t>
      </w:r>
      <w:r w:rsidR="00E91F62">
        <w:rPr>
          <w:sz w:val="18"/>
          <w:szCs w:val="18"/>
        </w:rPr>
        <w:t>sum of</w:t>
      </w:r>
      <w:r w:rsidRPr="00E76478">
        <w:rPr>
          <w:sz w:val="18"/>
          <w:szCs w:val="18"/>
        </w:rPr>
        <w:t xml:space="preserve"> planned budget</w:t>
      </w:r>
      <w:r w:rsidR="00E91F62">
        <w:rPr>
          <w:sz w:val="18"/>
          <w:szCs w:val="18"/>
        </w:rPr>
        <w:t>s</w:t>
      </w:r>
      <w:r w:rsidRPr="00E76478">
        <w:rPr>
          <w:sz w:val="18"/>
          <w:szCs w:val="18"/>
        </w:rPr>
        <w:t xml:space="preserve"> since undisbursed amount</w:t>
      </w:r>
      <w:r>
        <w:rPr>
          <w:sz w:val="18"/>
          <w:szCs w:val="18"/>
        </w:rPr>
        <w:t>s</w:t>
      </w:r>
      <w:r w:rsidRPr="00E76478">
        <w:rPr>
          <w:sz w:val="18"/>
          <w:szCs w:val="18"/>
        </w:rPr>
        <w:t xml:space="preserve"> in previous years are budgeted again in subsequent years.</w:t>
      </w:r>
    </w:p>
    <w:p w14:paraId="5DB758F9" w14:textId="2CE7AAED" w:rsidR="00806E67" w:rsidRDefault="00E91F62" w:rsidP="00257201">
      <w:pPr>
        <w:jc w:val="both"/>
      </w:pPr>
      <w:r w:rsidRPr="00E87A11">
        <w:t xml:space="preserve">As noted in </w:t>
      </w:r>
      <w:r w:rsidRPr="00E87A11">
        <w:fldChar w:fldCharType="begin"/>
      </w:r>
      <w:r w:rsidRPr="00E87A11">
        <w:instrText xml:space="preserve"> REF _Ref61514749 \h </w:instrText>
      </w:r>
      <w:r w:rsidR="002847E0" w:rsidRPr="00E87A11">
        <w:instrText xml:space="preserve"> \* MERGEFORMAT </w:instrText>
      </w:r>
      <w:r w:rsidRPr="00E87A11">
        <w:fldChar w:fldCharType="separate"/>
      </w:r>
      <w:r w:rsidR="004718D8">
        <w:t xml:space="preserve">Table </w:t>
      </w:r>
      <w:r w:rsidR="004718D8">
        <w:rPr>
          <w:noProof/>
        </w:rPr>
        <w:t>9</w:t>
      </w:r>
      <w:r w:rsidRPr="00E87A11">
        <w:fldChar w:fldCharType="end"/>
      </w:r>
      <w:r w:rsidRPr="00E87A11">
        <w:t xml:space="preserve">, planned </w:t>
      </w:r>
      <w:proofErr w:type="spellStart"/>
      <w:r w:rsidRPr="00E87A11">
        <w:t>cofinancing</w:t>
      </w:r>
      <w:proofErr w:type="spellEnd"/>
      <w:r w:rsidRPr="00E87A11">
        <w:t xml:space="preserve"> was USD 12.13 million from local (city and provincial) governments, private </w:t>
      </w:r>
      <w:proofErr w:type="gramStart"/>
      <w:r w:rsidRPr="00E87A11">
        <w:t>companies</w:t>
      </w:r>
      <w:proofErr w:type="gramEnd"/>
      <w:r w:rsidRPr="00E87A11">
        <w:t xml:space="preserve"> and UNDP. </w:t>
      </w:r>
      <w:r w:rsidR="00806E67">
        <w:t xml:space="preserve">During project implementation, no records were maintained of disbursed cofinancing resources and </w:t>
      </w:r>
      <w:r w:rsidR="0054226A">
        <w:t>these</w:t>
      </w:r>
      <w:r w:rsidR="00806E67">
        <w:t xml:space="preserve"> were not reported in progress reports</w:t>
      </w:r>
      <w:r w:rsidR="0054226A">
        <w:t>, either</w:t>
      </w:r>
      <w:r w:rsidR="00806E67">
        <w:t xml:space="preserve"> (e.g. QPR, APR, and PIRs). Figures on cofinancing reported </w:t>
      </w:r>
      <w:r w:rsidR="0054226A">
        <w:t>by</w:t>
      </w:r>
      <w:r w:rsidR="00806E67">
        <w:t xml:space="preserve"> MTR do not seem to have been supported by adequate evidence. </w:t>
      </w:r>
      <w:r w:rsidR="001A427C">
        <w:t xml:space="preserve">The amount of cofinancing realized reported in the GEF tracking tool seems to be mistaken, as it refers to the total project financing at project start (USD 15,043,700) and not to actual cofinancing. </w:t>
      </w:r>
      <w:r w:rsidR="00D14D2F">
        <w:t xml:space="preserve">Some evidence of disbursed cofinancing could be produced upon request from the TE team, however, significant information gaps persisted and the uncertainty regarding effective cofinancing remained high. </w:t>
      </w:r>
    </w:p>
    <w:p w14:paraId="06D5B6A8" w14:textId="2F5432FB" w:rsidR="00806E67" w:rsidRDefault="00D14D2F" w:rsidP="00257201">
      <w:pPr>
        <w:jc w:val="both"/>
      </w:pPr>
      <w:r>
        <w:fldChar w:fldCharType="begin"/>
      </w:r>
      <w:r>
        <w:instrText xml:space="preserve"> REF _Ref64361962 \h </w:instrText>
      </w:r>
      <w:r>
        <w:fldChar w:fldCharType="separate"/>
      </w:r>
      <w:r w:rsidR="004718D8">
        <w:t xml:space="preserve">Table </w:t>
      </w:r>
      <w:r w:rsidR="004718D8">
        <w:rPr>
          <w:noProof/>
        </w:rPr>
        <w:t>11</w:t>
      </w:r>
      <w:r>
        <w:fldChar w:fldCharType="end"/>
      </w:r>
      <w:r>
        <w:t xml:space="preserve"> presents the best approximation to actual cofinancing that this TE could establish based on the available information. Grants from the Zhejiang Provincial Government and Fuyang City Government </w:t>
      </w:r>
      <w:r w:rsidR="00101DD0">
        <w:t xml:space="preserve">to support the implementation of demonstration projects </w:t>
      </w:r>
      <w:r>
        <w:t xml:space="preserve">were provided as planned </w:t>
      </w:r>
      <w:r w:rsidR="00101DD0">
        <w:t xml:space="preserve">and the evidence is conclusive. </w:t>
      </w:r>
      <w:r w:rsidR="0054226A">
        <w:t>It remained unclear if the cash contribution by the Government of Zhejiang Province to policy development, capacity building and promotion activities was made effective.</w:t>
      </w:r>
      <w:r w:rsidR="00101DD0">
        <w:t xml:space="preserve"> In-kind contributions from </w:t>
      </w:r>
      <w:r w:rsidR="00101DD0">
        <w:lastRenderedPageBreak/>
        <w:t>the two private companies implementing demonstration projects were made effective and the demonstrations projects were implemented as planned.  It remains unclear if the cash contributions towards trainings and workshops was provided.</w:t>
      </w:r>
      <w:r w:rsidR="0054226A" w:rsidRPr="0054226A">
        <w:t xml:space="preserve"> </w:t>
      </w:r>
      <w:r w:rsidR="0093243F">
        <w:t xml:space="preserve">According to information provided by the project team, </w:t>
      </w:r>
      <w:r w:rsidR="0054226A">
        <w:t>UNDP</w:t>
      </w:r>
      <w:r w:rsidR="0093243F">
        <w:t>´s</w:t>
      </w:r>
      <w:r w:rsidR="0054226A">
        <w:t xml:space="preserve"> </w:t>
      </w:r>
      <w:r w:rsidR="0093243F">
        <w:t xml:space="preserve">cofinancing resources were used to </w:t>
      </w:r>
      <w:r w:rsidR="0054226A">
        <w:t xml:space="preserve">support </w:t>
      </w:r>
      <w:r w:rsidR="0093243F">
        <w:t xml:space="preserve">the initiative on </w:t>
      </w:r>
      <w:proofErr w:type="spellStart"/>
      <w:r w:rsidR="0093243F">
        <w:t>Jingong</w:t>
      </w:r>
      <w:proofErr w:type="spellEnd"/>
      <w:r w:rsidR="0093243F">
        <w:t xml:space="preserve"> logistics base and to hire technical experts (including United Nations volunteers) to support the implementation of </w:t>
      </w:r>
      <w:r w:rsidR="0054226A">
        <w:t>project activities</w:t>
      </w:r>
      <w:r w:rsidR="0093243F">
        <w:t>.</w:t>
      </w:r>
    </w:p>
    <w:p w14:paraId="5285C954" w14:textId="49694CA6" w:rsidR="00E91F62" w:rsidRDefault="00E91F62" w:rsidP="00257201">
      <w:pPr>
        <w:jc w:val="both"/>
      </w:pPr>
      <w:r w:rsidRPr="00E87A11">
        <w:t xml:space="preserve">By project end, the amount of </w:t>
      </w:r>
      <w:r w:rsidR="0054226A">
        <w:t xml:space="preserve">actual </w:t>
      </w:r>
      <w:r w:rsidRPr="00E87A11">
        <w:t xml:space="preserve">cofinancing was </w:t>
      </w:r>
      <w:r w:rsidR="0054226A">
        <w:t xml:space="preserve">estimated at </w:t>
      </w:r>
      <w:r w:rsidRPr="00E87A11">
        <w:t xml:space="preserve">USD </w:t>
      </w:r>
      <w:r w:rsidR="0054226A">
        <w:t>20.</w:t>
      </w:r>
      <w:r w:rsidR="0093243F">
        <w:t>98</w:t>
      </w:r>
      <w:r w:rsidRPr="00E87A11">
        <w:t xml:space="preserve"> million</w:t>
      </w:r>
      <w:r w:rsidR="0054226A">
        <w:t>, exceeding the planned amount of USD 12.13 million.</w:t>
      </w:r>
    </w:p>
    <w:p w14:paraId="64531BCF" w14:textId="17E9CF68" w:rsidR="00E91F62" w:rsidRDefault="00E91F62" w:rsidP="00E91F62">
      <w:pPr>
        <w:pStyle w:val="Caption"/>
      </w:pPr>
      <w:bookmarkStart w:id="43" w:name="_Ref64361962"/>
      <w:r>
        <w:t xml:space="preserve">Table </w:t>
      </w:r>
      <w:r>
        <w:fldChar w:fldCharType="begin"/>
      </w:r>
      <w:r>
        <w:instrText xml:space="preserve"> SEQ Table \* ARABIC </w:instrText>
      </w:r>
      <w:r>
        <w:fldChar w:fldCharType="separate"/>
      </w:r>
      <w:r w:rsidR="004718D8">
        <w:rPr>
          <w:noProof/>
        </w:rPr>
        <w:t>11</w:t>
      </w:r>
      <w:r>
        <w:fldChar w:fldCharType="end"/>
      </w:r>
      <w:bookmarkEnd w:id="43"/>
      <w:r>
        <w:t xml:space="preserve">. Planned and actual cofinancing resources </w:t>
      </w:r>
    </w:p>
    <w:tbl>
      <w:tblPr>
        <w:tblStyle w:val="TableGrid"/>
        <w:tblW w:w="9493" w:type="dxa"/>
        <w:tblLayout w:type="fixed"/>
        <w:tblLook w:val="04A0" w:firstRow="1" w:lastRow="0" w:firstColumn="1" w:lastColumn="0" w:noHBand="0" w:noVBand="1"/>
      </w:tblPr>
      <w:tblGrid>
        <w:gridCol w:w="1866"/>
        <w:gridCol w:w="934"/>
        <w:gridCol w:w="936"/>
        <w:gridCol w:w="936"/>
        <w:gridCol w:w="936"/>
        <w:gridCol w:w="950"/>
        <w:gridCol w:w="950"/>
        <w:gridCol w:w="992"/>
        <w:gridCol w:w="993"/>
      </w:tblGrid>
      <w:tr w:rsidR="002E6087" w:rsidRPr="00966163" w14:paraId="3D8A714D" w14:textId="77777777" w:rsidTr="00DE7923">
        <w:tc>
          <w:tcPr>
            <w:tcW w:w="1866" w:type="dxa"/>
            <w:shd w:val="clear" w:color="auto" w:fill="77ACDC" w:themeFill="accent5" w:themeFillTint="99"/>
          </w:tcPr>
          <w:p w14:paraId="73A0F6B3" w14:textId="40607E68" w:rsidR="002E6087" w:rsidRPr="00966163" w:rsidRDefault="002E6087" w:rsidP="002E6087">
            <w:pPr>
              <w:jc w:val="both"/>
              <w:rPr>
                <w:rFonts w:cs="Times New Roman"/>
                <w:sz w:val="20"/>
                <w:szCs w:val="20"/>
              </w:rPr>
            </w:pPr>
            <w:r w:rsidRPr="00966163">
              <w:rPr>
                <w:rFonts w:cs="Times New Roman"/>
                <w:sz w:val="20"/>
                <w:szCs w:val="20"/>
              </w:rPr>
              <w:t>Cofinancing (type/source)</w:t>
            </w:r>
          </w:p>
        </w:tc>
        <w:tc>
          <w:tcPr>
            <w:tcW w:w="1870" w:type="dxa"/>
            <w:gridSpan w:val="2"/>
            <w:shd w:val="clear" w:color="auto" w:fill="77ACDC" w:themeFill="accent5" w:themeFillTint="99"/>
          </w:tcPr>
          <w:p w14:paraId="22171F55" w14:textId="77777777" w:rsidR="002E6087" w:rsidRPr="00966163" w:rsidRDefault="002E6087" w:rsidP="002E6087">
            <w:pPr>
              <w:jc w:val="both"/>
              <w:rPr>
                <w:rFonts w:cs="Times New Roman"/>
                <w:sz w:val="20"/>
                <w:szCs w:val="20"/>
              </w:rPr>
            </w:pPr>
            <w:r w:rsidRPr="00966163">
              <w:rPr>
                <w:rFonts w:cs="Times New Roman"/>
                <w:sz w:val="20"/>
                <w:szCs w:val="20"/>
              </w:rPr>
              <w:t>UNDP financing</w:t>
            </w:r>
          </w:p>
          <w:p w14:paraId="069187A4" w14:textId="6C19C7E2" w:rsidR="002E6087" w:rsidRPr="00966163" w:rsidRDefault="002E6087" w:rsidP="002E6087">
            <w:pPr>
              <w:jc w:val="both"/>
              <w:rPr>
                <w:rFonts w:cs="Times New Roman"/>
                <w:sz w:val="20"/>
                <w:szCs w:val="20"/>
              </w:rPr>
            </w:pPr>
            <w:r w:rsidRPr="00966163">
              <w:rPr>
                <w:rFonts w:cs="Times New Roman"/>
                <w:sz w:val="20"/>
                <w:szCs w:val="20"/>
              </w:rPr>
              <w:t>(USD million)</w:t>
            </w:r>
          </w:p>
        </w:tc>
        <w:tc>
          <w:tcPr>
            <w:tcW w:w="1872" w:type="dxa"/>
            <w:gridSpan w:val="2"/>
            <w:shd w:val="clear" w:color="auto" w:fill="77ACDC" w:themeFill="accent5" w:themeFillTint="99"/>
          </w:tcPr>
          <w:p w14:paraId="512B709D" w14:textId="77777777" w:rsidR="002E6087" w:rsidRPr="00966163" w:rsidRDefault="002E6087" w:rsidP="002E6087">
            <w:pPr>
              <w:jc w:val="both"/>
              <w:rPr>
                <w:rFonts w:cs="Times New Roman"/>
                <w:sz w:val="20"/>
                <w:szCs w:val="20"/>
              </w:rPr>
            </w:pPr>
            <w:r w:rsidRPr="00966163">
              <w:rPr>
                <w:rFonts w:cs="Times New Roman"/>
                <w:sz w:val="20"/>
                <w:szCs w:val="20"/>
              </w:rPr>
              <w:t>Government</w:t>
            </w:r>
          </w:p>
          <w:p w14:paraId="52D25797" w14:textId="0A8C2675" w:rsidR="002E6087" w:rsidRPr="00966163" w:rsidRDefault="002E6087" w:rsidP="002E6087">
            <w:pPr>
              <w:jc w:val="both"/>
              <w:rPr>
                <w:rFonts w:cs="Times New Roman"/>
                <w:sz w:val="20"/>
                <w:szCs w:val="20"/>
              </w:rPr>
            </w:pPr>
            <w:r w:rsidRPr="00966163">
              <w:rPr>
                <w:rFonts w:cs="Times New Roman"/>
                <w:sz w:val="20"/>
                <w:szCs w:val="20"/>
              </w:rPr>
              <w:t>(USD million)</w:t>
            </w:r>
          </w:p>
        </w:tc>
        <w:tc>
          <w:tcPr>
            <w:tcW w:w="1900" w:type="dxa"/>
            <w:gridSpan w:val="2"/>
            <w:shd w:val="clear" w:color="auto" w:fill="77ACDC" w:themeFill="accent5" w:themeFillTint="99"/>
          </w:tcPr>
          <w:p w14:paraId="48B7596F" w14:textId="77777777" w:rsidR="002E6087" w:rsidRPr="00966163" w:rsidRDefault="002E6087" w:rsidP="002E6087">
            <w:pPr>
              <w:jc w:val="both"/>
              <w:rPr>
                <w:rFonts w:cs="Times New Roman"/>
                <w:sz w:val="20"/>
                <w:szCs w:val="20"/>
              </w:rPr>
            </w:pPr>
            <w:r w:rsidRPr="00966163">
              <w:rPr>
                <w:rFonts w:cs="Times New Roman"/>
                <w:sz w:val="20"/>
                <w:szCs w:val="20"/>
              </w:rPr>
              <w:t>Private sector</w:t>
            </w:r>
          </w:p>
          <w:p w14:paraId="75620911" w14:textId="3CEEDA9B" w:rsidR="002E6087" w:rsidRPr="00966163" w:rsidRDefault="002E6087" w:rsidP="002E6087">
            <w:pPr>
              <w:jc w:val="both"/>
              <w:rPr>
                <w:rFonts w:cs="Times New Roman"/>
                <w:sz w:val="20"/>
                <w:szCs w:val="20"/>
              </w:rPr>
            </w:pPr>
            <w:r w:rsidRPr="00966163">
              <w:rPr>
                <w:rFonts w:cs="Times New Roman"/>
                <w:sz w:val="20"/>
                <w:szCs w:val="20"/>
              </w:rPr>
              <w:t>(USD million)</w:t>
            </w:r>
          </w:p>
        </w:tc>
        <w:tc>
          <w:tcPr>
            <w:tcW w:w="1985" w:type="dxa"/>
            <w:gridSpan w:val="2"/>
            <w:shd w:val="clear" w:color="auto" w:fill="77ACDC" w:themeFill="accent5" w:themeFillTint="99"/>
          </w:tcPr>
          <w:p w14:paraId="1EEF5F1A" w14:textId="77777777" w:rsidR="002E6087" w:rsidRPr="00966163" w:rsidRDefault="002E6087" w:rsidP="002E6087">
            <w:pPr>
              <w:jc w:val="both"/>
              <w:rPr>
                <w:rFonts w:cs="Times New Roman"/>
                <w:sz w:val="20"/>
                <w:szCs w:val="20"/>
              </w:rPr>
            </w:pPr>
            <w:r w:rsidRPr="00966163">
              <w:rPr>
                <w:rFonts w:cs="Times New Roman"/>
                <w:sz w:val="20"/>
                <w:szCs w:val="20"/>
              </w:rPr>
              <w:t>Total</w:t>
            </w:r>
          </w:p>
          <w:p w14:paraId="7D082BEF" w14:textId="602028CF" w:rsidR="002E6087" w:rsidRPr="00966163" w:rsidRDefault="002E6087" w:rsidP="002E6087">
            <w:pPr>
              <w:jc w:val="both"/>
              <w:rPr>
                <w:rFonts w:cs="Times New Roman"/>
                <w:sz w:val="20"/>
                <w:szCs w:val="20"/>
              </w:rPr>
            </w:pPr>
            <w:r w:rsidRPr="00966163">
              <w:rPr>
                <w:rFonts w:cs="Times New Roman"/>
                <w:sz w:val="20"/>
                <w:szCs w:val="20"/>
              </w:rPr>
              <w:t>(USD million)</w:t>
            </w:r>
          </w:p>
        </w:tc>
      </w:tr>
      <w:tr w:rsidR="00DE7923" w:rsidRPr="00966163" w14:paraId="3C353B3B" w14:textId="77777777" w:rsidTr="00DE7923">
        <w:tc>
          <w:tcPr>
            <w:tcW w:w="1866" w:type="dxa"/>
            <w:shd w:val="clear" w:color="auto" w:fill="D1E3F3" w:themeFill="accent5" w:themeFillTint="33"/>
          </w:tcPr>
          <w:p w14:paraId="03296C05" w14:textId="4100045A" w:rsidR="002E6087" w:rsidRPr="00966163" w:rsidRDefault="002E6087" w:rsidP="002E6087">
            <w:pPr>
              <w:jc w:val="both"/>
              <w:rPr>
                <w:rFonts w:cs="Times New Roman"/>
                <w:sz w:val="20"/>
                <w:szCs w:val="20"/>
              </w:rPr>
            </w:pPr>
          </w:p>
        </w:tc>
        <w:tc>
          <w:tcPr>
            <w:tcW w:w="934" w:type="dxa"/>
            <w:shd w:val="clear" w:color="auto" w:fill="D1E3F3" w:themeFill="accent5" w:themeFillTint="33"/>
          </w:tcPr>
          <w:p w14:paraId="6721B582" w14:textId="44B9B56B" w:rsidR="002E6087" w:rsidRPr="00966163" w:rsidRDefault="002E6087" w:rsidP="002E6087">
            <w:pPr>
              <w:jc w:val="both"/>
              <w:rPr>
                <w:rFonts w:cs="Times New Roman"/>
                <w:sz w:val="20"/>
                <w:szCs w:val="20"/>
              </w:rPr>
            </w:pPr>
            <w:r w:rsidRPr="00966163">
              <w:rPr>
                <w:rFonts w:cs="Times New Roman"/>
                <w:sz w:val="20"/>
                <w:szCs w:val="20"/>
              </w:rPr>
              <w:t>Planned</w:t>
            </w:r>
          </w:p>
        </w:tc>
        <w:tc>
          <w:tcPr>
            <w:tcW w:w="936" w:type="dxa"/>
            <w:shd w:val="clear" w:color="auto" w:fill="D1E3F3" w:themeFill="accent5" w:themeFillTint="33"/>
          </w:tcPr>
          <w:p w14:paraId="133D3730" w14:textId="01194C88" w:rsidR="002E6087" w:rsidRPr="00966163" w:rsidRDefault="002E6087" w:rsidP="002E6087">
            <w:pPr>
              <w:jc w:val="both"/>
              <w:rPr>
                <w:rFonts w:cs="Times New Roman"/>
                <w:sz w:val="20"/>
                <w:szCs w:val="20"/>
              </w:rPr>
            </w:pPr>
            <w:r w:rsidRPr="00966163">
              <w:rPr>
                <w:rFonts w:cs="Times New Roman"/>
                <w:sz w:val="20"/>
                <w:szCs w:val="20"/>
              </w:rPr>
              <w:t>Actual</w:t>
            </w:r>
          </w:p>
        </w:tc>
        <w:tc>
          <w:tcPr>
            <w:tcW w:w="936" w:type="dxa"/>
            <w:shd w:val="clear" w:color="auto" w:fill="D1E3F3" w:themeFill="accent5" w:themeFillTint="33"/>
          </w:tcPr>
          <w:p w14:paraId="2E7AF9B1" w14:textId="7E41D05D" w:rsidR="002E6087" w:rsidRPr="00966163" w:rsidRDefault="002E6087" w:rsidP="002E6087">
            <w:pPr>
              <w:jc w:val="both"/>
              <w:rPr>
                <w:rFonts w:cs="Times New Roman"/>
                <w:sz w:val="20"/>
                <w:szCs w:val="20"/>
              </w:rPr>
            </w:pPr>
            <w:r w:rsidRPr="00966163">
              <w:rPr>
                <w:rFonts w:cs="Times New Roman"/>
                <w:sz w:val="20"/>
                <w:szCs w:val="20"/>
              </w:rPr>
              <w:t>Planned</w:t>
            </w:r>
          </w:p>
        </w:tc>
        <w:tc>
          <w:tcPr>
            <w:tcW w:w="936" w:type="dxa"/>
            <w:shd w:val="clear" w:color="auto" w:fill="D1E3F3" w:themeFill="accent5" w:themeFillTint="33"/>
          </w:tcPr>
          <w:p w14:paraId="3EC9B931" w14:textId="3DE36CA8" w:rsidR="002E6087" w:rsidRPr="00966163" w:rsidRDefault="002E6087" w:rsidP="002E6087">
            <w:pPr>
              <w:jc w:val="both"/>
              <w:rPr>
                <w:rFonts w:cs="Times New Roman"/>
                <w:sz w:val="20"/>
                <w:szCs w:val="20"/>
              </w:rPr>
            </w:pPr>
            <w:r w:rsidRPr="00966163">
              <w:rPr>
                <w:rFonts w:cs="Times New Roman"/>
                <w:sz w:val="20"/>
                <w:szCs w:val="20"/>
              </w:rPr>
              <w:t>Actual</w:t>
            </w:r>
          </w:p>
        </w:tc>
        <w:tc>
          <w:tcPr>
            <w:tcW w:w="950" w:type="dxa"/>
            <w:shd w:val="clear" w:color="auto" w:fill="D1E3F3" w:themeFill="accent5" w:themeFillTint="33"/>
          </w:tcPr>
          <w:p w14:paraId="5BD267FD" w14:textId="0DA412F7" w:rsidR="002E6087" w:rsidRPr="00966163" w:rsidRDefault="002E6087" w:rsidP="002E6087">
            <w:pPr>
              <w:jc w:val="both"/>
              <w:rPr>
                <w:rFonts w:cs="Times New Roman"/>
                <w:sz w:val="20"/>
                <w:szCs w:val="20"/>
              </w:rPr>
            </w:pPr>
            <w:r w:rsidRPr="00966163">
              <w:rPr>
                <w:rFonts w:cs="Times New Roman"/>
                <w:sz w:val="20"/>
                <w:szCs w:val="20"/>
              </w:rPr>
              <w:t>Planned</w:t>
            </w:r>
          </w:p>
        </w:tc>
        <w:tc>
          <w:tcPr>
            <w:tcW w:w="950" w:type="dxa"/>
            <w:shd w:val="clear" w:color="auto" w:fill="D1E3F3" w:themeFill="accent5" w:themeFillTint="33"/>
          </w:tcPr>
          <w:p w14:paraId="31EC30EC" w14:textId="6A783631" w:rsidR="002E6087" w:rsidRPr="00966163" w:rsidRDefault="002E6087" w:rsidP="002E6087">
            <w:pPr>
              <w:jc w:val="both"/>
              <w:rPr>
                <w:rFonts w:cs="Times New Roman"/>
                <w:sz w:val="20"/>
                <w:szCs w:val="20"/>
              </w:rPr>
            </w:pPr>
            <w:r w:rsidRPr="00966163">
              <w:rPr>
                <w:rFonts w:cs="Times New Roman"/>
                <w:sz w:val="20"/>
                <w:szCs w:val="20"/>
              </w:rPr>
              <w:t>Actual</w:t>
            </w:r>
          </w:p>
        </w:tc>
        <w:tc>
          <w:tcPr>
            <w:tcW w:w="992" w:type="dxa"/>
            <w:shd w:val="clear" w:color="auto" w:fill="D1E3F3" w:themeFill="accent5" w:themeFillTint="33"/>
          </w:tcPr>
          <w:p w14:paraId="4D1DA9AC" w14:textId="72E0D3D2" w:rsidR="002E6087" w:rsidRPr="00966163" w:rsidRDefault="002E6087" w:rsidP="002E6087">
            <w:pPr>
              <w:jc w:val="both"/>
              <w:rPr>
                <w:rFonts w:cs="Times New Roman"/>
                <w:sz w:val="20"/>
                <w:szCs w:val="20"/>
              </w:rPr>
            </w:pPr>
            <w:r w:rsidRPr="00966163">
              <w:rPr>
                <w:rFonts w:cs="Times New Roman"/>
                <w:sz w:val="20"/>
                <w:szCs w:val="20"/>
              </w:rPr>
              <w:t>Planned</w:t>
            </w:r>
          </w:p>
        </w:tc>
        <w:tc>
          <w:tcPr>
            <w:tcW w:w="993" w:type="dxa"/>
            <w:shd w:val="clear" w:color="auto" w:fill="D1E3F3" w:themeFill="accent5" w:themeFillTint="33"/>
          </w:tcPr>
          <w:p w14:paraId="06030075" w14:textId="362B1FB8" w:rsidR="002E6087" w:rsidRPr="00966163" w:rsidRDefault="002E6087" w:rsidP="002E6087">
            <w:pPr>
              <w:jc w:val="both"/>
              <w:rPr>
                <w:rFonts w:cs="Times New Roman"/>
                <w:sz w:val="20"/>
                <w:szCs w:val="20"/>
              </w:rPr>
            </w:pPr>
            <w:r w:rsidRPr="00966163">
              <w:rPr>
                <w:rFonts w:cs="Times New Roman"/>
                <w:sz w:val="20"/>
                <w:szCs w:val="20"/>
              </w:rPr>
              <w:t>Actual</w:t>
            </w:r>
          </w:p>
        </w:tc>
      </w:tr>
      <w:tr w:rsidR="00966163" w:rsidRPr="00966163" w14:paraId="18718B9A" w14:textId="77777777" w:rsidTr="002E6087">
        <w:tc>
          <w:tcPr>
            <w:tcW w:w="1866" w:type="dxa"/>
          </w:tcPr>
          <w:p w14:paraId="612E1F26" w14:textId="38B3BBB3" w:rsidR="002E6087" w:rsidRPr="00966163" w:rsidRDefault="002E6087" w:rsidP="002E6087">
            <w:pPr>
              <w:jc w:val="both"/>
              <w:rPr>
                <w:rFonts w:cs="Times New Roman"/>
                <w:sz w:val="20"/>
                <w:szCs w:val="20"/>
              </w:rPr>
            </w:pPr>
            <w:r w:rsidRPr="00966163">
              <w:rPr>
                <w:rFonts w:cs="Times New Roman"/>
                <w:sz w:val="20"/>
                <w:szCs w:val="20"/>
              </w:rPr>
              <w:t>Grants</w:t>
            </w:r>
          </w:p>
        </w:tc>
        <w:tc>
          <w:tcPr>
            <w:tcW w:w="934" w:type="dxa"/>
          </w:tcPr>
          <w:p w14:paraId="416DD10B" w14:textId="7EC19D0E" w:rsidR="002E6087" w:rsidRPr="00DF500B" w:rsidRDefault="002E6087" w:rsidP="002E6087">
            <w:pPr>
              <w:jc w:val="right"/>
              <w:rPr>
                <w:rFonts w:cs="Times New Roman"/>
                <w:sz w:val="20"/>
                <w:szCs w:val="20"/>
              </w:rPr>
            </w:pPr>
            <w:r w:rsidRPr="00DF500B">
              <w:rPr>
                <w:rFonts w:cs="Times New Roman"/>
                <w:sz w:val="20"/>
                <w:szCs w:val="20"/>
              </w:rPr>
              <w:t>0.25</w:t>
            </w:r>
          </w:p>
        </w:tc>
        <w:tc>
          <w:tcPr>
            <w:tcW w:w="936" w:type="dxa"/>
          </w:tcPr>
          <w:p w14:paraId="2CF95D7A" w14:textId="680F9137" w:rsidR="002E6087" w:rsidRPr="00DF500B" w:rsidRDefault="007B6387" w:rsidP="002E6087">
            <w:pPr>
              <w:jc w:val="right"/>
              <w:rPr>
                <w:rFonts w:cs="Times New Roman"/>
                <w:sz w:val="20"/>
                <w:szCs w:val="20"/>
              </w:rPr>
            </w:pPr>
            <w:r>
              <w:rPr>
                <w:rFonts w:cs="Times New Roman"/>
                <w:sz w:val="20"/>
                <w:szCs w:val="20"/>
              </w:rPr>
              <w:t>0.26</w:t>
            </w:r>
          </w:p>
        </w:tc>
        <w:tc>
          <w:tcPr>
            <w:tcW w:w="936" w:type="dxa"/>
          </w:tcPr>
          <w:p w14:paraId="7583D9EC" w14:textId="34619E47" w:rsidR="002E6087" w:rsidRPr="00DF500B" w:rsidRDefault="002E6087" w:rsidP="002E6087">
            <w:pPr>
              <w:jc w:val="right"/>
              <w:rPr>
                <w:rFonts w:cs="Times New Roman"/>
                <w:sz w:val="20"/>
                <w:szCs w:val="20"/>
              </w:rPr>
            </w:pPr>
            <w:r w:rsidRPr="00DF500B">
              <w:rPr>
                <w:rFonts w:cs="Times New Roman"/>
                <w:sz w:val="20"/>
                <w:szCs w:val="20"/>
              </w:rPr>
              <w:t>3.00</w:t>
            </w:r>
          </w:p>
        </w:tc>
        <w:tc>
          <w:tcPr>
            <w:tcW w:w="936" w:type="dxa"/>
          </w:tcPr>
          <w:p w14:paraId="5E4C334F" w14:textId="72E5D47E" w:rsidR="002E6087" w:rsidRPr="00DF500B" w:rsidRDefault="0028188B" w:rsidP="002E6087">
            <w:pPr>
              <w:jc w:val="right"/>
              <w:rPr>
                <w:rFonts w:cs="Times New Roman"/>
                <w:sz w:val="20"/>
                <w:szCs w:val="20"/>
              </w:rPr>
            </w:pPr>
            <w:r w:rsidRPr="00DF500B">
              <w:rPr>
                <w:rFonts w:cs="Times New Roman"/>
                <w:sz w:val="20"/>
                <w:szCs w:val="20"/>
              </w:rPr>
              <w:t>3.62</w:t>
            </w:r>
          </w:p>
        </w:tc>
        <w:tc>
          <w:tcPr>
            <w:tcW w:w="950" w:type="dxa"/>
          </w:tcPr>
          <w:p w14:paraId="2C595237" w14:textId="50F53264" w:rsidR="002E6087" w:rsidRPr="00DF500B" w:rsidRDefault="002E6087" w:rsidP="002E6087">
            <w:pPr>
              <w:jc w:val="right"/>
              <w:rPr>
                <w:rFonts w:cs="Times New Roman"/>
                <w:sz w:val="20"/>
                <w:szCs w:val="20"/>
              </w:rPr>
            </w:pPr>
            <w:r w:rsidRPr="00DF500B">
              <w:rPr>
                <w:rFonts w:cs="Times New Roman"/>
                <w:sz w:val="20"/>
                <w:szCs w:val="20"/>
              </w:rPr>
              <w:t>2.94</w:t>
            </w:r>
          </w:p>
        </w:tc>
        <w:tc>
          <w:tcPr>
            <w:tcW w:w="950" w:type="dxa"/>
          </w:tcPr>
          <w:p w14:paraId="79B3CCC3" w14:textId="0869AD80" w:rsidR="002E6087" w:rsidRPr="00966163" w:rsidRDefault="007911C4" w:rsidP="002E6087">
            <w:pPr>
              <w:jc w:val="right"/>
              <w:rPr>
                <w:rFonts w:cs="Times New Roman"/>
                <w:sz w:val="20"/>
                <w:szCs w:val="20"/>
              </w:rPr>
            </w:pPr>
            <w:r>
              <w:rPr>
                <w:rFonts w:cs="Times New Roman"/>
                <w:sz w:val="20"/>
                <w:szCs w:val="20"/>
              </w:rPr>
              <w:t>0.00</w:t>
            </w:r>
          </w:p>
        </w:tc>
        <w:tc>
          <w:tcPr>
            <w:tcW w:w="992" w:type="dxa"/>
          </w:tcPr>
          <w:p w14:paraId="01C34B4E" w14:textId="68493924" w:rsidR="002E6087" w:rsidRPr="00966163" w:rsidRDefault="002E6087" w:rsidP="002E6087">
            <w:pPr>
              <w:jc w:val="right"/>
              <w:rPr>
                <w:rFonts w:cs="Times New Roman"/>
                <w:sz w:val="20"/>
                <w:szCs w:val="20"/>
              </w:rPr>
            </w:pPr>
            <w:r w:rsidRPr="00966163">
              <w:rPr>
                <w:rFonts w:cs="Times New Roman"/>
                <w:sz w:val="20"/>
                <w:szCs w:val="20"/>
              </w:rPr>
              <w:t>6.19</w:t>
            </w:r>
          </w:p>
        </w:tc>
        <w:tc>
          <w:tcPr>
            <w:tcW w:w="993" w:type="dxa"/>
          </w:tcPr>
          <w:p w14:paraId="3C2CA98E" w14:textId="259A8F1C" w:rsidR="002E6087" w:rsidRPr="00966163" w:rsidRDefault="00E87A11" w:rsidP="002E6087">
            <w:pPr>
              <w:jc w:val="right"/>
              <w:rPr>
                <w:rFonts w:cs="Times New Roman"/>
                <w:sz w:val="20"/>
                <w:szCs w:val="20"/>
              </w:rPr>
            </w:pPr>
            <w:r>
              <w:rPr>
                <w:rFonts w:cs="Times New Roman"/>
                <w:sz w:val="20"/>
                <w:szCs w:val="20"/>
              </w:rPr>
              <w:t>3.</w:t>
            </w:r>
            <w:r w:rsidR="007B6387">
              <w:rPr>
                <w:rFonts w:cs="Times New Roman"/>
                <w:sz w:val="20"/>
                <w:szCs w:val="20"/>
              </w:rPr>
              <w:t>88</w:t>
            </w:r>
          </w:p>
        </w:tc>
      </w:tr>
      <w:tr w:rsidR="00966163" w:rsidRPr="00966163" w14:paraId="72F217EA" w14:textId="77777777" w:rsidTr="002E6087">
        <w:tc>
          <w:tcPr>
            <w:tcW w:w="1866" w:type="dxa"/>
          </w:tcPr>
          <w:p w14:paraId="57054359" w14:textId="02ADEBB0" w:rsidR="002E6087" w:rsidRPr="00966163" w:rsidRDefault="002E6087" w:rsidP="002E6087">
            <w:pPr>
              <w:jc w:val="both"/>
              <w:rPr>
                <w:rFonts w:cs="Times New Roman"/>
                <w:sz w:val="20"/>
                <w:szCs w:val="20"/>
              </w:rPr>
            </w:pPr>
            <w:r w:rsidRPr="00966163">
              <w:rPr>
                <w:rFonts w:cs="Times New Roman"/>
                <w:sz w:val="20"/>
                <w:szCs w:val="20"/>
              </w:rPr>
              <w:t>Loans/concessions</w:t>
            </w:r>
          </w:p>
        </w:tc>
        <w:tc>
          <w:tcPr>
            <w:tcW w:w="934" w:type="dxa"/>
          </w:tcPr>
          <w:p w14:paraId="7FF59434" w14:textId="33826FF1" w:rsidR="002E6087" w:rsidRPr="00DF500B" w:rsidRDefault="002E6087" w:rsidP="002E6087">
            <w:pPr>
              <w:jc w:val="right"/>
              <w:rPr>
                <w:rFonts w:cs="Times New Roman"/>
                <w:sz w:val="20"/>
                <w:szCs w:val="20"/>
              </w:rPr>
            </w:pPr>
            <w:r w:rsidRPr="00DF500B">
              <w:rPr>
                <w:rFonts w:cs="Times New Roman"/>
                <w:sz w:val="20"/>
                <w:szCs w:val="20"/>
              </w:rPr>
              <w:t>0.00</w:t>
            </w:r>
          </w:p>
        </w:tc>
        <w:tc>
          <w:tcPr>
            <w:tcW w:w="936" w:type="dxa"/>
          </w:tcPr>
          <w:p w14:paraId="0B439E28" w14:textId="2D21B99A" w:rsidR="002E6087" w:rsidRPr="00DF500B" w:rsidRDefault="002E6087" w:rsidP="002E6087">
            <w:pPr>
              <w:jc w:val="right"/>
              <w:rPr>
                <w:rFonts w:cs="Times New Roman"/>
                <w:sz w:val="20"/>
                <w:szCs w:val="20"/>
              </w:rPr>
            </w:pPr>
            <w:r w:rsidRPr="00DF500B">
              <w:rPr>
                <w:rFonts w:cs="Times New Roman"/>
                <w:sz w:val="20"/>
                <w:szCs w:val="20"/>
              </w:rPr>
              <w:t>0.00</w:t>
            </w:r>
          </w:p>
        </w:tc>
        <w:tc>
          <w:tcPr>
            <w:tcW w:w="936" w:type="dxa"/>
          </w:tcPr>
          <w:p w14:paraId="3C172366" w14:textId="7ACCB206" w:rsidR="002E6087" w:rsidRPr="00DF500B" w:rsidRDefault="002E6087" w:rsidP="002E6087">
            <w:pPr>
              <w:jc w:val="right"/>
              <w:rPr>
                <w:rFonts w:cs="Times New Roman"/>
                <w:sz w:val="20"/>
                <w:szCs w:val="20"/>
              </w:rPr>
            </w:pPr>
            <w:r w:rsidRPr="00DF500B">
              <w:rPr>
                <w:rFonts w:cs="Times New Roman"/>
                <w:sz w:val="20"/>
                <w:szCs w:val="20"/>
              </w:rPr>
              <w:t>0.00</w:t>
            </w:r>
          </w:p>
        </w:tc>
        <w:tc>
          <w:tcPr>
            <w:tcW w:w="936" w:type="dxa"/>
          </w:tcPr>
          <w:p w14:paraId="5EB5C2BD" w14:textId="19D68F56" w:rsidR="002E6087" w:rsidRPr="00DF500B" w:rsidRDefault="002E6087" w:rsidP="002E6087">
            <w:pPr>
              <w:jc w:val="right"/>
              <w:rPr>
                <w:rFonts w:cs="Times New Roman"/>
                <w:sz w:val="20"/>
                <w:szCs w:val="20"/>
              </w:rPr>
            </w:pPr>
            <w:r w:rsidRPr="00DF500B">
              <w:rPr>
                <w:rFonts w:cs="Times New Roman"/>
                <w:sz w:val="20"/>
                <w:szCs w:val="20"/>
              </w:rPr>
              <w:t>0.00</w:t>
            </w:r>
          </w:p>
        </w:tc>
        <w:tc>
          <w:tcPr>
            <w:tcW w:w="950" w:type="dxa"/>
          </w:tcPr>
          <w:p w14:paraId="7DFCBFD2" w14:textId="70ACC668" w:rsidR="002E6087" w:rsidRPr="00DF500B" w:rsidRDefault="002E6087" w:rsidP="002E6087">
            <w:pPr>
              <w:jc w:val="right"/>
              <w:rPr>
                <w:rFonts w:cs="Times New Roman"/>
                <w:sz w:val="20"/>
                <w:szCs w:val="20"/>
              </w:rPr>
            </w:pPr>
            <w:r w:rsidRPr="00DF500B">
              <w:rPr>
                <w:rFonts w:cs="Times New Roman"/>
                <w:sz w:val="20"/>
                <w:szCs w:val="20"/>
              </w:rPr>
              <w:t>0.00</w:t>
            </w:r>
          </w:p>
        </w:tc>
        <w:tc>
          <w:tcPr>
            <w:tcW w:w="950" w:type="dxa"/>
          </w:tcPr>
          <w:p w14:paraId="6457E275" w14:textId="2F448290" w:rsidR="002E6087" w:rsidRPr="00966163" w:rsidRDefault="002E6087" w:rsidP="002E6087">
            <w:pPr>
              <w:jc w:val="right"/>
              <w:rPr>
                <w:rFonts w:cs="Times New Roman"/>
                <w:sz w:val="20"/>
                <w:szCs w:val="20"/>
              </w:rPr>
            </w:pPr>
            <w:r w:rsidRPr="00966163">
              <w:rPr>
                <w:rFonts w:cs="Times New Roman"/>
                <w:sz w:val="20"/>
                <w:szCs w:val="20"/>
              </w:rPr>
              <w:t>0.00</w:t>
            </w:r>
          </w:p>
        </w:tc>
        <w:tc>
          <w:tcPr>
            <w:tcW w:w="992" w:type="dxa"/>
          </w:tcPr>
          <w:p w14:paraId="1A97966C" w14:textId="1EF511DD" w:rsidR="002E6087" w:rsidRPr="00966163" w:rsidRDefault="002E6087" w:rsidP="002E6087">
            <w:pPr>
              <w:jc w:val="right"/>
              <w:rPr>
                <w:rFonts w:cs="Times New Roman"/>
                <w:sz w:val="20"/>
                <w:szCs w:val="20"/>
              </w:rPr>
            </w:pPr>
            <w:r w:rsidRPr="00966163">
              <w:rPr>
                <w:rFonts w:cs="Times New Roman"/>
                <w:sz w:val="20"/>
                <w:szCs w:val="20"/>
              </w:rPr>
              <w:t>0.00</w:t>
            </w:r>
          </w:p>
        </w:tc>
        <w:tc>
          <w:tcPr>
            <w:tcW w:w="993" w:type="dxa"/>
          </w:tcPr>
          <w:p w14:paraId="447260A3" w14:textId="3ABB0954" w:rsidR="002E6087" w:rsidRPr="00966163" w:rsidRDefault="002E6087" w:rsidP="002E6087">
            <w:pPr>
              <w:jc w:val="right"/>
              <w:rPr>
                <w:rFonts w:cs="Times New Roman"/>
                <w:sz w:val="20"/>
                <w:szCs w:val="20"/>
              </w:rPr>
            </w:pPr>
            <w:r w:rsidRPr="00966163">
              <w:rPr>
                <w:rFonts w:cs="Times New Roman"/>
                <w:sz w:val="20"/>
                <w:szCs w:val="20"/>
              </w:rPr>
              <w:t>0.00</w:t>
            </w:r>
          </w:p>
        </w:tc>
      </w:tr>
      <w:tr w:rsidR="00966163" w:rsidRPr="00966163" w14:paraId="01FC0E84" w14:textId="77777777" w:rsidTr="002E6087">
        <w:tc>
          <w:tcPr>
            <w:tcW w:w="1866" w:type="dxa"/>
          </w:tcPr>
          <w:p w14:paraId="4C8C6FE2" w14:textId="1C724EAF" w:rsidR="002E6087" w:rsidRPr="00966163" w:rsidRDefault="002E6087" w:rsidP="002E6087">
            <w:pPr>
              <w:jc w:val="both"/>
              <w:rPr>
                <w:rFonts w:cs="Times New Roman"/>
                <w:sz w:val="20"/>
                <w:szCs w:val="20"/>
              </w:rPr>
            </w:pPr>
            <w:r w:rsidRPr="00966163">
              <w:rPr>
                <w:rFonts w:cs="Times New Roman"/>
                <w:sz w:val="20"/>
                <w:szCs w:val="20"/>
              </w:rPr>
              <w:t>In-kind support</w:t>
            </w:r>
          </w:p>
        </w:tc>
        <w:tc>
          <w:tcPr>
            <w:tcW w:w="934" w:type="dxa"/>
          </w:tcPr>
          <w:p w14:paraId="42ACFEF4" w14:textId="261B2E1E" w:rsidR="002E6087" w:rsidRPr="00DF500B" w:rsidRDefault="002E6087" w:rsidP="002E6087">
            <w:pPr>
              <w:jc w:val="right"/>
              <w:rPr>
                <w:rFonts w:cs="Times New Roman"/>
                <w:sz w:val="20"/>
                <w:szCs w:val="20"/>
              </w:rPr>
            </w:pPr>
            <w:r w:rsidRPr="00DF500B">
              <w:rPr>
                <w:rFonts w:cs="Times New Roman"/>
                <w:sz w:val="20"/>
                <w:szCs w:val="20"/>
              </w:rPr>
              <w:t>0.00</w:t>
            </w:r>
          </w:p>
        </w:tc>
        <w:tc>
          <w:tcPr>
            <w:tcW w:w="936" w:type="dxa"/>
          </w:tcPr>
          <w:p w14:paraId="01BDA5EB" w14:textId="7BC4F449" w:rsidR="002E6087" w:rsidRPr="00DF500B" w:rsidRDefault="002E6087" w:rsidP="002E6087">
            <w:pPr>
              <w:jc w:val="right"/>
              <w:rPr>
                <w:rFonts w:cs="Times New Roman"/>
                <w:sz w:val="20"/>
                <w:szCs w:val="20"/>
              </w:rPr>
            </w:pPr>
            <w:r w:rsidRPr="00DF500B">
              <w:rPr>
                <w:rFonts w:cs="Times New Roman"/>
                <w:sz w:val="20"/>
                <w:szCs w:val="20"/>
              </w:rPr>
              <w:t>0.00</w:t>
            </w:r>
          </w:p>
        </w:tc>
        <w:tc>
          <w:tcPr>
            <w:tcW w:w="936" w:type="dxa"/>
          </w:tcPr>
          <w:p w14:paraId="6392E297" w14:textId="76BBBECA" w:rsidR="002E6087" w:rsidRPr="00DF500B" w:rsidRDefault="002E6087" w:rsidP="002E6087">
            <w:pPr>
              <w:jc w:val="right"/>
              <w:rPr>
                <w:rFonts w:cs="Times New Roman"/>
                <w:sz w:val="20"/>
                <w:szCs w:val="20"/>
              </w:rPr>
            </w:pPr>
            <w:r w:rsidRPr="00DF500B">
              <w:rPr>
                <w:rFonts w:cs="Times New Roman"/>
                <w:sz w:val="20"/>
                <w:szCs w:val="20"/>
              </w:rPr>
              <w:t>0.48</w:t>
            </w:r>
          </w:p>
        </w:tc>
        <w:tc>
          <w:tcPr>
            <w:tcW w:w="936" w:type="dxa"/>
          </w:tcPr>
          <w:p w14:paraId="150B99DF" w14:textId="64FBFF3B" w:rsidR="002E6087" w:rsidRPr="00DF500B" w:rsidRDefault="0028188B" w:rsidP="002E6087">
            <w:pPr>
              <w:jc w:val="right"/>
              <w:rPr>
                <w:rFonts w:cs="Times New Roman"/>
                <w:sz w:val="20"/>
                <w:szCs w:val="20"/>
              </w:rPr>
            </w:pPr>
            <w:r w:rsidRPr="00DF500B">
              <w:rPr>
                <w:rFonts w:cs="Times New Roman"/>
                <w:sz w:val="20"/>
                <w:szCs w:val="20"/>
              </w:rPr>
              <w:t>0.00</w:t>
            </w:r>
          </w:p>
        </w:tc>
        <w:tc>
          <w:tcPr>
            <w:tcW w:w="950" w:type="dxa"/>
          </w:tcPr>
          <w:p w14:paraId="791AB06A" w14:textId="4621BE8F" w:rsidR="002E6087" w:rsidRPr="00DF500B" w:rsidRDefault="002E6087" w:rsidP="002E6087">
            <w:pPr>
              <w:jc w:val="right"/>
              <w:rPr>
                <w:rFonts w:cs="Times New Roman"/>
                <w:sz w:val="20"/>
                <w:szCs w:val="20"/>
              </w:rPr>
            </w:pPr>
            <w:r w:rsidRPr="00DF500B">
              <w:rPr>
                <w:rFonts w:cs="Times New Roman"/>
                <w:sz w:val="20"/>
                <w:szCs w:val="20"/>
              </w:rPr>
              <w:t>5.46</w:t>
            </w:r>
          </w:p>
        </w:tc>
        <w:tc>
          <w:tcPr>
            <w:tcW w:w="950" w:type="dxa"/>
          </w:tcPr>
          <w:p w14:paraId="0FEEB963" w14:textId="5C8B20DC" w:rsidR="002E6087" w:rsidRPr="00966163" w:rsidRDefault="007911C4" w:rsidP="002E6087">
            <w:pPr>
              <w:jc w:val="right"/>
              <w:rPr>
                <w:rFonts w:cs="Times New Roman"/>
                <w:sz w:val="20"/>
                <w:szCs w:val="20"/>
              </w:rPr>
            </w:pPr>
            <w:r>
              <w:rPr>
                <w:rFonts w:cs="Times New Roman"/>
                <w:sz w:val="20"/>
                <w:szCs w:val="20"/>
              </w:rPr>
              <w:t>17.10</w:t>
            </w:r>
          </w:p>
        </w:tc>
        <w:tc>
          <w:tcPr>
            <w:tcW w:w="992" w:type="dxa"/>
          </w:tcPr>
          <w:p w14:paraId="544ACD93" w14:textId="3268F546" w:rsidR="002E6087" w:rsidRPr="00966163" w:rsidRDefault="002E6087" w:rsidP="002E6087">
            <w:pPr>
              <w:jc w:val="right"/>
              <w:rPr>
                <w:rFonts w:cs="Times New Roman"/>
                <w:sz w:val="20"/>
                <w:szCs w:val="20"/>
              </w:rPr>
            </w:pPr>
            <w:r w:rsidRPr="00966163">
              <w:rPr>
                <w:rFonts w:cs="Times New Roman"/>
                <w:sz w:val="20"/>
                <w:szCs w:val="20"/>
              </w:rPr>
              <w:t>5.94</w:t>
            </w:r>
          </w:p>
        </w:tc>
        <w:tc>
          <w:tcPr>
            <w:tcW w:w="993" w:type="dxa"/>
          </w:tcPr>
          <w:p w14:paraId="54BD6C99" w14:textId="34E5509F" w:rsidR="002E6087" w:rsidRPr="00966163" w:rsidRDefault="00E87A11" w:rsidP="002E6087">
            <w:pPr>
              <w:jc w:val="right"/>
              <w:rPr>
                <w:rFonts w:cs="Times New Roman"/>
                <w:sz w:val="20"/>
                <w:szCs w:val="20"/>
              </w:rPr>
            </w:pPr>
            <w:r>
              <w:rPr>
                <w:rFonts w:cs="Times New Roman"/>
                <w:sz w:val="20"/>
                <w:szCs w:val="20"/>
              </w:rPr>
              <w:t>17.1</w:t>
            </w:r>
          </w:p>
        </w:tc>
      </w:tr>
      <w:tr w:rsidR="00966163" w:rsidRPr="00966163" w14:paraId="4DDC0A82" w14:textId="77777777" w:rsidTr="002E6087">
        <w:tc>
          <w:tcPr>
            <w:tcW w:w="1866" w:type="dxa"/>
          </w:tcPr>
          <w:p w14:paraId="3DC584C4" w14:textId="7F73A957" w:rsidR="002E6087" w:rsidRPr="00966163" w:rsidRDefault="002E6087" w:rsidP="002E6087">
            <w:pPr>
              <w:jc w:val="both"/>
              <w:rPr>
                <w:rFonts w:cs="Times New Roman"/>
                <w:sz w:val="20"/>
                <w:szCs w:val="20"/>
              </w:rPr>
            </w:pPr>
            <w:r w:rsidRPr="00966163">
              <w:rPr>
                <w:rFonts w:cs="Times New Roman"/>
                <w:sz w:val="20"/>
                <w:szCs w:val="20"/>
              </w:rPr>
              <w:t>Other</w:t>
            </w:r>
          </w:p>
        </w:tc>
        <w:tc>
          <w:tcPr>
            <w:tcW w:w="934" w:type="dxa"/>
          </w:tcPr>
          <w:p w14:paraId="5D83307D" w14:textId="595D7435" w:rsidR="002E6087" w:rsidRPr="00DF500B" w:rsidRDefault="002E6087" w:rsidP="002E6087">
            <w:pPr>
              <w:jc w:val="right"/>
              <w:rPr>
                <w:rFonts w:cs="Times New Roman"/>
                <w:sz w:val="20"/>
                <w:szCs w:val="20"/>
              </w:rPr>
            </w:pPr>
            <w:r w:rsidRPr="00DF500B">
              <w:rPr>
                <w:rFonts w:cs="Times New Roman"/>
                <w:sz w:val="20"/>
                <w:szCs w:val="20"/>
              </w:rPr>
              <w:t>0.00</w:t>
            </w:r>
          </w:p>
        </w:tc>
        <w:tc>
          <w:tcPr>
            <w:tcW w:w="936" w:type="dxa"/>
          </w:tcPr>
          <w:p w14:paraId="0CE821BA" w14:textId="713FE98C" w:rsidR="002E6087" w:rsidRPr="00DF500B" w:rsidRDefault="002E6087" w:rsidP="002E6087">
            <w:pPr>
              <w:jc w:val="right"/>
              <w:rPr>
                <w:rFonts w:cs="Times New Roman"/>
                <w:sz w:val="20"/>
                <w:szCs w:val="20"/>
              </w:rPr>
            </w:pPr>
            <w:r w:rsidRPr="00DF500B">
              <w:rPr>
                <w:rFonts w:cs="Times New Roman"/>
                <w:sz w:val="20"/>
                <w:szCs w:val="20"/>
              </w:rPr>
              <w:t>0.00</w:t>
            </w:r>
          </w:p>
        </w:tc>
        <w:tc>
          <w:tcPr>
            <w:tcW w:w="936" w:type="dxa"/>
          </w:tcPr>
          <w:p w14:paraId="406288C7" w14:textId="55E856E3" w:rsidR="002E6087" w:rsidRPr="00DF500B" w:rsidRDefault="002E6087" w:rsidP="002E6087">
            <w:pPr>
              <w:jc w:val="right"/>
              <w:rPr>
                <w:rFonts w:cs="Times New Roman"/>
                <w:sz w:val="20"/>
                <w:szCs w:val="20"/>
              </w:rPr>
            </w:pPr>
            <w:r w:rsidRPr="00DF500B">
              <w:rPr>
                <w:rFonts w:cs="Times New Roman"/>
                <w:sz w:val="20"/>
                <w:szCs w:val="20"/>
              </w:rPr>
              <w:t>0.00</w:t>
            </w:r>
          </w:p>
        </w:tc>
        <w:tc>
          <w:tcPr>
            <w:tcW w:w="936" w:type="dxa"/>
          </w:tcPr>
          <w:p w14:paraId="1F261A94" w14:textId="4D5A29F1" w:rsidR="002E6087" w:rsidRPr="00DF500B" w:rsidRDefault="002E6087" w:rsidP="002E6087">
            <w:pPr>
              <w:jc w:val="right"/>
              <w:rPr>
                <w:rFonts w:cs="Times New Roman"/>
                <w:sz w:val="20"/>
                <w:szCs w:val="20"/>
              </w:rPr>
            </w:pPr>
            <w:r w:rsidRPr="00DF500B">
              <w:rPr>
                <w:rFonts w:cs="Times New Roman"/>
                <w:sz w:val="20"/>
                <w:szCs w:val="20"/>
              </w:rPr>
              <w:t>0.00</w:t>
            </w:r>
          </w:p>
        </w:tc>
        <w:tc>
          <w:tcPr>
            <w:tcW w:w="950" w:type="dxa"/>
          </w:tcPr>
          <w:p w14:paraId="13D662E8" w14:textId="1707D679" w:rsidR="002E6087" w:rsidRPr="00DF500B" w:rsidRDefault="002E6087" w:rsidP="002E6087">
            <w:pPr>
              <w:jc w:val="right"/>
              <w:rPr>
                <w:rFonts w:cs="Times New Roman"/>
                <w:sz w:val="20"/>
                <w:szCs w:val="20"/>
              </w:rPr>
            </w:pPr>
            <w:r w:rsidRPr="00DF500B">
              <w:rPr>
                <w:rFonts w:cs="Times New Roman"/>
                <w:sz w:val="20"/>
                <w:szCs w:val="20"/>
              </w:rPr>
              <w:t>0.00</w:t>
            </w:r>
          </w:p>
        </w:tc>
        <w:tc>
          <w:tcPr>
            <w:tcW w:w="950" w:type="dxa"/>
          </w:tcPr>
          <w:p w14:paraId="229D082B" w14:textId="22BBA438" w:rsidR="002E6087" w:rsidRPr="00966163" w:rsidRDefault="002E6087" w:rsidP="002E6087">
            <w:pPr>
              <w:jc w:val="right"/>
              <w:rPr>
                <w:rFonts w:cs="Times New Roman"/>
                <w:sz w:val="20"/>
                <w:szCs w:val="20"/>
              </w:rPr>
            </w:pPr>
            <w:r w:rsidRPr="00966163">
              <w:rPr>
                <w:rFonts w:cs="Times New Roman"/>
                <w:sz w:val="20"/>
                <w:szCs w:val="20"/>
              </w:rPr>
              <w:t>0.00</w:t>
            </w:r>
          </w:p>
        </w:tc>
        <w:tc>
          <w:tcPr>
            <w:tcW w:w="992" w:type="dxa"/>
          </w:tcPr>
          <w:p w14:paraId="7D4F21B3" w14:textId="1397BE08" w:rsidR="002E6087" w:rsidRPr="00966163" w:rsidRDefault="002E6087" w:rsidP="002E6087">
            <w:pPr>
              <w:jc w:val="right"/>
              <w:rPr>
                <w:rFonts w:cs="Times New Roman"/>
                <w:sz w:val="20"/>
                <w:szCs w:val="20"/>
              </w:rPr>
            </w:pPr>
            <w:r w:rsidRPr="00966163">
              <w:rPr>
                <w:rFonts w:cs="Times New Roman"/>
                <w:sz w:val="20"/>
                <w:szCs w:val="20"/>
              </w:rPr>
              <w:t>0.00</w:t>
            </w:r>
          </w:p>
        </w:tc>
        <w:tc>
          <w:tcPr>
            <w:tcW w:w="993" w:type="dxa"/>
          </w:tcPr>
          <w:p w14:paraId="5FCCC630" w14:textId="3F61E989" w:rsidR="002E6087" w:rsidRPr="00966163" w:rsidRDefault="002E6087" w:rsidP="002E6087">
            <w:pPr>
              <w:jc w:val="right"/>
              <w:rPr>
                <w:rFonts w:cs="Times New Roman"/>
                <w:sz w:val="20"/>
                <w:szCs w:val="20"/>
              </w:rPr>
            </w:pPr>
            <w:r w:rsidRPr="00966163">
              <w:rPr>
                <w:rFonts w:cs="Times New Roman"/>
                <w:sz w:val="20"/>
                <w:szCs w:val="20"/>
              </w:rPr>
              <w:t>0.00</w:t>
            </w:r>
          </w:p>
        </w:tc>
      </w:tr>
      <w:tr w:rsidR="00DE7923" w:rsidRPr="00966163" w14:paraId="5D30E804" w14:textId="77777777" w:rsidTr="00DE7923">
        <w:tc>
          <w:tcPr>
            <w:tcW w:w="1866" w:type="dxa"/>
            <w:shd w:val="clear" w:color="auto" w:fill="D1E3F3" w:themeFill="accent5" w:themeFillTint="33"/>
          </w:tcPr>
          <w:p w14:paraId="0D8C0CB9" w14:textId="41AAE02F" w:rsidR="002E6087" w:rsidRPr="00966163" w:rsidRDefault="002E6087" w:rsidP="002E6087">
            <w:pPr>
              <w:jc w:val="both"/>
              <w:rPr>
                <w:rFonts w:cs="Times New Roman"/>
                <w:b/>
                <w:bCs/>
                <w:sz w:val="20"/>
                <w:szCs w:val="20"/>
              </w:rPr>
            </w:pPr>
            <w:r w:rsidRPr="00966163">
              <w:rPr>
                <w:rFonts w:cs="Times New Roman"/>
                <w:b/>
                <w:bCs/>
                <w:sz w:val="20"/>
                <w:szCs w:val="20"/>
              </w:rPr>
              <w:t>Total</w:t>
            </w:r>
          </w:p>
        </w:tc>
        <w:tc>
          <w:tcPr>
            <w:tcW w:w="934" w:type="dxa"/>
            <w:shd w:val="clear" w:color="auto" w:fill="D1E3F3" w:themeFill="accent5" w:themeFillTint="33"/>
          </w:tcPr>
          <w:p w14:paraId="50D0D379" w14:textId="36C1C0AF" w:rsidR="002E6087" w:rsidRPr="00DF500B" w:rsidRDefault="002E6087" w:rsidP="002E6087">
            <w:pPr>
              <w:jc w:val="right"/>
              <w:rPr>
                <w:rFonts w:cs="Times New Roman"/>
                <w:b/>
                <w:bCs/>
                <w:sz w:val="20"/>
                <w:szCs w:val="20"/>
              </w:rPr>
            </w:pPr>
            <w:r w:rsidRPr="00DF500B">
              <w:rPr>
                <w:rFonts w:cs="Times New Roman"/>
                <w:b/>
                <w:bCs/>
                <w:sz w:val="20"/>
                <w:szCs w:val="20"/>
              </w:rPr>
              <w:t>0.25</w:t>
            </w:r>
          </w:p>
        </w:tc>
        <w:tc>
          <w:tcPr>
            <w:tcW w:w="936" w:type="dxa"/>
            <w:shd w:val="clear" w:color="auto" w:fill="D1E3F3" w:themeFill="accent5" w:themeFillTint="33"/>
          </w:tcPr>
          <w:p w14:paraId="764DA09F" w14:textId="6A8B5AAF" w:rsidR="002E6087" w:rsidRPr="00DF500B" w:rsidRDefault="007B6387" w:rsidP="002E6087">
            <w:pPr>
              <w:jc w:val="right"/>
              <w:rPr>
                <w:rFonts w:cs="Times New Roman"/>
                <w:b/>
                <w:bCs/>
                <w:sz w:val="20"/>
                <w:szCs w:val="20"/>
              </w:rPr>
            </w:pPr>
            <w:r>
              <w:rPr>
                <w:rFonts w:cs="Times New Roman"/>
                <w:b/>
                <w:bCs/>
                <w:sz w:val="20"/>
                <w:szCs w:val="20"/>
              </w:rPr>
              <w:t>0.26</w:t>
            </w:r>
          </w:p>
        </w:tc>
        <w:tc>
          <w:tcPr>
            <w:tcW w:w="936" w:type="dxa"/>
            <w:shd w:val="clear" w:color="auto" w:fill="D1E3F3" w:themeFill="accent5" w:themeFillTint="33"/>
          </w:tcPr>
          <w:p w14:paraId="1B17E189" w14:textId="16CBFE2D" w:rsidR="002E6087" w:rsidRPr="00DF500B" w:rsidRDefault="002E6087" w:rsidP="002E6087">
            <w:pPr>
              <w:jc w:val="right"/>
              <w:rPr>
                <w:rFonts w:cs="Times New Roman"/>
                <w:b/>
                <w:bCs/>
                <w:sz w:val="20"/>
                <w:szCs w:val="20"/>
              </w:rPr>
            </w:pPr>
            <w:r w:rsidRPr="00DF500B">
              <w:rPr>
                <w:rFonts w:cs="Times New Roman"/>
                <w:b/>
                <w:bCs/>
                <w:sz w:val="20"/>
                <w:szCs w:val="20"/>
              </w:rPr>
              <w:t>3.48</w:t>
            </w:r>
          </w:p>
        </w:tc>
        <w:tc>
          <w:tcPr>
            <w:tcW w:w="936" w:type="dxa"/>
            <w:shd w:val="clear" w:color="auto" w:fill="D1E3F3" w:themeFill="accent5" w:themeFillTint="33"/>
          </w:tcPr>
          <w:p w14:paraId="7E33FC4A" w14:textId="7F204128" w:rsidR="002E6087" w:rsidRPr="00DF500B" w:rsidRDefault="0028188B" w:rsidP="002E6087">
            <w:pPr>
              <w:jc w:val="right"/>
              <w:rPr>
                <w:rFonts w:cs="Times New Roman"/>
                <w:b/>
                <w:bCs/>
                <w:sz w:val="20"/>
                <w:szCs w:val="20"/>
              </w:rPr>
            </w:pPr>
            <w:r w:rsidRPr="00DF500B">
              <w:rPr>
                <w:rFonts w:cs="Times New Roman"/>
                <w:b/>
                <w:bCs/>
                <w:sz w:val="20"/>
                <w:szCs w:val="20"/>
              </w:rPr>
              <w:t>3.62</w:t>
            </w:r>
          </w:p>
        </w:tc>
        <w:tc>
          <w:tcPr>
            <w:tcW w:w="950" w:type="dxa"/>
            <w:shd w:val="clear" w:color="auto" w:fill="D1E3F3" w:themeFill="accent5" w:themeFillTint="33"/>
          </w:tcPr>
          <w:p w14:paraId="2B629394" w14:textId="6A668D98" w:rsidR="002E6087" w:rsidRPr="00DF500B" w:rsidRDefault="002E6087" w:rsidP="002E6087">
            <w:pPr>
              <w:jc w:val="right"/>
              <w:rPr>
                <w:rFonts w:cs="Times New Roman"/>
                <w:b/>
                <w:bCs/>
                <w:sz w:val="20"/>
                <w:szCs w:val="20"/>
              </w:rPr>
            </w:pPr>
            <w:r w:rsidRPr="00DF500B">
              <w:rPr>
                <w:rFonts w:cs="Times New Roman"/>
                <w:b/>
                <w:bCs/>
                <w:sz w:val="20"/>
                <w:szCs w:val="20"/>
              </w:rPr>
              <w:t>8.40</w:t>
            </w:r>
          </w:p>
        </w:tc>
        <w:tc>
          <w:tcPr>
            <w:tcW w:w="950" w:type="dxa"/>
            <w:shd w:val="clear" w:color="auto" w:fill="D1E3F3" w:themeFill="accent5" w:themeFillTint="33"/>
          </w:tcPr>
          <w:p w14:paraId="7FC44F6E" w14:textId="5610229A" w:rsidR="002E6087" w:rsidRPr="00966163" w:rsidRDefault="00E87A11" w:rsidP="002E6087">
            <w:pPr>
              <w:jc w:val="right"/>
              <w:rPr>
                <w:rFonts w:cs="Times New Roman"/>
                <w:b/>
                <w:bCs/>
                <w:sz w:val="20"/>
                <w:szCs w:val="20"/>
              </w:rPr>
            </w:pPr>
            <w:r>
              <w:rPr>
                <w:rFonts w:cs="Times New Roman"/>
                <w:b/>
                <w:bCs/>
                <w:sz w:val="20"/>
                <w:szCs w:val="20"/>
              </w:rPr>
              <w:t>17.10</w:t>
            </w:r>
          </w:p>
        </w:tc>
        <w:tc>
          <w:tcPr>
            <w:tcW w:w="992" w:type="dxa"/>
            <w:shd w:val="clear" w:color="auto" w:fill="D1E3F3" w:themeFill="accent5" w:themeFillTint="33"/>
          </w:tcPr>
          <w:p w14:paraId="292837C8" w14:textId="620CA121" w:rsidR="002E6087" w:rsidRPr="00966163" w:rsidRDefault="002E6087" w:rsidP="002E6087">
            <w:pPr>
              <w:jc w:val="right"/>
              <w:rPr>
                <w:rFonts w:cs="Times New Roman"/>
                <w:b/>
                <w:bCs/>
                <w:sz w:val="20"/>
                <w:szCs w:val="20"/>
              </w:rPr>
            </w:pPr>
            <w:r w:rsidRPr="00966163">
              <w:rPr>
                <w:rFonts w:cs="Times New Roman"/>
                <w:b/>
                <w:bCs/>
                <w:sz w:val="20"/>
                <w:szCs w:val="20"/>
              </w:rPr>
              <w:t>12.13</w:t>
            </w:r>
          </w:p>
        </w:tc>
        <w:tc>
          <w:tcPr>
            <w:tcW w:w="993" w:type="dxa"/>
            <w:shd w:val="clear" w:color="auto" w:fill="D1E3F3" w:themeFill="accent5" w:themeFillTint="33"/>
          </w:tcPr>
          <w:p w14:paraId="06F0C136" w14:textId="68FF2980" w:rsidR="002E6087" w:rsidRPr="00966163" w:rsidRDefault="00E87A11" w:rsidP="002E6087">
            <w:pPr>
              <w:jc w:val="right"/>
              <w:rPr>
                <w:rFonts w:cs="Times New Roman"/>
                <w:b/>
                <w:bCs/>
                <w:sz w:val="20"/>
                <w:szCs w:val="20"/>
              </w:rPr>
            </w:pPr>
            <w:r>
              <w:rPr>
                <w:rFonts w:cs="Times New Roman"/>
                <w:b/>
                <w:bCs/>
                <w:sz w:val="20"/>
                <w:szCs w:val="20"/>
              </w:rPr>
              <w:t>20.</w:t>
            </w:r>
            <w:r w:rsidR="007B6387">
              <w:rPr>
                <w:rFonts w:cs="Times New Roman"/>
                <w:b/>
                <w:bCs/>
                <w:sz w:val="20"/>
                <w:szCs w:val="20"/>
              </w:rPr>
              <w:t>98</w:t>
            </w:r>
          </w:p>
        </w:tc>
      </w:tr>
    </w:tbl>
    <w:p w14:paraId="50E3C48D" w14:textId="6DD3643B" w:rsidR="002E6087" w:rsidRDefault="002E6087" w:rsidP="002E6087">
      <w:pPr>
        <w:jc w:val="both"/>
      </w:pPr>
    </w:p>
    <w:p w14:paraId="3EBF02BD" w14:textId="77777777" w:rsidR="00790167" w:rsidRDefault="00790167" w:rsidP="00DE67CF">
      <w:pPr>
        <w:pStyle w:val="ListParagraph"/>
        <w:numPr>
          <w:ilvl w:val="2"/>
          <w:numId w:val="47"/>
        </w:numPr>
        <w:jc w:val="both"/>
        <w:rPr>
          <w:color w:val="2E75B6" w:themeColor="accent5"/>
        </w:rPr>
      </w:pPr>
      <w:r w:rsidRPr="008E2C94">
        <w:rPr>
          <w:color w:val="2E75B6" w:themeColor="accent5"/>
        </w:rPr>
        <w:t>M&amp;E: design at entry, implementation, and overall assessment</w:t>
      </w:r>
    </w:p>
    <w:p w14:paraId="40D8DA36" w14:textId="627F2054" w:rsidR="00790167" w:rsidRPr="00E75A6C" w:rsidRDefault="00790167" w:rsidP="00790167">
      <w:pPr>
        <w:jc w:val="both"/>
      </w:pPr>
      <w:r w:rsidRPr="00E75A6C">
        <w:rPr>
          <w:b/>
          <w:bCs/>
        </w:rPr>
        <w:t>Design at entry.</w:t>
      </w:r>
      <w:r>
        <w:rPr>
          <w:b/>
          <w:bCs/>
        </w:rPr>
        <w:t xml:space="preserve"> </w:t>
      </w:r>
      <w:r w:rsidR="00822BFF">
        <w:t>The total cost for M&amp;E activities was estimated at USD 102,000, or 3.2% of the total GEF grant. The M&amp;E plan did not allocate financial resources to the measurement of means of verification, which could be regarded as an omission given the complexity of some of the indicators included in the PRF (e.g. indicator</w:t>
      </w:r>
      <w:r w:rsidR="00DF500B">
        <w:t>s</w:t>
      </w:r>
      <w:r w:rsidR="00822BFF">
        <w:t xml:space="preserve"> on GHG emissions reductions and fuel savings).</w:t>
      </w:r>
      <w:r w:rsidR="00DF500B" w:rsidRPr="00DF500B">
        <w:t xml:space="preserve"> </w:t>
      </w:r>
      <w:r w:rsidR="00DF500B">
        <w:t xml:space="preserve">The M&amp;E plan included in the ProDoc was discussed during the inception meeting held on 24 March 2017. </w:t>
      </w:r>
      <w:r>
        <w:t>At the workshop the activities and budget for M&amp;E activities were agreed as follows:</w:t>
      </w:r>
    </w:p>
    <w:p w14:paraId="5A382361" w14:textId="30459912" w:rsidR="00790167" w:rsidRDefault="00790167" w:rsidP="00AC0D02">
      <w:pPr>
        <w:pStyle w:val="ListParagraph"/>
        <w:numPr>
          <w:ilvl w:val="0"/>
          <w:numId w:val="41"/>
        </w:numPr>
        <w:jc w:val="both"/>
      </w:pPr>
      <w:r w:rsidRPr="00E75A6C">
        <w:t xml:space="preserve">Project Inception Workshop and </w:t>
      </w:r>
      <w:r>
        <w:t>Report (estimate budget USD 10,000)</w:t>
      </w:r>
      <w:r w:rsidR="00DF500B">
        <w:t>;</w:t>
      </w:r>
    </w:p>
    <w:p w14:paraId="36B2314E" w14:textId="790E1131" w:rsidR="00790167" w:rsidRDefault="00790167" w:rsidP="00AC0D02">
      <w:pPr>
        <w:pStyle w:val="ListParagraph"/>
        <w:numPr>
          <w:ilvl w:val="0"/>
          <w:numId w:val="41"/>
        </w:numPr>
        <w:jc w:val="both"/>
      </w:pPr>
      <w:r>
        <w:t>Annual review reports</w:t>
      </w:r>
      <w:r w:rsidR="00DF500B">
        <w:t>;</w:t>
      </w:r>
    </w:p>
    <w:p w14:paraId="6D1A5AD8" w14:textId="2BB673D9" w:rsidR="00790167" w:rsidRPr="00E75A6C" w:rsidRDefault="00790167" w:rsidP="00AC0D02">
      <w:pPr>
        <w:pStyle w:val="ListParagraph"/>
        <w:numPr>
          <w:ilvl w:val="0"/>
          <w:numId w:val="41"/>
        </w:numPr>
        <w:jc w:val="both"/>
      </w:pPr>
      <w:r w:rsidRPr="00E75A6C">
        <w:t>Project Implementation</w:t>
      </w:r>
      <w:r>
        <w:t xml:space="preserve"> Review</w:t>
      </w:r>
      <w:r w:rsidRPr="00E75A6C">
        <w:t xml:space="preserve"> (PIR</w:t>
      </w:r>
      <w:r>
        <w:t>) report</w:t>
      </w:r>
      <w:r w:rsidR="00DF500B">
        <w:t>;</w:t>
      </w:r>
    </w:p>
    <w:p w14:paraId="271C04AF" w14:textId="4896D50D" w:rsidR="00790167" w:rsidRDefault="00790167" w:rsidP="00AC0D02">
      <w:pPr>
        <w:pStyle w:val="ListParagraph"/>
        <w:numPr>
          <w:ilvl w:val="0"/>
          <w:numId w:val="41"/>
        </w:numPr>
        <w:jc w:val="both"/>
      </w:pPr>
      <w:r w:rsidRPr="00E75A6C">
        <w:t>Quarterly monitoring of project progress</w:t>
      </w:r>
      <w:r w:rsidR="00DF500B">
        <w:t>;</w:t>
      </w:r>
    </w:p>
    <w:p w14:paraId="78EC7CEC" w14:textId="041CBE71" w:rsidR="00790167" w:rsidRDefault="00790167" w:rsidP="00AC0D02">
      <w:pPr>
        <w:pStyle w:val="ListParagraph"/>
        <w:numPr>
          <w:ilvl w:val="0"/>
          <w:numId w:val="41"/>
        </w:numPr>
        <w:jc w:val="both"/>
      </w:pPr>
      <w:r w:rsidRPr="00E75A6C">
        <w:t xml:space="preserve">Mid-Term Review </w:t>
      </w:r>
      <w:r>
        <w:t>(USD 40,000)</w:t>
      </w:r>
      <w:r w:rsidR="00DF500B">
        <w:t>;</w:t>
      </w:r>
    </w:p>
    <w:p w14:paraId="2381514A" w14:textId="5DC2B1F7" w:rsidR="00790167" w:rsidRDefault="00790167" w:rsidP="00AC0D02">
      <w:pPr>
        <w:pStyle w:val="ListParagraph"/>
        <w:numPr>
          <w:ilvl w:val="0"/>
          <w:numId w:val="41"/>
        </w:numPr>
        <w:jc w:val="both"/>
      </w:pPr>
      <w:r w:rsidRPr="00E75A6C">
        <w:t>Terminal Evaluation</w:t>
      </w:r>
      <w:r>
        <w:t xml:space="preserve"> (USD 40,000)</w:t>
      </w:r>
      <w:r w:rsidR="00DF500B">
        <w:t>;</w:t>
      </w:r>
    </w:p>
    <w:p w14:paraId="3318388F" w14:textId="197877CA" w:rsidR="00790167" w:rsidRDefault="00790167" w:rsidP="00AC0D02">
      <w:pPr>
        <w:pStyle w:val="ListParagraph"/>
        <w:numPr>
          <w:ilvl w:val="0"/>
          <w:numId w:val="41"/>
        </w:numPr>
        <w:jc w:val="both"/>
      </w:pPr>
      <w:r>
        <w:t>Project terminal report</w:t>
      </w:r>
      <w:r w:rsidR="00DF500B">
        <w:t>;</w:t>
      </w:r>
    </w:p>
    <w:p w14:paraId="433E9406" w14:textId="7BAEE002" w:rsidR="00790167" w:rsidRDefault="00790167" w:rsidP="00AC0D02">
      <w:pPr>
        <w:pStyle w:val="ListParagraph"/>
        <w:numPr>
          <w:ilvl w:val="0"/>
          <w:numId w:val="41"/>
        </w:numPr>
        <w:jc w:val="both"/>
      </w:pPr>
      <w:r>
        <w:t>Annual financial audit (USD 3,000/year)</w:t>
      </w:r>
      <w:r w:rsidR="00DF500B">
        <w:t>; and,</w:t>
      </w:r>
    </w:p>
    <w:p w14:paraId="52C18E5C" w14:textId="4B8F00FE" w:rsidR="00790167" w:rsidRDefault="00790167" w:rsidP="00AC0D02">
      <w:pPr>
        <w:pStyle w:val="ListParagraph"/>
        <w:numPr>
          <w:ilvl w:val="0"/>
          <w:numId w:val="41"/>
        </w:numPr>
        <w:jc w:val="both"/>
      </w:pPr>
      <w:r>
        <w:t>Site visits</w:t>
      </w:r>
      <w:r w:rsidR="003848FB">
        <w:t>.</w:t>
      </w:r>
    </w:p>
    <w:p w14:paraId="4F956D0E" w14:textId="64CC2830" w:rsidR="00822BFF" w:rsidRDefault="00B31306" w:rsidP="00790167">
      <w:pPr>
        <w:jc w:val="both"/>
      </w:pPr>
      <w:r w:rsidRPr="00B31306">
        <w:rPr>
          <w:b/>
          <w:bCs/>
        </w:rPr>
        <w:t>I</w:t>
      </w:r>
      <w:r>
        <w:rPr>
          <w:b/>
          <w:bCs/>
        </w:rPr>
        <w:t>m</w:t>
      </w:r>
      <w:r w:rsidRPr="00B31306">
        <w:rPr>
          <w:b/>
          <w:bCs/>
        </w:rPr>
        <w:t>ple</w:t>
      </w:r>
      <w:r>
        <w:rPr>
          <w:b/>
          <w:bCs/>
        </w:rPr>
        <w:t>m</w:t>
      </w:r>
      <w:r w:rsidRPr="00B31306">
        <w:rPr>
          <w:b/>
          <w:bCs/>
        </w:rPr>
        <w:t>entation</w:t>
      </w:r>
      <w:r>
        <w:t xml:space="preserve">. </w:t>
      </w:r>
      <w:r w:rsidR="00FD1454">
        <w:t>During implementation, the project team prepared</w:t>
      </w:r>
      <w:r w:rsidR="00667961">
        <w:t xml:space="preserve"> AWP</w:t>
      </w:r>
      <w:r w:rsidR="003848FB">
        <w:t>s</w:t>
      </w:r>
      <w:r w:rsidR="00667961">
        <w:t xml:space="preserve"> for 2017-2018, 2018-2019, 2019-2020, and 2020;</w:t>
      </w:r>
      <w:r w:rsidR="00FD1454">
        <w:t xml:space="preserve"> QPR</w:t>
      </w:r>
      <w:r w:rsidR="007450D6">
        <w:t>s</w:t>
      </w:r>
      <w:r w:rsidR="00FD1454">
        <w:t xml:space="preserve"> for the first </w:t>
      </w:r>
      <w:r w:rsidR="003848FB">
        <w:t xml:space="preserve">three </w:t>
      </w:r>
      <w:r w:rsidR="00FD1454">
        <w:t>quarters of 2018, 2019, and 2020; APR</w:t>
      </w:r>
      <w:r w:rsidR="007450D6">
        <w:t xml:space="preserve">s for 2017, 2018, and 2019; PIRs in 2019 and 2020. The MTR was conducted </w:t>
      </w:r>
      <w:r w:rsidR="003848FB">
        <w:t>during</w:t>
      </w:r>
      <w:r w:rsidR="007450D6">
        <w:t xml:space="preserve"> July - </w:t>
      </w:r>
      <w:r w:rsidR="003848FB">
        <w:t>August 2019 and</w:t>
      </w:r>
      <w:r w:rsidR="007450D6">
        <w:t xml:space="preserve"> finalized on 18 August 2019.</w:t>
      </w:r>
      <w:r w:rsidR="00667961">
        <w:t xml:space="preserve"> The quality of </w:t>
      </w:r>
      <w:r w:rsidR="003848FB">
        <w:t>progress</w:t>
      </w:r>
      <w:r w:rsidR="00667961">
        <w:t xml:space="preserve"> reports (i.e. QPRs, APRs, and PIRs) was </w:t>
      </w:r>
      <w:r w:rsidR="00833E71">
        <w:t xml:space="preserve">below </w:t>
      </w:r>
      <w:r w:rsidR="00667961">
        <w:t>average, with some reports missing relevant information</w:t>
      </w:r>
      <w:r w:rsidR="003848FB">
        <w:t>. In most cases, reports were</w:t>
      </w:r>
      <w:r w:rsidR="00667961">
        <w:t xml:space="preserve"> repetitive </w:t>
      </w:r>
      <w:r w:rsidR="003848FB">
        <w:t>and</w:t>
      </w:r>
      <w:r w:rsidR="00671C9A">
        <w:t xml:space="preserve"> </w:t>
      </w:r>
      <w:r w:rsidR="003848FB">
        <w:t xml:space="preserve">often provided </w:t>
      </w:r>
      <w:r w:rsidR="00671C9A">
        <w:t xml:space="preserve">information without </w:t>
      </w:r>
      <w:r w:rsidR="003848FB">
        <w:t xml:space="preserve">an </w:t>
      </w:r>
      <w:r w:rsidR="00671C9A">
        <w:t>adequate context</w:t>
      </w:r>
      <w:r w:rsidR="00667961">
        <w:t>.</w:t>
      </w:r>
      <w:r w:rsidR="00671C9A">
        <w:t xml:space="preserve"> An important shortcoming of the project’s monitoring framework</w:t>
      </w:r>
      <w:r w:rsidR="00667961">
        <w:t xml:space="preserve"> </w:t>
      </w:r>
      <w:r w:rsidR="003848FB">
        <w:t>was</w:t>
      </w:r>
      <w:r w:rsidR="00671C9A">
        <w:t xml:space="preserve"> that QPRs and A</w:t>
      </w:r>
      <w:r w:rsidR="003848FB">
        <w:t>PR</w:t>
      </w:r>
      <w:r w:rsidR="00671C9A">
        <w:t xml:space="preserve">s reported on a set of indicators and activities that did not correspond to the structure of outcomes/outputs/activities set in the ProDoc and made no reference to that structure. The set of indicators and activities </w:t>
      </w:r>
      <w:r w:rsidR="003848FB">
        <w:t xml:space="preserve">used </w:t>
      </w:r>
      <w:r w:rsidR="00671C9A">
        <w:t>in QPRs and A</w:t>
      </w:r>
      <w:r w:rsidR="003848FB">
        <w:t>PR</w:t>
      </w:r>
      <w:r w:rsidR="00671C9A">
        <w:t xml:space="preserve">s also changed </w:t>
      </w:r>
      <w:r w:rsidR="00876EAE">
        <w:t xml:space="preserve">from one report to another. That </w:t>
      </w:r>
      <w:r w:rsidR="003848FB">
        <w:t xml:space="preserve">monitoring and reporting </w:t>
      </w:r>
      <w:r w:rsidR="00876EAE">
        <w:t xml:space="preserve">framework is not conducive to effective project management as it does not facilitate the tracking </w:t>
      </w:r>
      <w:r w:rsidR="00876EAE">
        <w:lastRenderedPageBreak/>
        <w:t xml:space="preserve">of progress and may </w:t>
      </w:r>
      <w:r w:rsidR="00F02060">
        <w:t>prevent the timely identification of</w:t>
      </w:r>
      <w:r w:rsidR="00876EAE">
        <w:t xml:space="preserve"> potential problems </w:t>
      </w:r>
      <w:r w:rsidR="00F02060">
        <w:t>during</w:t>
      </w:r>
      <w:r w:rsidR="00876EAE">
        <w:t xml:space="preserve"> project implementation.</w:t>
      </w:r>
      <w:r w:rsidR="001A3413">
        <w:t xml:space="preserve"> Only for the QPR for the third quarter of 2020 did </w:t>
      </w:r>
      <w:r w:rsidR="008714D5">
        <w:t>project reporting refer to outputs and activities as they were originally formulated in the ProDoc.</w:t>
      </w:r>
    </w:p>
    <w:p w14:paraId="5C373268" w14:textId="2A6BE3C4" w:rsidR="00CB2119" w:rsidRDefault="003848FB" w:rsidP="00BB5F29">
      <w:pPr>
        <w:jc w:val="both"/>
      </w:pPr>
      <w:r>
        <w:t>T</w:t>
      </w:r>
      <w:r w:rsidR="00BB5F29">
        <w:t xml:space="preserve">he PRF included indicators on GHG emissions </w:t>
      </w:r>
      <w:r w:rsidR="00BA6337">
        <w:t xml:space="preserve">reductions </w:t>
      </w:r>
      <w:r w:rsidR="00BB5F29">
        <w:t>and fuel savings</w:t>
      </w:r>
      <w:r>
        <w:t xml:space="preserve"> a</w:t>
      </w:r>
      <w:r w:rsidR="00BA6337">
        <w:t>t</w:t>
      </w:r>
      <w:r>
        <w:t xml:space="preserve"> both the objective level and for outcome 2</w:t>
      </w:r>
      <w:r w:rsidR="00BB5F29">
        <w:t>.</w:t>
      </w:r>
      <w:r>
        <w:t xml:space="preserve"> </w:t>
      </w:r>
      <w:r w:rsidR="00BA6337">
        <w:t>As described in the MTR report, d</w:t>
      </w:r>
      <w:r w:rsidR="00BB5F29">
        <w:t xml:space="preserve">uring project implementation, the methodology </w:t>
      </w:r>
      <w:r w:rsidR="00BA6337">
        <w:t xml:space="preserve">proposed in the ProDoc </w:t>
      </w:r>
      <w:r w:rsidR="00BB5F29">
        <w:t xml:space="preserve">to estimate both emissions </w:t>
      </w:r>
      <w:r w:rsidR="00BA6337">
        <w:t xml:space="preserve">reductions </w:t>
      </w:r>
      <w:r w:rsidR="00BB5F29">
        <w:t>and fuel savings was deemed impractical an</w:t>
      </w:r>
      <w:r w:rsidR="0066362F">
        <w:t xml:space="preserve">d </w:t>
      </w:r>
      <w:r w:rsidR="00BB5F29">
        <w:t xml:space="preserve">was modified. </w:t>
      </w:r>
      <w:r w:rsidR="00CB2119">
        <w:t xml:space="preserve">The chosen approach </w:t>
      </w:r>
      <w:r w:rsidR="00BA6337">
        <w:t xml:space="preserve">for </w:t>
      </w:r>
      <w:r w:rsidR="00CB2119">
        <w:t>the estimation of GHG emissions reduction</w:t>
      </w:r>
      <w:r w:rsidR="00BA6337">
        <w:t>s</w:t>
      </w:r>
      <w:r w:rsidR="00CB2119">
        <w:t xml:space="preserve"> was based on </w:t>
      </w:r>
      <w:r w:rsidR="00910AB9">
        <w:t>a simple</w:t>
      </w:r>
      <w:r w:rsidR="00CB2119">
        <w:t xml:space="preserve"> extrapolation of the results </w:t>
      </w:r>
      <w:r w:rsidR="00BA6337">
        <w:t>of</w:t>
      </w:r>
      <w:r w:rsidR="00CB2119">
        <w:t xml:space="preserve"> the demonstration projects </w:t>
      </w:r>
      <w:r w:rsidR="00910AB9">
        <w:t>to a sample of LSPs. Th</w:t>
      </w:r>
      <w:r w:rsidR="00BA6337">
        <w:t>is</w:t>
      </w:r>
      <w:r w:rsidR="00910AB9">
        <w:t xml:space="preserve"> method </w:t>
      </w:r>
      <w:r w:rsidR="00BA6337">
        <w:t>for</w:t>
      </w:r>
      <w:r w:rsidR="00910AB9">
        <w:t xml:space="preserve"> the estima</w:t>
      </w:r>
      <w:r w:rsidR="00BA6337">
        <w:t>tion</w:t>
      </w:r>
      <w:r w:rsidR="00910AB9">
        <w:t xml:space="preserve"> </w:t>
      </w:r>
      <w:r w:rsidR="001D1103">
        <w:t xml:space="preserve">of </w:t>
      </w:r>
      <w:r w:rsidR="00910AB9">
        <w:t xml:space="preserve">GHG emissions reductions </w:t>
      </w:r>
      <w:r w:rsidR="001D1103">
        <w:t>attributable to</w:t>
      </w:r>
      <w:r w:rsidR="00910AB9">
        <w:t xml:space="preserve"> the </w:t>
      </w:r>
      <w:r w:rsidR="000A3997">
        <w:t xml:space="preserve">project </w:t>
      </w:r>
      <w:r w:rsidR="001D1103">
        <w:t>is</w:t>
      </w:r>
      <w:r w:rsidR="000A3997">
        <w:t xml:space="preserve"> deemed inadequate since it is unlikely that the results from the demonstration projects could be replicated by a large sample of </w:t>
      </w:r>
      <w:r w:rsidR="001D1103">
        <w:t xml:space="preserve">comparatively </w:t>
      </w:r>
      <w:r w:rsidR="000A3997">
        <w:t xml:space="preserve">small LSPs. As reported by the project, the investments needed for the demonstration projects were substantial and most certainly out of the reach </w:t>
      </w:r>
      <w:r w:rsidR="001D1103">
        <w:t>of</w:t>
      </w:r>
      <w:r w:rsidR="00BC5416">
        <w:t xml:space="preserve"> </w:t>
      </w:r>
      <w:r w:rsidR="001D1103">
        <w:t xml:space="preserve">the </w:t>
      </w:r>
      <w:r w:rsidR="000A3997">
        <w:t>LSPs supported by the project.</w:t>
      </w:r>
      <w:r w:rsidR="008D5E58">
        <w:t xml:space="preserve"> The approach for the estimation of GHG emissions reduction</w:t>
      </w:r>
      <w:r w:rsidR="00BA6337">
        <w:t>s</w:t>
      </w:r>
      <w:r w:rsidR="008D5E58">
        <w:t xml:space="preserve"> by the project was not documented and none of the inputs and assumptions were described and justified in the calculation spreadsheet. Considering the importance of indicators on </w:t>
      </w:r>
      <w:r w:rsidR="00BA6337">
        <w:t>GHG emissions reductions to the overall project monitoring and evaluation framework</w:t>
      </w:r>
      <w:r w:rsidR="001D1103">
        <w:t xml:space="preserve"> of the project</w:t>
      </w:r>
      <w:r w:rsidR="00BA6337">
        <w:t>, any changes to the calculation method should have been preceded by the formulation of a robust methodology and its submission to the PSC and GEF implementing agency for review and approval.</w:t>
      </w:r>
    </w:p>
    <w:p w14:paraId="501F9B9D" w14:textId="2E4FFC6A" w:rsidR="00BB5F29" w:rsidRDefault="00BA7599" w:rsidP="00BB5F29">
      <w:pPr>
        <w:jc w:val="both"/>
      </w:pPr>
      <w:r>
        <w:t xml:space="preserve">The project’s intention to estimate and track fuel savings and GHG emissions reduction is very valid and </w:t>
      </w:r>
      <w:r w:rsidR="001D1103">
        <w:t xml:space="preserve">is </w:t>
      </w:r>
      <w:r>
        <w:t xml:space="preserve">worth implementing </w:t>
      </w:r>
      <w:r w:rsidR="001D1103">
        <w:t xml:space="preserve">it </w:t>
      </w:r>
      <w:r>
        <w:t xml:space="preserve">in </w:t>
      </w:r>
      <w:r w:rsidR="001D1103">
        <w:t xml:space="preserve">projects like </w:t>
      </w:r>
      <w:r>
        <w:t>this and other</w:t>
      </w:r>
      <w:r w:rsidR="001D1103">
        <w:t>s</w:t>
      </w:r>
      <w:r>
        <w:t xml:space="preserve"> similar</w:t>
      </w:r>
      <w:r w:rsidR="001D1103">
        <w:t xml:space="preserve"> to it</w:t>
      </w:r>
      <w:r>
        <w:t xml:space="preserve">. However, the complexity of estimating fuel consumption/savings and GHG emissions and emissions reductions from complex logistics systems cannot be underestimated. </w:t>
      </w:r>
      <w:r w:rsidR="00023F5C">
        <w:t>In that context, a more appropriate approach to the task would have been to include</w:t>
      </w:r>
      <w:r w:rsidR="00730B52">
        <w:t>,</w:t>
      </w:r>
      <w:r w:rsidR="00023F5C">
        <w:t xml:space="preserve"> as part of the project, an output to </w:t>
      </w:r>
      <w:r w:rsidR="00730B52">
        <w:t>implement a framework to prepare and update GHG inventories for the logistics industry</w:t>
      </w:r>
      <w:r w:rsidR="00730B52" w:rsidRPr="00B15ACC">
        <w:t xml:space="preserve"> in Zhejiang Province</w:t>
      </w:r>
      <w:r w:rsidR="00730B52">
        <w:t xml:space="preserve">. That framework, often </w:t>
      </w:r>
      <w:r w:rsidR="00B15ACC">
        <w:t>devised</w:t>
      </w:r>
      <w:r w:rsidR="00730B52">
        <w:t xml:space="preserve"> as a measurement, reporting and verification (MRV) system, would have resolved </w:t>
      </w:r>
      <w:r w:rsidR="00F124B3">
        <w:t>many of</w:t>
      </w:r>
      <w:r w:rsidR="00730B52">
        <w:t xml:space="preserve"> the M&amp;E related issues of the project and would have represented a valuable product that would have remained in place after project end.</w:t>
      </w:r>
    </w:p>
    <w:p w14:paraId="38ECFAB6" w14:textId="7BA13D31" w:rsidR="00790167" w:rsidRDefault="00B31306" w:rsidP="00790167">
      <w:pPr>
        <w:jc w:val="both"/>
      </w:pPr>
      <w:r w:rsidRPr="00590E05">
        <w:rPr>
          <w:b/>
          <w:bCs/>
        </w:rPr>
        <w:t>Ratings</w:t>
      </w:r>
      <w:r>
        <w:t>. The design, implementation</w:t>
      </w:r>
      <w:r w:rsidR="00CB14E7">
        <w:t>,</w:t>
      </w:r>
      <w:r>
        <w:t xml:space="preserve"> and overall quality of M&amp;E practices </w:t>
      </w:r>
      <w:r w:rsidR="00A433DD">
        <w:t>of the project are evaluated on a six-point scale. The rating</w:t>
      </w:r>
      <w:r w:rsidR="00590E05">
        <w:t>s</w:t>
      </w:r>
      <w:r w:rsidR="00A433DD">
        <w:t xml:space="preserve"> are provided in </w:t>
      </w:r>
      <w:r w:rsidR="00A433DD">
        <w:fldChar w:fldCharType="begin"/>
      </w:r>
      <w:r w:rsidR="00A433DD">
        <w:instrText xml:space="preserve"> REF _Ref61533676 \h </w:instrText>
      </w:r>
      <w:r w:rsidR="00A433DD">
        <w:fldChar w:fldCharType="separate"/>
      </w:r>
      <w:r w:rsidR="004718D8">
        <w:t xml:space="preserve">Table </w:t>
      </w:r>
      <w:r w:rsidR="004718D8">
        <w:rPr>
          <w:noProof/>
        </w:rPr>
        <w:t>12</w:t>
      </w:r>
      <w:r w:rsidR="00A433DD">
        <w:fldChar w:fldCharType="end"/>
      </w:r>
      <w:r w:rsidR="00A433DD">
        <w:t xml:space="preserve">, below. </w:t>
      </w:r>
      <w:r w:rsidR="00590E05">
        <w:t xml:space="preserve">An explanation of the ratings scale is provided in </w:t>
      </w:r>
      <w:r w:rsidR="00590E05">
        <w:fldChar w:fldCharType="begin"/>
      </w:r>
      <w:r w:rsidR="00590E05">
        <w:instrText xml:space="preserve"> REF _Ref61533923 \r \h </w:instrText>
      </w:r>
      <w:r w:rsidR="00590E05">
        <w:fldChar w:fldCharType="separate"/>
      </w:r>
      <w:r w:rsidR="004718D8">
        <w:t>Annex E</w:t>
      </w:r>
      <w:r w:rsidR="00590E05">
        <w:fldChar w:fldCharType="end"/>
      </w:r>
      <w:r w:rsidR="00590E05">
        <w:t>.</w:t>
      </w:r>
    </w:p>
    <w:p w14:paraId="24A61864" w14:textId="4A0B6B3B" w:rsidR="00A433DD" w:rsidRDefault="00A433DD" w:rsidP="00590E05">
      <w:pPr>
        <w:pStyle w:val="Caption"/>
        <w:ind w:left="2977" w:firstLine="142"/>
      </w:pPr>
      <w:bookmarkStart w:id="44" w:name="_Ref61533676"/>
      <w:r>
        <w:t xml:space="preserve">Table </w:t>
      </w:r>
      <w:r>
        <w:fldChar w:fldCharType="begin"/>
      </w:r>
      <w:r>
        <w:instrText xml:space="preserve"> SEQ Table \* ARABIC </w:instrText>
      </w:r>
      <w:r>
        <w:fldChar w:fldCharType="separate"/>
      </w:r>
      <w:r w:rsidR="004718D8">
        <w:rPr>
          <w:noProof/>
        </w:rPr>
        <w:t>12</w:t>
      </w:r>
      <w:r>
        <w:fldChar w:fldCharType="end"/>
      </w:r>
      <w:bookmarkEnd w:id="44"/>
      <w:r>
        <w:t xml:space="preserve">. Evaluation ratings of </w:t>
      </w:r>
      <w:r w:rsidR="00590E05">
        <w:br/>
        <w:t>monitoring and evaluation</w:t>
      </w:r>
      <w:r>
        <w:t xml:space="preserve"> practices</w:t>
      </w:r>
    </w:p>
    <w:tbl>
      <w:tblPr>
        <w:tblStyle w:val="TableGrid"/>
        <w:tblW w:w="0" w:type="auto"/>
        <w:tblInd w:w="2830" w:type="dxa"/>
        <w:tblLook w:val="04A0" w:firstRow="1" w:lastRow="0" w:firstColumn="1" w:lastColumn="0" w:noHBand="0" w:noVBand="1"/>
      </w:tblPr>
      <w:tblGrid>
        <w:gridCol w:w="2552"/>
        <w:gridCol w:w="1134"/>
      </w:tblGrid>
      <w:tr w:rsidR="00A433DD" w:rsidRPr="00A433DD" w14:paraId="27FA0196" w14:textId="77777777" w:rsidTr="00590E05">
        <w:tc>
          <w:tcPr>
            <w:tcW w:w="2552" w:type="dxa"/>
            <w:shd w:val="clear" w:color="auto" w:fill="77ACDC" w:themeFill="accent5" w:themeFillTint="99"/>
          </w:tcPr>
          <w:p w14:paraId="2256A30D" w14:textId="63687BBB" w:rsidR="00A433DD" w:rsidRPr="00A433DD" w:rsidRDefault="00A433DD" w:rsidP="00590E05">
            <w:pPr>
              <w:ind w:left="176" w:hanging="176"/>
              <w:jc w:val="both"/>
            </w:pPr>
            <w:r w:rsidRPr="00A433DD">
              <w:t>Monitoring and evaluation</w:t>
            </w:r>
          </w:p>
        </w:tc>
        <w:tc>
          <w:tcPr>
            <w:tcW w:w="1134" w:type="dxa"/>
            <w:shd w:val="clear" w:color="auto" w:fill="77ACDC" w:themeFill="accent5" w:themeFillTint="99"/>
          </w:tcPr>
          <w:p w14:paraId="70B9EE5B" w14:textId="4AEC3444" w:rsidR="00A433DD" w:rsidRPr="00A433DD" w:rsidRDefault="00A433DD" w:rsidP="0043662F">
            <w:pPr>
              <w:jc w:val="center"/>
            </w:pPr>
            <w:r w:rsidRPr="00A433DD">
              <w:t>Rating</w:t>
            </w:r>
          </w:p>
        </w:tc>
      </w:tr>
      <w:tr w:rsidR="00A433DD" w14:paraId="54187BB9" w14:textId="77777777" w:rsidTr="00590E05">
        <w:tc>
          <w:tcPr>
            <w:tcW w:w="2552" w:type="dxa"/>
          </w:tcPr>
          <w:p w14:paraId="3D1B99F4" w14:textId="3868942A" w:rsidR="00A433DD" w:rsidRPr="00A433DD" w:rsidRDefault="00A433DD" w:rsidP="00590E05">
            <w:r w:rsidRPr="00A433DD">
              <w:t>M&amp;E design at entry</w:t>
            </w:r>
          </w:p>
        </w:tc>
        <w:tc>
          <w:tcPr>
            <w:tcW w:w="1134" w:type="dxa"/>
          </w:tcPr>
          <w:p w14:paraId="66EE03E6" w14:textId="2293F13B" w:rsidR="00A433DD" w:rsidRPr="00590E05" w:rsidRDefault="00423F03" w:rsidP="00A433DD">
            <w:pPr>
              <w:jc w:val="center"/>
            </w:pPr>
            <w:r>
              <w:t>M</w:t>
            </w:r>
            <w:r w:rsidR="007B6387">
              <w:t>S</w:t>
            </w:r>
          </w:p>
        </w:tc>
      </w:tr>
      <w:tr w:rsidR="00A433DD" w14:paraId="265E01E3" w14:textId="77777777" w:rsidTr="00590E05">
        <w:tc>
          <w:tcPr>
            <w:tcW w:w="2552" w:type="dxa"/>
          </w:tcPr>
          <w:p w14:paraId="4A4F5AFF" w14:textId="02E5CB76" w:rsidR="00A433DD" w:rsidRPr="00A433DD" w:rsidRDefault="00A433DD" w:rsidP="00590E05">
            <w:r w:rsidRPr="00A433DD">
              <w:t>M&amp;E Plan Implementation</w:t>
            </w:r>
          </w:p>
        </w:tc>
        <w:tc>
          <w:tcPr>
            <w:tcW w:w="1134" w:type="dxa"/>
          </w:tcPr>
          <w:p w14:paraId="6162CCF7" w14:textId="45C16631" w:rsidR="00A433DD" w:rsidRPr="00590E05" w:rsidRDefault="00A433DD" w:rsidP="00A433DD">
            <w:pPr>
              <w:jc w:val="center"/>
            </w:pPr>
            <w:r w:rsidRPr="00590E05">
              <w:t>M</w:t>
            </w:r>
            <w:r w:rsidR="007B6387">
              <w:t>S</w:t>
            </w:r>
          </w:p>
        </w:tc>
      </w:tr>
      <w:tr w:rsidR="00A433DD" w14:paraId="7A69F1F5" w14:textId="77777777" w:rsidTr="00590E05">
        <w:tc>
          <w:tcPr>
            <w:tcW w:w="2552" w:type="dxa"/>
          </w:tcPr>
          <w:p w14:paraId="7F7B395A" w14:textId="1989DFC0" w:rsidR="00A433DD" w:rsidRPr="00A433DD" w:rsidRDefault="00A433DD" w:rsidP="00590E05">
            <w:r w:rsidRPr="00A433DD">
              <w:t>Overall Quality of M&amp;E</w:t>
            </w:r>
          </w:p>
        </w:tc>
        <w:tc>
          <w:tcPr>
            <w:tcW w:w="1134" w:type="dxa"/>
          </w:tcPr>
          <w:p w14:paraId="3554345F" w14:textId="1A4F6C94" w:rsidR="00A433DD" w:rsidRPr="00590E05" w:rsidRDefault="00A433DD" w:rsidP="00A433DD">
            <w:pPr>
              <w:jc w:val="center"/>
            </w:pPr>
            <w:r w:rsidRPr="00590E05">
              <w:t>M</w:t>
            </w:r>
            <w:r w:rsidR="007B6387">
              <w:t>S</w:t>
            </w:r>
          </w:p>
        </w:tc>
      </w:tr>
    </w:tbl>
    <w:p w14:paraId="57AC06B8" w14:textId="77777777" w:rsidR="00A433DD" w:rsidRDefault="00A433DD" w:rsidP="00790167">
      <w:pPr>
        <w:jc w:val="both"/>
        <w:rPr>
          <w:color w:val="2E75B6" w:themeColor="accent5"/>
        </w:rPr>
      </w:pPr>
    </w:p>
    <w:p w14:paraId="66A95B45" w14:textId="77777777" w:rsidR="00284F8C" w:rsidRPr="008E2C94" w:rsidRDefault="00284F8C" w:rsidP="00DE67CF">
      <w:pPr>
        <w:pStyle w:val="ListParagraph"/>
        <w:numPr>
          <w:ilvl w:val="2"/>
          <w:numId w:val="47"/>
        </w:numPr>
        <w:jc w:val="both"/>
        <w:rPr>
          <w:color w:val="2E75B6" w:themeColor="accent5"/>
        </w:rPr>
      </w:pPr>
      <w:r w:rsidRPr="008E2C94">
        <w:rPr>
          <w:color w:val="2E75B6" w:themeColor="accent5"/>
        </w:rPr>
        <w:t>UNDP implementation/oversight and IP execution, overall project implementation/execution, coordination, and operational issues</w:t>
      </w:r>
    </w:p>
    <w:p w14:paraId="6CF2EEC6" w14:textId="1CCE8249" w:rsidR="00790167" w:rsidRDefault="00E35BD6" w:rsidP="002E6087">
      <w:pPr>
        <w:jc w:val="both"/>
      </w:pPr>
      <w:r w:rsidRPr="00E35BD6">
        <w:rPr>
          <w:b/>
          <w:bCs/>
        </w:rPr>
        <w:t>UNDP implementation and oversight role.</w:t>
      </w:r>
      <w:r>
        <w:t xml:space="preserve"> </w:t>
      </w:r>
      <w:r w:rsidR="00261F78">
        <w:t xml:space="preserve">UNDP´s support during project preparation, appraisal and approval was adequate, with no significant delays to project-cycle milestones. No major issues that required UNDP´s intervention were identified during project implementation. The project team valued the support received from UNDP and considered that support </w:t>
      </w:r>
      <w:r w:rsidR="00327D32">
        <w:t xml:space="preserve">in part responsible for the project successes. </w:t>
      </w:r>
      <w:r w:rsidR="001D1103">
        <w:t>However, i</w:t>
      </w:r>
      <w:r w:rsidR="00261F78">
        <w:t>n light of the shortcoming</w:t>
      </w:r>
      <w:r w:rsidR="001D1103">
        <w:t>s</w:t>
      </w:r>
      <w:r w:rsidR="00261F78">
        <w:t xml:space="preserve"> of the project´s implementation of M&amp;E activities, a closer support from UNDP </w:t>
      </w:r>
      <w:r w:rsidR="00261F78">
        <w:lastRenderedPageBreak/>
        <w:t xml:space="preserve">could have been warranted. </w:t>
      </w:r>
      <w:r w:rsidR="00327D32">
        <w:t>Despite that, overall, UNDP´s role during implementation and providing oversight was adequate, timely, and contributed to the success of the project.</w:t>
      </w:r>
    </w:p>
    <w:p w14:paraId="38AF4EEF" w14:textId="382EBAF1" w:rsidR="001707ED" w:rsidRDefault="00E35BD6" w:rsidP="002E6087">
      <w:pPr>
        <w:jc w:val="both"/>
      </w:pPr>
      <w:r w:rsidRPr="00E35BD6">
        <w:rPr>
          <w:b/>
          <w:bCs/>
        </w:rPr>
        <w:t>Implementing partner role</w:t>
      </w:r>
      <w:r>
        <w:t xml:space="preserve">. </w:t>
      </w:r>
      <w:r w:rsidR="001E7660">
        <w:t>The project team was efficient and effective planning and implementing project activities. The team was also proactive in seeking, establishing, and maintaining partnerships with key organizations and stakeholders. Procurement processes were well understood by the project team, and there were no major issues implementing procurement processes.  Risks were monitored periodically and</w:t>
      </w:r>
      <w:r>
        <w:t>,</w:t>
      </w:r>
      <w:r w:rsidR="001E7660">
        <w:t xml:space="preserve"> </w:t>
      </w:r>
      <w:r>
        <w:t xml:space="preserve">other than disruptions from the global COVID19 pandemic, </w:t>
      </w:r>
      <w:r w:rsidR="001E7660">
        <w:t xml:space="preserve">there were no impacts to project implementation from </w:t>
      </w:r>
      <w:r>
        <w:t xml:space="preserve">other </w:t>
      </w:r>
      <w:r w:rsidR="001E7660">
        <w:t>risks</w:t>
      </w:r>
      <w:r>
        <w:t xml:space="preserve"> th</w:t>
      </w:r>
      <w:r w:rsidR="000C14AC">
        <w:t>a</w:t>
      </w:r>
      <w:r>
        <w:t xml:space="preserve">t had been identified in the project´s risk log or not. </w:t>
      </w:r>
      <w:r w:rsidR="000C14AC">
        <w:t xml:space="preserve">Internal organization changes within </w:t>
      </w:r>
      <w:r w:rsidR="000C14AC" w:rsidRPr="000C14AC">
        <w:t>ZPDRC resulted</w:t>
      </w:r>
      <w:r w:rsidR="000C14AC">
        <w:t xml:space="preserve"> in some delays in the </w:t>
      </w:r>
      <w:r w:rsidR="001D1103">
        <w:t>initial</w:t>
      </w:r>
      <w:r w:rsidR="000C14AC">
        <w:t xml:space="preserve"> appointment of a project manager.</w:t>
      </w:r>
      <w:r w:rsidR="000C14AC">
        <w:rPr>
          <w:rStyle w:val="FootnoteReference"/>
        </w:rPr>
        <w:footnoteReference w:id="19"/>
      </w:r>
    </w:p>
    <w:p w14:paraId="36C8C9AE" w14:textId="608EB8A1" w:rsidR="00E35BD6" w:rsidRDefault="00E35BD6" w:rsidP="00E35BD6">
      <w:pPr>
        <w:jc w:val="both"/>
      </w:pPr>
      <w:r w:rsidRPr="00590E05">
        <w:rPr>
          <w:b/>
          <w:bCs/>
        </w:rPr>
        <w:t>Ratings</w:t>
      </w:r>
      <w:r>
        <w:t xml:space="preserve">. The roles of UNDP and the implementing partner in project implementation are evaluated on a six-point scale. The ratings are provided in </w:t>
      </w:r>
      <w:r>
        <w:fldChar w:fldCharType="begin"/>
      </w:r>
      <w:r>
        <w:instrText xml:space="preserve"> REF _Ref61604398 \h </w:instrText>
      </w:r>
      <w:r>
        <w:fldChar w:fldCharType="separate"/>
      </w:r>
      <w:r w:rsidR="004718D8">
        <w:t xml:space="preserve">Table </w:t>
      </w:r>
      <w:r w:rsidR="004718D8">
        <w:rPr>
          <w:noProof/>
        </w:rPr>
        <w:t>13</w:t>
      </w:r>
      <w:r>
        <w:fldChar w:fldCharType="end"/>
      </w:r>
      <w:r>
        <w:t xml:space="preserve">, below. An explanation of the ratings scale is provided in </w:t>
      </w:r>
      <w:r>
        <w:fldChar w:fldCharType="begin"/>
      </w:r>
      <w:r>
        <w:instrText xml:space="preserve"> REF _Ref61533923 \r \h </w:instrText>
      </w:r>
      <w:r>
        <w:fldChar w:fldCharType="separate"/>
      </w:r>
      <w:r w:rsidR="004718D8">
        <w:t>Annex E</w:t>
      </w:r>
      <w:r>
        <w:fldChar w:fldCharType="end"/>
      </w:r>
      <w:r>
        <w:t>.</w:t>
      </w:r>
    </w:p>
    <w:p w14:paraId="767CED9E" w14:textId="118D7934" w:rsidR="00E35BD6" w:rsidRDefault="00E35BD6" w:rsidP="000C14AC">
      <w:pPr>
        <w:pStyle w:val="Caption"/>
        <w:ind w:left="2977" w:hanging="1701"/>
      </w:pPr>
      <w:bookmarkStart w:id="45" w:name="_Ref61604398"/>
      <w:bookmarkStart w:id="46" w:name="_Ref61604393"/>
      <w:r>
        <w:t xml:space="preserve">Table </w:t>
      </w:r>
      <w:r>
        <w:fldChar w:fldCharType="begin"/>
      </w:r>
      <w:r>
        <w:instrText xml:space="preserve"> SEQ Table \* ARABIC </w:instrText>
      </w:r>
      <w:r>
        <w:fldChar w:fldCharType="separate"/>
      </w:r>
      <w:r w:rsidR="004718D8">
        <w:rPr>
          <w:noProof/>
        </w:rPr>
        <w:t>13</w:t>
      </w:r>
      <w:r>
        <w:fldChar w:fldCharType="end"/>
      </w:r>
      <w:bookmarkEnd w:id="45"/>
      <w:r>
        <w:t xml:space="preserve">. Evaluation ratings </w:t>
      </w:r>
      <w:bookmarkEnd w:id="46"/>
      <w:r>
        <w:t>of project implementation and oversight</w:t>
      </w:r>
    </w:p>
    <w:tbl>
      <w:tblPr>
        <w:tblStyle w:val="TableGrid"/>
        <w:tblW w:w="0" w:type="auto"/>
        <w:tblInd w:w="1129" w:type="dxa"/>
        <w:tblLook w:val="04A0" w:firstRow="1" w:lastRow="0" w:firstColumn="1" w:lastColumn="0" w:noHBand="0" w:noVBand="1"/>
      </w:tblPr>
      <w:tblGrid>
        <w:gridCol w:w="5529"/>
        <w:gridCol w:w="1134"/>
      </w:tblGrid>
      <w:tr w:rsidR="00E35BD6" w:rsidRPr="00A433DD" w14:paraId="45E21265" w14:textId="77777777" w:rsidTr="000C14AC">
        <w:tc>
          <w:tcPr>
            <w:tcW w:w="5529" w:type="dxa"/>
            <w:shd w:val="clear" w:color="auto" w:fill="77ACDC" w:themeFill="accent5" w:themeFillTint="99"/>
          </w:tcPr>
          <w:p w14:paraId="31B4AD6D" w14:textId="7050A4E1" w:rsidR="00E35BD6" w:rsidRPr="00A433DD" w:rsidRDefault="00E35BD6" w:rsidP="009A5111">
            <w:pPr>
              <w:ind w:left="176" w:hanging="176"/>
              <w:jc w:val="both"/>
            </w:pPr>
            <w:r>
              <w:t>P</w:t>
            </w:r>
            <w:r w:rsidRPr="00E35BD6">
              <w:t>roject implementation and oversight</w:t>
            </w:r>
          </w:p>
        </w:tc>
        <w:tc>
          <w:tcPr>
            <w:tcW w:w="1134" w:type="dxa"/>
            <w:shd w:val="clear" w:color="auto" w:fill="77ACDC" w:themeFill="accent5" w:themeFillTint="99"/>
          </w:tcPr>
          <w:p w14:paraId="7B6DFF24" w14:textId="77777777" w:rsidR="00E35BD6" w:rsidRPr="00A433DD" w:rsidRDefault="00E35BD6" w:rsidP="0043662F">
            <w:pPr>
              <w:jc w:val="center"/>
            </w:pPr>
            <w:r w:rsidRPr="00A433DD">
              <w:t>Rating</w:t>
            </w:r>
          </w:p>
        </w:tc>
      </w:tr>
      <w:tr w:rsidR="00E35BD6" w14:paraId="1732C42A" w14:textId="77777777" w:rsidTr="000C14AC">
        <w:tc>
          <w:tcPr>
            <w:tcW w:w="5529" w:type="dxa"/>
          </w:tcPr>
          <w:p w14:paraId="0CE89286" w14:textId="5DAB1A2F" w:rsidR="00E35BD6" w:rsidRPr="00A433DD" w:rsidRDefault="00E35BD6" w:rsidP="009A5111">
            <w:r w:rsidRPr="00E35BD6">
              <w:t>Quality of UNDP</w:t>
            </w:r>
            <w:r>
              <w:t xml:space="preserve"> I</w:t>
            </w:r>
            <w:r w:rsidRPr="00E35BD6">
              <w:t>mplementation/Oversight</w:t>
            </w:r>
          </w:p>
        </w:tc>
        <w:tc>
          <w:tcPr>
            <w:tcW w:w="1134" w:type="dxa"/>
          </w:tcPr>
          <w:p w14:paraId="5149CC63" w14:textId="77777777" w:rsidR="00E35BD6" w:rsidRPr="00590E05" w:rsidRDefault="00E35BD6" w:rsidP="009A5111">
            <w:pPr>
              <w:jc w:val="center"/>
            </w:pPr>
            <w:r w:rsidRPr="00590E05">
              <w:t>S</w:t>
            </w:r>
          </w:p>
        </w:tc>
      </w:tr>
      <w:tr w:rsidR="00E35BD6" w14:paraId="4BC631F1" w14:textId="77777777" w:rsidTr="000C14AC">
        <w:tc>
          <w:tcPr>
            <w:tcW w:w="5529" w:type="dxa"/>
          </w:tcPr>
          <w:p w14:paraId="119C3CB4" w14:textId="7E92774D" w:rsidR="00E35BD6" w:rsidRPr="00A433DD" w:rsidRDefault="00E35BD6" w:rsidP="009A5111">
            <w:r w:rsidRPr="00E35BD6">
              <w:t>Quality of Implementing Partner Execution</w:t>
            </w:r>
          </w:p>
        </w:tc>
        <w:tc>
          <w:tcPr>
            <w:tcW w:w="1134" w:type="dxa"/>
          </w:tcPr>
          <w:p w14:paraId="31D176C5" w14:textId="7BBB8165" w:rsidR="00E35BD6" w:rsidRPr="00590E05" w:rsidRDefault="00E35BD6" w:rsidP="009A5111">
            <w:pPr>
              <w:jc w:val="center"/>
            </w:pPr>
            <w:r>
              <w:t>S</w:t>
            </w:r>
          </w:p>
        </w:tc>
      </w:tr>
      <w:tr w:rsidR="00E35BD6" w14:paraId="3521BF9C" w14:textId="77777777" w:rsidTr="000C14AC">
        <w:tc>
          <w:tcPr>
            <w:tcW w:w="5529" w:type="dxa"/>
          </w:tcPr>
          <w:p w14:paraId="0D76C43E" w14:textId="31058A48" w:rsidR="00E35BD6" w:rsidRPr="00A433DD" w:rsidRDefault="00E35BD6" w:rsidP="009A5111">
            <w:r w:rsidRPr="00E35BD6">
              <w:t>Overall quality of Implementation/Oversight and Execution</w:t>
            </w:r>
          </w:p>
        </w:tc>
        <w:tc>
          <w:tcPr>
            <w:tcW w:w="1134" w:type="dxa"/>
          </w:tcPr>
          <w:p w14:paraId="20534243" w14:textId="769232CC" w:rsidR="00E35BD6" w:rsidRPr="00590E05" w:rsidRDefault="00E35BD6" w:rsidP="009A5111">
            <w:pPr>
              <w:jc w:val="center"/>
            </w:pPr>
            <w:r>
              <w:t>S</w:t>
            </w:r>
          </w:p>
        </w:tc>
      </w:tr>
    </w:tbl>
    <w:p w14:paraId="0815F876" w14:textId="77777777" w:rsidR="00B2059A" w:rsidRPr="004E31A7" w:rsidRDefault="00B2059A" w:rsidP="00CD2B78">
      <w:pPr>
        <w:spacing w:after="0"/>
        <w:jc w:val="both"/>
        <w:rPr>
          <w:sz w:val="18"/>
          <w:szCs w:val="18"/>
        </w:rPr>
      </w:pPr>
    </w:p>
    <w:p w14:paraId="431ED1A1" w14:textId="77777777" w:rsidR="0075408A" w:rsidRPr="00837E6B" w:rsidRDefault="0075408A" w:rsidP="00DE67CF">
      <w:pPr>
        <w:pStyle w:val="ListParagraph"/>
        <w:numPr>
          <w:ilvl w:val="2"/>
          <w:numId w:val="47"/>
        </w:numPr>
        <w:jc w:val="both"/>
        <w:rPr>
          <w:color w:val="2E75B6" w:themeColor="accent5"/>
        </w:rPr>
      </w:pPr>
      <w:r w:rsidRPr="00837E6B">
        <w:rPr>
          <w:color w:val="2E75B6" w:themeColor="accent5"/>
        </w:rPr>
        <w:t>Risk management</w:t>
      </w:r>
    </w:p>
    <w:p w14:paraId="7B1B2BC1" w14:textId="5BEE9DA2" w:rsidR="00B72D63" w:rsidRDefault="0075408A" w:rsidP="0075408A">
      <w:pPr>
        <w:jc w:val="both"/>
      </w:pPr>
      <w:r>
        <w:t xml:space="preserve">The project risk log had registered four risks related to: (i) </w:t>
      </w:r>
      <w:r w:rsidR="001D1103">
        <w:t>stakeholders’</w:t>
      </w:r>
      <w:r>
        <w:t xml:space="preserve"> commitments, (ii) replication of project results, (iii) availability of cofinancing resources, and (iv) limits to effective coordination and participation due to conflicting interests. The r</w:t>
      </w:r>
      <w:r w:rsidRPr="0075408A">
        <w:t xml:space="preserve">isks in the project´s </w:t>
      </w:r>
      <w:r>
        <w:t>risk log were monitored and reported periodically in QPR</w:t>
      </w:r>
      <w:r w:rsidR="001D1103">
        <w:t>s</w:t>
      </w:r>
      <w:r>
        <w:t>, APR</w:t>
      </w:r>
      <w:r w:rsidR="001D1103">
        <w:t>s</w:t>
      </w:r>
      <w:r>
        <w:t xml:space="preserve"> and PIR</w:t>
      </w:r>
      <w:r w:rsidR="001D1103">
        <w:t>s</w:t>
      </w:r>
      <w:r>
        <w:t xml:space="preserve">. </w:t>
      </w:r>
      <w:r w:rsidR="00037C6D">
        <w:t xml:space="preserve">The risk from the global COVID19 pandemic was recorded in the risk log in the QPR for the third quarter of 2020. </w:t>
      </w:r>
      <w:r>
        <w:t xml:space="preserve">No </w:t>
      </w:r>
      <w:r w:rsidR="00037C6D">
        <w:t>other new</w:t>
      </w:r>
      <w:r>
        <w:t xml:space="preserve"> risks were identified, and the existing risks were </w:t>
      </w:r>
      <w:r w:rsidR="001D1103">
        <w:t xml:space="preserve">not </w:t>
      </w:r>
      <w:r>
        <w:t xml:space="preserve">revised during project implementation or during MTR. </w:t>
      </w:r>
      <w:r w:rsidR="00037C6D">
        <w:t xml:space="preserve">Other than the impacts from COVID19, no other </w:t>
      </w:r>
      <w:r>
        <w:t xml:space="preserve">risk </w:t>
      </w:r>
      <w:r w:rsidR="00037C6D">
        <w:t>had</w:t>
      </w:r>
      <w:r>
        <w:t xml:space="preserve"> a</w:t>
      </w:r>
      <w:r w:rsidR="001D1103">
        <w:t xml:space="preserve"> significant </w:t>
      </w:r>
      <w:r>
        <w:t xml:space="preserve">impact on project implementation. </w:t>
      </w:r>
    </w:p>
    <w:p w14:paraId="6900EAC0" w14:textId="14D6ADD7" w:rsidR="00B72D63" w:rsidRDefault="00B72D63" w:rsidP="0075408A">
      <w:pPr>
        <w:jc w:val="both"/>
      </w:pPr>
      <w:r>
        <w:t xml:space="preserve">The actions proposed to manage the risk related to cofinancing (risk number three in the risk log) included the regular monitoring of the delivery of cofinancing resources. Since the monitoring by the project team produced little documentary evidence of the actual delivery of </w:t>
      </w:r>
      <w:r w:rsidR="00C96E7D">
        <w:t>these resources</w:t>
      </w:r>
      <w:r>
        <w:t xml:space="preserve">, the implementation of this risk management measures can be regarded </w:t>
      </w:r>
      <w:r w:rsidR="001D1103">
        <w:t>as less than satisfactory</w:t>
      </w:r>
      <w:r>
        <w:t>.</w:t>
      </w:r>
    </w:p>
    <w:p w14:paraId="5C5090FE" w14:textId="2258FF3A" w:rsidR="0075408A" w:rsidRDefault="0075408A" w:rsidP="00B97AE8">
      <w:pPr>
        <w:jc w:val="both"/>
      </w:pPr>
      <w:r>
        <w:t>Naturally, the global COVID19 pandemic had an impact on project activities</w:t>
      </w:r>
      <w:r w:rsidR="00037C6D">
        <w:t>, including on training activities</w:t>
      </w:r>
      <w:r>
        <w:t>.</w:t>
      </w:r>
      <w:r w:rsidR="00037C6D">
        <w:rPr>
          <w:rStyle w:val="FootnoteReference"/>
        </w:rPr>
        <w:footnoteReference w:id="20"/>
      </w:r>
      <w:r>
        <w:t xml:space="preserve"> The economic slowdown </w:t>
      </w:r>
      <w:r w:rsidR="002E2DFD">
        <w:t xml:space="preserve">caused by the pandemic had an impact on the activity-level of the logistics industry, making estimations of fuel consumption and GHG emissions for 2020 not directly comparable to previous years, therefore affecting the final measurement of key project indicators. </w:t>
      </w:r>
    </w:p>
    <w:p w14:paraId="6F8770B0" w14:textId="1BA55749" w:rsidR="0075408A" w:rsidRPr="0075408A" w:rsidRDefault="00B97AE8" w:rsidP="00B97AE8">
      <w:pPr>
        <w:jc w:val="both"/>
      </w:pPr>
      <w:r>
        <w:t>The project’s social and environmental safeguards review completed during project appraisal classified the project as low-</w:t>
      </w:r>
      <w:r w:rsidR="007E2573">
        <w:t>risk and</w:t>
      </w:r>
      <w:r>
        <w:t xml:space="preserve"> did not identify any specific risks related to safeguards that had to be monitored during project implementation. No issues related to safeguards were identified during project implementation or by the MTR, and no risks related to safeguards were identified and recorded in the project’s risk log.</w:t>
      </w:r>
    </w:p>
    <w:p w14:paraId="4F622CA9" w14:textId="6D49D246" w:rsidR="008E2C94" w:rsidRDefault="008E2C94" w:rsidP="00DE67CF">
      <w:pPr>
        <w:pStyle w:val="Heading2"/>
        <w:numPr>
          <w:ilvl w:val="1"/>
          <w:numId w:val="47"/>
        </w:numPr>
      </w:pPr>
      <w:bookmarkStart w:id="47" w:name="_Toc64632056"/>
      <w:r w:rsidRPr="004C1CE4">
        <w:lastRenderedPageBreak/>
        <w:t>Project Results</w:t>
      </w:r>
      <w:bookmarkEnd w:id="47"/>
    </w:p>
    <w:p w14:paraId="1E979E73" w14:textId="0CE9E6BD" w:rsidR="00471C74" w:rsidRDefault="00900E62" w:rsidP="00471C74">
      <w:pPr>
        <w:pStyle w:val="ListParagraph"/>
        <w:numPr>
          <w:ilvl w:val="2"/>
          <w:numId w:val="47"/>
        </w:numPr>
        <w:jc w:val="both"/>
        <w:rPr>
          <w:color w:val="2E75B6" w:themeColor="accent5"/>
        </w:rPr>
      </w:pPr>
      <w:bookmarkStart w:id="48" w:name="_Ref62116413"/>
      <w:r>
        <w:rPr>
          <w:color w:val="2E75B6" w:themeColor="accent5"/>
        </w:rPr>
        <w:t>R</w:t>
      </w:r>
      <w:r w:rsidR="006A6060" w:rsidRPr="008E2C94">
        <w:rPr>
          <w:color w:val="2E75B6" w:themeColor="accent5"/>
        </w:rPr>
        <w:t>elevanc</w:t>
      </w:r>
      <w:r w:rsidR="00471C74">
        <w:rPr>
          <w:color w:val="2E75B6" w:themeColor="accent5"/>
        </w:rPr>
        <w:t>e</w:t>
      </w:r>
      <w:bookmarkEnd w:id="48"/>
    </w:p>
    <w:p w14:paraId="5BF4615B" w14:textId="0D08758B" w:rsidR="00A64EE1" w:rsidRDefault="00A64EE1" w:rsidP="00471C74">
      <w:pPr>
        <w:jc w:val="both"/>
        <w:rPr>
          <w:b/>
          <w:bCs/>
        </w:rPr>
      </w:pPr>
      <w:r>
        <w:t>Energy consumption and GHG emissions from the production, storage, transportation, and delivery of commodities and goods in China are growing at a fast rate, reflecting the country´s rapid economic growth over the past decades and its predominant role as a global manufacturing center and distribution hub. The rapid growth of the logistics industry in the country has presented significant challenges for authorities, companies, and other stakeholder to keep up with the development of new, more efficient, and environmentally sustainable technology and practices. As a result, the logistics industry in China is characterized by lower efficiencies, higher costs and larger environmental impacts compared to industry standards in developed countries. Decoupling GHG emissions from economic growth requires the transformation of the logistics industry in China, to facilitate the adoption of green logistics technologies and practices.</w:t>
      </w:r>
    </w:p>
    <w:p w14:paraId="0BDC2F44" w14:textId="4CB40DA3" w:rsidR="00471C74" w:rsidRDefault="00471C74" w:rsidP="00471C74">
      <w:pPr>
        <w:jc w:val="both"/>
      </w:pPr>
      <w:r w:rsidRPr="00471C74">
        <w:rPr>
          <w:b/>
          <w:bCs/>
        </w:rPr>
        <w:t>Alignment with national priorities</w:t>
      </w:r>
      <w:r w:rsidRPr="00471C74">
        <w:t xml:space="preserve">. </w:t>
      </w:r>
      <w:r>
        <w:t xml:space="preserve">The project was designed to be consistent with the objectives on energy efficiency and climate change mitigation set in China’s </w:t>
      </w:r>
      <w:r w:rsidRPr="00471C74">
        <w:t>12</w:t>
      </w:r>
      <w:r w:rsidRPr="00471C74">
        <w:rPr>
          <w:vertAlign w:val="superscript"/>
        </w:rPr>
        <w:t>th</w:t>
      </w:r>
      <w:r w:rsidRPr="00471C74">
        <w:t xml:space="preserve"> Five-Year Plan (2011 to 2015)</w:t>
      </w:r>
      <w:r>
        <w:t xml:space="preserve">. The project also </w:t>
      </w:r>
      <w:r w:rsidR="006D0348">
        <w:t>considered</w:t>
      </w:r>
      <w:r>
        <w:t xml:space="preserve"> the</w:t>
      </w:r>
      <w:r w:rsidR="00D3696F">
        <w:t xml:space="preserve"> Five-Year Plan of the Ministry of Transport, that aimed at further developing the country’s freight and logistics industries. Furthermore, the project contributed to the Ministry’s energy efficiency plan for the road and waterways transportation sub-sector (2015 – 2020). </w:t>
      </w:r>
      <w:r w:rsidR="00347A0B">
        <w:t xml:space="preserve">At the Provincial level, the project was aligned to the </w:t>
      </w:r>
      <w:r w:rsidR="00347A0B" w:rsidRPr="00471C74">
        <w:t>12</w:t>
      </w:r>
      <w:r w:rsidR="00347A0B" w:rsidRPr="00471C74">
        <w:rPr>
          <w:vertAlign w:val="superscript"/>
        </w:rPr>
        <w:t>th</w:t>
      </w:r>
      <w:r w:rsidR="00347A0B" w:rsidRPr="00471C74">
        <w:t xml:space="preserve"> Five-Year Plan</w:t>
      </w:r>
      <w:r w:rsidR="00347A0B">
        <w:t xml:space="preserve"> of the Department of Transport and Communications of Zhejiang Province. This plan aimed at </w:t>
      </w:r>
      <w:r w:rsidR="006D0348">
        <w:t>reducing</w:t>
      </w:r>
      <w:r w:rsidR="00347A0B">
        <w:t xml:space="preserve"> fuel consumption form transportation activities in the province.</w:t>
      </w:r>
      <w:r w:rsidR="00347A0B">
        <w:rPr>
          <w:rStyle w:val="FootnoteReference"/>
        </w:rPr>
        <w:footnoteReference w:id="21"/>
      </w:r>
    </w:p>
    <w:p w14:paraId="018503D9" w14:textId="6EF3F9D5" w:rsidR="00A64EE1" w:rsidRDefault="00A64EE1" w:rsidP="00471C74">
      <w:pPr>
        <w:jc w:val="both"/>
      </w:pPr>
      <w:r>
        <w:t xml:space="preserve">During project </w:t>
      </w:r>
      <w:r w:rsidR="00C94F5C">
        <w:t xml:space="preserve">formulation and </w:t>
      </w:r>
      <w:r>
        <w:t>implementation, relevant policy and regulatory developments regarding green logistics were promoted in China and Zhejiang Province.</w:t>
      </w:r>
      <w:r w:rsidR="00FF24C5">
        <w:t xml:space="preserve"> Among others, during project implementation, green logistics were incorporated in the </w:t>
      </w:r>
      <w:r w:rsidR="00FF24C5" w:rsidRPr="00FF24C5">
        <w:t>14</w:t>
      </w:r>
      <w:r w:rsidR="00FF24C5" w:rsidRPr="00FF24C5">
        <w:rPr>
          <w:vertAlign w:val="superscript"/>
        </w:rPr>
        <w:t xml:space="preserve">th </w:t>
      </w:r>
      <w:r w:rsidR="00FF24C5" w:rsidRPr="00FF24C5">
        <w:t>Five-Year Plan by the Government of Zhejiang Province</w:t>
      </w:r>
      <w:r w:rsidR="00FF24C5">
        <w:t>.</w:t>
      </w:r>
      <w:r w:rsidR="00FF24C5" w:rsidRPr="00FF24C5">
        <w:t xml:space="preserve">  </w:t>
      </w:r>
      <w:r>
        <w:fldChar w:fldCharType="begin"/>
      </w:r>
      <w:r>
        <w:instrText xml:space="preserve"> REF _Ref61262703 \h </w:instrText>
      </w:r>
      <w:r>
        <w:fldChar w:fldCharType="separate"/>
      </w:r>
      <w:r w:rsidR="004718D8" w:rsidRPr="00A64EE1">
        <w:t xml:space="preserve">Table </w:t>
      </w:r>
      <w:r w:rsidR="004718D8">
        <w:rPr>
          <w:noProof/>
        </w:rPr>
        <w:t>14</w:t>
      </w:r>
      <w:r>
        <w:fldChar w:fldCharType="end"/>
      </w:r>
      <w:r>
        <w:t>, adapted from a project report on green logistic for small- and medium-sized LSPs</w:t>
      </w:r>
      <w:r w:rsidR="006D0348">
        <w:rPr>
          <w:rStyle w:val="FootnoteReference"/>
        </w:rPr>
        <w:footnoteReference w:id="22"/>
      </w:r>
      <w:r w:rsidR="00C94F5C">
        <w:t>,</w:t>
      </w:r>
      <w:r>
        <w:t xml:space="preserve"> summarizes </w:t>
      </w:r>
      <w:r w:rsidR="00FF24C5">
        <w:t>other relevant</w:t>
      </w:r>
      <w:r>
        <w:t xml:space="preserve"> developments. </w:t>
      </w:r>
    </w:p>
    <w:p w14:paraId="513C7576" w14:textId="1CD1DF88" w:rsidR="00A64EE1" w:rsidRPr="00A64EE1" w:rsidRDefault="00A64EE1" w:rsidP="00A64EE1">
      <w:pPr>
        <w:pStyle w:val="Caption"/>
      </w:pPr>
      <w:bookmarkStart w:id="49" w:name="_Ref61262703"/>
      <w:bookmarkStart w:id="50" w:name="_Ref63949367"/>
      <w:r w:rsidRPr="00A64EE1">
        <w:t xml:space="preserve">Table </w:t>
      </w:r>
      <w:r w:rsidRPr="00A64EE1">
        <w:fldChar w:fldCharType="begin"/>
      </w:r>
      <w:r w:rsidRPr="00A64EE1">
        <w:instrText xml:space="preserve"> SEQ Table \* ARABIC </w:instrText>
      </w:r>
      <w:r w:rsidRPr="00A64EE1">
        <w:fldChar w:fldCharType="separate"/>
      </w:r>
      <w:r w:rsidR="004718D8">
        <w:rPr>
          <w:noProof/>
        </w:rPr>
        <w:t>14</w:t>
      </w:r>
      <w:r w:rsidRPr="00A64EE1">
        <w:fldChar w:fldCharType="end"/>
      </w:r>
      <w:bookmarkEnd w:id="49"/>
      <w:r w:rsidRPr="00A64EE1">
        <w:t>. Policies and plans related to the logistics industry</w:t>
      </w:r>
      <w:bookmarkEnd w:id="50"/>
      <w:r w:rsidR="006D0348">
        <w:t xml:space="preserve"> in China</w:t>
      </w:r>
    </w:p>
    <w:tbl>
      <w:tblPr>
        <w:tblStyle w:val="TableGrid"/>
        <w:tblW w:w="9356" w:type="dxa"/>
        <w:tblInd w:w="-5" w:type="dxa"/>
        <w:tblLook w:val="04A0" w:firstRow="1" w:lastRow="0" w:firstColumn="1" w:lastColumn="0" w:noHBand="0" w:noVBand="1"/>
      </w:tblPr>
      <w:tblGrid>
        <w:gridCol w:w="2552"/>
        <w:gridCol w:w="2126"/>
        <w:gridCol w:w="4678"/>
      </w:tblGrid>
      <w:tr w:rsidR="00A64EE1" w:rsidRPr="00A64EE1" w14:paraId="37832C7D" w14:textId="77777777" w:rsidTr="00E82201">
        <w:tc>
          <w:tcPr>
            <w:tcW w:w="2552" w:type="dxa"/>
            <w:shd w:val="clear" w:color="auto" w:fill="173A5B" w:themeFill="accent5" w:themeFillShade="80"/>
          </w:tcPr>
          <w:p w14:paraId="1773189F" w14:textId="77777777" w:rsidR="00A64EE1" w:rsidRPr="00A64EE1" w:rsidRDefault="00A64EE1" w:rsidP="00FF741C">
            <w:r w:rsidRPr="00A64EE1">
              <w:t>Policy / plan</w:t>
            </w:r>
          </w:p>
        </w:tc>
        <w:tc>
          <w:tcPr>
            <w:tcW w:w="2126" w:type="dxa"/>
            <w:shd w:val="clear" w:color="auto" w:fill="173A5B" w:themeFill="accent5" w:themeFillShade="80"/>
          </w:tcPr>
          <w:p w14:paraId="35843CB1" w14:textId="77777777" w:rsidR="00A64EE1" w:rsidRPr="00A64EE1" w:rsidRDefault="00A64EE1" w:rsidP="00FF741C">
            <w:r w:rsidRPr="00A64EE1">
              <w:t>Promulgation</w:t>
            </w:r>
          </w:p>
        </w:tc>
        <w:tc>
          <w:tcPr>
            <w:tcW w:w="4678" w:type="dxa"/>
            <w:shd w:val="clear" w:color="auto" w:fill="173A5B" w:themeFill="accent5" w:themeFillShade="80"/>
          </w:tcPr>
          <w:p w14:paraId="2D191D3B" w14:textId="77777777" w:rsidR="00A64EE1" w:rsidRPr="00A64EE1" w:rsidRDefault="00A64EE1" w:rsidP="00FF741C">
            <w:r w:rsidRPr="00A64EE1">
              <w:t>Relevant provisions</w:t>
            </w:r>
          </w:p>
        </w:tc>
      </w:tr>
      <w:tr w:rsidR="00A64EE1" w:rsidRPr="00A64EE1" w14:paraId="4E707CD0" w14:textId="77777777" w:rsidTr="00E82201">
        <w:tc>
          <w:tcPr>
            <w:tcW w:w="2552" w:type="dxa"/>
          </w:tcPr>
          <w:p w14:paraId="3E4E78E6" w14:textId="340731F6" w:rsidR="00A64EE1" w:rsidRPr="00A64EE1" w:rsidRDefault="006D0348" w:rsidP="00FF741C">
            <w:pPr>
              <w:rPr>
                <w:sz w:val="20"/>
                <w:szCs w:val="20"/>
              </w:rPr>
            </w:pPr>
            <w:r w:rsidRPr="00A64EE1">
              <w:rPr>
                <w:sz w:val="20"/>
                <w:szCs w:val="20"/>
              </w:rPr>
              <w:t>Medium- and Long-Term</w:t>
            </w:r>
            <w:r w:rsidR="00A64EE1" w:rsidRPr="00A64EE1">
              <w:rPr>
                <w:sz w:val="20"/>
                <w:szCs w:val="20"/>
              </w:rPr>
              <w:t xml:space="preserve"> Plan for </w:t>
            </w:r>
            <w:r>
              <w:rPr>
                <w:sz w:val="20"/>
                <w:szCs w:val="20"/>
              </w:rPr>
              <w:t xml:space="preserve">the </w:t>
            </w:r>
            <w:r w:rsidR="00A64EE1" w:rsidRPr="00A64EE1">
              <w:rPr>
                <w:sz w:val="20"/>
                <w:szCs w:val="20"/>
              </w:rPr>
              <w:t>Development of the Logistics Industry (2014 2020)</w:t>
            </w:r>
          </w:p>
        </w:tc>
        <w:tc>
          <w:tcPr>
            <w:tcW w:w="2126" w:type="dxa"/>
          </w:tcPr>
          <w:p w14:paraId="6380DFF3" w14:textId="77777777" w:rsidR="00A64EE1" w:rsidRPr="00A64EE1" w:rsidRDefault="00A64EE1" w:rsidP="00FF741C">
            <w:pPr>
              <w:rPr>
                <w:sz w:val="20"/>
                <w:szCs w:val="20"/>
              </w:rPr>
            </w:pPr>
            <w:r w:rsidRPr="00A64EE1">
              <w:rPr>
                <w:sz w:val="20"/>
                <w:szCs w:val="20"/>
              </w:rPr>
              <w:t xml:space="preserve">State Council </w:t>
            </w:r>
          </w:p>
          <w:p w14:paraId="621C69A8" w14:textId="044EDCD2" w:rsidR="00A64EE1" w:rsidRPr="00A64EE1" w:rsidRDefault="00A64EE1" w:rsidP="00FF741C">
            <w:pPr>
              <w:rPr>
                <w:sz w:val="20"/>
                <w:szCs w:val="20"/>
              </w:rPr>
            </w:pPr>
            <w:r w:rsidRPr="00A64EE1">
              <w:rPr>
                <w:sz w:val="20"/>
                <w:szCs w:val="20"/>
              </w:rPr>
              <w:t xml:space="preserve">4 </w:t>
            </w:r>
            <w:r w:rsidR="006D0348" w:rsidRPr="00A64EE1">
              <w:rPr>
                <w:sz w:val="20"/>
                <w:szCs w:val="20"/>
              </w:rPr>
              <w:t>October</w:t>
            </w:r>
            <w:r w:rsidRPr="00A64EE1">
              <w:rPr>
                <w:sz w:val="20"/>
                <w:szCs w:val="20"/>
              </w:rPr>
              <w:t xml:space="preserve"> 2014 </w:t>
            </w:r>
          </w:p>
          <w:p w14:paraId="770E3FF3" w14:textId="77777777" w:rsidR="00A64EE1" w:rsidRPr="00A64EE1" w:rsidRDefault="00A64EE1" w:rsidP="00FF741C">
            <w:pPr>
              <w:rPr>
                <w:sz w:val="20"/>
                <w:szCs w:val="20"/>
              </w:rPr>
            </w:pPr>
          </w:p>
        </w:tc>
        <w:tc>
          <w:tcPr>
            <w:tcW w:w="4678" w:type="dxa"/>
          </w:tcPr>
          <w:p w14:paraId="78B83905" w14:textId="77777777" w:rsidR="00A64EE1" w:rsidRPr="00A64EE1" w:rsidRDefault="00A64EE1" w:rsidP="00FF741C">
            <w:pPr>
              <w:rPr>
                <w:sz w:val="20"/>
                <w:szCs w:val="20"/>
              </w:rPr>
            </w:pPr>
            <w:r w:rsidRPr="00A64EE1">
              <w:rPr>
                <w:sz w:val="20"/>
                <w:szCs w:val="20"/>
              </w:rPr>
              <w:t xml:space="preserve">Reduce logistics costs, strengthen logistics enterprises, build logistics infrastructure (incl. multimodal transport, logistics park, agricultural product logistics, manufacturing logistics, supply chain, etc.). </w:t>
            </w:r>
          </w:p>
        </w:tc>
      </w:tr>
      <w:tr w:rsidR="00A64EE1" w:rsidRPr="00A64EE1" w14:paraId="4FF9FC46" w14:textId="77777777" w:rsidTr="00E82201">
        <w:tc>
          <w:tcPr>
            <w:tcW w:w="2552" w:type="dxa"/>
          </w:tcPr>
          <w:p w14:paraId="4C71051D" w14:textId="37FA7E09" w:rsidR="00A64EE1" w:rsidRPr="00A64EE1" w:rsidRDefault="00A64EE1" w:rsidP="00FF741C">
            <w:pPr>
              <w:rPr>
                <w:sz w:val="20"/>
                <w:szCs w:val="20"/>
              </w:rPr>
            </w:pPr>
            <w:r w:rsidRPr="00A64EE1">
              <w:rPr>
                <w:sz w:val="20"/>
                <w:szCs w:val="20"/>
              </w:rPr>
              <w:t>13</w:t>
            </w:r>
            <w:r w:rsidRPr="00A64EE1">
              <w:rPr>
                <w:sz w:val="20"/>
                <w:szCs w:val="20"/>
                <w:vertAlign w:val="superscript"/>
              </w:rPr>
              <w:t>th</w:t>
            </w:r>
            <w:r w:rsidRPr="00A64EE1">
              <w:rPr>
                <w:sz w:val="20"/>
                <w:szCs w:val="20"/>
              </w:rPr>
              <w:t xml:space="preserve"> Five Year</w:t>
            </w:r>
            <w:r w:rsidR="006D0348">
              <w:rPr>
                <w:sz w:val="20"/>
                <w:szCs w:val="20"/>
              </w:rPr>
              <w:t xml:space="preserve"> </w:t>
            </w:r>
            <w:r w:rsidRPr="00A64EE1">
              <w:rPr>
                <w:sz w:val="20"/>
                <w:szCs w:val="20"/>
              </w:rPr>
              <w:t xml:space="preserve">Plan for </w:t>
            </w:r>
            <w:r w:rsidR="006D0348">
              <w:rPr>
                <w:sz w:val="20"/>
                <w:szCs w:val="20"/>
              </w:rPr>
              <w:t xml:space="preserve">the </w:t>
            </w:r>
            <w:r w:rsidRPr="00A64EE1">
              <w:rPr>
                <w:sz w:val="20"/>
                <w:szCs w:val="20"/>
              </w:rPr>
              <w:t>Development of Trade Logistics</w:t>
            </w:r>
          </w:p>
        </w:tc>
        <w:tc>
          <w:tcPr>
            <w:tcW w:w="2126" w:type="dxa"/>
          </w:tcPr>
          <w:p w14:paraId="26DE034D" w14:textId="77777777" w:rsidR="00A64EE1" w:rsidRPr="00A64EE1" w:rsidRDefault="00A64EE1" w:rsidP="00FF741C">
            <w:pPr>
              <w:rPr>
                <w:sz w:val="20"/>
                <w:szCs w:val="20"/>
              </w:rPr>
            </w:pPr>
            <w:r w:rsidRPr="00A64EE1">
              <w:rPr>
                <w:sz w:val="20"/>
                <w:szCs w:val="20"/>
              </w:rPr>
              <w:t>Ministry of Commerce, Development and Reform Commission,</w:t>
            </w:r>
          </w:p>
          <w:p w14:paraId="2E316BAD" w14:textId="77777777" w:rsidR="00A64EE1" w:rsidRPr="00A64EE1" w:rsidRDefault="00A64EE1" w:rsidP="00FF741C">
            <w:pPr>
              <w:rPr>
                <w:sz w:val="20"/>
                <w:szCs w:val="20"/>
              </w:rPr>
            </w:pPr>
            <w:r w:rsidRPr="00A64EE1">
              <w:rPr>
                <w:sz w:val="20"/>
                <w:szCs w:val="20"/>
              </w:rPr>
              <w:t>19 January 2017</w:t>
            </w:r>
          </w:p>
        </w:tc>
        <w:tc>
          <w:tcPr>
            <w:tcW w:w="4678" w:type="dxa"/>
          </w:tcPr>
          <w:p w14:paraId="38FCA95C" w14:textId="77777777" w:rsidR="00A64EE1" w:rsidRPr="00A64EE1" w:rsidRDefault="00A64EE1" w:rsidP="00FF741C">
            <w:pPr>
              <w:rPr>
                <w:sz w:val="20"/>
                <w:szCs w:val="20"/>
              </w:rPr>
            </w:pPr>
            <w:r w:rsidRPr="00A64EE1">
              <w:rPr>
                <w:sz w:val="20"/>
                <w:szCs w:val="20"/>
              </w:rPr>
              <w:t xml:space="preserve">Support to key initiatives including urban and rural logistics networks, logistics platforms, logistics parks, </w:t>
            </w:r>
            <w:r w:rsidRPr="00A64EE1">
              <w:rPr>
                <w:sz w:val="20"/>
                <w:szCs w:val="20"/>
              </w:rPr>
              <w:br/>
              <w:t>e-commerce logistics, and innovative technologies.</w:t>
            </w:r>
          </w:p>
        </w:tc>
      </w:tr>
      <w:tr w:rsidR="00A64EE1" w:rsidRPr="00A64EE1" w14:paraId="6686FE00" w14:textId="77777777" w:rsidTr="00E82201">
        <w:tc>
          <w:tcPr>
            <w:tcW w:w="2552" w:type="dxa"/>
          </w:tcPr>
          <w:p w14:paraId="444FD8B4" w14:textId="2A1ED0E5" w:rsidR="00A64EE1" w:rsidRPr="00A64EE1" w:rsidRDefault="00A64EE1" w:rsidP="00FF741C">
            <w:pPr>
              <w:rPr>
                <w:sz w:val="20"/>
                <w:szCs w:val="20"/>
              </w:rPr>
            </w:pPr>
            <w:r w:rsidRPr="00A64EE1">
              <w:rPr>
                <w:sz w:val="20"/>
                <w:szCs w:val="20"/>
              </w:rPr>
              <w:t xml:space="preserve">Standards for </w:t>
            </w:r>
            <w:r w:rsidR="006D0348">
              <w:rPr>
                <w:sz w:val="20"/>
                <w:szCs w:val="20"/>
              </w:rPr>
              <w:t>V</w:t>
            </w:r>
            <w:r w:rsidRPr="00A64EE1">
              <w:rPr>
                <w:sz w:val="20"/>
                <w:szCs w:val="20"/>
              </w:rPr>
              <w:t xml:space="preserve">ehicle-free </w:t>
            </w:r>
            <w:r w:rsidR="006D0348">
              <w:rPr>
                <w:sz w:val="20"/>
                <w:szCs w:val="20"/>
              </w:rPr>
              <w:t>C</w:t>
            </w:r>
            <w:r w:rsidRPr="00A64EE1">
              <w:rPr>
                <w:sz w:val="20"/>
                <w:szCs w:val="20"/>
              </w:rPr>
              <w:t>arriers</w:t>
            </w:r>
          </w:p>
        </w:tc>
        <w:tc>
          <w:tcPr>
            <w:tcW w:w="2126" w:type="dxa"/>
          </w:tcPr>
          <w:p w14:paraId="463951F9" w14:textId="77777777" w:rsidR="00A64EE1" w:rsidRPr="00A64EE1" w:rsidRDefault="00A64EE1" w:rsidP="00FF741C">
            <w:pPr>
              <w:rPr>
                <w:sz w:val="20"/>
                <w:szCs w:val="20"/>
              </w:rPr>
            </w:pPr>
            <w:r w:rsidRPr="00A64EE1">
              <w:rPr>
                <w:sz w:val="20"/>
                <w:szCs w:val="20"/>
              </w:rPr>
              <w:t xml:space="preserve">Ministry of Transport, </w:t>
            </w:r>
          </w:p>
          <w:p w14:paraId="200A9C78" w14:textId="493EB13C" w:rsidR="00A64EE1" w:rsidRPr="00A64EE1" w:rsidRDefault="00A64EE1" w:rsidP="00FF741C">
            <w:pPr>
              <w:rPr>
                <w:sz w:val="20"/>
                <w:szCs w:val="20"/>
              </w:rPr>
            </w:pPr>
            <w:r w:rsidRPr="00A64EE1">
              <w:rPr>
                <w:sz w:val="20"/>
                <w:szCs w:val="20"/>
              </w:rPr>
              <w:t>7 March 2017</w:t>
            </w:r>
          </w:p>
        </w:tc>
        <w:tc>
          <w:tcPr>
            <w:tcW w:w="4678" w:type="dxa"/>
          </w:tcPr>
          <w:p w14:paraId="5221675B" w14:textId="77777777" w:rsidR="00A64EE1" w:rsidRPr="00A64EE1" w:rsidRDefault="00A64EE1" w:rsidP="00FF741C">
            <w:pPr>
              <w:rPr>
                <w:sz w:val="20"/>
                <w:szCs w:val="20"/>
              </w:rPr>
            </w:pPr>
            <w:r w:rsidRPr="00A64EE1">
              <w:rPr>
                <w:sz w:val="20"/>
                <w:szCs w:val="20"/>
              </w:rPr>
              <w:t>Standardize the monitoring and supervision of vehicle free carriers.</w:t>
            </w:r>
          </w:p>
        </w:tc>
      </w:tr>
      <w:tr w:rsidR="00A64EE1" w:rsidRPr="00A64EE1" w14:paraId="4CB8A67C" w14:textId="77777777" w:rsidTr="00E82201">
        <w:tc>
          <w:tcPr>
            <w:tcW w:w="2552" w:type="dxa"/>
          </w:tcPr>
          <w:p w14:paraId="63CB2E13" w14:textId="77777777" w:rsidR="00A64EE1" w:rsidRPr="00A64EE1" w:rsidRDefault="00A64EE1" w:rsidP="00FF741C">
            <w:pPr>
              <w:rPr>
                <w:sz w:val="20"/>
                <w:szCs w:val="20"/>
              </w:rPr>
            </w:pPr>
            <w:r w:rsidRPr="00A64EE1">
              <w:rPr>
                <w:sz w:val="20"/>
                <w:szCs w:val="20"/>
              </w:rPr>
              <w:t>Opinions on Accelerating Development of Cold Chain Logistics to Ensure Food Safety and Promote Consumption Upgrade</w:t>
            </w:r>
          </w:p>
        </w:tc>
        <w:tc>
          <w:tcPr>
            <w:tcW w:w="2126" w:type="dxa"/>
          </w:tcPr>
          <w:p w14:paraId="04B37436" w14:textId="77777777" w:rsidR="00A64EE1" w:rsidRPr="00A64EE1" w:rsidRDefault="00A64EE1" w:rsidP="00FF741C">
            <w:pPr>
              <w:rPr>
                <w:sz w:val="20"/>
                <w:szCs w:val="20"/>
              </w:rPr>
            </w:pPr>
            <w:r w:rsidRPr="00A64EE1">
              <w:rPr>
                <w:sz w:val="20"/>
                <w:szCs w:val="20"/>
              </w:rPr>
              <w:t>Office of the State Council,</w:t>
            </w:r>
          </w:p>
          <w:p w14:paraId="737DDEE8" w14:textId="607A2733" w:rsidR="00A64EE1" w:rsidRPr="00A64EE1" w:rsidRDefault="00A64EE1" w:rsidP="00FF741C">
            <w:pPr>
              <w:rPr>
                <w:sz w:val="20"/>
                <w:szCs w:val="20"/>
              </w:rPr>
            </w:pPr>
            <w:r w:rsidRPr="00A64EE1">
              <w:rPr>
                <w:sz w:val="20"/>
                <w:szCs w:val="20"/>
              </w:rPr>
              <w:t>13 April 2017</w:t>
            </w:r>
          </w:p>
        </w:tc>
        <w:tc>
          <w:tcPr>
            <w:tcW w:w="4678" w:type="dxa"/>
          </w:tcPr>
          <w:p w14:paraId="3EDD5953" w14:textId="77777777" w:rsidR="00A64EE1" w:rsidRPr="00A64EE1" w:rsidRDefault="00A64EE1" w:rsidP="00FF741C">
            <w:pPr>
              <w:rPr>
                <w:sz w:val="20"/>
                <w:szCs w:val="20"/>
              </w:rPr>
            </w:pPr>
            <w:r w:rsidRPr="00A64EE1">
              <w:rPr>
                <w:sz w:val="20"/>
                <w:szCs w:val="20"/>
              </w:rPr>
              <w:t>Improve cold chain infrastructure, expand use of information technologies, innovate cold chain logistics technologies, and improve the financial, land, energy price, vehicle traffic support systems.</w:t>
            </w:r>
          </w:p>
        </w:tc>
      </w:tr>
      <w:tr w:rsidR="00A64EE1" w:rsidRPr="00A64EE1" w14:paraId="4F9FD0CC" w14:textId="77777777" w:rsidTr="00E82201">
        <w:tc>
          <w:tcPr>
            <w:tcW w:w="2552" w:type="dxa"/>
          </w:tcPr>
          <w:p w14:paraId="62D7BB03" w14:textId="77777777" w:rsidR="00A64EE1" w:rsidRPr="00A64EE1" w:rsidRDefault="00A64EE1" w:rsidP="00FF741C">
            <w:pPr>
              <w:rPr>
                <w:sz w:val="20"/>
                <w:szCs w:val="20"/>
              </w:rPr>
            </w:pPr>
            <w:r w:rsidRPr="00A64EE1">
              <w:rPr>
                <w:sz w:val="20"/>
                <w:szCs w:val="20"/>
              </w:rPr>
              <w:lastRenderedPageBreak/>
              <w:t>Action Plan for Promoting Healthy and Stable Development of Road Freight Industry (2017 - 2020)</w:t>
            </w:r>
          </w:p>
        </w:tc>
        <w:tc>
          <w:tcPr>
            <w:tcW w:w="2126" w:type="dxa"/>
          </w:tcPr>
          <w:p w14:paraId="092E4560" w14:textId="77777777" w:rsidR="00A64EE1" w:rsidRPr="00A64EE1" w:rsidRDefault="00A64EE1" w:rsidP="00FF741C">
            <w:pPr>
              <w:rPr>
                <w:sz w:val="20"/>
                <w:szCs w:val="20"/>
              </w:rPr>
            </w:pPr>
            <w:r w:rsidRPr="00A64EE1">
              <w:rPr>
                <w:sz w:val="20"/>
                <w:szCs w:val="20"/>
              </w:rPr>
              <w:t>Ministry of Transport, Development and Reform Commission,</w:t>
            </w:r>
          </w:p>
          <w:p w14:paraId="4F281AD6" w14:textId="05221F3F" w:rsidR="00A64EE1" w:rsidRPr="00A64EE1" w:rsidRDefault="00A64EE1" w:rsidP="00FF741C">
            <w:pPr>
              <w:rPr>
                <w:sz w:val="20"/>
                <w:szCs w:val="20"/>
              </w:rPr>
            </w:pPr>
            <w:r w:rsidRPr="00A64EE1">
              <w:rPr>
                <w:sz w:val="20"/>
                <w:szCs w:val="20"/>
              </w:rPr>
              <w:t>19 September 2017</w:t>
            </w:r>
          </w:p>
        </w:tc>
        <w:tc>
          <w:tcPr>
            <w:tcW w:w="4678" w:type="dxa"/>
          </w:tcPr>
          <w:p w14:paraId="509A6EF7" w14:textId="63E4E34C" w:rsidR="00A64EE1" w:rsidRPr="00A64EE1" w:rsidRDefault="00A64EE1" w:rsidP="00FF741C">
            <w:pPr>
              <w:rPr>
                <w:sz w:val="20"/>
                <w:szCs w:val="20"/>
              </w:rPr>
            </w:pPr>
            <w:r w:rsidRPr="00A64EE1">
              <w:rPr>
                <w:sz w:val="20"/>
                <w:szCs w:val="20"/>
              </w:rPr>
              <w:t xml:space="preserve">Reduce the impacts of road freight transport, innovate freight technologies, maintain a </w:t>
            </w:r>
            <w:r w:rsidR="00C226C5">
              <w:rPr>
                <w:sz w:val="20"/>
                <w:szCs w:val="20"/>
              </w:rPr>
              <w:t>clean</w:t>
            </w:r>
            <w:r w:rsidRPr="00A64EE1">
              <w:rPr>
                <w:sz w:val="20"/>
                <w:szCs w:val="20"/>
              </w:rPr>
              <w:t xml:space="preserve"> </w:t>
            </w:r>
            <w:r w:rsidR="006D0348" w:rsidRPr="00A64EE1">
              <w:rPr>
                <w:sz w:val="20"/>
                <w:szCs w:val="20"/>
              </w:rPr>
              <w:t>environment,</w:t>
            </w:r>
            <w:r w:rsidRPr="00A64EE1">
              <w:rPr>
                <w:sz w:val="20"/>
                <w:szCs w:val="20"/>
              </w:rPr>
              <w:t xml:space="preserve"> and improve working conditions.</w:t>
            </w:r>
          </w:p>
        </w:tc>
      </w:tr>
      <w:tr w:rsidR="00A64EE1" w:rsidRPr="00A64EE1" w14:paraId="5C265FA1" w14:textId="77777777" w:rsidTr="00E82201">
        <w:tc>
          <w:tcPr>
            <w:tcW w:w="2552" w:type="dxa"/>
          </w:tcPr>
          <w:p w14:paraId="4119FE7F" w14:textId="77777777" w:rsidR="00A64EE1" w:rsidRPr="00A64EE1" w:rsidRDefault="00A64EE1" w:rsidP="00FF741C">
            <w:pPr>
              <w:rPr>
                <w:sz w:val="20"/>
                <w:szCs w:val="20"/>
              </w:rPr>
            </w:pPr>
            <w:r w:rsidRPr="00A64EE1">
              <w:rPr>
                <w:sz w:val="20"/>
                <w:szCs w:val="20"/>
              </w:rPr>
              <w:t>Special Action Plan for Efficient Distribution in Urban and Rural Areas (2017 - 2020)</w:t>
            </w:r>
          </w:p>
        </w:tc>
        <w:tc>
          <w:tcPr>
            <w:tcW w:w="2126" w:type="dxa"/>
          </w:tcPr>
          <w:p w14:paraId="1D45268E" w14:textId="77777777" w:rsidR="00A64EE1" w:rsidRPr="00A64EE1" w:rsidRDefault="00A64EE1" w:rsidP="00FF741C">
            <w:pPr>
              <w:rPr>
                <w:sz w:val="20"/>
                <w:szCs w:val="20"/>
              </w:rPr>
            </w:pPr>
            <w:r w:rsidRPr="00A64EE1">
              <w:rPr>
                <w:sz w:val="20"/>
                <w:szCs w:val="20"/>
              </w:rPr>
              <w:t xml:space="preserve">Ministry of Commerce, Ministry of Public Security, </w:t>
            </w:r>
          </w:p>
          <w:p w14:paraId="00E4D5F4" w14:textId="09155C34" w:rsidR="00A64EE1" w:rsidRPr="00A64EE1" w:rsidRDefault="00A64EE1" w:rsidP="00FF741C">
            <w:pPr>
              <w:rPr>
                <w:sz w:val="20"/>
                <w:szCs w:val="20"/>
              </w:rPr>
            </w:pPr>
            <w:r w:rsidRPr="00A64EE1">
              <w:rPr>
                <w:sz w:val="20"/>
                <w:szCs w:val="20"/>
              </w:rPr>
              <w:t>19 December 2017</w:t>
            </w:r>
          </w:p>
        </w:tc>
        <w:tc>
          <w:tcPr>
            <w:tcW w:w="4678" w:type="dxa"/>
          </w:tcPr>
          <w:p w14:paraId="65F0A63D" w14:textId="77777777" w:rsidR="00A64EE1" w:rsidRPr="00A64EE1" w:rsidRDefault="00A64EE1" w:rsidP="00FF741C">
            <w:pPr>
              <w:rPr>
                <w:sz w:val="20"/>
                <w:szCs w:val="20"/>
              </w:rPr>
            </w:pPr>
            <w:r w:rsidRPr="00A64EE1">
              <w:rPr>
                <w:sz w:val="20"/>
                <w:szCs w:val="20"/>
              </w:rPr>
              <w:t>Improve urban and rural distribution networks and organizations, strengthen technical standards, and promote green development.</w:t>
            </w:r>
          </w:p>
        </w:tc>
      </w:tr>
      <w:tr w:rsidR="00A64EE1" w:rsidRPr="00A64EE1" w14:paraId="0369821A" w14:textId="77777777" w:rsidTr="00E82201">
        <w:tc>
          <w:tcPr>
            <w:tcW w:w="2552" w:type="dxa"/>
          </w:tcPr>
          <w:p w14:paraId="472F9741" w14:textId="77777777" w:rsidR="00A64EE1" w:rsidRPr="00A64EE1" w:rsidRDefault="00A64EE1" w:rsidP="00FF741C">
            <w:pPr>
              <w:rPr>
                <w:sz w:val="20"/>
                <w:szCs w:val="20"/>
              </w:rPr>
            </w:pPr>
            <w:r w:rsidRPr="00A64EE1">
              <w:rPr>
                <w:sz w:val="20"/>
                <w:szCs w:val="20"/>
              </w:rPr>
              <w:t>Notice on Preferential Urban Land Use Tax Policies for Logistics Enterprises' Leasing of Land Used for Bulk Commodity Storage Facilities</w:t>
            </w:r>
          </w:p>
        </w:tc>
        <w:tc>
          <w:tcPr>
            <w:tcW w:w="2126" w:type="dxa"/>
          </w:tcPr>
          <w:p w14:paraId="07CA6472" w14:textId="77777777" w:rsidR="00A64EE1" w:rsidRPr="00A64EE1" w:rsidRDefault="00A64EE1" w:rsidP="00FF741C">
            <w:pPr>
              <w:rPr>
                <w:sz w:val="20"/>
                <w:szCs w:val="20"/>
              </w:rPr>
            </w:pPr>
            <w:r w:rsidRPr="00A64EE1">
              <w:rPr>
                <w:sz w:val="20"/>
                <w:szCs w:val="20"/>
              </w:rPr>
              <w:t xml:space="preserve">Ministry of Finance and State Administration of Taxation, </w:t>
            </w:r>
          </w:p>
          <w:p w14:paraId="7A7C15FE" w14:textId="5EF0BBA4" w:rsidR="00A64EE1" w:rsidRPr="00A64EE1" w:rsidRDefault="00A64EE1" w:rsidP="00FF741C">
            <w:pPr>
              <w:rPr>
                <w:sz w:val="20"/>
                <w:szCs w:val="20"/>
              </w:rPr>
            </w:pPr>
            <w:r w:rsidRPr="00A64EE1">
              <w:rPr>
                <w:sz w:val="20"/>
                <w:szCs w:val="20"/>
              </w:rPr>
              <w:t>20 June 2018</w:t>
            </w:r>
          </w:p>
        </w:tc>
        <w:tc>
          <w:tcPr>
            <w:tcW w:w="4678" w:type="dxa"/>
          </w:tcPr>
          <w:p w14:paraId="0564B467" w14:textId="513FD7AB" w:rsidR="00A64EE1" w:rsidRPr="00A64EE1" w:rsidRDefault="00A64EE1" w:rsidP="00FF741C">
            <w:pPr>
              <w:rPr>
                <w:sz w:val="20"/>
                <w:szCs w:val="20"/>
              </w:rPr>
            </w:pPr>
            <w:r w:rsidRPr="00A64EE1">
              <w:rPr>
                <w:sz w:val="20"/>
                <w:szCs w:val="20"/>
              </w:rPr>
              <w:t>Temporary reduction of land</w:t>
            </w:r>
            <w:r w:rsidR="006D0348">
              <w:rPr>
                <w:sz w:val="20"/>
                <w:szCs w:val="20"/>
              </w:rPr>
              <w:t>-</w:t>
            </w:r>
            <w:r w:rsidRPr="00A64EE1">
              <w:rPr>
                <w:sz w:val="20"/>
                <w:szCs w:val="20"/>
              </w:rPr>
              <w:t>use tax for bulk commodity warehousing (May 2018 to December 2019).</w:t>
            </w:r>
          </w:p>
        </w:tc>
      </w:tr>
    </w:tbl>
    <w:p w14:paraId="01B0D925" w14:textId="7D666C84" w:rsidR="00A64EE1" w:rsidRPr="00101528" w:rsidRDefault="00A64EE1" w:rsidP="00A64EE1">
      <w:pPr>
        <w:spacing w:after="0" w:line="240" w:lineRule="auto"/>
        <w:rPr>
          <w:sz w:val="18"/>
          <w:szCs w:val="18"/>
          <w:lang w:val="en-CA"/>
        </w:rPr>
      </w:pPr>
      <w:r w:rsidRPr="00A64EE1">
        <w:rPr>
          <w:sz w:val="18"/>
          <w:szCs w:val="18"/>
          <w:lang w:val="en-CA"/>
        </w:rPr>
        <w:t>Source: Adapted from: China Quality Certification Centre. Energy Efficiency Evaluation Program and Plan for Small and Medium sized Logistics Enterprises in Zhejiang Province. November 2020. pp.12-14.</w:t>
      </w:r>
    </w:p>
    <w:p w14:paraId="36FBB848" w14:textId="03F1E251" w:rsidR="00A64EE1" w:rsidRDefault="00A64EE1" w:rsidP="00471C74">
      <w:pPr>
        <w:jc w:val="both"/>
      </w:pPr>
    </w:p>
    <w:p w14:paraId="73CFCAF5" w14:textId="58DEA2C9" w:rsidR="006A6060" w:rsidRDefault="00285C2C" w:rsidP="006A6060">
      <w:pPr>
        <w:jc w:val="both"/>
      </w:pPr>
      <w:r w:rsidRPr="00285C2C">
        <w:rPr>
          <w:b/>
          <w:bCs/>
        </w:rPr>
        <w:t>UNDP strategic priorities</w:t>
      </w:r>
      <w:r w:rsidRPr="00285C2C">
        <w:t xml:space="preserve">. </w:t>
      </w:r>
      <w:r>
        <w:t>Most QPRs and APRs did not elaborate on the project’s alignment and contribution to UNDP’s strategic priorities. The APR for 2018 was an exception, as it described the project’s contribution to UNDP’s Country Programme Document (CPD) for China (2016 – 2020). Specifically, the project contribute</w:t>
      </w:r>
      <w:r w:rsidR="00CF2ACB">
        <w:t>d</w:t>
      </w:r>
      <w:r>
        <w:t xml:space="preserve"> to </w:t>
      </w:r>
      <w:r w:rsidR="00CF2ACB">
        <w:t>outcome 2: “</w:t>
      </w:r>
      <w:r w:rsidR="00CF2ACB" w:rsidRPr="00CF2ACB">
        <w:t>More people enjoy a cleaner, healthier environment as a result of improved environmental protection and sustainable green growth.</w:t>
      </w:r>
      <w:r w:rsidR="00CF2ACB">
        <w:t>”</w:t>
      </w:r>
      <w:r w:rsidR="00965F9E">
        <w:rPr>
          <w:rStyle w:val="FootnoteReference"/>
        </w:rPr>
        <w:footnoteReference w:id="23"/>
      </w:r>
      <w:r w:rsidR="00CF2ACB">
        <w:t xml:space="preserve"> Furthermore, the QPR for the second quarter of 2020 provided additional details, linking the project achievements to output 2.1. of the CPD’s results framework on “</w:t>
      </w:r>
      <w:r w:rsidR="00CF2ACB" w:rsidRPr="00CF2ACB">
        <w:t>China’s actions on climate change mitigation, biodiversity and chemicals across sectors are scaled up, funded and implemented</w:t>
      </w:r>
      <w:r w:rsidR="00CF2ACB">
        <w:t>”</w:t>
      </w:r>
      <w:r w:rsidR="00CF2ACB" w:rsidRPr="00CF2ACB">
        <w:t>.</w:t>
      </w:r>
      <w:r w:rsidR="00965F9E">
        <w:rPr>
          <w:rStyle w:val="FootnoteReference"/>
        </w:rPr>
        <w:footnoteReference w:id="24"/>
      </w:r>
      <w:r w:rsidR="00CF2ACB">
        <w:t xml:space="preserve"> While not mentioned in project reports and difficult to quantify, the project did contribute directly to indicator 2.1. of the CPD as it tracks an expected reduction in carbon dioxide emissions per unit of GDP in China.</w:t>
      </w:r>
      <w:r w:rsidR="00965F9E">
        <w:rPr>
          <w:rStyle w:val="FootnoteReference"/>
        </w:rPr>
        <w:footnoteReference w:id="25"/>
      </w:r>
      <w:r w:rsidR="00CF2ACB">
        <w:t xml:space="preserve"> </w:t>
      </w:r>
    </w:p>
    <w:p w14:paraId="24951F57" w14:textId="63243A49" w:rsidR="004E4230" w:rsidRDefault="00965F9E" w:rsidP="00533CA4">
      <w:pPr>
        <w:jc w:val="both"/>
      </w:pPr>
      <w:r w:rsidRPr="00965F9E">
        <w:rPr>
          <w:b/>
          <w:bCs/>
        </w:rPr>
        <w:t>GEF focal area</w:t>
      </w:r>
      <w:r>
        <w:t xml:space="preserve">. </w:t>
      </w:r>
      <w:r w:rsidR="00533CA4">
        <w:t xml:space="preserve">As indicated in section </w:t>
      </w:r>
      <w:r w:rsidR="00533CA4">
        <w:fldChar w:fldCharType="begin"/>
      </w:r>
      <w:r w:rsidR="00533CA4">
        <w:instrText xml:space="preserve"> REF _Ref61960840 \r \h </w:instrText>
      </w:r>
      <w:r w:rsidR="00533CA4">
        <w:fldChar w:fldCharType="separate"/>
      </w:r>
      <w:r w:rsidR="004718D8">
        <w:t>3.3</w:t>
      </w:r>
      <w:r w:rsidR="00533CA4">
        <w:fldChar w:fldCharType="end"/>
      </w:r>
      <w:r w:rsidR="00533CA4">
        <w:t xml:space="preserve">, the project was aligned to </w:t>
      </w:r>
      <w:r w:rsidR="00AC721F">
        <w:t xml:space="preserve">the </w:t>
      </w:r>
      <w:r w:rsidR="00C952B3">
        <w:t xml:space="preserve">GEF-5 climate change focal area, specifically under </w:t>
      </w:r>
      <w:r w:rsidR="00533CA4">
        <w:t xml:space="preserve">objectives 2 </w:t>
      </w:r>
      <w:r w:rsidR="00C952B3">
        <w:t>(CCM-2 on e</w:t>
      </w:r>
      <w:r w:rsidR="00C952B3" w:rsidRPr="0021778E">
        <w:t xml:space="preserve">nergy </w:t>
      </w:r>
      <w:r w:rsidR="00C952B3">
        <w:t>e</w:t>
      </w:r>
      <w:r w:rsidR="00C952B3" w:rsidRPr="0021778E">
        <w:t xml:space="preserve">fficiency in </w:t>
      </w:r>
      <w:r w:rsidR="00C952B3">
        <w:t>in</w:t>
      </w:r>
      <w:r w:rsidR="00C952B3" w:rsidRPr="0021778E">
        <w:t xml:space="preserve">dustry and the </w:t>
      </w:r>
      <w:r w:rsidR="00C952B3">
        <w:t>b</w:t>
      </w:r>
      <w:r w:rsidR="00C952B3" w:rsidRPr="0021778E">
        <w:t xml:space="preserve">uilding </w:t>
      </w:r>
      <w:r w:rsidR="00C952B3">
        <w:t>s</w:t>
      </w:r>
      <w:r w:rsidR="00C952B3" w:rsidRPr="0021778E">
        <w:t>ector</w:t>
      </w:r>
      <w:r w:rsidR="00C952B3">
        <w:t>)</w:t>
      </w:r>
      <w:r w:rsidR="004E4230">
        <w:t xml:space="preserve">, </w:t>
      </w:r>
      <w:r w:rsidR="00533CA4">
        <w:t xml:space="preserve">and 4 </w:t>
      </w:r>
      <w:r w:rsidR="00C952B3">
        <w:t>(CCM-4 on e</w:t>
      </w:r>
      <w:r w:rsidR="00C952B3" w:rsidRPr="0021778E">
        <w:t>nergy efficient, low-carbon transport and urban systems</w:t>
      </w:r>
      <w:r w:rsidR="00C952B3">
        <w:t>).</w:t>
      </w:r>
      <w:r w:rsidR="004E4230">
        <w:t xml:space="preserve"> Evidence shows that the project contributed to these focal area objectives as </w:t>
      </w:r>
      <w:r w:rsidR="00AC721F">
        <w:t xml:space="preserve">it </w:t>
      </w:r>
      <w:r w:rsidR="004E4230">
        <w:t>improve</w:t>
      </w:r>
      <w:r w:rsidR="00AC721F">
        <w:t>d</w:t>
      </w:r>
      <w:r w:rsidR="004E4230">
        <w:t xml:space="preserve"> </w:t>
      </w:r>
      <w:r w:rsidR="00AC721F">
        <w:t xml:space="preserve">the </w:t>
      </w:r>
      <w:r w:rsidR="004E4230">
        <w:t>energy efficiency in buildings (e.g. wine warehouse) and transportation systems.</w:t>
      </w:r>
    </w:p>
    <w:p w14:paraId="7A090C16" w14:textId="0A1773B8" w:rsidR="00FF741C" w:rsidRDefault="00FF741C" w:rsidP="00533CA4">
      <w:pPr>
        <w:jc w:val="both"/>
      </w:pPr>
      <w:r w:rsidRPr="00FF741C">
        <w:rPr>
          <w:b/>
          <w:bCs/>
        </w:rPr>
        <w:t>Sustainable Development Goals</w:t>
      </w:r>
      <w:r>
        <w:rPr>
          <w:b/>
          <w:bCs/>
        </w:rPr>
        <w:t xml:space="preserve">. </w:t>
      </w:r>
      <w:r>
        <w:t xml:space="preserve">The ProDoc does not discuss the project’s </w:t>
      </w:r>
      <w:r w:rsidR="000A4EA4">
        <w:t>contribution to SDGs. However</w:t>
      </w:r>
      <w:r w:rsidR="00E82201">
        <w:t>,</w:t>
      </w:r>
      <w:r w:rsidR="000A4EA4">
        <w:t xml:space="preserve"> the project´s design and results were in fact aligned to Agenda 2030 and contributed to </w:t>
      </w:r>
      <w:r w:rsidR="00E82201">
        <w:t>several S</w:t>
      </w:r>
      <w:r w:rsidR="000A4EA4">
        <w:t>DGs:</w:t>
      </w:r>
    </w:p>
    <w:p w14:paraId="3DD706AB" w14:textId="4BAAFC60" w:rsidR="00472D7C" w:rsidRDefault="00472D7C" w:rsidP="001F0D97">
      <w:pPr>
        <w:pStyle w:val="ListParagraph"/>
        <w:numPr>
          <w:ilvl w:val="0"/>
          <w:numId w:val="60"/>
        </w:numPr>
        <w:jc w:val="both"/>
      </w:pPr>
      <w:r>
        <w:t xml:space="preserve">SDG 7. </w:t>
      </w:r>
      <w:r w:rsidRPr="00472D7C">
        <w:t>Affordable and clean energy</w:t>
      </w:r>
    </w:p>
    <w:p w14:paraId="79A0DA2B" w14:textId="7DD8E964" w:rsidR="00472D7C" w:rsidRDefault="00472D7C" w:rsidP="001F0D97">
      <w:pPr>
        <w:pStyle w:val="ListParagraph"/>
        <w:numPr>
          <w:ilvl w:val="1"/>
          <w:numId w:val="60"/>
        </w:numPr>
        <w:jc w:val="both"/>
      </w:pPr>
      <w:r>
        <w:t xml:space="preserve">Target </w:t>
      </w:r>
      <w:r w:rsidRPr="00472D7C">
        <w:t>7.3. By 2030, double the global rate of improvement in energy efficiency</w:t>
      </w:r>
      <w:r>
        <w:t>.</w:t>
      </w:r>
    </w:p>
    <w:p w14:paraId="11A8FDE3" w14:textId="0627BF00" w:rsidR="000A4EA4" w:rsidRDefault="000A4EA4" w:rsidP="001F0D97">
      <w:pPr>
        <w:pStyle w:val="ListParagraph"/>
        <w:numPr>
          <w:ilvl w:val="0"/>
          <w:numId w:val="60"/>
        </w:numPr>
        <w:jc w:val="both"/>
      </w:pPr>
      <w:r>
        <w:t xml:space="preserve">SDG 9. </w:t>
      </w:r>
      <w:r w:rsidRPr="000A4EA4">
        <w:t>Industry, innovation and infrastructure</w:t>
      </w:r>
    </w:p>
    <w:p w14:paraId="26E41120" w14:textId="3B8FCE64" w:rsidR="000A4EA4" w:rsidRDefault="000A4EA4" w:rsidP="001F0D97">
      <w:pPr>
        <w:pStyle w:val="ListParagraph"/>
        <w:numPr>
          <w:ilvl w:val="1"/>
          <w:numId w:val="60"/>
        </w:numPr>
        <w:jc w:val="both"/>
      </w:pPr>
      <w:r>
        <w:t xml:space="preserve">Target </w:t>
      </w:r>
      <w:r w:rsidR="00472D7C" w:rsidRPr="00472D7C">
        <w:t xml:space="preserve">9.1. Develop quality, reliable, </w:t>
      </w:r>
      <w:r w:rsidR="00AC721F" w:rsidRPr="00472D7C">
        <w:t>sustainable,</w:t>
      </w:r>
      <w:r w:rsidR="00472D7C" w:rsidRPr="00472D7C">
        <w:t xml:space="preserve"> and resilient infrastructure, including regional and transborder infrastructure, to support economic development and human </w:t>
      </w:r>
      <w:r w:rsidR="00AC721F">
        <w:br/>
      </w:r>
      <w:r w:rsidR="00472D7C" w:rsidRPr="00472D7C">
        <w:t>well-being, with a focus on affordable and equitable access for all</w:t>
      </w:r>
      <w:r w:rsidR="00472D7C">
        <w:t>.</w:t>
      </w:r>
    </w:p>
    <w:p w14:paraId="4B60EFDC" w14:textId="63D7294B" w:rsidR="00472D7C" w:rsidRDefault="00472D7C" w:rsidP="001F0D97">
      <w:pPr>
        <w:pStyle w:val="ListParagraph"/>
        <w:numPr>
          <w:ilvl w:val="1"/>
          <w:numId w:val="60"/>
        </w:numPr>
        <w:jc w:val="both"/>
      </w:pPr>
      <w:r>
        <w:lastRenderedPageBreak/>
        <w:t xml:space="preserve">Target </w:t>
      </w:r>
      <w:r w:rsidRPr="00472D7C">
        <w:t>9.4. By 2030, upgrade infrastructure and retrofit industries to make them sustainable, with increased resource-use efficiency and greater adoption of clean and environmentally sound technologies and industrial processes, with all countries taking action in accordance with their respective capabilities</w:t>
      </w:r>
      <w:r>
        <w:t>.</w:t>
      </w:r>
    </w:p>
    <w:p w14:paraId="77C9A225" w14:textId="07F86935" w:rsidR="00472D7C" w:rsidRDefault="00472D7C" w:rsidP="001F0D97">
      <w:pPr>
        <w:pStyle w:val="ListParagraph"/>
        <w:numPr>
          <w:ilvl w:val="0"/>
          <w:numId w:val="60"/>
        </w:numPr>
        <w:jc w:val="both"/>
      </w:pPr>
      <w:r>
        <w:t xml:space="preserve">SDG 11. </w:t>
      </w:r>
      <w:r w:rsidRPr="00472D7C">
        <w:t>Sustainable cities and communities</w:t>
      </w:r>
    </w:p>
    <w:p w14:paraId="5FE8C17C" w14:textId="382FD9C7" w:rsidR="00472D7C" w:rsidRDefault="00472D7C" w:rsidP="001F0D97">
      <w:pPr>
        <w:pStyle w:val="ListParagraph"/>
        <w:numPr>
          <w:ilvl w:val="1"/>
          <w:numId w:val="60"/>
        </w:numPr>
        <w:jc w:val="both"/>
      </w:pPr>
      <w:r>
        <w:t xml:space="preserve">Target </w:t>
      </w:r>
      <w:r w:rsidRPr="00472D7C">
        <w:t>11.6. By 2030, reduce the adverse per capita environmental impact of cities, including by paying special attention to air quality and municipal and other waste management</w:t>
      </w:r>
      <w:r>
        <w:t>.</w:t>
      </w:r>
    </w:p>
    <w:p w14:paraId="1EC26928" w14:textId="6721F8DD" w:rsidR="00472D7C" w:rsidRDefault="00472D7C" w:rsidP="001F0D97">
      <w:pPr>
        <w:pStyle w:val="ListParagraph"/>
        <w:numPr>
          <w:ilvl w:val="0"/>
          <w:numId w:val="60"/>
        </w:numPr>
        <w:jc w:val="both"/>
      </w:pPr>
      <w:r>
        <w:t xml:space="preserve">SDG 12. </w:t>
      </w:r>
      <w:r w:rsidRPr="00472D7C">
        <w:t>Responsible consumption and production</w:t>
      </w:r>
    </w:p>
    <w:p w14:paraId="5D18687D" w14:textId="77777777" w:rsidR="00472D7C" w:rsidRDefault="00472D7C" w:rsidP="001F0D97">
      <w:pPr>
        <w:pStyle w:val="ListParagraph"/>
        <w:numPr>
          <w:ilvl w:val="1"/>
          <w:numId w:val="60"/>
        </w:numPr>
        <w:jc w:val="both"/>
      </w:pPr>
      <w:r>
        <w:t xml:space="preserve">Target </w:t>
      </w:r>
      <w:r w:rsidRPr="00472D7C">
        <w:t>12.2. By 2030, achieve the sustainable management and efficient use of natural resources</w:t>
      </w:r>
      <w:r>
        <w:t>.</w:t>
      </w:r>
    </w:p>
    <w:p w14:paraId="1D5513A6" w14:textId="593F55ED" w:rsidR="00472D7C" w:rsidRDefault="00472D7C" w:rsidP="001F0D97">
      <w:pPr>
        <w:pStyle w:val="ListParagraph"/>
        <w:numPr>
          <w:ilvl w:val="1"/>
          <w:numId w:val="60"/>
        </w:numPr>
        <w:jc w:val="both"/>
      </w:pPr>
      <w:r>
        <w:t xml:space="preserve">Target </w:t>
      </w:r>
      <w:r w:rsidRPr="00472D7C">
        <w:t>12.5. By 2030, substantially reduce waste generation through prevention, reduction, recycling and reuse</w:t>
      </w:r>
      <w:r>
        <w:t xml:space="preserve">. </w:t>
      </w:r>
    </w:p>
    <w:p w14:paraId="2FDA33DF" w14:textId="1602D811" w:rsidR="00472D7C" w:rsidRDefault="00472D7C" w:rsidP="001F0D97">
      <w:pPr>
        <w:pStyle w:val="ListParagraph"/>
        <w:numPr>
          <w:ilvl w:val="0"/>
          <w:numId w:val="60"/>
        </w:numPr>
        <w:jc w:val="both"/>
      </w:pPr>
      <w:r>
        <w:t>SDG 13. Climate action</w:t>
      </w:r>
    </w:p>
    <w:p w14:paraId="32DE519A" w14:textId="6DD03A70" w:rsidR="00472D7C" w:rsidRDefault="00472D7C" w:rsidP="001F0D97">
      <w:pPr>
        <w:pStyle w:val="ListParagraph"/>
        <w:numPr>
          <w:ilvl w:val="1"/>
          <w:numId w:val="60"/>
        </w:numPr>
        <w:jc w:val="both"/>
      </w:pPr>
      <w:r>
        <w:t xml:space="preserve">Target </w:t>
      </w:r>
      <w:r w:rsidRPr="00472D7C">
        <w:t>13.2. Integrate climate change measures into national policies, strategies and planning</w:t>
      </w:r>
      <w:r>
        <w:t>.</w:t>
      </w:r>
    </w:p>
    <w:p w14:paraId="685ED69E" w14:textId="77777777" w:rsidR="00472D7C" w:rsidRPr="00FF741C" w:rsidRDefault="00472D7C" w:rsidP="00472D7C">
      <w:pPr>
        <w:pStyle w:val="ListParagraph"/>
        <w:ind w:left="1440"/>
        <w:jc w:val="both"/>
      </w:pPr>
    </w:p>
    <w:p w14:paraId="649B8220" w14:textId="231FB651" w:rsidR="006A6060" w:rsidRPr="008E2C94" w:rsidRDefault="006A6060" w:rsidP="006A6060">
      <w:pPr>
        <w:pStyle w:val="ListParagraph"/>
        <w:numPr>
          <w:ilvl w:val="2"/>
          <w:numId w:val="47"/>
        </w:numPr>
        <w:jc w:val="both"/>
        <w:rPr>
          <w:color w:val="2E75B6" w:themeColor="accent5"/>
        </w:rPr>
      </w:pPr>
      <w:bookmarkStart w:id="51" w:name="_Ref62802015"/>
      <w:r w:rsidRPr="008E2C94">
        <w:rPr>
          <w:color w:val="2E75B6" w:themeColor="accent5"/>
        </w:rPr>
        <w:t>Effectiveness</w:t>
      </w:r>
      <w:bookmarkEnd w:id="51"/>
    </w:p>
    <w:p w14:paraId="47C8583F" w14:textId="076C07F9" w:rsidR="007E2573" w:rsidRDefault="007E2573" w:rsidP="007E2573">
      <w:pPr>
        <w:jc w:val="both"/>
      </w:pPr>
      <w:r>
        <w:t xml:space="preserve">The evaluation of the achievement of results at the outcome and output level is based on the PRF and the revised ToC developed for </w:t>
      </w:r>
      <w:r w:rsidR="00D36081">
        <w:t>TE</w:t>
      </w:r>
      <w:r>
        <w:t>.</w:t>
      </w:r>
      <w:r w:rsidR="001E65F0">
        <w:t xml:space="preserve"> </w:t>
      </w:r>
      <w:r>
        <w:t xml:space="preserve">This section presents a detailed description of the </w:t>
      </w:r>
      <w:r w:rsidR="00FE7690">
        <w:t xml:space="preserve">outcomes and </w:t>
      </w:r>
      <w:r>
        <w:t xml:space="preserve">outputs delivered under each project component, as defined in the revised </w:t>
      </w:r>
      <w:proofErr w:type="spellStart"/>
      <w:r>
        <w:t>ToC</w:t>
      </w:r>
      <w:proofErr w:type="spellEnd"/>
      <w:r>
        <w:t xml:space="preserve"> (</w:t>
      </w:r>
      <w:r w:rsidR="00FE7690">
        <w:fldChar w:fldCharType="begin"/>
      </w:r>
      <w:r w:rsidR="00FE7690">
        <w:instrText xml:space="preserve"> REF _Ref61607369 \h </w:instrText>
      </w:r>
      <w:r w:rsidR="00FE7690">
        <w:fldChar w:fldCharType="separate"/>
      </w:r>
      <w:r w:rsidR="004718D8">
        <w:t xml:space="preserve">Table </w:t>
      </w:r>
      <w:r w:rsidR="004718D8">
        <w:rPr>
          <w:noProof/>
        </w:rPr>
        <w:t>7</w:t>
      </w:r>
      <w:r w:rsidR="00FE7690">
        <w:fldChar w:fldCharType="end"/>
      </w:r>
      <w:r>
        <w:t>, section</w:t>
      </w:r>
      <w:r w:rsidR="00FE7690">
        <w:t xml:space="preserve"> </w:t>
      </w:r>
      <w:r w:rsidR="00FE7690">
        <w:fldChar w:fldCharType="begin"/>
      </w:r>
      <w:r w:rsidR="00FE7690">
        <w:instrText xml:space="preserve"> REF _Ref61607489 \r \h </w:instrText>
      </w:r>
      <w:r w:rsidR="00FE7690">
        <w:fldChar w:fldCharType="separate"/>
      </w:r>
      <w:r w:rsidR="004718D8">
        <w:t>3.7</w:t>
      </w:r>
      <w:r w:rsidR="00FE7690">
        <w:fldChar w:fldCharType="end"/>
      </w:r>
      <w:r>
        <w:t>. above).</w:t>
      </w:r>
    </w:p>
    <w:p w14:paraId="229C853A" w14:textId="4736866D" w:rsidR="007E2573" w:rsidRDefault="00623F7E" w:rsidP="007E2573">
      <w:pPr>
        <w:rPr>
          <w:b/>
          <w:bCs/>
        </w:rPr>
      </w:pPr>
      <w:r>
        <w:rPr>
          <w:b/>
          <w:bCs/>
        </w:rPr>
        <w:t xml:space="preserve">Outcome 1. </w:t>
      </w:r>
      <w:r w:rsidR="001E65F0" w:rsidRPr="001E65F0">
        <w:rPr>
          <w:b/>
          <w:bCs/>
        </w:rPr>
        <w:t>Established and enforced policy, regulations, standards and incentive schemes for the application and operation of green logistics systems in the logistics industry in Zhejiang Province</w:t>
      </w:r>
    </w:p>
    <w:p w14:paraId="5D9C80ED" w14:textId="375084C7" w:rsidR="00CC73D3" w:rsidRDefault="00CC73D3" w:rsidP="00CC73D3">
      <w:pPr>
        <w:pStyle w:val="Caption"/>
      </w:pPr>
      <w:bookmarkStart w:id="52" w:name="_Ref62121054"/>
      <w:r>
        <w:t xml:space="preserve">Table </w:t>
      </w:r>
      <w:r>
        <w:fldChar w:fldCharType="begin"/>
      </w:r>
      <w:r>
        <w:instrText xml:space="preserve"> SEQ Table \* ARABIC </w:instrText>
      </w:r>
      <w:r>
        <w:fldChar w:fldCharType="separate"/>
      </w:r>
      <w:r w:rsidR="004718D8">
        <w:rPr>
          <w:noProof/>
        </w:rPr>
        <w:t>15</w:t>
      </w:r>
      <w:r>
        <w:fldChar w:fldCharType="end"/>
      </w:r>
      <w:bookmarkEnd w:id="52"/>
      <w:r>
        <w:t>. Outcome 1 target</w:t>
      </w:r>
      <w:r w:rsidR="000E41BF">
        <w:t>s</w:t>
      </w:r>
      <w:r>
        <w:t xml:space="preserve"> and indicators at end of project</w:t>
      </w:r>
    </w:p>
    <w:tbl>
      <w:tblPr>
        <w:tblStyle w:val="TableGrid"/>
        <w:tblW w:w="9351" w:type="dxa"/>
        <w:tblLook w:val="04A0" w:firstRow="1" w:lastRow="0" w:firstColumn="1" w:lastColumn="0" w:noHBand="0" w:noVBand="1"/>
      </w:tblPr>
      <w:tblGrid>
        <w:gridCol w:w="3397"/>
        <w:gridCol w:w="5954"/>
      </w:tblGrid>
      <w:tr w:rsidR="0022373E" w14:paraId="553E9125" w14:textId="77777777" w:rsidTr="0022373E">
        <w:tc>
          <w:tcPr>
            <w:tcW w:w="3397" w:type="dxa"/>
            <w:shd w:val="clear" w:color="auto" w:fill="77ACDC" w:themeFill="accent5" w:themeFillTint="99"/>
          </w:tcPr>
          <w:p w14:paraId="053B67DF" w14:textId="29D91ADE" w:rsidR="0022373E" w:rsidRDefault="0022373E" w:rsidP="007E2573">
            <w:pPr>
              <w:rPr>
                <w:b/>
                <w:bCs/>
              </w:rPr>
            </w:pPr>
            <w:r>
              <w:rPr>
                <w:b/>
                <w:bCs/>
              </w:rPr>
              <w:t>Outcome indicator and target by end of project</w:t>
            </w:r>
          </w:p>
        </w:tc>
        <w:tc>
          <w:tcPr>
            <w:tcW w:w="5954" w:type="dxa"/>
            <w:shd w:val="clear" w:color="auto" w:fill="77ACDC" w:themeFill="accent5" w:themeFillTint="99"/>
          </w:tcPr>
          <w:p w14:paraId="530C8EE2" w14:textId="1C41961D" w:rsidR="0022373E" w:rsidRDefault="0022373E" w:rsidP="005065A2">
            <w:pPr>
              <w:rPr>
                <w:b/>
                <w:bCs/>
              </w:rPr>
            </w:pPr>
            <w:r>
              <w:rPr>
                <w:b/>
                <w:bCs/>
              </w:rPr>
              <w:t>Reported outcome indicators at end of project</w:t>
            </w:r>
          </w:p>
        </w:tc>
      </w:tr>
      <w:tr w:rsidR="0022373E" w14:paraId="1F8910BA" w14:textId="77777777" w:rsidTr="0022373E">
        <w:tc>
          <w:tcPr>
            <w:tcW w:w="3397" w:type="dxa"/>
          </w:tcPr>
          <w:p w14:paraId="22C7720C" w14:textId="0E23914D" w:rsidR="009C368B" w:rsidRDefault="009C368B" w:rsidP="00FA3C3D">
            <w:r>
              <w:t>Indicator 1.1.</w:t>
            </w:r>
          </w:p>
          <w:p w14:paraId="1362F479" w14:textId="249FD552" w:rsidR="0022373E" w:rsidRPr="00FA3C3D" w:rsidRDefault="0022373E" w:rsidP="00FA3C3D">
            <w:r w:rsidRPr="00FA3C3D">
              <w:t xml:space="preserve">No. of new provincial government legislation and policies that provide an enabling environment to support green logistics by EOP </w:t>
            </w:r>
          </w:p>
          <w:p w14:paraId="265DFA20" w14:textId="77777777" w:rsidR="00A46F9C" w:rsidRDefault="00A46F9C" w:rsidP="00FA3C3D"/>
          <w:p w14:paraId="2D79A257" w14:textId="036DCCFF" w:rsidR="00331799" w:rsidRDefault="00331799" w:rsidP="00FA3C3D">
            <w:r>
              <w:t>Baseline: 0</w:t>
            </w:r>
          </w:p>
          <w:p w14:paraId="5C5321A4" w14:textId="3F280835" w:rsidR="0022373E" w:rsidRDefault="0022373E" w:rsidP="00FA3C3D">
            <w:pPr>
              <w:rPr>
                <w:b/>
                <w:bCs/>
              </w:rPr>
            </w:pPr>
            <w:r w:rsidRPr="00FA3C3D">
              <w:t xml:space="preserve">Target: </w:t>
            </w:r>
            <w:r w:rsidR="00331799">
              <w:t xml:space="preserve">   </w:t>
            </w:r>
            <w:r w:rsidRPr="00FA3C3D">
              <w:t>3</w:t>
            </w:r>
          </w:p>
        </w:tc>
        <w:tc>
          <w:tcPr>
            <w:tcW w:w="5954" w:type="dxa"/>
          </w:tcPr>
          <w:p w14:paraId="7AFB6BF5" w14:textId="1A4F2594" w:rsidR="0022373E" w:rsidRDefault="0022373E" w:rsidP="007E2573">
            <w:r>
              <w:t>The project reported four results under the target</w:t>
            </w:r>
            <w:r w:rsidR="00150868">
              <w:t>:</w:t>
            </w:r>
            <w:r>
              <w:rPr>
                <w:rStyle w:val="FootnoteReference"/>
              </w:rPr>
              <w:footnoteReference w:id="26"/>
            </w:r>
          </w:p>
          <w:p w14:paraId="2050916C" w14:textId="77777777" w:rsidR="0022373E" w:rsidRDefault="0022373E" w:rsidP="007E2573"/>
          <w:p w14:paraId="7BE08A84" w14:textId="77777777" w:rsidR="0022373E" w:rsidRDefault="0022373E" w:rsidP="000201DC">
            <w:pPr>
              <w:pStyle w:val="ListParagraph"/>
              <w:numPr>
                <w:ilvl w:val="0"/>
                <w:numId w:val="51"/>
              </w:numPr>
              <w:spacing w:after="0" w:line="240" w:lineRule="auto"/>
              <w:ind w:left="316" w:hanging="283"/>
            </w:pPr>
            <w:r w:rsidRPr="006B4CC3">
              <w:t>Zhejiang Green Logistics Development Index</w:t>
            </w:r>
          </w:p>
          <w:p w14:paraId="0BFCEF49" w14:textId="77777777" w:rsidR="0022373E" w:rsidRDefault="0022373E" w:rsidP="000201DC">
            <w:pPr>
              <w:pStyle w:val="ListParagraph"/>
              <w:numPr>
                <w:ilvl w:val="0"/>
                <w:numId w:val="51"/>
              </w:numPr>
              <w:spacing w:after="0" w:line="240" w:lineRule="auto"/>
              <w:ind w:left="316" w:hanging="283"/>
            </w:pPr>
            <w:r w:rsidRPr="006B4CC3">
              <w:t>Green Storage Comprehensive Energy Consumption and Carbon Dioxide Grade Classification</w:t>
            </w:r>
          </w:p>
          <w:p w14:paraId="469B72DB" w14:textId="77777777" w:rsidR="0022373E" w:rsidRDefault="0022373E" w:rsidP="000201DC">
            <w:pPr>
              <w:pStyle w:val="ListParagraph"/>
              <w:numPr>
                <w:ilvl w:val="0"/>
                <w:numId w:val="51"/>
              </w:numPr>
              <w:spacing w:after="0" w:line="240" w:lineRule="auto"/>
              <w:ind w:left="316" w:hanging="283"/>
            </w:pPr>
            <w:r w:rsidRPr="006B4CC3">
              <w:t>Evaluation Standards for Energy Saving and Carbon Reduction of Green Logistics in Zhejiang Province</w:t>
            </w:r>
          </w:p>
          <w:p w14:paraId="7C3E6B50" w14:textId="2FF239DD" w:rsidR="0022373E" w:rsidRPr="006B4CC3" w:rsidRDefault="0022373E" w:rsidP="000201DC">
            <w:pPr>
              <w:pStyle w:val="ListParagraph"/>
              <w:numPr>
                <w:ilvl w:val="0"/>
                <w:numId w:val="51"/>
              </w:numPr>
              <w:spacing w:after="0" w:line="240" w:lineRule="auto"/>
              <w:ind w:left="316" w:hanging="283"/>
            </w:pPr>
            <w:r w:rsidRPr="006B4CC3">
              <w:t xml:space="preserve">Green </w:t>
            </w:r>
            <w:r w:rsidR="00CB5331">
              <w:t>I</w:t>
            </w:r>
            <w:r w:rsidRPr="006B4CC3">
              <w:t xml:space="preserve">ntegrated </w:t>
            </w:r>
            <w:r w:rsidR="00CB5331">
              <w:t>S</w:t>
            </w:r>
            <w:r w:rsidRPr="006B4CC3">
              <w:t xml:space="preserve">torage </w:t>
            </w:r>
            <w:r w:rsidR="00CB5331">
              <w:t>C</w:t>
            </w:r>
            <w:r w:rsidRPr="006B4CC3">
              <w:t xml:space="preserve">arbon </w:t>
            </w:r>
            <w:r w:rsidR="00CB5331">
              <w:t>D</w:t>
            </w:r>
            <w:r w:rsidRPr="006B4CC3">
              <w:t xml:space="preserve">ioxide </w:t>
            </w:r>
            <w:r w:rsidR="00CB5331">
              <w:t>E</w:t>
            </w:r>
            <w:r w:rsidRPr="006B4CC3">
              <w:t xml:space="preserve">mission </w:t>
            </w:r>
            <w:r w:rsidR="00CB5331">
              <w:t>A</w:t>
            </w:r>
            <w:r w:rsidRPr="006B4CC3">
              <w:t xml:space="preserve">ccounting </w:t>
            </w:r>
            <w:r w:rsidR="00CB5331">
              <w:t>M</w:t>
            </w:r>
            <w:r w:rsidRPr="006B4CC3">
              <w:t>ethod</w:t>
            </w:r>
          </w:p>
        </w:tc>
      </w:tr>
    </w:tbl>
    <w:p w14:paraId="3671053C" w14:textId="03D7A364" w:rsidR="00623F7E" w:rsidRDefault="00623F7E" w:rsidP="007E2573">
      <w:pPr>
        <w:rPr>
          <w:b/>
          <w:bCs/>
        </w:rPr>
      </w:pPr>
    </w:p>
    <w:p w14:paraId="273FF55A" w14:textId="3AF24BA3" w:rsidR="0022373E" w:rsidRDefault="0022373E" w:rsidP="00150868">
      <w:pPr>
        <w:spacing w:after="0" w:line="240" w:lineRule="auto"/>
        <w:jc w:val="both"/>
      </w:pPr>
      <w:r>
        <w:t>The first result reported under outcome 1, “</w:t>
      </w:r>
      <w:r w:rsidRPr="006B4CC3">
        <w:t>Zhejiang Green Logistics Development Index</w:t>
      </w:r>
      <w:r>
        <w:t>” is in fact output 3.6. of the ProDoc on a “</w:t>
      </w:r>
      <w:r w:rsidR="00150868">
        <w:t>d</w:t>
      </w:r>
      <w:r w:rsidRPr="0022373E">
        <w:t>esigned, endorsed and implemented energy performance rating program and green logistics information sharing system for LSPs in Zhejiang Province</w:t>
      </w:r>
      <w:r>
        <w:t xml:space="preserve">”. </w:t>
      </w:r>
      <w:r w:rsidR="00150868">
        <w:t xml:space="preserve">Without taking away the merit of this critically important project achievement, the index is not a policy or a piece of legislation, but an information and benchmarking tool. As such, the index should be reported as </w:t>
      </w:r>
      <w:r w:rsidR="001E65F0">
        <w:t xml:space="preserve">a </w:t>
      </w:r>
      <w:r w:rsidR="00150868">
        <w:t>result under outcome 3 on the improvement of capacities and access to information on green logistics</w:t>
      </w:r>
      <w:r w:rsidR="003226EC">
        <w:t>, as originally intended in the ProDoc</w:t>
      </w:r>
      <w:r w:rsidR="00150868">
        <w:t>.</w:t>
      </w:r>
    </w:p>
    <w:p w14:paraId="748C967D" w14:textId="77777777" w:rsidR="0022373E" w:rsidRDefault="0022373E" w:rsidP="0022373E">
      <w:pPr>
        <w:spacing w:after="0" w:line="240" w:lineRule="auto"/>
      </w:pPr>
    </w:p>
    <w:p w14:paraId="4061C564" w14:textId="2574DC03" w:rsidR="00C14938" w:rsidRDefault="00150868" w:rsidP="00023F4D">
      <w:pPr>
        <w:jc w:val="both"/>
      </w:pPr>
      <w:r>
        <w:t xml:space="preserve">In </w:t>
      </w:r>
      <w:r w:rsidR="00023F4D">
        <w:t>a</w:t>
      </w:r>
      <w:r>
        <w:t xml:space="preserve"> strict sense, r</w:t>
      </w:r>
      <w:r w:rsidR="0022373E">
        <w:t xml:space="preserve">esults </w:t>
      </w:r>
      <w:r>
        <w:t>two, three and four</w:t>
      </w:r>
      <w:r w:rsidR="0022373E">
        <w:t xml:space="preserve"> </w:t>
      </w:r>
      <w:r>
        <w:t>reported under outcome 1 a</w:t>
      </w:r>
      <w:r w:rsidR="0022373E">
        <w:t xml:space="preserve">re not policies or pieces of legislation, but standards. While the </w:t>
      </w:r>
      <w:r w:rsidR="001E65F0">
        <w:t xml:space="preserve">original formulation of the </w:t>
      </w:r>
      <w:r w:rsidR="00023F4D">
        <w:t xml:space="preserve">outcome indicator refers exclusively to new “legislation and policies”, a closer review of output 1.2. and activity 1.2.3. clarifies the underlying intentions </w:t>
      </w:r>
      <w:r w:rsidR="001E65F0">
        <w:t xml:space="preserve">in the ProDoc, </w:t>
      </w:r>
      <w:r w:rsidR="00023F4D">
        <w:t>as the description of the output and activity explicitly refers to “standards” in addition to new policies and legislation</w:t>
      </w:r>
      <w:r w:rsidR="00CC4203">
        <w:t xml:space="preserve"> (see footnote </w:t>
      </w:r>
      <w:r w:rsidR="009B646C" w:rsidRPr="00CC4203">
        <w:rPr>
          <w:rStyle w:val="FootnoteReference"/>
          <w:vertAlign w:val="baseline"/>
        </w:rPr>
        <w:footnoteReference w:id="27"/>
      </w:r>
      <w:r w:rsidR="00CC4203">
        <w:t>)</w:t>
      </w:r>
      <w:r w:rsidR="00CB5331">
        <w:t xml:space="preserve">. This understanding of the scope of outcome 1 was reflected in the reconstructed ToC prepared as part of this terminal evaluation (see section </w:t>
      </w:r>
      <w:r w:rsidR="00CB5331">
        <w:fldChar w:fldCharType="begin"/>
      </w:r>
      <w:r w:rsidR="00CB5331">
        <w:instrText xml:space="preserve"> REF _Ref61607489 \r \h </w:instrText>
      </w:r>
      <w:r w:rsidR="00CB5331">
        <w:fldChar w:fldCharType="separate"/>
      </w:r>
      <w:r w:rsidR="004718D8">
        <w:t>3.7</w:t>
      </w:r>
      <w:r w:rsidR="00CB5331">
        <w:fldChar w:fldCharType="end"/>
      </w:r>
      <w:r w:rsidR="00CB5331">
        <w:t xml:space="preserve">). </w:t>
      </w:r>
    </w:p>
    <w:p w14:paraId="3E4DE239" w14:textId="07DFADEC" w:rsidR="009E774C" w:rsidRPr="009E774C" w:rsidRDefault="00CB5331" w:rsidP="009C368B">
      <w:pPr>
        <w:jc w:val="both"/>
      </w:pPr>
      <w:r>
        <w:t>Under the definition of the scope of outcome 1 described in the preceding paragraph, the t</w:t>
      </w:r>
      <w:r w:rsidR="00B4466B">
        <w:t>hree</w:t>
      </w:r>
      <w:r>
        <w:t xml:space="preserve"> standards produced with support from the project contribute to the target </w:t>
      </w:r>
      <w:r w:rsidR="009C368B">
        <w:t>of indicator 1.1.</w:t>
      </w:r>
      <w:r>
        <w:t xml:space="preserve"> 1: (i) </w:t>
      </w:r>
      <w:r w:rsidR="00B4466B">
        <w:t xml:space="preserve">Zhejiang Provincial Standard. </w:t>
      </w:r>
      <w:r w:rsidR="00B4466B" w:rsidRPr="00B4466B">
        <w:t>Classification of comprehensive energy consumption and carbon dioxide emission of green storage</w:t>
      </w:r>
      <w:r w:rsidR="00B4466B">
        <w:t xml:space="preserve"> (the second item reported by the project in </w:t>
      </w:r>
      <w:r w:rsidR="00B4466B">
        <w:fldChar w:fldCharType="begin"/>
      </w:r>
      <w:r w:rsidR="00B4466B">
        <w:instrText xml:space="preserve"> REF _Ref62121054 \h </w:instrText>
      </w:r>
      <w:r w:rsidR="00B4466B">
        <w:fldChar w:fldCharType="separate"/>
      </w:r>
      <w:r w:rsidR="004718D8">
        <w:t xml:space="preserve">Table </w:t>
      </w:r>
      <w:r w:rsidR="004718D8">
        <w:rPr>
          <w:noProof/>
        </w:rPr>
        <w:t>15</w:t>
      </w:r>
      <w:r w:rsidR="00B4466B">
        <w:fldChar w:fldCharType="end"/>
      </w:r>
      <w:r w:rsidR="00B4466B">
        <w:t xml:space="preserve">), (ii) </w:t>
      </w:r>
      <w:r w:rsidRPr="00CB5331">
        <w:t>Evaluation Standards for Energy Saving and Carbon Reduction of Green Logistics in Zhejiang Province</w:t>
      </w:r>
      <w:r w:rsidR="001E65F0">
        <w:t xml:space="preserve"> (third item)</w:t>
      </w:r>
      <w:r>
        <w:t xml:space="preserve">, and </w:t>
      </w:r>
      <w:r w:rsidR="00B4466B">
        <w:t xml:space="preserve">(iii) </w:t>
      </w:r>
      <w:r w:rsidR="00B4466B" w:rsidRPr="00B4466B">
        <w:t>Carbon-dioxide emission accounting method of green integrated storage</w:t>
      </w:r>
      <w:r w:rsidR="00B4466B">
        <w:t xml:space="preserve"> (</w:t>
      </w:r>
      <w:r w:rsidR="001E7689">
        <w:t>fourth</w:t>
      </w:r>
      <w:r w:rsidR="00B4466B">
        <w:t xml:space="preserve"> item).</w:t>
      </w:r>
    </w:p>
    <w:p w14:paraId="63528378" w14:textId="175B6269" w:rsidR="00C14938" w:rsidRDefault="00C14938" w:rsidP="00023F4D">
      <w:pPr>
        <w:jc w:val="both"/>
      </w:pPr>
      <w:r>
        <w:t xml:space="preserve">Additional details on output 1.2. </w:t>
      </w:r>
      <w:r w:rsidR="008F10CB">
        <w:t xml:space="preserve">clarify that, as part of outcome 1 and through activity 1.2.2., the project </w:t>
      </w:r>
      <w:r w:rsidR="001E65F0">
        <w:t>was intended to</w:t>
      </w:r>
      <w:r w:rsidR="008F10CB">
        <w:t xml:space="preserve"> implement pilot financial schemes to promote the adoption of green logistics by small- and medium-sized enterprises.</w:t>
      </w:r>
      <w:r w:rsidR="008F10CB" w:rsidRPr="008F10CB">
        <w:rPr>
          <w:rStyle w:val="FootnoteReference"/>
        </w:rPr>
        <w:t xml:space="preserve"> </w:t>
      </w:r>
      <w:r w:rsidR="008F10CB">
        <w:rPr>
          <w:rStyle w:val="FootnoteReference"/>
        </w:rPr>
        <w:footnoteReference w:id="28"/>
      </w:r>
      <w:r w:rsidR="008F10CB">
        <w:t xml:space="preserve"> </w:t>
      </w:r>
      <w:r>
        <w:t xml:space="preserve">The project </w:t>
      </w:r>
      <w:r w:rsidR="008F10CB">
        <w:t xml:space="preserve">developed such </w:t>
      </w:r>
      <w:r>
        <w:t>a financial incentive plan for small- and medium-sized enterprises</w:t>
      </w:r>
      <w:r w:rsidR="008F10CB">
        <w:t xml:space="preserve">, and implemented it </w:t>
      </w:r>
      <w:r>
        <w:t>in partnerships with Huzhou bank</w:t>
      </w:r>
      <w:r w:rsidR="008F10CB">
        <w:t>.</w:t>
      </w:r>
      <w:r w:rsidR="008F10CB">
        <w:rPr>
          <w:rStyle w:val="FootnoteReference"/>
        </w:rPr>
        <w:footnoteReference w:id="29"/>
      </w:r>
      <w:r>
        <w:t xml:space="preserve"> </w:t>
      </w:r>
      <w:r w:rsidR="00CB5331">
        <w:t>While this financial incentive plan was not reported by the project a result under outcome 1, it should be counted towards its target.</w:t>
      </w:r>
      <w:r w:rsidR="008A5021">
        <w:t xml:space="preserve"> </w:t>
      </w:r>
      <w:r w:rsidR="001E65F0">
        <w:t>Also, a</w:t>
      </w:r>
      <w:r w:rsidR="008A5021">
        <w:t xml:space="preserve">ccording to interviews with members of the project management unit, as part of </w:t>
      </w:r>
      <w:r w:rsidR="001E65F0">
        <w:t xml:space="preserve">the </w:t>
      </w:r>
      <w:r w:rsidR="008A5021">
        <w:t xml:space="preserve">work with Huzhou bank to develop financial products, the </w:t>
      </w:r>
      <w:r w:rsidR="008A5021" w:rsidRPr="008A5021">
        <w:t>Tianjin Climate Exchange Co.</w:t>
      </w:r>
      <w:r w:rsidR="008A5021">
        <w:t xml:space="preserve"> supported activities to facilitate the participation of LSPs in </w:t>
      </w:r>
      <w:r w:rsidR="00AF6342">
        <w:t xml:space="preserve">emissions </w:t>
      </w:r>
      <w:r w:rsidR="008A5021">
        <w:t>trading</w:t>
      </w:r>
      <w:r w:rsidR="001E65F0">
        <w:t xml:space="preserve"> activities</w:t>
      </w:r>
      <w:r w:rsidR="008A5021">
        <w:t xml:space="preserve"> in China.</w:t>
      </w:r>
    </w:p>
    <w:p w14:paraId="45BB5AC3" w14:textId="0252DBB4" w:rsidR="00CB5331" w:rsidRDefault="00CB5331" w:rsidP="00023F4D">
      <w:pPr>
        <w:jc w:val="both"/>
      </w:pPr>
      <w:r w:rsidRPr="00CB5331">
        <w:t xml:space="preserve">To conclude, </w:t>
      </w:r>
      <w:r w:rsidR="001E7689">
        <w:t>four</w:t>
      </w:r>
      <w:r>
        <w:t xml:space="preserve"> project results contribute to the target </w:t>
      </w:r>
      <w:r w:rsidR="009C368B">
        <w:t xml:space="preserve">of indicator 1.1. </w:t>
      </w:r>
      <w:r>
        <w:t>under outcome 1:</w:t>
      </w:r>
    </w:p>
    <w:p w14:paraId="6AD0653C" w14:textId="7925AD3A" w:rsidR="00CB5331" w:rsidRDefault="001E7689" w:rsidP="001F0D97">
      <w:pPr>
        <w:pStyle w:val="ListParagraph"/>
        <w:numPr>
          <w:ilvl w:val="0"/>
          <w:numId w:val="55"/>
        </w:numPr>
        <w:jc w:val="both"/>
      </w:pPr>
      <w:r>
        <w:t xml:space="preserve">Standard by the </w:t>
      </w:r>
      <w:r w:rsidRPr="00B4466B">
        <w:t>Zhejiang International Freight Forwarding and Logistics Association</w:t>
      </w:r>
      <w:r w:rsidR="00ED3730">
        <w:t>:</w:t>
      </w:r>
      <w:r>
        <w:t xml:space="preserve"> </w:t>
      </w:r>
      <w:r w:rsidR="00ED3730">
        <w:t>“</w:t>
      </w:r>
      <w:r w:rsidR="00822D33" w:rsidRPr="00822D33">
        <w:t>Evaluation Standards for Energy Saving and Carbon Reduction of Green Logistics in Zhejiang Province</w:t>
      </w:r>
      <w:r w:rsidR="00ED3730">
        <w:t>”</w:t>
      </w:r>
      <w:r w:rsidR="00822D33">
        <w:t>;</w:t>
      </w:r>
    </w:p>
    <w:p w14:paraId="63E42036" w14:textId="5F72A815" w:rsidR="00822D33" w:rsidRDefault="00B4466B" w:rsidP="001F0D97">
      <w:pPr>
        <w:pStyle w:val="ListParagraph"/>
        <w:numPr>
          <w:ilvl w:val="0"/>
          <w:numId w:val="55"/>
        </w:numPr>
        <w:jc w:val="both"/>
      </w:pPr>
      <w:r>
        <w:t>Zhejiang Provincial Standard</w:t>
      </w:r>
      <w:r w:rsidR="00ED3730">
        <w:t>:</w:t>
      </w:r>
      <w:r>
        <w:t xml:space="preserve"> </w:t>
      </w:r>
      <w:r w:rsidR="00ED3730">
        <w:t>“</w:t>
      </w:r>
      <w:r w:rsidRPr="00B4466B">
        <w:t>Classification of comprehensive energy consumption and carbon dioxide emission of green storage</w:t>
      </w:r>
      <w:r w:rsidR="00ED3730">
        <w:t>”</w:t>
      </w:r>
      <w:r w:rsidR="00822D33">
        <w:t>;</w:t>
      </w:r>
    </w:p>
    <w:p w14:paraId="6F97C513" w14:textId="3748671B" w:rsidR="00B4466B" w:rsidRDefault="00B4466B" w:rsidP="001F0D97">
      <w:pPr>
        <w:pStyle w:val="ListParagraph"/>
        <w:numPr>
          <w:ilvl w:val="0"/>
          <w:numId w:val="55"/>
        </w:numPr>
        <w:jc w:val="both"/>
      </w:pPr>
      <w:r>
        <w:t xml:space="preserve">Standard by the </w:t>
      </w:r>
      <w:r w:rsidRPr="00B4466B">
        <w:t>Zhejiang International Freight Forwarding and Logistics Association</w:t>
      </w:r>
      <w:r w:rsidR="00ED3730">
        <w:t>:</w:t>
      </w:r>
      <w:r>
        <w:t xml:space="preserve"> </w:t>
      </w:r>
      <w:r w:rsidR="00ED3730">
        <w:t>“</w:t>
      </w:r>
      <w:r w:rsidRPr="00B4466B">
        <w:t>Carbon-dioxide emission accounting method of green integrated storage</w:t>
      </w:r>
      <w:r w:rsidR="00ED3730">
        <w:t>”; and,</w:t>
      </w:r>
    </w:p>
    <w:p w14:paraId="58703CB9" w14:textId="29AF5DF9" w:rsidR="00822D33" w:rsidRPr="00CB5331" w:rsidRDefault="00822D33" w:rsidP="001F0D97">
      <w:pPr>
        <w:pStyle w:val="ListParagraph"/>
        <w:numPr>
          <w:ilvl w:val="0"/>
          <w:numId w:val="55"/>
        </w:numPr>
        <w:jc w:val="both"/>
      </w:pPr>
      <w:bookmarkStart w:id="53" w:name="_Hlk62033350"/>
      <w:r>
        <w:t>Incentive plan for small- and medium-sized enterprises, implemented in partnerships with Huzhou bank.</w:t>
      </w:r>
    </w:p>
    <w:bookmarkEnd w:id="53"/>
    <w:p w14:paraId="0D3F11A1" w14:textId="7EBC37C5" w:rsidR="00CC4203" w:rsidRPr="00206B68" w:rsidRDefault="00822D33" w:rsidP="00023F4D">
      <w:pPr>
        <w:jc w:val="both"/>
        <w:rPr>
          <w:u w:val="single"/>
        </w:rPr>
      </w:pPr>
      <w:r w:rsidRPr="002F3F32">
        <w:rPr>
          <w:u w:val="single"/>
        </w:rPr>
        <w:t>A</w:t>
      </w:r>
      <w:r w:rsidR="0058596A" w:rsidRPr="00206B68">
        <w:rPr>
          <w:u w:val="single"/>
        </w:rPr>
        <w:t>chievements</w:t>
      </w:r>
    </w:p>
    <w:p w14:paraId="4EEDD791" w14:textId="065FBFD2" w:rsidR="0058596A" w:rsidRPr="002F5F21" w:rsidRDefault="0058596A" w:rsidP="0058596A">
      <w:pPr>
        <w:jc w:val="both"/>
        <w:rPr>
          <w:i/>
          <w:iCs/>
        </w:rPr>
      </w:pPr>
      <w:r w:rsidRPr="002F5F21">
        <w:rPr>
          <w:i/>
          <w:iCs/>
        </w:rPr>
        <w:lastRenderedPageBreak/>
        <w:t>Output 1.1.  Completed analysis of: (1) the energy use trends and GHG emissions from the operation of the logistics industry (materials management and physical distribution) in Zhejiang Province as basis for formulating policies; and, (2) green logistics systems developed and implemented in other countries and the performance and results of their applications</w:t>
      </w:r>
    </w:p>
    <w:p w14:paraId="6596FC88" w14:textId="254073F7" w:rsidR="002F5F21" w:rsidRDefault="002F5F21" w:rsidP="0058596A">
      <w:pPr>
        <w:jc w:val="both"/>
      </w:pPr>
      <w:r>
        <w:t xml:space="preserve">The project team reported that a survey of 500 small- and medium-sized LSPs </w:t>
      </w:r>
      <w:r>
        <w:br/>
        <w:t xml:space="preserve">(209 actual responses) had been completed in 2018 to evaluate the status of green logistics in </w:t>
      </w:r>
      <w:r w:rsidRPr="002F5F21">
        <w:t>Zhejiang Province</w:t>
      </w:r>
      <w:r>
        <w:t>. The team also visited 27 LSP that had implemented green logistics practices. The team used the information collected in the survey and site visits to assess how the operational and technological characteristics of LSPs had an impact on fuel consumption and GHG emissions.</w:t>
      </w:r>
      <w:r w:rsidR="00DE55CC">
        <w:rPr>
          <w:rStyle w:val="FootnoteReference"/>
        </w:rPr>
        <w:footnoteReference w:id="30"/>
      </w:r>
      <w:r w:rsidR="00DE55CC">
        <w:t xml:space="preserve"> </w:t>
      </w:r>
    </w:p>
    <w:p w14:paraId="34AD9343" w14:textId="5041DACD" w:rsidR="00A844CA" w:rsidRDefault="005E6616" w:rsidP="0058596A">
      <w:pPr>
        <w:jc w:val="both"/>
      </w:pPr>
      <w:r>
        <w:t>T</w:t>
      </w:r>
      <w:r w:rsidR="00A844CA">
        <w:t xml:space="preserve">he project </w:t>
      </w:r>
      <w:r>
        <w:t xml:space="preserve">also </w:t>
      </w:r>
      <w:r w:rsidR="00A844CA">
        <w:t xml:space="preserve">completed the following preparatory work related to the development of green policies, </w:t>
      </w:r>
      <w:r w:rsidR="00D74007">
        <w:t>legislation,</w:t>
      </w:r>
      <w:r w:rsidR="00A844CA">
        <w:t xml:space="preserve"> and standards in </w:t>
      </w:r>
      <w:r w:rsidR="00A844CA" w:rsidRPr="00A844CA">
        <w:t>Zhejiang Province</w:t>
      </w:r>
      <w:r w:rsidR="00A844CA">
        <w:t>:</w:t>
      </w:r>
    </w:p>
    <w:p w14:paraId="68EC5787" w14:textId="7415C77C" w:rsidR="00A844CA" w:rsidRDefault="00A844CA" w:rsidP="000201DC">
      <w:pPr>
        <w:pStyle w:val="ListParagraph"/>
        <w:numPr>
          <w:ilvl w:val="0"/>
          <w:numId w:val="52"/>
        </w:numPr>
        <w:jc w:val="both"/>
      </w:pPr>
      <w:r>
        <w:t>S</w:t>
      </w:r>
      <w:r w:rsidR="00060762">
        <w:t>tudy on green logistic practices and technologies in China, Europe, Japan, and the United States of America</w:t>
      </w:r>
      <w:r w:rsidR="00D74007">
        <w:t>;</w:t>
      </w:r>
      <w:r w:rsidR="00060762">
        <w:rPr>
          <w:rStyle w:val="FootnoteReference"/>
        </w:rPr>
        <w:footnoteReference w:id="31"/>
      </w:r>
      <w:r w:rsidR="00060762">
        <w:t xml:space="preserve"> </w:t>
      </w:r>
    </w:p>
    <w:p w14:paraId="271895B7" w14:textId="0292C4C1" w:rsidR="00A844CA" w:rsidRDefault="00A844CA" w:rsidP="000201DC">
      <w:pPr>
        <w:pStyle w:val="ListParagraph"/>
        <w:numPr>
          <w:ilvl w:val="0"/>
          <w:numId w:val="52"/>
        </w:numPr>
        <w:jc w:val="both"/>
      </w:pPr>
      <w:r>
        <w:t xml:space="preserve">Assessment of </w:t>
      </w:r>
      <w:r w:rsidRPr="00A844CA">
        <w:t>green logistics policies in China and other countries</w:t>
      </w:r>
      <w:r w:rsidR="001D29EF">
        <w:t xml:space="preserve"> (“</w:t>
      </w:r>
      <w:r w:rsidR="001D29EF" w:rsidRPr="001D29EF">
        <w:t>Research and analysis report on green logistics energy saving and emission reduction policies at home and abroad</w:t>
      </w:r>
      <w:r w:rsidR="001D29EF">
        <w:t>”)</w:t>
      </w:r>
      <w:r w:rsidR="00D74007">
        <w:t>;</w:t>
      </w:r>
      <w:r>
        <w:rPr>
          <w:rStyle w:val="FootnoteReference"/>
        </w:rPr>
        <w:footnoteReference w:id="32"/>
      </w:r>
    </w:p>
    <w:p w14:paraId="16DC732A" w14:textId="27FF5336" w:rsidR="00A844CA" w:rsidRDefault="001D29EF" w:rsidP="000201DC">
      <w:pPr>
        <w:pStyle w:val="ListParagraph"/>
        <w:numPr>
          <w:ilvl w:val="0"/>
          <w:numId w:val="52"/>
        </w:numPr>
        <w:jc w:val="both"/>
      </w:pPr>
      <w:r>
        <w:t xml:space="preserve">Evaluated the current status of green logistics in </w:t>
      </w:r>
      <w:r w:rsidRPr="00A844CA">
        <w:t>Zhejiang</w:t>
      </w:r>
      <w:r>
        <w:t xml:space="preserve"> Province, provided arguments on the importance of promoting the adoption of green technologies and practices</w:t>
      </w:r>
      <w:r w:rsidR="00D74007">
        <w:t>,</w:t>
      </w:r>
      <w:r>
        <w:t xml:space="preserve"> and p</w:t>
      </w:r>
      <w:r w:rsidR="00D74007">
        <w:t>repared</w:t>
      </w:r>
      <w:r>
        <w:t xml:space="preserve"> policy-recommendation</w:t>
      </w:r>
      <w:r w:rsidR="00D74007">
        <w:t>s</w:t>
      </w:r>
      <w:r>
        <w:t>. The findings were included in a report on “</w:t>
      </w:r>
      <w:r w:rsidR="00A844CA" w:rsidRPr="00A844CA">
        <w:t>Zhejiang Green Logistics Policy Research Report</w:t>
      </w:r>
      <w:r>
        <w:t>”</w:t>
      </w:r>
      <w:r w:rsidR="00D74007">
        <w:t>;</w:t>
      </w:r>
      <w:r w:rsidR="00A844CA">
        <w:rPr>
          <w:rStyle w:val="FootnoteReference"/>
        </w:rPr>
        <w:footnoteReference w:id="33"/>
      </w:r>
    </w:p>
    <w:p w14:paraId="4C86310D" w14:textId="5E50FF70" w:rsidR="00A844CA" w:rsidRDefault="001D29EF" w:rsidP="000201DC">
      <w:pPr>
        <w:pStyle w:val="ListParagraph"/>
        <w:numPr>
          <w:ilvl w:val="0"/>
          <w:numId w:val="52"/>
        </w:numPr>
        <w:jc w:val="both"/>
      </w:pPr>
      <w:r>
        <w:t xml:space="preserve">A summary of policy recommendations was published in a special issue on “Research and Recommendations” a publication of </w:t>
      </w:r>
      <w:r>
        <w:rPr>
          <w:lang w:val="en-GB"/>
        </w:rPr>
        <w:t>ZPDRC. The title of the article was</w:t>
      </w:r>
      <w:r w:rsidRPr="008A4910">
        <w:rPr>
          <w:lang w:val="en-GB"/>
        </w:rPr>
        <w:t xml:space="preserve"> </w:t>
      </w:r>
      <w:r>
        <w:t>“</w:t>
      </w:r>
      <w:r w:rsidR="00A844CA" w:rsidRPr="00A844CA">
        <w:t>Exploration Practice and Countermeasures for Promoting Green Logistics in Our Province</w:t>
      </w:r>
      <w:r>
        <w:t>”</w:t>
      </w:r>
      <w:r w:rsidR="00D74007">
        <w:t>;</w:t>
      </w:r>
      <w:r w:rsidR="00A844CA">
        <w:rPr>
          <w:rStyle w:val="FootnoteReference"/>
        </w:rPr>
        <w:footnoteReference w:id="34"/>
      </w:r>
    </w:p>
    <w:p w14:paraId="41594947" w14:textId="792A76EA" w:rsidR="00976E95" w:rsidRDefault="00976E95" w:rsidP="000201DC">
      <w:pPr>
        <w:pStyle w:val="ListParagraph"/>
        <w:numPr>
          <w:ilvl w:val="0"/>
          <w:numId w:val="52"/>
        </w:numPr>
        <w:jc w:val="both"/>
      </w:pPr>
      <w:r>
        <w:t>A</w:t>
      </w:r>
      <w:r w:rsidR="00045B36">
        <w:t xml:space="preserve">n assessment of the opportunities for the deployment of green logistic technologies and practices in the </w:t>
      </w:r>
      <w:r w:rsidR="00045B36" w:rsidRPr="00045B36">
        <w:t>Longyou Port Area</w:t>
      </w:r>
      <w:r w:rsidR="00045B36">
        <w:t>. The results of the assessment were compiled in a report on “</w:t>
      </w:r>
      <w:r w:rsidR="00045B36" w:rsidRPr="00045B36">
        <w:t>Research Report on the Green Logistics System Planning of Zhejiang Longyou Port Area</w:t>
      </w:r>
      <w:r w:rsidR="00045B36">
        <w:t>”</w:t>
      </w:r>
      <w:r w:rsidR="00D74007">
        <w:t>;</w:t>
      </w:r>
      <w:r w:rsidR="00045B36">
        <w:rPr>
          <w:rStyle w:val="FootnoteReference"/>
        </w:rPr>
        <w:footnoteReference w:id="35"/>
      </w:r>
    </w:p>
    <w:p w14:paraId="03128A10" w14:textId="22AC71CE" w:rsidR="00023E5B" w:rsidRDefault="00023E5B" w:rsidP="000201DC">
      <w:pPr>
        <w:pStyle w:val="ListParagraph"/>
        <w:numPr>
          <w:ilvl w:val="0"/>
          <w:numId w:val="52"/>
        </w:numPr>
        <w:jc w:val="both"/>
      </w:pPr>
      <w:r>
        <w:t>A research on green logistics standards in Zhejiang Province: “</w:t>
      </w:r>
      <w:r w:rsidRPr="00023E5B">
        <w:t>Research Project of Green Logistics Standard System of Zhejiang Province</w:t>
      </w:r>
      <w:r>
        <w:t>”</w:t>
      </w:r>
      <w:r w:rsidR="00D74007">
        <w:t>;</w:t>
      </w:r>
      <w:r>
        <w:rPr>
          <w:rStyle w:val="FootnoteReference"/>
        </w:rPr>
        <w:footnoteReference w:id="36"/>
      </w:r>
      <w:r w:rsidR="00D74007" w:rsidRPr="00D74007">
        <w:t xml:space="preserve"> </w:t>
      </w:r>
      <w:r w:rsidR="00D74007">
        <w:t>and,</w:t>
      </w:r>
    </w:p>
    <w:p w14:paraId="59984960" w14:textId="2AE759C9" w:rsidR="00023E5B" w:rsidRDefault="00023E5B" w:rsidP="000201DC">
      <w:pPr>
        <w:pStyle w:val="ListParagraph"/>
        <w:numPr>
          <w:ilvl w:val="0"/>
          <w:numId w:val="52"/>
        </w:numPr>
        <w:jc w:val="both"/>
      </w:pPr>
      <w:r>
        <w:t xml:space="preserve">A report on financing </w:t>
      </w:r>
      <w:r w:rsidR="00D74007">
        <w:t>for</w:t>
      </w:r>
      <w:r>
        <w:t xml:space="preserve"> green logistics in small- and medium-sized LSPs: “</w:t>
      </w:r>
      <w:r w:rsidRPr="00023E5B">
        <w:t>Green Finance Support Evaluation and Recommendation Report for the Green Development of Small and Medium-sized Logistics Enterprises</w:t>
      </w:r>
      <w:r>
        <w:t>”.</w:t>
      </w:r>
      <w:r>
        <w:rPr>
          <w:rStyle w:val="FootnoteReference"/>
        </w:rPr>
        <w:footnoteReference w:id="37"/>
      </w:r>
    </w:p>
    <w:p w14:paraId="51D4C187" w14:textId="67BD0716" w:rsidR="0058596A" w:rsidRPr="001C00DB" w:rsidRDefault="0058596A" w:rsidP="0058596A">
      <w:pPr>
        <w:jc w:val="both"/>
        <w:rPr>
          <w:i/>
          <w:iCs/>
        </w:rPr>
      </w:pPr>
      <w:r w:rsidRPr="001C00DB">
        <w:rPr>
          <w:i/>
          <w:iCs/>
        </w:rPr>
        <w:t>Output 1.2.  Formulated, recommended, and implemented standards, policies, incentive schemes and implementing rules and regulations on the promotion and adoption of green logistics the logistics industry in Zhejiang Province.</w:t>
      </w:r>
    </w:p>
    <w:p w14:paraId="15960F1A" w14:textId="42C77B96" w:rsidR="00D71E30" w:rsidRDefault="00D71E30" w:rsidP="0058596A">
      <w:pPr>
        <w:jc w:val="both"/>
      </w:pPr>
      <w:r>
        <w:lastRenderedPageBreak/>
        <w:t>As part the work on incentives for green logistics, the project completed the following products:</w:t>
      </w:r>
    </w:p>
    <w:p w14:paraId="79DD12EA" w14:textId="154DB37A" w:rsidR="00D71E30" w:rsidRDefault="00D71E30" w:rsidP="000201DC">
      <w:pPr>
        <w:pStyle w:val="ListParagraph"/>
        <w:numPr>
          <w:ilvl w:val="0"/>
          <w:numId w:val="54"/>
        </w:numPr>
        <w:jc w:val="both"/>
      </w:pPr>
      <w:r>
        <w:t xml:space="preserve">An assessment of financial and operations aspects of a potential low-carbon fund to promote green logistics in </w:t>
      </w:r>
      <w:r w:rsidRPr="00206B68">
        <w:t>Zhejiang Province</w:t>
      </w:r>
      <w:r>
        <w:t xml:space="preserve"> (“</w:t>
      </w:r>
      <w:r w:rsidRPr="00D71E30">
        <w:t>Research Report on the Operation Mode of Green Logistics Low Carbon Fund</w:t>
      </w:r>
      <w:r>
        <w:t>”)</w:t>
      </w:r>
      <w:r w:rsidR="00D248F5">
        <w:t>;</w:t>
      </w:r>
      <w:r>
        <w:rPr>
          <w:rStyle w:val="FootnoteReference"/>
        </w:rPr>
        <w:footnoteReference w:id="38"/>
      </w:r>
    </w:p>
    <w:p w14:paraId="539B3B3D" w14:textId="60EB15E7" w:rsidR="00021591" w:rsidRDefault="00021591" w:rsidP="000201DC">
      <w:pPr>
        <w:pStyle w:val="ListParagraph"/>
        <w:numPr>
          <w:ilvl w:val="0"/>
          <w:numId w:val="54"/>
        </w:numPr>
        <w:jc w:val="both"/>
      </w:pPr>
      <w:r>
        <w:t xml:space="preserve">A draft standard for energy efficient storage that builds on the experience from the pilot project in the </w:t>
      </w:r>
      <w:r w:rsidRPr="00021591">
        <w:t xml:space="preserve">wine warehouse </w:t>
      </w:r>
      <w:r>
        <w:t xml:space="preserve">operated by </w:t>
      </w:r>
      <w:r w:rsidR="003B328E" w:rsidRPr="003B328E">
        <w:t>Zhejiang Fuyang Port International Logistics Co., Ltd</w:t>
      </w:r>
      <w:r w:rsidR="00710B32">
        <w:t xml:space="preserve"> (“</w:t>
      </w:r>
      <w:r w:rsidR="00710B32" w:rsidRPr="00710B32">
        <w:t>Zhejiang Green Storage Energy Accounting Standard</w:t>
      </w:r>
      <w:r w:rsidR="00710B32">
        <w:t>”)</w:t>
      </w:r>
      <w:r w:rsidR="00D248F5">
        <w:t>;</w:t>
      </w:r>
      <w:r>
        <w:rPr>
          <w:rStyle w:val="FootnoteReference"/>
        </w:rPr>
        <w:footnoteReference w:id="39"/>
      </w:r>
    </w:p>
    <w:p w14:paraId="1DF04AC3" w14:textId="35B41CCE" w:rsidR="00924BD4" w:rsidRDefault="00924BD4" w:rsidP="000201DC">
      <w:pPr>
        <w:pStyle w:val="ListParagraph"/>
        <w:numPr>
          <w:ilvl w:val="0"/>
          <w:numId w:val="54"/>
        </w:numPr>
        <w:jc w:val="both"/>
      </w:pPr>
      <w:r>
        <w:t>A standard on “G</w:t>
      </w:r>
      <w:r w:rsidRPr="00924BD4">
        <w:t xml:space="preserve">reen </w:t>
      </w:r>
      <w:r>
        <w:t>I</w:t>
      </w:r>
      <w:r w:rsidRPr="00924BD4">
        <w:t xml:space="preserve">ntegrated </w:t>
      </w:r>
      <w:r>
        <w:t>S</w:t>
      </w:r>
      <w:r w:rsidRPr="00924BD4">
        <w:t xml:space="preserve">torage </w:t>
      </w:r>
      <w:r>
        <w:t>C</w:t>
      </w:r>
      <w:r w:rsidRPr="00924BD4">
        <w:t xml:space="preserve">arbon </w:t>
      </w:r>
      <w:r>
        <w:t>D</w:t>
      </w:r>
      <w:r w:rsidRPr="00924BD4">
        <w:t xml:space="preserve">ioxide </w:t>
      </w:r>
      <w:r>
        <w:t>E</w:t>
      </w:r>
      <w:r w:rsidRPr="00924BD4">
        <w:t>mission</w:t>
      </w:r>
      <w:r>
        <w:t xml:space="preserve"> A</w:t>
      </w:r>
      <w:r w:rsidRPr="00924BD4">
        <w:t xml:space="preserve">ccounting </w:t>
      </w:r>
      <w:r>
        <w:t>M</w:t>
      </w:r>
      <w:r w:rsidRPr="00924BD4">
        <w:t>ethod</w:t>
      </w:r>
      <w:r>
        <w:t>”</w:t>
      </w:r>
      <w:r w:rsidR="00D248F5">
        <w:t>;</w:t>
      </w:r>
      <w:r>
        <w:rPr>
          <w:rStyle w:val="FootnoteReference"/>
        </w:rPr>
        <w:footnoteReference w:id="40"/>
      </w:r>
    </w:p>
    <w:p w14:paraId="10F92C04" w14:textId="7D48DE1E" w:rsidR="00C14938" w:rsidRDefault="00C14938" w:rsidP="000201DC">
      <w:pPr>
        <w:pStyle w:val="ListParagraph"/>
        <w:numPr>
          <w:ilvl w:val="0"/>
          <w:numId w:val="54"/>
        </w:numPr>
        <w:jc w:val="both"/>
      </w:pPr>
      <w:r>
        <w:t xml:space="preserve">A financial incentive plan for the adoption of green logistics by small- and medium-sized companies. Huzhou bank was selected to </w:t>
      </w:r>
      <w:r w:rsidR="00D248F5">
        <w:t xml:space="preserve">provide financing for </w:t>
      </w:r>
      <w:r>
        <w:t>investments in green logistics</w:t>
      </w:r>
      <w:r w:rsidR="00D248F5">
        <w:t>;</w:t>
      </w:r>
      <w:r>
        <w:rPr>
          <w:rStyle w:val="FootnoteReference"/>
        </w:rPr>
        <w:footnoteReference w:id="41"/>
      </w:r>
      <w:r w:rsidR="00D248F5">
        <w:t xml:space="preserve"> and,</w:t>
      </w:r>
    </w:p>
    <w:p w14:paraId="5C6605C6" w14:textId="76D5350A" w:rsidR="00E41167" w:rsidRDefault="00E41167" w:rsidP="004D6ECD">
      <w:pPr>
        <w:pStyle w:val="ListParagraph"/>
        <w:numPr>
          <w:ilvl w:val="0"/>
          <w:numId w:val="54"/>
        </w:numPr>
        <w:jc w:val="both"/>
      </w:pPr>
      <w:r>
        <w:t>A standard on “</w:t>
      </w:r>
      <w:r w:rsidRPr="00E41167">
        <w:t>Zhejiang Green Logistics Energy Conservation and Carbon Reduction</w:t>
      </w:r>
      <w:r>
        <w:t>”.</w:t>
      </w:r>
      <w:r w:rsidR="00E22BA9">
        <w:t xml:space="preserve"> The standard was adopted by the </w:t>
      </w:r>
      <w:r w:rsidR="00E22BA9" w:rsidRPr="00E22BA9">
        <w:t>China National Institute of Standardization</w:t>
      </w:r>
      <w:r w:rsidR="00E22BA9">
        <w:t xml:space="preserve"> and published on the </w:t>
      </w:r>
      <w:r w:rsidR="00E22BA9" w:rsidRPr="00E22BA9">
        <w:t>National Organization Standards Information Platform</w:t>
      </w:r>
      <w:r w:rsidR="00E22BA9">
        <w:t xml:space="preserve"> &lt;</w:t>
      </w:r>
      <w:r w:rsidR="00E22BA9" w:rsidRPr="00E22BA9">
        <w:t xml:space="preserve"> http://www.ttbz.org.cn/</w:t>
      </w:r>
      <w:r w:rsidR="00E22BA9">
        <w:t>&gt;.</w:t>
      </w:r>
      <w:r>
        <w:rPr>
          <w:rStyle w:val="FootnoteReference"/>
        </w:rPr>
        <w:footnoteReference w:id="42"/>
      </w:r>
    </w:p>
    <w:p w14:paraId="47A041A9" w14:textId="1F5FACA3" w:rsidR="0058596A" w:rsidRPr="001C00DB" w:rsidRDefault="0058596A" w:rsidP="0058596A">
      <w:pPr>
        <w:jc w:val="both"/>
        <w:rPr>
          <w:i/>
          <w:iCs/>
        </w:rPr>
      </w:pPr>
      <w:r w:rsidRPr="001C00DB">
        <w:rPr>
          <w:i/>
          <w:iCs/>
        </w:rPr>
        <w:t>Output 1.3.  Please refer to output 3.7.</w:t>
      </w:r>
    </w:p>
    <w:p w14:paraId="112D2A65" w14:textId="1027D433" w:rsidR="0058596A" w:rsidRPr="001C00DB" w:rsidRDefault="0058596A" w:rsidP="0058596A">
      <w:pPr>
        <w:jc w:val="both"/>
        <w:rPr>
          <w:i/>
          <w:iCs/>
        </w:rPr>
      </w:pPr>
      <w:r w:rsidRPr="001C00DB">
        <w:rPr>
          <w:i/>
          <w:iCs/>
        </w:rPr>
        <w:t>Output 1.4.</w:t>
      </w:r>
      <w:r w:rsidR="003F1E33" w:rsidRPr="001C00DB">
        <w:rPr>
          <w:i/>
          <w:iCs/>
        </w:rPr>
        <w:t xml:space="preserve"> (1.3.)</w:t>
      </w:r>
      <w:r w:rsidRPr="001C00DB">
        <w:rPr>
          <w:i/>
          <w:iCs/>
        </w:rPr>
        <w:t xml:space="preserve">  Approved follow-up plan for the replication of the applications of the piloted green logistics policies in Zhejiang Province in other provinces and cities</w:t>
      </w:r>
    </w:p>
    <w:p w14:paraId="47941D24" w14:textId="63046A16" w:rsidR="00976E95" w:rsidRDefault="00A349B2" w:rsidP="000B132B">
      <w:pPr>
        <w:jc w:val="both"/>
      </w:pPr>
      <w:r>
        <w:t>In 2019, the project completed a report and plan for the promotion of green logistics policies</w:t>
      </w:r>
      <w:r w:rsidR="003E66C0">
        <w:t>, focusing on the logistic network along the Yangtze River Delta, and covering the provinces of Zhejiang and Shanghai</w:t>
      </w:r>
      <w:r>
        <w:t>.</w:t>
      </w:r>
      <w:r w:rsidR="003E66C0">
        <w:rPr>
          <w:rStyle w:val="FootnoteReference"/>
        </w:rPr>
        <w:footnoteReference w:id="43"/>
      </w:r>
      <w:r w:rsidR="00E01822">
        <w:t xml:space="preserve"> In 2020, the project completed research on the technical and economic feasibility of green logistics technologies and practices in the Yangtze River Delta region.</w:t>
      </w:r>
      <w:r w:rsidR="00E01822">
        <w:rPr>
          <w:rStyle w:val="FootnoteReference"/>
        </w:rPr>
        <w:footnoteReference w:id="44"/>
      </w:r>
      <w:r w:rsidR="00BD564E">
        <w:t xml:space="preserve"> </w:t>
      </w:r>
      <w:r w:rsidR="000B132B">
        <w:t xml:space="preserve">A “Green logistics policy promotion plan” was completed by the Zhejiang Economic Information Development Co., Ltd. in March 2020. </w:t>
      </w:r>
      <w:r w:rsidR="00BD564E">
        <w:t>In December 2020, the project facilitated a workshop with representatives from the national government of China and authorities from Zhejiang Province to discuss the project experience and options to replicate the project results in the wider Shan</w:t>
      </w:r>
      <w:r w:rsidR="000B132B">
        <w:t>g</w:t>
      </w:r>
      <w:r w:rsidR="00BD564E">
        <w:t xml:space="preserve">hai – Jiangsu – Zhejiang </w:t>
      </w:r>
      <w:r w:rsidR="000B132B">
        <w:t>regions</w:t>
      </w:r>
      <w:r w:rsidR="00BD564E">
        <w:t>.</w:t>
      </w:r>
      <w:r w:rsidR="00BD564E">
        <w:rPr>
          <w:rStyle w:val="FootnoteReference"/>
        </w:rPr>
        <w:footnoteReference w:id="45"/>
      </w:r>
    </w:p>
    <w:p w14:paraId="7DF0FA3F" w14:textId="4AD9B9D5" w:rsidR="00623F7E" w:rsidRDefault="00623F7E" w:rsidP="00167564">
      <w:pPr>
        <w:jc w:val="both"/>
        <w:rPr>
          <w:b/>
          <w:bCs/>
        </w:rPr>
      </w:pPr>
      <w:r w:rsidRPr="00206B68">
        <w:rPr>
          <w:b/>
          <w:bCs/>
        </w:rPr>
        <w:t xml:space="preserve">Outcome 2. </w:t>
      </w:r>
      <w:r w:rsidR="009E239A" w:rsidRPr="009E239A">
        <w:rPr>
          <w:b/>
          <w:bCs/>
        </w:rPr>
        <w:t>Demonstrated technologies and practices for improved energy efficiency in the materials management and physical distribution activities in the logistics industry in Zhejiang Province</w:t>
      </w:r>
    </w:p>
    <w:p w14:paraId="60BC74F5" w14:textId="1A3EADA0" w:rsidR="00CC73D3" w:rsidRDefault="00CC73D3" w:rsidP="007B6387">
      <w:pPr>
        <w:pStyle w:val="Caption"/>
        <w:keepLines/>
      </w:pPr>
      <w:r>
        <w:lastRenderedPageBreak/>
        <w:t xml:space="preserve">Table </w:t>
      </w:r>
      <w:r>
        <w:fldChar w:fldCharType="begin"/>
      </w:r>
      <w:r>
        <w:instrText xml:space="preserve"> SEQ Table \* ARABIC </w:instrText>
      </w:r>
      <w:r>
        <w:fldChar w:fldCharType="separate"/>
      </w:r>
      <w:r w:rsidR="004718D8">
        <w:rPr>
          <w:noProof/>
        </w:rPr>
        <w:t>16</w:t>
      </w:r>
      <w:r>
        <w:fldChar w:fldCharType="end"/>
      </w:r>
      <w:r>
        <w:t>. Outcome 2 target</w:t>
      </w:r>
      <w:r w:rsidR="000E41BF">
        <w:t>s</w:t>
      </w:r>
      <w:r>
        <w:t xml:space="preserve"> and indicators at end of project</w:t>
      </w:r>
    </w:p>
    <w:tbl>
      <w:tblPr>
        <w:tblStyle w:val="TableGrid"/>
        <w:tblW w:w="9351" w:type="dxa"/>
        <w:tblLook w:val="04A0" w:firstRow="1" w:lastRow="0" w:firstColumn="1" w:lastColumn="0" w:noHBand="0" w:noVBand="1"/>
      </w:tblPr>
      <w:tblGrid>
        <w:gridCol w:w="5382"/>
        <w:gridCol w:w="3969"/>
      </w:tblGrid>
      <w:tr w:rsidR="00CC73D3" w14:paraId="13F23EF9" w14:textId="77777777" w:rsidTr="00F74BDA">
        <w:tc>
          <w:tcPr>
            <w:tcW w:w="5382" w:type="dxa"/>
            <w:shd w:val="clear" w:color="auto" w:fill="77ACDC" w:themeFill="accent5" w:themeFillTint="99"/>
          </w:tcPr>
          <w:p w14:paraId="38DFB73E" w14:textId="77777777" w:rsidR="00CC73D3" w:rsidRDefault="00CC73D3" w:rsidP="007B6387">
            <w:pPr>
              <w:keepNext/>
              <w:keepLines/>
              <w:rPr>
                <w:b/>
                <w:bCs/>
              </w:rPr>
            </w:pPr>
            <w:r>
              <w:rPr>
                <w:b/>
                <w:bCs/>
              </w:rPr>
              <w:t>Outcome indicator and target by end of project</w:t>
            </w:r>
          </w:p>
        </w:tc>
        <w:tc>
          <w:tcPr>
            <w:tcW w:w="3969" w:type="dxa"/>
            <w:shd w:val="clear" w:color="auto" w:fill="77ACDC" w:themeFill="accent5" w:themeFillTint="99"/>
          </w:tcPr>
          <w:p w14:paraId="79859000" w14:textId="696CB5A9" w:rsidR="00CC73D3" w:rsidRDefault="00CC73D3" w:rsidP="007B6387">
            <w:pPr>
              <w:keepNext/>
              <w:keepLines/>
              <w:rPr>
                <w:b/>
                <w:bCs/>
              </w:rPr>
            </w:pPr>
            <w:r>
              <w:rPr>
                <w:b/>
                <w:bCs/>
              </w:rPr>
              <w:t>Reported outcome indicators at end of project</w:t>
            </w:r>
            <w:r w:rsidR="00F74BDA">
              <w:rPr>
                <w:rStyle w:val="FootnoteReference"/>
              </w:rPr>
              <w:footnoteReference w:id="46"/>
            </w:r>
          </w:p>
        </w:tc>
      </w:tr>
      <w:tr w:rsidR="00CC73D3" w14:paraId="4AC0489D" w14:textId="77777777" w:rsidTr="00F74BDA">
        <w:tc>
          <w:tcPr>
            <w:tcW w:w="5382" w:type="dxa"/>
          </w:tcPr>
          <w:p w14:paraId="15A08D19" w14:textId="07061801" w:rsidR="009C368B" w:rsidRDefault="009C368B" w:rsidP="007B6387">
            <w:pPr>
              <w:keepNext/>
              <w:keepLines/>
            </w:pPr>
            <w:r>
              <w:t xml:space="preserve">Indicator 2.1. </w:t>
            </w:r>
          </w:p>
          <w:p w14:paraId="5E277A61" w14:textId="6CF888AF" w:rsidR="00CC73D3" w:rsidRDefault="009610F5" w:rsidP="007B6387">
            <w:pPr>
              <w:keepNext/>
              <w:keepLines/>
            </w:pPr>
            <w:r w:rsidRPr="009610F5">
              <w:t>% empty load rate of freight transport in Zhejiang Province by EOP</w:t>
            </w:r>
          </w:p>
          <w:p w14:paraId="14CB9424" w14:textId="77777777" w:rsidR="00A46F9C" w:rsidRDefault="00A46F9C" w:rsidP="007B6387">
            <w:pPr>
              <w:keepNext/>
              <w:keepLines/>
            </w:pPr>
          </w:p>
          <w:p w14:paraId="133867E8" w14:textId="7E516CE5" w:rsidR="00331799" w:rsidRPr="009610F5" w:rsidRDefault="00331799" w:rsidP="007B6387">
            <w:pPr>
              <w:keepNext/>
              <w:keepLines/>
            </w:pPr>
            <w:r>
              <w:t>Baseline: 50%</w:t>
            </w:r>
          </w:p>
          <w:p w14:paraId="2BD7A6B9" w14:textId="7475DC63" w:rsidR="009610F5" w:rsidRPr="009610F5" w:rsidRDefault="009610F5" w:rsidP="007B6387">
            <w:pPr>
              <w:keepNext/>
              <w:keepLines/>
            </w:pPr>
            <w:r w:rsidRPr="009610F5">
              <w:t xml:space="preserve">Target: </w:t>
            </w:r>
            <w:r w:rsidR="00331799">
              <w:t xml:space="preserve">   </w:t>
            </w:r>
            <w:r>
              <w:t>10%</w:t>
            </w:r>
          </w:p>
        </w:tc>
        <w:tc>
          <w:tcPr>
            <w:tcW w:w="3969" w:type="dxa"/>
          </w:tcPr>
          <w:p w14:paraId="7111964F" w14:textId="7A111277" w:rsidR="00CC73D3" w:rsidRPr="009610F5" w:rsidRDefault="00331799" w:rsidP="007B6387">
            <w:pPr>
              <w:keepNext/>
              <w:keepLines/>
              <w:jc w:val="center"/>
            </w:pPr>
            <w:r>
              <w:t>10%</w:t>
            </w:r>
          </w:p>
        </w:tc>
      </w:tr>
      <w:tr w:rsidR="009610F5" w14:paraId="3A88880E" w14:textId="77777777" w:rsidTr="00F74BDA">
        <w:trPr>
          <w:trHeight w:val="702"/>
        </w:trPr>
        <w:tc>
          <w:tcPr>
            <w:tcW w:w="5382" w:type="dxa"/>
          </w:tcPr>
          <w:p w14:paraId="1C461A9C" w14:textId="5D9953A2" w:rsidR="009C368B" w:rsidRDefault="009C368B" w:rsidP="007B6387">
            <w:pPr>
              <w:keepNext/>
              <w:keepLines/>
            </w:pPr>
            <w:r>
              <w:t>Indicator 2.2.</w:t>
            </w:r>
          </w:p>
          <w:p w14:paraId="24681339" w14:textId="4A75979C" w:rsidR="009610F5" w:rsidRPr="009610F5" w:rsidRDefault="009610F5" w:rsidP="007B6387">
            <w:pPr>
              <w:keepNext/>
              <w:keepLines/>
            </w:pPr>
            <w:r w:rsidRPr="009610F5">
              <w:t>Annual fuel savings due to project intervention by EOP</w:t>
            </w:r>
          </w:p>
          <w:p w14:paraId="63D9894A" w14:textId="4455C4E1" w:rsidR="009610F5" w:rsidRPr="009610F5" w:rsidRDefault="009610F5" w:rsidP="007B6387">
            <w:pPr>
              <w:keepNext/>
              <w:keepLines/>
            </w:pPr>
            <w:r>
              <w:t xml:space="preserve">Target: 80.06 </w:t>
            </w:r>
            <w:r w:rsidRPr="009610F5">
              <w:t>ktoe/yr</w:t>
            </w:r>
          </w:p>
        </w:tc>
        <w:tc>
          <w:tcPr>
            <w:tcW w:w="3969" w:type="dxa"/>
          </w:tcPr>
          <w:p w14:paraId="62C1098E" w14:textId="77777777" w:rsidR="00F74BDA" w:rsidRDefault="00F74BDA" w:rsidP="007B6387">
            <w:pPr>
              <w:keepNext/>
              <w:keepLines/>
              <w:jc w:val="center"/>
            </w:pPr>
          </w:p>
          <w:p w14:paraId="2A8A264C" w14:textId="77777777" w:rsidR="00F74BDA" w:rsidRDefault="00F74BDA" w:rsidP="007B6387">
            <w:pPr>
              <w:keepNext/>
              <w:keepLines/>
              <w:jc w:val="center"/>
            </w:pPr>
          </w:p>
          <w:p w14:paraId="2B74CA7B" w14:textId="219B9325" w:rsidR="00F74BDA" w:rsidRPr="009610F5" w:rsidRDefault="00F74BDA" w:rsidP="007B6387">
            <w:pPr>
              <w:keepNext/>
              <w:keepLines/>
              <w:jc w:val="center"/>
            </w:pPr>
            <w:r>
              <w:t xml:space="preserve">758.45 </w:t>
            </w:r>
            <w:r w:rsidRPr="009610F5">
              <w:t>ktoe/yr</w:t>
            </w:r>
          </w:p>
        </w:tc>
      </w:tr>
      <w:tr w:rsidR="009610F5" w14:paraId="5C5E5F3B" w14:textId="77777777" w:rsidTr="00F74BDA">
        <w:tc>
          <w:tcPr>
            <w:tcW w:w="5382" w:type="dxa"/>
          </w:tcPr>
          <w:p w14:paraId="25D3466B" w14:textId="1F5D281F" w:rsidR="009610F5" w:rsidRDefault="009610F5" w:rsidP="007B6387">
            <w:pPr>
              <w:keepNext/>
              <w:keepLines/>
              <w:ind w:firstLine="880"/>
            </w:pPr>
            <w:r w:rsidRPr="009610F5">
              <w:t>Materials management</w:t>
            </w:r>
          </w:p>
          <w:p w14:paraId="293F3956" w14:textId="04C61C7D" w:rsidR="009610F5" w:rsidRPr="009610F5" w:rsidRDefault="009610F5" w:rsidP="007B6387">
            <w:pPr>
              <w:keepNext/>
              <w:keepLines/>
              <w:ind w:firstLine="880"/>
            </w:pPr>
            <w:r>
              <w:t xml:space="preserve">Target: 30.06 </w:t>
            </w:r>
            <w:r w:rsidRPr="009610F5">
              <w:t>ktoe/yr</w:t>
            </w:r>
          </w:p>
        </w:tc>
        <w:tc>
          <w:tcPr>
            <w:tcW w:w="3969" w:type="dxa"/>
          </w:tcPr>
          <w:p w14:paraId="759AF9B9" w14:textId="77777777" w:rsidR="009610F5" w:rsidRDefault="009610F5" w:rsidP="007B6387">
            <w:pPr>
              <w:keepNext/>
              <w:keepLines/>
              <w:jc w:val="center"/>
            </w:pPr>
          </w:p>
          <w:p w14:paraId="79877347" w14:textId="6FDA40AE" w:rsidR="00F74BDA" w:rsidRPr="009610F5" w:rsidRDefault="00F74BDA" w:rsidP="007B6387">
            <w:pPr>
              <w:keepNext/>
              <w:keepLines/>
              <w:jc w:val="center"/>
            </w:pPr>
            <w:r>
              <w:t xml:space="preserve">31.59 </w:t>
            </w:r>
            <w:r w:rsidRPr="009610F5">
              <w:t>ktoe/yr</w:t>
            </w:r>
          </w:p>
        </w:tc>
      </w:tr>
      <w:tr w:rsidR="009610F5" w14:paraId="061B6327" w14:textId="77777777" w:rsidTr="00F74BDA">
        <w:tc>
          <w:tcPr>
            <w:tcW w:w="5382" w:type="dxa"/>
          </w:tcPr>
          <w:p w14:paraId="04C9F7CA" w14:textId="53D8EE73" w:rsidR="009610F5" w:rsidRDefault="009610F5" w:rsidP="007B6387">
            <w:pPr>
              <w:keepNext/>
              <w:keepLines/>
              <w:ind w:firstLine="880"/>
            </w:pPr>
            <w:r w:rsidRPr="009610F5">
              <w:t>Physical distribution</w:t>
            </w:r>
          </w:p>
          <w:p w14:paraId="0C2CDEAD" w14:textId="1F7D9CDD" w:rsidR="009610F5" w:rsidRPr="009610F5" w:rsidRDefault="009610F5" w:rsidP="007B6387">
            <w:pPr>
              <w:keepNext/>
              <w:keepLines/>
              <w:ind w:firstLine="880"/>
            </w:pPr>
            <w:r>
              <w:t xml:space="preserve">Target: 50.00 </w:t>
            </w:r>
            <w:r w:rsidRPr="009610F5">
              <w:t>ktoe/yr</w:t>
            </w:r>
          </w:p>
        </w:tc>
        <w:tc>
          <w:tcPr>
            <w:tcW w:w="3969" w:type="dxa"/>
          </w:tcPr>
          <w:p w14:paraId="1BA00246" w14:textId="77777777" w:rsidR="009610F5" w:rsidRDefault="009610F5" w:rsidP="007B6387">
            <w:pPr>
              <w:keepNext/>
              <w:keepLines/>
              <w:jc w:val="center"/>
            </w:pPr>
          </w:p>
          <w:p w14:paraId="30674DAB" w14:textId="73BE0055" w:rsidR="00F74BDA" w:rsidRPr="009610F5" w:rsidRDefault="00F74BDA" w:rsidP="007B6387">
            <w:pPr>
              <w:keepNext/>
              <w:keepLines/>
              <w:jc w:val="center"/>
            </w:pPr>
            <w:r>
              <w:t xml:space="preserve">726.86 </w:t>
            </w:r>
            <w:r w:rsidRPr="009610F5">
              <w:t>ktoe/yr</w:t>
            </w:r>
          </w:p>
        </w:tc>
      </w:tr>
      <w:tr w:rsidR="009610F5" w:rsidRPr="009610F5" w14:paraId="77DE8610" w14:textId="77777777" w:rsidTr="00F74BDA">
        <w:tc>
          <w:tcPr>
            <w:tcW w:w="5382" w:type="dxa"/>
          </w:tcPr>
          <w:p w14:paraId="335E4348" w14:textId="5D1909F5" w:rsidR="009C368B" w:rsidRDefault="009C368B" w:rsidP="007B6387">
            <w:pPr>
              <w:keepNext/>
              <w:keepLines/>
            </w:pPr>
            <w:r>
              <w:t>Indicator 2.3.</w:t>
            </w:r>
          </w:p>
          <w:p w14:paraId="5C2A4AC4" w14:textId="374A2AF1" w:rsidR="009610F5" w:rsidRPr="009610F5" w:rsidRDefault="009610F5" w:rsidP="007B6387">
            <w:pPr>
              <w:keepNext/>
              <w:keepLines/>
            </w:pPr>
            <w:r w:rsidRPr="009610F5">
              <w:t xml:space="preserve">Annual GHG emission reduction by EOP, </w:t>
            </w:r>
          </w:p>
          <w:p w14:paraId="673E8C29" w14:textId="6F676BEB" w:rsidR="009610F5" w:rsidRPr="00E23210" w:rsidRDefault="009610F5" w:rsidP="007B6387">
            <w:pPr>
              <w:keepNext/>
              <w:keepLines/>
            </w:pPr>
            <w:r>
              <w:t>Target: 471.36</w:t>
            </w:r>
            <w:r w:rsidR="004271C6">
              <w:t xml:space="preserve"> k</w:t>
            </w:r>
            <w:r>
              <w:t>t</w:t>
            </w:r>
            <w:r w:rsidRPr="009610F5">
              <w:t>CO</w:t>
            </w:r>
            <w:r w:rsidRPr="009610F5">
              <w:rPr>
                <w:vertAlign w:val="subscript"/>
              </w:rPr>
              <w:t>2</w:t>
            </w:r>
            <w:r w:rsidR="00E23210">
              <w:t>/yr</w:t>
            </w:r>
          </w:p>
        </w:tc>
        <w:tc>
          <w:tcPr>
            <w:tcW w:w="3969" w:type="dxa"/>
          </w:tcPr>
          <w:p w14:paraId="20FD4136" w14:textId="77777777" w:rsidR="009610F5" w:rsidRDefault="009610F5" w:rsidP="007B6387">
            <w:pPr>
              <w:keepNext/>
              <w:keepLines/>
              <w:jc w:val="center"/>
            </w:pPr>
          </w:p>
          <w:p w14:paraId="67334B47" w14:textId="7F7578F2" w:rsidR="004271C6" w:rsidRDefault="004271C6" w:rsidP="007B6387">
            <w:pPr>
              <w:keepNext/>
              <w:keepLines/>
              <w:jc w:val="center"/>
            </w:pPr>
          </w:p>
          <w:p w14:paraId="6593F302" w14:textId="06D6E694" w:rsidR="004271C6" w:rsidRPr="009610F5" w:rsidRDefault="004271C6" w:rsidP="007B6387">
            <w:pPr>
              <w:keepNext/>
              <w:keepLines/>
              <w:jc w:val="center"/>
            </w:pPr>
            <w:r>
              <w:t>2,541.97 kt</w:t>
            </w:r>
            <w:r w:rsidRPr="009610F5">
              <w:t>CO</w:t>
            </w:r>
            <w:r w:rsidRPr="009610F5">
              <w:rPr>
                <w:vertAlign w:val="subscript"/>
              </w:rPr>
              <w:t>2</w:t>
            </w:r>
            <w:r w:rsidR="00E23210">
              <w:t>/yr</w:t>
            </w:r>
          </w:p>
        </w:tc>
      </w:tr>
      <w:tr w:rsidR="009610F5" w:rsidRPr="009610F5" w14:paraId="735A9CA0" w14:textId="77777777" w:rsidTr="00F74BDA">
        <w:tc>
          <w:tcPr>
            <w:tcW w:w="5382" w:type="dxa"/>
          </w:tcPr>
          <w:p w14:paraId="61AC0588" w14:textId="77777777" w:rsidR="009610F5" w:rsidRDefault="009610F5" w:rsidP="007B6387">
            <w:pPr>
              <w:keepNext/>
              <w:keepLines/>
              <w:ind w:firstLine="880"/>
            </w:pPr>
            <w:r w:rsidRPr="009610F5">
              <w:t>Materials management</w:t>
            </w:r>
          </w:p>
          <w:p w14:paraId="1A7CE30C" w14:textId="03D6CAD7" w:rsidR="009610F5" w:rsidRPr="009610F5" w:rsidRDefault="009610F5" w:rsidP="007B6387">
            <w:pPr>
              <w:keepNext/>
              <w:keepLines/>
              <w:ind w:firstLine="880"/>
            </w:pPr>
            <w:r>
              <w:t>Target: 317,15</w:t>
            </w:r>
            <w:r w:rsidR="004271C6">
              <w:t xml:space="preserve"> k</w:t>
            </w:r>
            <w:r>
              <w:t>t</w:t>
            </w:r>
            <w:r w:rsidRPr="009610F5">
              <w:t>CO</w:t>
            </w:r>
            <w:r w:rsidRPr="009610F5">
              <w:rPr>
                <w:vertAlign w:val="subscript"/>
              </w:rPr>
              <w:t>2</w:t>
            </w:r>
            <w:r w:rsidR="00E23210">
              <w:t>/yr</w:t>
            </w:r>
          </w:p>
        </w:tc>
        <w:tc>
          <w:tcPr>
            <w:tcW w:w="3969" w:type="dxa"/>
          </w:tcPr>
          <w:p w14:paraId="4E2A5819" w14:textId="77777777" w:rsidR="009610F5" w:rsidRDefault="009610F5" w:rsidP="007B6387">
            <w:pPr>
              <w:keepNext/>
              <w:keepLines/>
              <w:jc w:val="center"/>
            </w:pPr>
          </w:p>
          <w:p w14:paraId="441EF99C" w14:textId="22F04B40" w:rsidR="004271C6" w:rsidRPr="00E23210" w:rsidRDefault="004271C6" w:rsidP="007B6387">
            <w:pPr>
              <w:keepNext/>
              <w:keepLines/>
              <w:jc w:val="center"/>
            </w:pPr>
            <w:r>
              <w:t>323.03 kt</w:t>
            </w:r>
            <w:r w:rsidRPr="009610F5">
              <w:t>CO</w:t>
            </w:r>
            <w:r w:rsidRPr="009610F5">
              <w:rPr>
                <w:vertAlign w:val="subscript"/>
              </w:rPr>
              <w:t>2</w:t>
            </w:r>
            <w:r w:rsidR="00E23210">
              <w:t>/yr</w:t>
            </w:r>
          </w:p>
        </w:tc>
      </w:tr>
      <w:tr w:rsidR="009610F5" w:rsidRPr="009610F5" w14:paraId="1A170051" w14:textId="77777777" w:rsidTr="00F74BDA">
        <w:tc>
          <w:tcPr>
            <w:tcW w:w="5382" w:type="dxa"/>
          </w:tcPr>
          <w:p w14:paraId="7637A6D9" w14:textId="6FC56C40" w:rsidR="009610F5" w:rsidRDefault="009610F5" w:rsidP="007B6387">
            <w:pPr>
              <w:keepNext/>
              <w:keepLines/>
              <w:ind w:firstLine="880"/>
            </w:pPr>
            <w:r w:rsidRPr="009610F5">
              <w:t>Physical distribution</w:t>
            </w:r>
          </w:p>
          <w:p w14:paraId="5008D56E" w14:textId="7BE5F58B" w:rsidR="009610F5" w:rsidRPr="009610F5" w:rsidRDefault="009610F5" w:rsidP="007B6387">
            <w:pPr>
              <w:keepNext/>
              <w:keepLines/>
              <w:ind w:firstLine="880"/>
            </w:pPr>
            <w:r>
              <w:t>Target: 154,21</w:t>
            </w:r>
            <w:r w:rsidR="004271C6">
              <w:t xml:space="preserve"> k</w:t>
            </w:r>
            <w:r>
              <w:t>t</w:t>
            </w:r>
            <w:r w:rsidRPr="009610F5">
              <w:t>CO</w:t>
            </w:r>
            <w:r w:rsidRPr="009610F5">
              <w:rPr>
                <w:vertAlign w:val="subscript"/>
              </w:rPr>
              <w:t>2</w:t>
            </w:r>
            <w:r w:rsidR="00E23210">
              <w:t>/yr</w:t>
            </w:r>
          </w:p>
        </w:tc>
        <w:tc>
          <w:tcPr>
            <w:tcW w:w="3969" w:type="dxa"/>
          </w:tcPr>
          <w:p w14:paraId="3DEA7EF5" w14:textId="77777777" w:rsidR="009610F5" w:rsidRDefault="009610F5" w:rsidP="007B6387">
            <w:pPr>
              <w:keepNext/>
              <w:keepLines/>
              <w:jc w:val="center"/>
            </w:pPr>
          </w:p>
          <w:p w14:paraId="7DF0CDE0" w14:textId="1DFC7797" w:rsidR="004271C6" w:rsidRPr="009610F5" w:rsidRDefault="004271C6" w:rsidP="007B6387">
            <w:pPr>
              <w:keepNext/>
              <w:keepLines/>
              <w:jc w:val="center"/>
            </w:pPr>
            <w:r>
              <w:t>2,218.94 kt</w:t>
            </w:r>
            <w:r w:rsidRPr="009610F5">
              <w:t>CO</w:t>
            </w:r>
            <w:r w:rsidRPr="009610F5">
              <w:rPr>
                <w:vertAlign w:val="subscript"/>
              </w:rPr>
              <w:t>2</w:t>
            </w:r>
            <w:r w:rsidR="00E23210">
              <w:t>/yr</w:t>
            </w:r>
          </w:p>
        </w:tc>
      </w:tr>
    </w:tbl>
    <w:p w14:paraId="178D8B52" w14:textId="1B567A52" w:rsidR="00CC73D3" w:rsidRDefault="00CC73D3" w:rsidP="007E2573">
      <w:pPr>
        <w:rPr>
          <w:b/>
          <w:bCs/>
        </w:rPr>
      </w:pPr>
    </w:p>
    <w:p w14:paraId="5F9F6B5C" w14:textId="185EBCFE" w:rsidR="00E26A84" w:rsidRPr="009E09CA" w:rsidRDefault="00167564" w:rsidP="003260C9">
      <w:pPr>
        <w:jc w:val="both"/>
      </w:pPr>
      <w:r>
        <w:t>The measurement of indicator 2.1. required a new calculation methodology that, by June 2019, had not been developed.</w:t>
      </w:r>
      <w:r>
        <w:rPr>
          <w:rStyle w:val="FootnoteReference"/>
        </w:rPr>
        <w:footnoteReference w:id="47"/>
      </w:r>
      <w:r>
        <w:t xml:space="preserve"> </w:t>
      </w:r>
      <w:r w:rsidR="00A46F9C">
        <w:t>The methodology and calculation</w:t>
      </w:r>
      <w:r w:rsidR="00886CDA">
        <w:t>s</w:t>
      </w:r>
      <w:r w:rsidR="00A46F9C">
        <w:t xml:space="preserve"> of the indicator at the end of the project were not provided to the </w:t>
      </w:r>
      <w:r w:rsidR="003260C9">
        <w:t>TE</w:t>
      </w:r>
      <w:r w:rsidR="00A46F9C">
        <w:t xml:space="preserve"> team, and therefore this target </w:t>
      </w:r>
      <w:r w:rsidR="00A46F9C" w:rsidRPr="009E09CA">
        <w:t>could</w:t>
      </w:r>
      <w:r w:rsidR="009E09CA">
        <w:t xml:space="preserve"> not</w:t>
      </w:r>
      <w:r w:rsidR="00B07236" w:rsidRPr="009E09CA">
        <w:t xml:space="preserve"> </w:t>
      </w:r>
      <w:r w:rsidR="00A46F9C" w:rsidRPr="009E09CA">
        <w:t>be evaluated.</w:t>
      </w:r>
      <w:r w:rsidR="00A46F9C" w:rsidRPr="009E09CA">
        <w:rPr>
          <w:rStyle w:val="FootnoteReference"/>
        </w:rPr>
        <w:footnoteReference w:id="48"/>
      </w:r>
      <w:r w:rsidR="00A46F9C" w:rsidRPr="009E09CA">
        <w:t xml:space="preserve"> </w:t>
      </w:r>
    </w:p>
    <w:p w14:paraId="000F85BA" w14:textId="71F45D18" w:rsidR="003260C9" w:rsidRDefault="003260C9" w:rsidP="003260C9">
      <w:pPr>
        <w:jc w:val="both"/>
      </w:pPr>
      <w:r w:rsidRPr="009E09CA">
        <w:t>The estimated impacts on fuel consumption and GHG emissions from the pilot projects are reported in the document prepared by the Zhejiang Economic Information D</w:t>
      </w:r>
      <w:r w:rsidRPr="003260C9">
        <w:t>evelopment Co., Ltd.</w:t>
      </w:r>
      <w:r>
        <w:t xml:space="preserve"> in January 2020 </w:t>
      </w:r>
      <w:r w:rsidR="001D6B41">
        <w:t xml:space="preserve">and </w:t>
      </w:r>
      <w:r>
        <w:t xml:space="preserve">provided to the TE team under the title “2019 Energy Consumption and Carbon Emission Report of Green </w:t>
      </w:r>
      <w:r w:rsidR="00E47B0F">
        <w:t>L</w:t>
      </w:r>
      <w:r>
        <w:t xml:space="preserve">ogistics </w:t>
      </w:r>
      <w:r w:rsidR="00E47B0F">
        <w:t>D</w:t>
      </w:r>
      <w:r>
        <w:t xml:space="preserve">emonstration </w:t>
      </w:r>
      <w:r w:rsidR="00E47B0F">
        <w:t>P</w:t>
      </w:r>
      <w:r>
        <w:t>roject”. The results from the estimations are included in</w:t>
      </w:r>
      <w:r w:rsidR="00886CDA">
        <w:t xml:space="preserve"> </w:t>
      </w:r>
      <w:r w:rsidR="00886CDA">
        <w:fldChar w:fldCharType="begin"/>
      </w:r>
      <w:r w:rsidR="00886CDA">
        <w:instrText xml:space="preserve"> REF _Ref61944650 \h </w:instrText>
      </w:r>
      <w:r w:rsidR="00886CDA">
        <w:fldChar w:fldCharType="separate"/>
      </w:r>
      <w:r w:rsidR="004718D8">
        <w:t xml:space="preserve">Table </w:t>
      </w:r>
      <w:r w:rsidR="004718D8">
        <w:rPr>
          <w:noProof/>
        </w:rPr>
        <w:t>17</w:t>
      </w:r>
      <w:r w:rsidR="00886CDA">
        <w:fldChar w:fldCharType="end"/>
      </w:r>
      <w:r w:rsidR="00886CDA">
        <w:t xml:space="preserve">. As shown in the table, annual fuel savings due to the project interventions were </w:t>
      </w:r>
      <w:r w:rsidR="00886CDA" w:rsidRPr="00886CDA">
        <w:t>1,360.85 toe/year</w:t>
      </w:r>
      <w:r w:rsidR="00886CDA">
        <w:t>, equivalent to 1.7% of the target of 80,</w:t>
      </w:r>
      <w:r w:rsidR="00CD0B38">
        <w:t xml:space="preserve">060 </w:t>
      </w:r>
      <w:r w:rsidR="00CD0B38" w:rsidRPr="00886CDA">
        <w:t>toe/year</w:t>
      </w:r>
      <w:r w:rsidR="00CD0B38">
        <w:t xml:space="preserve"> recorded in the ProDoc and less than 0.2% of the value of 758,450 </w:t>
      </w:r>
      <w:r w:rsidR="00CD0B38" w:rsidRPr="00886CDA">
        <w:t>toe/year</w:t>
      </w:r>
      <w:r w:rsidR="00CD0B38">
        <w:t xml:space="preserve"> reported in the 2020 PIR.</w:t>
      </w:r>
      <w:r w:rsidR="00E23210">
        <w:t xml:space="preserve"> Similarly, annual GHG emissions reductions from demonstration projects were 4,312 </w:t>
      </w:r>
      <w:r w:rsidR="00E23210" w:rsidRPr="00E23210">
        <w:t>tCO2e/year</w:t>
      </w:r>
      <w:r w:rsidR="00E23210">
        <w:t>, or 0.9% of the target of 471,360 t</w:t>
      </w:r>
      <w:r w:rsidR="00E23210" w:rsidRPr="009610F5">
        <w:t>CO</w:t>
      </w:r>
      <w:r w:rsidR="00E23210" w:rsidRPr="009610F5">
        <w:rPr>
          <w:vertAlign w:val="subscript"/>
        </w:rPr>
        <w:t>2</w:t>
      </w:r>
      <w:r w:rsidR="00E23210">
        <w:t>/yr, and again less than 0.2% of the reported value in the 2020 PIR: 2,541,970 t</w:t>
      </w:r>
      <w:r w:rsidR="00E23210" w:rsidRPr="009610F5">
        <w:t>CO</w:t>
      </w:r>
      <w:r w:rsidR="00E23210" w:rsidRPr="009610F5">
        <w:rPr>
          <w:vertAlign w:val="subscript"/>
        </w:rPr>
        <w:t>2</w:t>
      </w:r>
      <w:r w:rsidR="00E23210">
        <w:t>/yr.</w:t>
      </w:r>
      <w:r w:rsidR="00FD1574">
        <w:t xml:space="preserve"> </w:t>
      </w:r>
    </w:p>
    <w:p w14:paraId="23B4C4BC" w14:textId="554F1F30" w:rsidR="00886CDA" w:rsidRDefault="00886CDA" w:rsidP="007B6387">
      <w:pPr>
        <w:pStyle w:val="Caption"/>
        <w:keepLines/>
      </w:pPr>
      <w:bookmarkStart w:id="54" w:name="_Ref61944650"/>
      <w:r>
        <w:lastRenderedPageBreak/>
        <w:t xml:space="preserve">Table </w:t>
      </w:r>
      <w:r>
        <w:fldChar w:fldCharType="begin"/>
      </w:r>
      <w:r>
        <w:instrText xml:space="preserve"> SEQ Table \* ARABIC </w:instrText>
      </w:r>
      <w:r>
        <w:fldChar w:fldCharType="separate"/>
      </w:r>
      <w:r w:rsidR="004718D8">
        <w:rPr>
          <w:noProof/>
        </w:rPr>
        <w:t>17</w:t>
      </w:r>
      <w:r>
        <w:fldChar w:fldCharType="end"/>
      </w:r>
      <w:bookmarkEnd w:id="54"/>
      <w:r>
        <w:t>. Fuel savings and GHG emissions reductions from project interventions</w:t>
      </w:r>
    </w:p>
    <w:tbl>
      <w:tblPr>
        <w:tblStyle w:val="TableGrid"/>
        <w:tblW w:w="9351" w:type="dxa"/>
        <w:tblLook w:val="04A0" w:firstRow="1" w:lastRow="0" w:firstColumn="1" w:lastColumn="0" w:noHBand="0" w:noVBand="1"/>
      </w:tblPr>
      <w:tblGrid>
        <w:gridCol w:w="3539"/>
        <w:gridCol w:w="3119"/>
        <w:gridCol w:w="2693"/>
      </w:tblGrid>
      <w:tr w:rsidR="00E8265E" w:rsidRPr="00A42A48" w14:paraId="4FFE7E77" w14:textId="42E8DB08" w:rsidTr="00E8265E">
        <w:trPr>
          <w:trHeight w:val="408"/>
        </w:trPr>
        <w:tc>
          <w:tcPr>
            <w:tcW w:w="3539" w:type="dxa"/>
            <w:vMerge w:val="restart"/>
            <w:shd w:val="clear" w:color="auto" w:fill="77ACDC" w:themeFill="accent5" w:themeFillTint="99"/>
            <w:vAlign w:val="center"/>
          </w:tcPr>
          <w:p w14:paraId="685F306C" w14:textId="375F2275" w:rsidR="00E8265E" w:rsidRPr="00A42A48" w:rsidRDefault="00E8265E" w:rsidP="007B6387">
            <w:pPr>
              <w:keepNext/>
              <w:keepLines/>
              <w:jc w:val="center"/>
              <w:rPr>
                <w:rFonts w:cs="Times New Roman"/>
                <w:b/>
                <w:bCs/>
                <w:sz w:val="20"/>
                <w:szCs w:val="20"/>
              </w:rPr>
            </w:pPr>
            <w:r w:rsidRPr="00A42A48">
              <w:rPr>
                <w:rFonts w:cs="Times New Roman"/>
                <w:b/>
                <w:bCs/>
                <w:sz w:val="20"/>
                <w:szCs w:val="20"/>
              </w:rPr>
              <w:t>Parameter</w:t>
            </w:r>
          </w:p>
        </w:tc>
        <w:tc>
          <w:tcPr>
            <w:tcW w:w="5812" w:type="dxa"/>
            <w:gridSpan w:val="2"/>
            <w:shd w:val="clear" w:color="auto" w:fill="77ACDC" w:themeFill="accent5" w:themeFillTint="99"/>
            <w:vAlign w:val="center"/>
          </w:tcPr>
          <w:p w14:paraId="7A27A688" w14:textId="17D4545E" w:rsidR="00E8265E" w:rsidRPr="00A42A48" w:rsidRDefault="00E8265E" w:rsidP="007B6387">
            <w:pPr>
              <w:keepNext/>
              <w:keepLines/>
              <w:jc w:val="center"/>
              <w:rPr>
                <w:rFonts w:cs="Times New Roman"/>
                <w:b/>
                <w:bCs/>
                <w:sz w:val="20"/>
                <w:szCs w:val="20"/>
              </w:rPr>
            </w:pPr>
            <w:r w:rsidRPr="00A42A48">
              <w:rPr>
                <w:rFonts w:cs="Times New Roman"/>
                <w:b/>
                <w:bCs/>
                <w:sz w:val="20"/>
                <w:szCs w:val="20"/>
              </w:rPr>
              <w:t>Pilot project</w:t>
            </w:r>
          </w:p>
        </w:tc>
      </w:tr>
      <w:tr w:rsidR="00E8265E" w:rsidRPr="00A42A48" w14:paraId="413B1F3A" w14:textId="77777777" w:rsidTr="00E8265E">
        <w:tc>
          <w:tcPr>
            <w:tcW w:w="3539" w:type="dxa"/>
            <w:vMerge/>
            <w:shd w:val="clear" w:color="auto" w:fill="77ACDC" w:themeFill="accent5" w:themeFillTint="99"/>
            <w:vAlign w:val="center"/>
          </w:tcPr>
          <w:p w14:paraId="1510E5EB" w14:textId="1FAC7DB4" w:rsidR="00E8265E" w:rsidRPr="00A42A48" w:rsidRDefault="00E8265E" w:rsidP="007B6387">
            <w:pPr>
              <w:keepNext/>
              <w:keepLines/>
              <w:jc w:val="center"/>
              <w:rPr>
                <w:rFonts w:cs="Times New Roman"/>
                <w:b/>
                <w:bCs/>
                <w:sz w:val="20"/>
                <w:szCs w:val="20"/>
              </w:rPr>
            </w:pPr>
            <w:bookmarkStart w:id="55" w:name="_Hlk61881261"/>
          </w:p>
        </w:tc>
        <w:tc>
          <w:tcPr>
            <w:tcW w:w="3119" w:type="dxa"/>
            <w:shd w:val="clear" w:color="auto" w:fill="77ACDC" w:themeFill="accent5" w:themeFillTint="99"/>
          </w:tcPr>
          <w:p w14:paraId="0FD67616" w14:textId="77777777" w:rsidR="00E8265E" w:rsidRPr="00A42A48" w:rsidRDefault="00E8265E" w:rsidP="007B6387">
            <w:pPr>
              <w:keepNext/>
              <w:keepLines/>
              <w:jc w:val="center"/>
              <w:rPr>
                <w:rFonts w:cs="Times New Roman"/>
                <w:sz w:val="20"/>
                <w:szCs w:val="20"/>
                <w:u w:val="single"/>
              </w:rPr>
            </w:pPr>
            <w:r w:rsidRPr="00A42A48">
              <w:rPr>
                <w:rFonts w:cs="Times New Roman"/>
                <w:sz w:val="20"/>
                <w:szCs w:val="20"/>
                <w:u w:val="single"/>
              </w:rPr>
              <w:t>Materials management</w:t>
            </w:r>
          </w:p>
          <w:p w14:paraId="44512417" w14:textId="010319A1" w:rsidR="00E8265E" w:rsidRPr="00A42A48" w:rsidRDefault="00E8265E" w:rsidP="007B6387">
            <w:pPr>
              <w:keepNext/>
              <w:keepLines/>
              <w:jc w:val="center"/>
              <w:rPr>
                <w:rFonts w:cs="Times New Roman"/>
                <w:b/>
                <w:bCs/>
                <w:sz w:val="20"/>
                <w:szCs w:val="20"/>
              </w:rPr>
            </w:pPr>
            <w:r w:rsidRPr="00A42A48">
              <w:rPr>
                <w:rFonts w:cs="Times New Roman"/>
                <w:sz w:val="20"/>
                <w:szCs w:val="20"/>
              </w:rPr>
              <w:t>Zhejiang Fuyang Port International Logistics Co., Ltd</w:t>
            </w:r>
          </w:p>
        </w:tc>
        <w:tc>
          <w:tcPr>
            <w:tcW w:w="2693" w:type="dxa"/>
            <w:shd w:val="clear" w:color="auto" w:fill="77ACDC" w:themeFill="accent5" w:themeFillTint="99"/>
          </w:tcPr>
          <w:p w14:paraId="21A0128C" w14:textId="77777777" w:rsidR="00E8265E" w:rsidRPr="00A42A48" w:rsidRDefault="00E8265E" w:rsidP="007B6387">
            <w:pPr>
              <w:keepNext/>
              <w:keepLines/>
              <w:jc w:val="center"/>
              <w:rPr>
                <w:rFonts w:cs="Times New Roman"/>
                <w:sz w:val="20"/>
                <w:szCs w:val="20"/>
                <w:u w:val="single"/>
              </w:rPr>
            </w:pPr>
            <w:r w:rsidRPr="00A42A48">
              <w:rPr>
                <w:rFonts w:cs="Times New Roman"/>
                <w:sz w:val="20"/>
                <w:szCs w:val="20"/>
                <w:u w:val="single"/>
              </w:rPr>
              <w:t>Physical distribution</w:t>
            </w:r>
          </w:p>
          <w:p w14:paraId="77E25746" w14:textId="59C83E50" w:rsidR="00E8265E" w:rsidRPr="00A42A48" w:rsidRDefault="00E8265E" w:rsidP="007B6387">
            <w:pPr>
              <w:keepNext/>
              <w:keepLines/>
              <w:jc w:val="center"/>
              <w:rPr>
                <w:rFonts w:cs="Times New Roman"/>
                <w:b/>
                <w:bCs/>
                <w:sz w:val="20"/>
                <w:szCs w:val="20"/>
              </w:rPr>
            </w:pPr>
            <w:r w:rsidRPr="00A42A48">
              <w:rPr>
                <w:rFonts w:cs="Times New Roman"/>
                <w:sz w:val="20"/>
                <w:szCs w:val="20"/>
              </w:rPr>
              <w:t xml:space="preserve">Hangzhou Fuyang </w:t>
            </w:r>
            <w:r w:rsidR="009442F5">
              <w:rPr>
                <w:rFonts w:cs="Times New Roman"/>
                <w:sz w:val="20"/>
                <w:szCs w:val="20"/>
              </w:rPr>
              <w:t>Transf</w:t>
            </w:r>
            <w:r w:rsidR="00F124B3">
              <w:rPr>
                <w:rFonts w:cs="Times New Roman"/>
                <w:sz w:val="20"/>
                <w:szCs w:val="20"/>
              </w:rPr>
              <w:t>a</w:t>
            </w:r>
            <w:r w:rsidR="009442F5">
              <w:rPr>
                <w:rFonts w:cs="Times New Roman"/>
                <w:sz w:val="20"/>
                <w:szCs w:val="20"/>
              </w:rPr>
              <w:t>r</w:t>
            </w:r>
            <w:r w:rsidR="00F124B3">
              <w:rPr>
                <w:rFonts w:cs="Times New Roman"/>
                <w:sz w:val="20"/>
                <w:szCs w:val="20"/>
              </w:rPr>
              <w:t xml:space="preserve"> </w:t>
            </w:r>
            <w:r w:rsidRPr="00A42A48">
              <w:rPr>
                <w:rFonts w:cs="Times New Roman"/>
                <w:sz w:val="20"/>
                <w:szCs w:val="20"/>
              </w:rPr>
              <w:t>Logistics Base Co., Ltd.</w:t>
            </w:r>
          </w:p>
        </w:tc>
      </w:tr>
      <w:bookmarkEnd w:id="55"/>
      <w:tr w:rsidR="002B2601" w:rsidRPr="00A42A48" w14:paraId="4EAFAA3A" w14:textId="5E2CAD6F" w:rsidTr="00E8265E">
        <w:tc>
          <w:tcPr>
            <w:tcW w:w="3539" w:type="dxa"/>
          </w:tcPr>
          <w:p w14:paraId="35B5316D" w14:textId="52E6E8CD" w:rsidR="002B2601" w:rsidRPr="001E2C59" w:rsidRDefault="002B2601" w:rsidP="007B6387">
            <w:pPr>
              <w:keepNext/>
              <w:keepLines/>
              <w:rPr>
                <w:rFonts w:cs="Times New Roman"/>
                <w:b/>
                <w:bCs/>
                <w:sz w:val="20"/>
                <w:szCs w:val="20"/>
              </w:rPr>
            </w:pPr>
            <w:r w:rsidRPr="001E2C59">
              <w:rPr>
                <w:rFonts w:cs="Times New Roman"/>
                <w:b/>
                <w:bCs/>
                <w:sz w:val="20"/>
                <w:szCs w:val="20"/>
              </w:rPr>
              <w:t>Baseline annual energy consumption</w:t>
            </w:r>
            <w:r w:rsidRPr="001E2C59">
              <w:rPr>
                <w:rStyle w:val="FootnoteReference"/>
                <w:rFonts w:ascii="Times New Roman" w:hAnsi="Times New Roman"/>
                <w:sz w:val="20"/>
                <w:szCs w:val="20"/>
              </w:rPr>
              <w:footnoteReference w:id="49"/>
            </w:r>
          </w:p>
          <w:p w14:paraId="0335FBFE" w14:textId="352A682C" w:rsidR="002B2601" w:rsidRPr="001E2C59" w:rsidRDefault="00A42A48" w:rsidP="007B6387">
            <w:pPr>
              <w:pStyle w:val="FootnoteText"/>
              <w:keepNext/>
              <w:keepLines/>
              <w:widowControl/>
              <w:rPr>
                <w:sz w:val="20"/>
              </w:rPr>
            </w:pPr>
            <w:r w:rsidRPr="001E2C59">
              <w:rPr>
                <w:sz w:val="20"/>
              </w:rPr>
              <w:t>Diesel oil</w:t>
            </w:r>
          </w:p>
          <w:p w14:paraId="4E26DC22" w14:textId="568A993C" w:rsidR="002B2601" w:rsidRPr="001E2C59" w:rsidRDefault="00A42A48" w:rsidP="007B6387">
            <w:pPr>
              <w:keepNext/>
              <w:keepLines/>
              <w:rPr>
                <w:rFonts w:cs="Times New Roman"/>
                <w:sz w:val="20"/>
                <w:szCs w:val="20"/>
              </w:rPr>
            </w:pPr>
            <w:r w:rsidRPr="001E2C59">
              <w:rPr>
                <w:rFonts w:cs="Times New Roman"/>
                <w:sz w:val="20"/>
                <w:szCs w:val="20"/>
              </w:rPr>
              <w:t>Electricity</w:t>
            </w:r>
          </w:p>
        </w:tc>
        <w:tc>
          <w:tcPr>
            <w:tcW w:w="3119" w:type="dxa"/>
          </w:tcPr>
          <w:p w14:paraId="4FF8DF93" w14:textId="77777777" w:rsidR="002B2601" w:rsidRPr="001E2C59" w:rsidRDefault="002B2601" w:rsidP="007B6387">
            <w:pPr>
              <w:keepNext/>
              <w:keepLines/>
              <w:jc w:val="center"/>
              <w:rPr>
                <w:rFonts w:cs="Times New Roman"/>
                <w:sz w:val="20"/>
                <w:szCs w:val="20"/>
              </w:rPr>
            </w:pPr>
          </w:p>
          <w:p w14:paraId="19A5E239" w14:textId="6B453FBF" w:rsidR="002B2601" w:rsidRPr="001E2C59" w:rsidRDefault="00574290" w:rsidP="007B6387">
            <w:pPr>
              <w:keepNext/>
              <w:keepLines/>
              <w:jc w:val="center"/>
              <w:rPr>
                <w:rFonts w:cs="Times New Roman"/>
                <w:sz w:val="20"/>
                <w:szCs w:val="20"/>
              </w:rPr>
            </w:pPr>
            <w:r w:rsidRPr="001E2C59">
              <w:rPr>
                <w:rFonts w:cs="Times New Roman"/>
                <w:sz w:val="20"/>
                <w:szCs w:val="20"/>
              </w:rPr>
              <w:t>1,970</w:t>
            </w:r>
            <w:r w:rsidR="002B2601" w:rsidRPr="001E2C59">
              <w:rPr>
                <w:rFonts w:cs="Times New Roman"/>
                <w:sz w:val="20"/>
                <w:szCs w:val="20"/>
              </w:rPr>
              <w:t>.</w:t>
            </w:r>
            <w:r w:rsidRPr="001E2C59">
              <w:rPr>
                <w:rFonts w:cs="Times New Roman"/>
                <w:sz w:val="20"/>
                <w:szCs w:val="20"/>
              </w:rPr>
              <w:t>17</w:t>
            </w:r>
            <w:r w:rsidR="002B2601" w:rsidRPr="001E2C59">
              <w:rPr>
                <w:rFonts w:cs="Times New Roman"/>
                <w:sz w:val="20"/>
                <w:szCs w:val="20"/>
              </w:rPr>
              <w:t xml:space="preserve"> t diesel oi</w:t>
            </w:r>
            <w:r w:rsidR="00E8265E">
              <w:rPr>
                <w:rFonts w:cs="Times New Roman"/>
                <w:sz w:val="20"/>
                <w:szCs w:val="20"/>
              </w:rPr>
              <w:t>l/year</w:t>
            </w:r>
          </w:p>
          <w:p w14:paraId="43D7F3C5" w14:textId="2D863240" w:rsidR="002B2601" w:rsidRPr="001E2C59" w:rsidRDefault="00574290" w:rsidP="007B6387">
            <w:pPr>
              <w:keepNext/>
              <w:keepLines/>
              <w:jc w:val="center"/>
              <w:rPr>
                <w:rFonts w:cs="Times New Roman"/>
                <w:sz w:val="20"/>
                <w:szCs w:val="20"/>
              </w:rPr>
            </w:pPr>
            <w:r w:rsidRPr="001E2C59">
              <w:rPr>
                <w:rFonts w:cs="Times New Roman"/>
                <w:sz w:val="20"/>
                <w:szCs w:val="20"/>
              </w:rPr>
              <w:t>307.67</w:t>
            </w:r>
            <w:r w:rsidR="002B2601" w:rsidRPr="001E2C59">
              <w:rPr>
                <w:rFonts w:cs="Times New Roman"/>
                <w:sz w:val="20"/>
                <w:szCs w:val="20"/>
              </w:rPr>
              <w:t xml:space="preserve"> MWh</w:t>
            </w:r>
            <w:r w:rsidR="00E8265E">
              <w:rPr>
                <w:rFonts w:cs="Times New Roman"/>
                <w:sz w:val="20"/>
                <w:szCs w:val="20"/>
              </w:rPr>
              <w:t>/year</w:t>
            </w:r>
          </w:p>
        </w:tc>
        <w:tc>
          <w:tcPr>
            <w:tcW w:w="2693" w:type="dxa"/>
          </w:tcPr>
          <w:p w14:paraId="516B5C81" w14:textId="77777777" w:rsidR="002B2601" w:rsidRPr="001E2C59" w:rsidRDefault="002B2601" w:rsidP="007B6387">
            <w:pPr>
              <w:keepNext/>
              <w:keepLines/>
              <w:jc w:val="center"/>
              <w:rPr>
                <w:rFonts w:cs="Times New Roman"/>
                <w:sz w:val="20"/>
                <w:szCs w:val="20"/>
              </w:rPr>
            </w:pPr>
          </w:p>
          <w:p w14:paraId="1EC8AB57" w14:textId="6BFB84CD" w:rsidR="002B2601" w:rsidRPr="001E2C59" w:rsidRDefault="002B2601" w:rsidP="007B6387">
            <w:pPr>
              <w:keepNext/>
              <w:keepLines/>
              <w:jc w:val="center"/>
              <w:rPr>
                <w:rFonts w:cs="Times New Roman"/>
                <w:sz w:val="20"/>
                <w:szCs w:val="20"/>
              </w:rPr>
            </w:pPr>
            <w:r w:rsidRPr="001E2C59">
              <w:rPr>
                <w:rFonts w:cs="Times New Roman"/>
                <w:sz w:val="20"/>
                <w:szCs w:val="20"/>
              </w:rPr>
              <w:t>575.89 t diesel oil</w:t>
            </w:r>
            <w:r w:rsidR="00E8265E">
              <w:rPr>
                <w:rFonts w:cs="Times New Roman"/>
                <w:sz w:val="20"/>
                <w:szCs w:val="20"/>
              </w:rPr>
              <w:t>/year</w:t>
            </w:r>
          </w:p>
          <w:p w14:paraId="7306693E" w14:textId="671230EA" w:rsidR="002B2601" w:rsidRPr="001E2C59" w:rsidRDefault="00A42A48" w:rsidP="007B6387">
            <w:pPr>
              <w:keepNext/>
              <w:keepLines/>
              <w:jc w:val="center"/>
              <w:rPr>
                <w:rFonts w:cs="Times New Roman"/>
                <w:sz w:val="20"/>
                <w:szCs w:val="20"/>
              </w:rPr>
            </w:pPr>
            <w:r w:rsidRPr="001E2C59">
              <w:rPr>
                <w:rFonts w:cs="Times New Roman"/>
                <w:sz w:val="20"/>
                <w:szCs w:val="20"/>
              </w:rPr>
              <w:t>N.A.</w:t>
            </w:r>
          </w:p>
        </w:tc>
      </w:tr>
      <w:tr w:rsidR="002B2601" w:rsidRPr="00A42A48" w14:paraId="7FB4BFC2" w14:textId="77777777" w:rsidTr="00E8265E">
        <w:tc>
          <w:tcPr>
            <w:tcW w:w="3539" w:type="dxa"/>
          </w:tcPr>
          <w:p w14:paraId="74FDDD33" w14:textId="563F516E" w:rsidR="002B2601" w:rsidRPr="001E2C59" w:rsidRDefault="002B2601" w:rsidP="007B6387">
            <w:pPr>
              <w:keepNext/>
              <w:keepLines/>
              <w:rPr>
                <w:rFonts w:cs="Times New Roman"/>
                <w:b/>
                <w:bCs/>
                <w:sz w:val="20"/>
                <w:szCs w:val="20"/>
              </w:rPr>
            </w:pPr>
            <w:r w:rsidRPr="001E2C59">
              <w:rPr>
                <w:rFonts w:cs="Times New Roman"/>
                <w:b/>
                <w:bCs/>
                <w:sz w:val="20"/>
                <w:szCs w:val="20"/>
              </w:rPr>
              <w:t>Project annual energy consumption</w:t>
            </w:r>
            <w:bookmarkStart w:id="56" w:name="_Ref61877308"/>
            <w:r w:rsidRPr="001E2C59">
              <w:rPr>
                <w:rStyle w:val="FootnoteReference"/>
                <w:rFonts w:ascii="Times New Roman" w:hAnsi="Times New Roman"/>
                <w:sz w:val="20"/>
                <w:szCs w:val="20"/>
              </w:rPr>
              <w:footnoteReference w:id="50"/>
            </w:r>
            <w:bookmarkEnd w:id="56"/>
          </w:p>
          <w:p w14:paraId="23D8385C" w14:textId="77777777" w:rsidR="00A42A48" w:rsidRPr="001E2C59" w:rsidRDefault="00A42A48" w:rsidP="007B6387">
            <w:pPr>
              <w:pStyle w:val="FootnoteText"/>
              <w:keepNext/>
              <w:keepLines/>
              <w:widowControl/>
              <w:rPr>
                <w:sz w:val="20"/>
              </w:rPr>
            </w:pPr>
            <w:r w:rsidRPr="001E2C59">
              <w:rPr>
                <w:sz w:val="20"/>
              </w:rPr>
              <w:t>Diesel oil</w:t>
            </w:r>
          </w:p>
          <w:p w14:paraId="23D172A0" w14:textId="38F6F963" w:rsidR="002B2601" w:rsidRPr="001E2C59" w:rsidRDefault="00A42A48" w:rsidP="007B6387">
            <w:pPr>
              <w:pStyle w:val="FootnoteText"/>
              <w:keepNext/>
              <w:keepLines/>
              <w:widowControl/>
              <w:rPr>
                <w:sz w:val="20"/>
              </w:rPr>
            </w:pPr>
            <w:r w:rsidRPr="001E2C59">
              <w:rPr>
                <w:sz w:val="20"/>
              </w:rPr>
              <w:t>Electricity</w:t>
            </w:r>
          </w:p>
        </w:tc>
        <w:tc>
          <w:tcPr>
            <w:tcW w:w="3119" w:type="dxa"/>
          </w:tcPr>
          <w:p w14:paraId="744B47D0" w14:textId="77777777" w:rsidR="002B2601" w:rsidRPr="001E2C59" w:rsidRDefault="002B2601" w:rsidP="007B6387">
            <w:pPr>
              <w:keepNext/>
              <w:keepLines/>
              <w:jc w:val="center"/>
              <w:rPr>
                <w:rFonts w:cs="Times New Roman"/>
                <w:sz w:val="20"/>
                <w:szCs w:val="20"/>
              </w:rPr>
            </w:pPr>
          </w:p>
          <w:p w14:paraId="5AB37BA6" w14:textId="38C99C09" w:rsidR="002B2601" w:rsidRPr="001E2C59" w:rsidRDefault="002B2601" w:rsidP="007B6387">
            <w:pPr>
              <w:keepNext/>
              <w:keepLines/>
              <w:jc w:val="center"/>
              <w:rPr>
                <w:rFonts w:cs="Times New Roman"/>
                <w:sz w:val="20"/>
                <w:szCs w:val="20"/>
              </w:rPr>
            </w:pPr>
            <w:r w:rsidRPr="001E2C59">
              <w:rPr>
                <w:rFonts w:cs="Times New Roman"/>
                <w:sz w:val="20"/>
                <w:szCs w:val="20"/>
              </w:rPr>
              <w:t>848.09 t diesel oil</w:t>
            </w:r>
            <w:r w:rsidR="00E8265E">
              <w:rPr>
                <w:rFonts w:cs="Times New Roman"/>
                <w:sz w:val="20"/>
                <w:szCs w:val="20"/>
              </w:rPr>
              <w:t>/year</w:t>
            </w:r>
            <w:r w:rsidR="009C56FB">
              <w:rPr>
                <w:rFonts w:cs="Times New Roman"/>
                <w:sz w:val="20"/>
                <w:szCs w:val="20"/>
              </w:rPr>
              <w:t xml:space="preserve"> +</w:t>
            </w:r>
          </w:p>
          <w:p w14:paraId="352724A4" w14:textId="1134E83B" w:rsidR="002B2601" w:rsidRPr="001E2C59" w:rsidRDefault="002B2601" w:rsidP="007B6387">
            <w:pPr>
              <w:keepNext/>
              <w:keepLines/>
              <w:jc w:val="center"/>
              <w:rPr>
                <w:rFonts w:cs="Times New Roman"/>
                <w:sz w:val="20"/>
                <w:szCs w:val="20"/>
              </w:rPr>
            </w:pPr>
            <w:r w:rsidRPr="001E2C59">
              <w:rPr>
                <w:rFonts w:cs="Times New Roman"/>
                <w:sz w:val="20"/>
                <w:szCs w:val="20"/>
              </w:rPr>
              <w:t>143</w:t>
            </w:r>
            <w:r w:rsidR="00574290" w:rsidRPr="001E2C59">
              <w:rPr>
                <w:rFonts w:cs="Times New Roman"/>
                <w:sz w:val="20"/>
                <w:szCs w:val="20"/>
              </w:rPr>
              <w:t>.</w:t>
            </w:r>
            <w:r w:rsidRPr="001E2C59">
              <w:rPr>
                <w:rFonts w:cs="Times New Roman"/>
                <w:sz w:val="20"/>
                <w:szCs w:val="20"/>
              </w:rPr>
              <w:t>7</w:t>
            </w:r>
            <w:r w:rsidR="00574290" w:rsidRPr="001E2C59">
              <w:rPr>
                <w:rFonts w:cs="Times New Roman"/>
                <w:sz w:val="20"/>
                <w:szCs w:val="20"/>
              </w:rPr>
              <w:t>7</w:t>
            </w:r>
            <w:r w:rsidRPr="001E2C59">
              <w:rPr>
                <w:rFonts w:cs="Times New Roman"/>
                <w:sz w:val="20"/>
                <w:szCs w:val="20"/>
              </w:rPr>
              <w:t xml:space="preserve"> MWh</w:t>
            </w:r>
            <w:r w:rsidR="00E8265E">
              <w:rPr>
                <w:rFonts w:cs="Times New Roman"/>
                <w:sz w:val="20"/>
                <w:szCs w:val="20"/>
              </w:rPr>
              <w:t>/year</w:t>
            </w:r>
          </w:p>
        </w:tc>
        <w:tc>
          <w:tcPr>
            <w:tcW w:w="2693" w:type="dxa"/>
          </w:tcPr>
          <w:p w14:paraId="622F2531" w14:textId="77777777" w:rsidR="002B2601" w:rsidRPr="001E2C59" w:rsidRDefault="002B2601" w:rsidP="007B6387">
            <w:pPr>
              <w:keepNext/>
              <w:keepLines/>
              <w:jc w:val="center"/>
              <w:rPr>
                <w:rFonts w:cs="Times New Roman"/>
                <w:sz w:val="20"/>
                <w:szCs w:val="20"/>
              </w:rPr>
            </w:pPr>
          </w:p>
          <w:p w14:paraId="7CF3E0F1" w14:textId="136629A6" w:rsidR="002B2601" w:rsidRPr="001E2C59" w:rsidRDefault="002B2601" w:rsidP="007B6387">
            <w:pPr>
              <w:keepNext/>
              <w:keepLines/>
              <w:jc w:val="center"/>
              <w:rPr>
                <w:rFonts w:cs="Times New Roman"/>
                <w:sz w:val="20"/>
                <w:szCs w:val="20"/>
              </w:rPr>
            </w:pPr>
            <w:r w:rsidRPr="001E2C59">
              <w:rPr>
                <w:rFonts w:cs="Times New Roman"/>
                <w:sz w:val="20"/>
                <w:szCs w:val="20"/>
              </w:rPr>
              <w:t>362.82 t diesel oil</w:t>
            </w:r>
            <w:r w:rsidR="00E8265E">
              <w:rPr>
                <w:rFonts w:cs="Times New Roman"/>
                <w:sz w:val="20"/>
                <w:szCs w:val="20"/>
              </w:rPr>
              <w:t>/year</w:t>
            </w:r>
          </w:p>
          <w:p w14:paraId="39B56A1D" w14:textId="79E775FB" w:rsidR="002B2601" w:rsidRPr="001E2C59" w:rsidRDefault="00A42A48" w:rsidP="007B6387">
            <w:pPr>
              <w:keepNext/>
              <w:keepLines/>
              <w:jc w:val="center"/>
              <w:rPr>
                <w:rFonts w:cs="Times New Roman"/>
                <w:sz w:val="20"/>
                <w:szCs w:val="20"/>
              </w:rPr>
            </w:pPr>
            <w:r w:rsidRPr="001E2C59">
              <w:rPr>
                <w:rFonts w:cs="Times New Roman"/>
                <w:sz w:val="20"/>
                <w:szCs w:val="20"/>
              </w:rPr>
              <w:t>N.A.</w:t>
            </w:r>
          </w:p>
        </w:tc>
      </w:tr>
      <w:tr w:rsidR="002B2601" w:rsidRPr="00A42A48" w14:paraId="6E58549B" w14:textId="58005B45" w:rsidTr="00E8265E">
        <w:tc>
          <w:tcPr>
            <w:tcW w:w="3539" w:type="dxa"/>
          </w:tcPr>
          <w:p w14:paraId="4D0D1AA4" w14:textId="2DA14750" w:rsidR="002B2601" w:rsidRPr="001E2C59" w:rsidRDefault="002B2601" w:rsidP="007B6387">
            <w:pPr>
              <w:keepNext/>
              <w:keepLines/>
              <w:rPr>
                <w:rFonts w:cs="Times New Roman"/>
                <w:b/>
                <w:bCs/>
                <w:sz w:val="20"/>
                <w:szCs w:val="20"/>
              </w:rPr>
            </w:pPr>
            <w:r w:rsidRPr="001E2C59">
              <w:rPr>
                <w:rFonts w:cs="Times New Roman"/>
                <w:b/>
                <w:bCs/>
                <w:sz w:val="20"/>
                <w:szCs w:val="20"/>
              </w:rPr>
              <w:t>Annual energy savings</w:t>
            </w:r>
          </w:p>
          <w:p w14:paraId="31F74D1C" w14:textId="77777777" w:rsidR="00A42A48" w:rsidRPr="001E2C59" w:rsidRDefault="00A42A48" w:rsidP="007B6387">
            <w:pPr>
              <w:pStyle w:val="FootnoteText"/>
              <w:keepNext/>
              <w:keepLines/>
              <w:widowControl/>
              <w:rPr>
                <w:sz w:val="20"/>
              </w:rPr>
            </w:pPr>
            <w:r w:rsidRPr="001E2C59">
              <w:rPr>
                <w:sz w:val="20"/>
              </w:rPr>
              <w:t>Diesel oil</w:t>
            </w:r>
          </w:p>
          <w:p w14:paraId="280BBC68" w14:textId="77777777" w:rsidR="001E2C59" w:rsidRPr="001E2C59" w:rsidRDefault="00A42A48" w:rsidP="007B6387">
            <w:pPr>
              <w:keepNext/>
              <w:keepLines/>
              <w:rPr>
                <w:rFonts w:cs="Times New Roman"/>
                <w:sz w:val="20"/>
                <w:szCs w:val="20"/>
              </w:rPr>
            </w:pPr>
            <w:r w:rsidRPr="001E2C59">
              <w:rPr>
                <w:rFonts w:cs="Times New Roman"/>
                <w:sz w:val="20"/>
                <w:szCs w:val="20"/>
              </w:rPr>
              <w:t>Electricity</w:t>
            </w:r>
          </w:p>
          <w:p w14:paraId="561EAF38" w14:textId="5CEF36BF" w:rsidR="001E2C59" w:rsidRPr="001E2C59" w:rsidRDefault="001E2C59" w:rsidP="007B6387">
            <w:pPr>
              <w:keepNext/>
              <w:keepLines/>
              <w:rPr>
                <w:rFonts w:cs="Times New Roman"/>
                <w:sz w:val="20"/>
                <w:szCs w:val="20"/>
              </w:rPr>
            </w:pPr>
            <w:r>
              <w:rPr>
                <w:rFonts w:cs="Times New Roman"/>
                <w:sz w:val="20"/>
                <w:szCs w:val="20"/>
              </w:rPr>
              <w:t>Total (toe</w:t>
            </w:r>
            <w:r w:rsidR="00E8265E">
              <w:rPr>
                <w:rFonts w:cs="Times New Roman"/>
                <w:sz w:val="20"/>
                <w:szCs w:val="20"/>
              </w:rPr>
              <w:t>/year</w:t>
            </w:r>
            <w:r>
              <w:rPr>
                <w:rFonts w:cs="Times New Roman"/>
                <w:sz w:val="20"/>
                <w:szCs w:val="20"/>
              </w:rPr>
              <w:t>)</w:t>
            </w:r>
          </w:p>
        </w:tc>
        <w:tc>
          <w:tcPr>
            <w:tcW w:w="3119" w:type="dxa"/>
          </w:tcPr>
          <w:p w14:paraId="02B7C232" w14:textId="77777777" w:rsidR="002B2601" w:rsidRPr="001E2C59" w:rsidRDefault="002B2601" w:rsidP="007B6387">
            <w:pPr>
              <w:keepNext/>
              <w:keepLines/>
              <w:jc w:val="center"/>
              <w:rPr>
                <w:rFonts w:cs="Times New Roman"/>
                <w:sz w:val="20"/>
                <w:szCs w:val="20"/>
              </w:rPr>
            </w:pPr>
          </w:p>
          <w:p w14:paraId="0AC05925" w14:textId="3BEEE700" w:rsidR="00A42A48" w:rsidRPr="001E2C59" w:rsidRDefault="002B2601" w:rsidP="007B6387">
            <w:pPr>
              <w:pStyle w:val="FootnoteText"/>
              <w:keepNext/>
              <w:keepLines/>
              <w:widowControl/>
              <w:jc w:val="center"/>
              <w:rPr>
                <w:sz w:val="20"/>
              </w:rPr>
            </w:pPr>
            <w:r w:rsidRPr="001E2C59">
              <w:rPr>
                <w:sz w:val="20"/>
              </w:rPr>
              <w:t xml:space="preserve">1,122.08 t </w:t>
            </w:r>
            <w:r w:rsidRPr="001E2C59">
              <w:rPr>
                <w:sz w:val="20"/>
                <w:lang w:val="en-US"/>
              </w:rPr>
              <w:t>diesel</w:t>
            </w:r>
            <w:r w:rsidRPr="001E2C59">
              <w:rPr>
                <w:sz w:val="20"/>
              </w:rPr>
              <w:t xml:space="preserve"> oil</w:t>
            </w:r>
            <w:r w:rsidR="00E8265E">
              <w:rPr>
                <w:sz w:val="20"/>
              </w:rPr>
              <w:t>/year</w:t>
            </w:r>
          </w:p>
          <w:p w14:paraId="152359F2" w14:textId="30E80919" w:rsidR="002B2601" w:rsidRDefault="00A42A48" w:rsidP="007B6387">
            <w:pPr>
              <w:keepNext/>
              <w:keepLines/>
              <w:jc w:val="center"/>
              <w:rPr>
                <w:rFonts w:cs="Times New Roman"/>
                <w:sz w:val="20"/>
                <w:szCs w:val="20"/>
              </w:rPr>
            </w:pPr>
            <w:r w:rsidRPr="001E2C59">
              <w:rPr>
                <w:rFonts w:cs="Times New Roman"/>
                <w:sz w:val="20"/>
                <w:szCs w:val="20"/>
              </w:rPr>
              <w:t>163.90 MWh</w:t>
            </w:r>
            <w:r w:rsidR="00E8265E">
              <w:rPr>
                <w:rFonts w:cs="Times New Roman"/>
                <w:sz w:val="20"/>
                <w:szCs w:val="20"/>
              </w:rPr>
              <w:t>/year</w:t>
            </w:r>
          </w:p>
          <w:p w14:paraId="7234CAE3" w14:textId="6C785C32" w:rsidR="001E2C59" w:rsidRPr="001E2C59" w:rsidRDefault="009C56FB" w:rsidP="007B6387">
            <w:pPr>
              <w:keepNext/>
              <w:keepLines/>
              <w:jc w:val="center"/>
              <w:rPr>
                <w:rFonts w:cs="Times New Roman"/>
                <w:sz w:val="20"/>
                <w:szCs w:val="20"/>
              </w:rPr>
            </w:pPr>
            <w:r>
              <w:rPr>
                <w:rFonts w:cs="Times New Roman"/>
                <w:sz w:val="20"/>
                <w:szCs w:val="20"/>
              </w:rPr>
              <w:t>1,1</w:t>
            </w:r>
            <w:r w:rsidR="00FD6D5F">
              <w:rPr>
                <w:rFonts w:cs="Times New Roman"/>
                <w:sz w:val="20"/>
                <w:szCs w:val="20"/>
              </w:rPr>
              <w:t>45</w:t>
            </w:r>
            <w:r>
              <w:rPr>
                <w:rFonts w:cs="Times New Roman"/>
                <w:sz w:val="20"/>
                <w:szCs w:val="20"/>
              </w:rPr>
              <w:t>.</w:t>
            </w:r>
            <w:r w:rsidR="00FD6D5F">
              <w:rPr>
                <w:rFonts w:cs="Times New Roman"/>
                <w:sz w:val="20"/>
                <w:szCs w:val="20"/>
              </w:rPr>
              <w:t>65</w:t>
            </w:r>
            <w:r>
              <w:rPr>
                <w:rFonts w:cs="Times New Roman"/>
                <w:sz w:val="20"/>
                <w:szCs w:val="20"/>
              </w:rPr>
              <w:t xml:space="preserve"> toe</w:t>
            </w:r>
            <w:bookmarkStart w:id="57" w:name="_Ref61880589"/>
            <w:r w:rsidR="00E8265E">
              <w:rPr>
                <w:rFonts w:cs="Times New Roman"/>
                <w:sz w:val="20"/>
                <w:szCs w:val="20"/>
              </w:rPr>
              <w:t>/year</w:t>
            </w:r>
            <w:r w:rsidR="00E8265E">
              <w:rPr>
                <w:rStyle w:val="FootnoteReference"/>
                <w:szCs w:val="20"/>
              </w:rPr>
              <w:t xml:space="preserve"> </w:t>
            </w:r>
            <w:r w:rsidR="001E2C59">
              <w:rPr>
                <w:rStyle w:val="FootnoteReference"/>
                <w:szCs w:val="20"/>
              </w:rPr>
              <w:footnoteReference w:id="51"/>
            </w:r>
            <w:bookmarkEnd w:id="57"/>
          </w:p>
        </w:tc>
        <w:tc>
          <w:tcPr>
            <w:tcW w:w="2693" w:type="dxa"/>
          </w:tcPr>
          <w:p w14:paraId="0071F6C3" w14:textId="77777777" w:rsidR="00A42A48" w:rsidRPr="001E2C59" w:rsidRDefault="00A42A48" w:rsidP="007B6387">
            <w:pPr>
              <w:keepNext/>
              <w:keepLines/>
              <w:jc w:val="center"/>
              <w:rPr>
                <w:rFonts w:cs="Times New Roman"/>
                <w:sz w:val="20"/>
                <w:szCs w:val="20"/>
              </w:rPr>
            </w:pPr>
          </w:p>
          <w:p w14:paraId="47D15E2D" w14:textId="7E7E8039" w:rsidR="002B2601" w:rsidRPr="001E2C59" w:rsidRDefault="00A42A48" w:rsidP="007B6387">
            <w:pPr>
              <w:keepNext/>
              <w:keepLines/>
              <w:jc w:val="center"/>
              <w:rPr>
                <w:rFonts w:cs="Times New Roman"/>
                <w:sz w:val="20"/>
                <w:szCs w:val="20"/>
              </w:rPr>
            </w:pPr>
            <w:r w:rsidRPr="001E2C59">
              <w:rPr>
                <w:rFonts w:cs="Times New Roman"/>
                <w:sz w:val="20"/>
                <w:szCs w:val="20"/>
              </w:rPr>
              <w:t>213.07</w:t>
            </w:r>
            <w:r w:rsidR="002B2601" w:rsidRPr="001E2C59">
              <w:rPr>
                <w:rFonts w:cs="Times New Roman"/>
                <w:sz w:val="20"/>
                <w:szCs w:val="20"/>
              </w:rPr>
              <w:t xml:space="preserve"> t diesel oil</w:t>
            </w:r>
            <w:r w:rsidR="00E8265E">
              <w:rPr>
                <w:rFonts w:cs="Times New Roman"/>
                <w:sz w:val="20"/>
                <w:szCs w:val="20"/>
              </w:rPr>
              <w:t>/year</w:t>
            </w:r>
          </w:p>
          <w:p w14:paraId="61C32A2F" w14:textId="77777777" w:rsidR="00A42A48" w:rsidRDefault="00A42A48" w:rsidP="007B6387">
            <w:pPr>
              <w:keepNext/>
              <w:keepLines/>
              <w:jc w:val="center"/>
              <w:rPr>
                <w:rFonts w:cs="Times New Roman"/>
                <w:sz w:val="20"/>
                <w:szCs w:val="20"/>
              </w:rPr>
            </w:pPr>
            <w:r w:rsidRPr="001E2C59">
              <w:rPr>
                <w:rFonts w:cs="Times New Roman"/>
                <w:sz w:val="20"/>
                <w:szCs w:val="20"/>
              </w:rPr>
              <w:t>N.A.</w:t>
            </w:r>
          </w:p>
          <w:p w14:paraId="20BA47B3" w14:textId="2CB262F1" w:rsidR="00991351" w:rsidRPr="001E2C59" w:rsidRDefault="00991351" w:rsidP="007B6387">
            <w:pPr>
              <w:keepNext/>
              <w:keepLines/>
              <w:jc w:val="center"/>
              <w:rPr>
                <w:rFonts w:cs="Times New Roman"/>
                <w:sz w:val="20"/>
                <w:szCs w:val="20"/>
              </w:rPr>
            </w:pPr>
            <w:r>
              <w:rPr>
                <w:rFonts w:cs="Times New Roman"/>
                <w:sz w:val="20"/>
                <w:szCs w:val="20"/>
              </w:rPr>
              <w:t>21</w:t>
            </w:r>
            <w:r w:rsidR="00FD6D5F">
              <w:rPr>
                <w:rFonts w:cs="Times New Roman"/>
                <w:sz w:val="20"/>
                <w:szCs w:val="20"/>
              </w:rPr>
              <w:t>5</w:t>
            </w:r>
            <w:r>
              <w:rPr>
                <w:rFonts w:cs="Times New Roman"/>
                <w:sz w:val="20"/>
                <w:szCs w:val="20"/>
              </w:rPr>
              <w:t>.</w:t>
            </w:r>
            <w:r w:rsidR="00FD6D5F">
              <w:rPr>
                <w:rFonts w:cs="Times New Roman"/>
                <w:sz w:val="20"/>
                <w:szCs w:val="20"/>
              </w:rPr>
              <w:t>20</w:t>
            </w:r>
            <w:r>
              <w:rPr>
                <w:rFonts w:cs="Times New Roman"/>
                <w:sz w:val="20"/>
                <w:szCs w:val="20"/>
              </w:rPr>
              <w:t xml:space="preserve"> toe</w:t>
            </w:r>
            <w:r w:rsidR="00E8265E">
              <w:rPr>
                <w:rFonts w:cs="Times New Roman"/>
                <w:sz w:val="20"/>
                <w:szCs w:val="20"/>
              </w:rPr>
              <w:t>/year</w:t>
            </w:r>
            <w:r w:rsidR="00E8265E" w:rsidRPr="00FD6D5F">
              <w:rPr>
                <w:rFonts w:cs="Times New Roman"/>
                <w:sz w:val="20"/>
                <w:szCs w:val="20"/>
                <w:vertAlign w:val="superscript"/>
              </w:rPr>
              <w:t xml:space="preserve"> </w:t>
            </w:r>
            <w:r w:rsidR="00FD6D5F" w:rsidRPr="00FD6D5F">
              <w:rPr>
                <w:rFonts w:cs="Times New Roman"/>
                <w:sz w:val="20"/>
                <w:szCs w:val="20"/>
                <w:vertAlign w:val="superscript"/>
              </w:rPr>
              <w:fldChar w:fldCharType="begin"/>
            </w:r>
            <w:r w:rsidR="00FD6D5F" w:rsidRPr="00FD6D5F">
              <w:rPr>
                <w:rFonts w:cs="Times New Roman"/>
                <w:sz w:val="20"/>
                <w:szCs w:val="20"/>
                <w:vertAlign w:val="superscript"/>
              </w:rPr>
              <w:instrText xml:space="preserve"> NOTEREF _Ref61880589 \h </w:instrText>
            </w:r>
            <w:r w:rsidR="00FD6D5F">
              <w:rPr>
                <w:rFonts w:cs="Times New Roman"/>
                <w:sz w:val="20"/>
                <w:szCs w:val="20"/>
                <w:vertAlign w:val="superscript"/>
              </w:rPr>
              <w:instrText xml:space="preserve"> \* MERGEFORMAT </w:instrText>
            </w:r>
            <w:r w:rsidR="00FD6D5F" w:rsidRPr="00FD6D5F">
              <w:rPr>
                <w:rFonts w:cs="Times New Roman"/>
                <w:sz w:val="20"/>
                <w:szCs w:val="20"/>
                <w:vertAlign w:val="superscript"/>
              </w:rPr>
            </w:r>
            <w:r w:rsidR="00FD6D5F" w:rsidRPr="00FD6D5F">
              <w:rPr>
                <w:rFonts w:cs="Times New Roman"/>
                <w:sz w:val="20"/>
                <w:szCs w:val="20"/>
                <w:vertAlign w:val="superscript"/>
              </w:rPr>
              <w:fldChar w:fldCharType="separate"/>
            </w:r>
            <w:r w:rsidR="004718D8">
              <w:rPr>
                <w:rFonts w:cs="Times New Roman"/>
                <w:sz w:val="20"/>
                <w:szCs w:val="20"/>
                <w:vertAlign w:val="superscript"/>
              </w:rPr>
              <w:t>51</w:t>
            </w:r>
            <w:r w:rsidR="00FD6D5F" w:rsidRPr="00FD6D5F">
              <w:rPr>
                <w:rFonts w:cs="Times New Roman"/>
                <w:sz w:val="20"/>
                <w:szCs w:val="20"/>
                <w:vertAlign w:val="superscript"/>
              </w:rPr>
              <w:fldChar w:fldCharType="end"/>
            </w:r>
          </w:p>
        </w:tc>
      </w:tr>
      <w:tr w:rsidR="002B2601" w:rsidRPr="00A42A48" w14:paraId="09F13043" w14:textId="255D6B81" w:rsidTr="00E8265E">
        <w:tc>
          <w:tcPr>
            <w:tcW w:w="3539" w:type="dxa"/>
          </w:tcPr>
          <w:p w14:paraId="1C108707" w14:textId="77777777" w:rsidR="002B2601" w:rsidRPr="001E2C59" w:rsidRDefault="002B2601" w:rsidP="007B6387">
            <w:pPr>
              <w:keepNext/>
              <w:keepLines/>
              <w:rPr>
                <w:rFonts w:cs="Times New Roman"/>
                <w:b/>
                <w:bCs/>
                <w:sz w:val="20"/>
                <w:szCs w:val="20"/>
              </w:rPr>
            </w:pPr>
            <w:r w:rsidRPr="001E2C59">
              <w:rPr>
                <w:rFonts w:cs="Times New Roman"/>
                <w:b/>
                <w:bCs/>
                <w:sz w:val="20"/>
                <w:szCs w:val="20"/>
              </w:rPr>
              <w:t>Annual GHG emissions reductions</w:t>
            </w:r>
          </w:p>
          <w:p w14:paraId="3BF0DB3F" w14:textId="0F933E0B" w:rsidR="002B2601" w:rsidRPr="001E2C59" w:rsidRDefault="002B2601" w:rsidP="007B6387">
            <w:pPr>
              <w:keepNext/>
              <w:keepLines/>
              <w:rPr>
                <w:rFonts w:cs="Times New Roman"/>
                <w:b/>
                <w:bCs/>
                <w:sz w:val="20"/>
                <w:szCs w:val="20"/>
              </w:rPr>
            </w:pPr>
            <w:r w:rsidRPr="001E2C59">
              <w:rPr>
                <w:rFonts w:cs="Times New Roman"/>
                <w:sz w:val="20"/>
                <w:szCs w:val="20"/>
                <w:lang w:val="en-US"/>
              </w:rPr>
              <w:t>tCO</w:t>
            </w:r>
            <w:r w:rsidRPr="001E2C59">
              <w:rPr>
                <w:rFonts w:cs="Times New Roman"/>
                <w:sz w:val="20"/>
                <w:szCs w:val="20"/>
                <w:vertAlign w:val="subscript"/>
                <w:lang w:val="en-US"/>
              </w:rPr>
              <w:t>2</w:t>
            </w:r>
            <w:r w:rsidRPr="001E2C59">
              <w:rPr>
                <w:rFonts w:cs="Times New Roman"/>
                <w:sz w:val="20"/>
                <w:szCs w:val="20"/>
                <w:lang w:val="en-US"/>
              </w:rPr>
              <w:t>e</w:t>
            </w:r>
            <w:r w:rsidR="00E8265E">
              <w:rPr>
                <w:rFonts w:cs="Times New Roman"/>
                <w:sz w:val="20"/>
                <w:szCs w:val="20"/>
              </w:rPr>
              <w:t>/year</w:t>
            </w:r>
          </w:p>
        </w:tc>
        <w:tc>
          <w:tcPr>
            <w:tcW w:w="3119" w:type="dxa"/>
            <w:vAlign w:val="center"/>
          </w:tcPr>
          <w:p w14:paraId="2217E677" w14:textId="2CF1A701" w:rsidR="002B2601" w:rsidRPr="001E2C59" w:rsidRDefault="002B2601" w:rsidP="007B6387">
            <w:pPr>
              <w:keepNext/>
              <w:keepLines/>
              <w:jc w:val="center"/>
              <w:rPr>
                <w:rFonts w:cs="Times New Roman"/>
                <w:sz w:val="20"/>
                <w:szCs w:val="20"/>
              </w:rPr>
            </w:pPr>
            <w:r w:rsidRPr="001E2C59">
              <w:rPr>
                <w:rFonts w:cs="Times New Roman"/>
                <w:sz w:val="20"/>
                <w:szCs w:val="20"/>
              </w:rPr>
              <w:t>3,641.94 tCO</w:t>
            </w:r>
            <w:r w:rsidRPr="001E2C59">
              <w:rPr>
                <w:rFonts w:cs="Times New Roman"/>
                <w:sz w:val="20"/>
                <w:szCs w:val="20"/>
                <w:vertAlign w:val="subscript"/>
              </w:rPr>
              <w:t>2</w:t>
            </w:r>
            <w:r w:rsidRPr="001E2C59">
              <w:rPr>
                <w:rFonts w:cs="Times New Roman"/>
                <w:sz w:val="20"/>
                <w:szCs w:val="20"/>
              </w:rPr>
              <w:t>e</w:t>
            </w:r>
            <w:r w:rsidR="00E8265E">
              <w:rPr>
                <w:rFonts w:cs="Times New Roman"/>
                <w:sz w:val="20"/>
                <w:szCs w:val="20"/>
              </w:rPr>
              <w:t>/year</w:t>
            </w:r>
          </w:p>
        </w:tc>
        <w:tc>
          <w:tcPr>
            <w:tcW w:w="2693" w:type="dxa"/>
            <w:vAlign w:val="center"/>
          </w:tcPr>
          <w:p w14:paraId="0BF206AA" w14:textId="67565E2E" w:rsidR="00A42A48" w:rsidRPr="001E2C59" w:rsidRDefault="00A42A48" w:rsidP="007B6387">
            <w:pPr>
              <w:keepNext/>
              <w:keepLines/>
              <w:jc w:val="center"/>
              <w:rPr>
                <w:rFonts w:cs="Times New Roman"/>
                <w:sz w:val="20"/>
                <w:szCs w:val="20"/>
              </w:rPr>
            </w:pPr>
            <w:r w:rsidRPr="001E2C59">
              <w:rPr>
                <w:rFonts w:cs="Times New Roman"/>
                <w:sz w:val="20"/>
                <w:szCs w:val="20"/>
              </w:rPr>
              <w:t xml:space="preserve">669.66 </w:t>
            </w:r>
            <w:r w:rsidR="00E8265E" w:rsidRPr="001E2C59">
              <w:rPr>
                <w:rFonts w:cs="Times New Roman"/>
                <w:sz w:val="20"/>
                <w:szCs w:val="20"/>
              </w:rPr>
              <w:t>tCO</w:t>
            </w:r>
            <w:r w:rsidR="00E8265E" w:rsidRPr="001E2C59">
              <w:rPr>
                <w:rFonts w:cs="Times New Roman"/>
                <w:sz w:val="20"/>
                <w:szCs w:val="20"/>
                <w:vertAlign w:val="subscript"/>
              </w:rPr>
              <w:t>2</w:t>
            </w:r>
            <w:r w:rsidR="00E8265E" w:rsidRPr="001E2C59">
              <w:rPr>
                <w:rFonts w:cs="Times New Roman"/>
                <w:sz w:val="20"/>
                <w:szCs w:val="20"/>
              </w:rPr>
              <w:t>e</w:t>
            </w:r>
            <w:r w:rsidR="00E8265E">
              <w:rPr>
                <w:rFonts w:cs="Times New Roman"/>
                <w:sz w:val="20"/>
                <w:szCs w:val="20"/>
              </w:rPr>
              <w:t>/year</w:t>
            </w:r>
          </w:p>
        </w:tc>
      </w:tr>
      <w:tr w:rsidR="00E8265E" w:rsidRPr="00A42A48" w14:paraId="50FC76DB" w14:textId="77777777" w:rsidTr="007E70EB">
        <w:tc>
          <w:tcPr>
            <w:tcW w:w="3539" w:type="dxa"/>
            <w:shd w:val="clear" w:color="auto" w:fill="D1E3F3" w:themeFill="accent5" w:themeFillTint="33"/>
          </w:tcPr>
          <w:p w14:paraId="14FF1004" w14:textId="77777777" w:rsidR="00E8265E" w:rsidRPr="007E70EB" w:rsidRDefault="00E8265E" w:rsidP="007B6387">
            <w:pPr>
              <w:keepNext/>
              <w:keepLines/>
              <w:rPr>
                <w:rFonts w:cs="Times New Roman"/>
                <w:sz w:val="20"/>
                <w:szCs w:val="20"/>
              </w:rPr>
            </w:pPr>
            <w:r w:rsidRPr="007E70EB">
              <w:rPr>
                <w:rFonts w:cs="Times New Roman"/>
                <w:sz w:val="20"/>
                <w:szCs w:val="20"/>
              </w:rPr>
              <w:t>Totals</w:t>
            </w:r>
          </w:p>
          <w:p w14:paraId="3649B622" w14:textId="77777777" w:rsidR="00E8265E" w:rsidRPr="007E70EB" w:rsidRDefault="00E8265E" w:rsidP="007B6387">
            <w:pPr>
              <w:keepNext/>
              <w:keepLines/>
              <w:rPr>
                <w:rFonts w:cs="Times New Roman"/>
                <w:sz w:val="20"/>
                <w:szCs w:val="20"/>
              </w:rPr>
            </w:pPr>
            <w:r w:rsidRPr="007E70EB">
              <w:rPr>
                <w:rFonts w:cs="Times New Roman"/>
                <w:sz w:val="20"/>
                <w:szCs w:val="20"/>
              </w:rPr>
              <w:t xml:space="preserve">Annual energy savings </w:t>
            </w:r>
          </w:p>
          <w:p w14:paraId="327223D0" w14:textId="2882F6A9" w:rsidR="00E8265E" w:rsidRPr="007E70EB" w:rsidRDefault="00E8265E" w:rsidP="007B6387">
            <w:pPr>
              <w:keepNext/>
              <w:keepLines/>
              <w:rPr>
                <w:rFonts w:cs="Times New Roman"/>
                <w:sz w:val="20"/>
                <w:szCs w:val="20"/>
              </w:rPr>
            </w:pPr>
            <w:r w:rsidRPr="007E70EB">
              <w:rPr>
                <w:rFonts w:cs="Times New Roman"/>
                <w:sz w:val="20"/>
                <w:szCs w:val="20"/>
              </w:rPr>
              <w:t>Annual GHG emissions reductions</w:t>
            </w:r>
            <w:r w:rsidRPr="007E70EB">
              <w:rPr>
                <w:rFonts w:cs="Times New Roman"/>
                <w:sz w:val="20"/>
                <w:szCs w:val="20"/>
                <w:lang w:val="en-US"/>
              </w:rPr>
              <w:t xml:space="preserve"> </w:t>
            </w:r>
          </w:p>
        </w:tc>
        <w:tc>
          <w:tcPr>
            <w:tcW w:w="5812" w:type="dxa"/>
            <w:gridSpan w:val="2"/>
            <w:shd w:val="clear" w:color="auto" w:fill="D1E3F3" w:themeFill="accent5" w:themeFillTint="33"/>
          </w:tcPr>
          <w:p w14:paraId="7828DF55" w14:textId="77777777" w:rsidR="00E8265E" w:rsidRPr="007E70EB" w:rsidRDefault="00E8265E" w:rsidP="007B6387">
            <w:pPr>
              <w:keepNext/>
              <w:keepLines/>
              <w:jc w:val="center"/>
              <w:rPr>
                <w:rFonts w:cs="Times New Roman"/>
                <w:sz w:val="20"/>
                <w:szCs w:val="20"/>
              </w:rPr>
            </w:pPr>
          </w:p>
          <w:p w14:paraId="28D33297" w14:textId="00E6493B" w:rsidR="00E8265E" w:rsidRPr="00886CDA" w:rsidRDefault="00E8265E" w:rsidP="007B6387">
            <w:pPr>
              <w:keepNext/>
              <w:keepLines/>
              <w:jc w:val="center"/>
              <w:rPr>
                <w:rFonts w:cs="Times New Roman"/>
                <w:b/>
                <w:bCs/>
                <w:sz w:val="20"/>
                <w:szCs w:val="20"/>
              </w:rPr>
            </w:pPr>
            <w:r w:rsidRPr="00886CDA">
              <w:rPr>
                <w:rFonts w:cs="Times New Roman"/>
                <w:b/>
                <w:bCs/>
                <w:sz w:val="20"/>
                <w:szCs w:val="20"/>
              </w:rPr>
              <w:t>1,360.85 toe/year</w:t>
            </w:r>
          </w:p>
          <w:p w14:paraId="7BCBB570" w14:textId="433D8756" w:rsidR="00E8265E" w:rsidRPr="007E70EB" w:rsidRDefault="00E8265E" w:rsidP="007B6387">
            <w:pPr>
              <w:keepNext/>
              <w:keepLines/>
              <w:jc w:val="center"/>
              <w:rPr>
                <w:rFonts w:cs="Times New Roman"/>
                <w:sz w:val="20"/>
                <w:szCs w:val="20"/>
              </w:rPr>
            </w:pPr>
            <w:r w:rsidRPr="00886CDA">
              <w:rPr>
                <w:rFonts w:cs="Times New Roman"/>
                <w:b/>
                <w:bCs/>
                <w:sz w:val="20"/>
                <w:szCs w:val="20"/>
              </w:rPr>
              <w:t>4,311.6 tCO</w:t>
            </w:r>
            <w:r w:rsidRPr="00886CDA">
              <w:rPr>
                <w:rFonts w:cs="Times New Roman"/>
                <w:b/>
                <w:bCs/>
                <w:sz w:val="20"/>
                <w:szCs w:val="20"/>
                <w:vertAlign w:val="subscript"/>
              </w:rPr>
              <w:t>2</w:t>
            </w:r>
            <w:r w:rsidRPr="00886CDA">
              <w:rPr>
                <w:rFonts w:cs="Times New Roman"/>
                <w:b/>
                <w:bCs/>
                <w:sz w:val="20"/>
                <w:szCs w:val="20"/>
              </w:rPr>
              <w:t>e/year</w:t>
            </w:r>
          </w:p>
        </w:tc>
      </w:tr>
    </w:tbl>
    <w:p w14:paraId="73DC7EC7" w14:textId="65609121" w:rsidR="009C368B" w:rsidRDefault="00F52E50" w:rsidP="007B6387">
      <w:pPr>
        <w:keepNext/>
        <w:keepLines/>
        <w:jc w:val="both"/>
        <w:rPr>
          <w:sz w:val="20"/>
          <w:szCs w:val="20"/>
        </w:rPr>
      </w:pPr>
      <w:r w:rsidRPr="00F52E50">
        <w:rPr>
          <w:sz w:val="20"/>
          <w:szCs w:val="20"/>
        </w:rPr>
        <w:t xml:space="preserve">Source: Elaborated with information </w:t>
      </w:r>
      <w:r w:rsidR="00051D18">
        <w:rPr>
          <w:sz w:val="20"/>
          <w:szCs w:val="20"/>
        </w:rPr>
        <w:t>in</w:t>
      </w:r>
      <w:r w:rsidRPr="00F52E50">
        <w:rPr>
          <w:sz w:val="20"/>
          <w:szCs w:val="20"/>
        </w:rPr>
        <w:t xml:space="preserve"> Zhejiang Economic Information Development Co., Ltd. 2020.  2019 Energy Consumption and Carbon Emission Report of Green </w:t>
      </w:r>
      <w:r w:rsidR="00E47B0F">
        <w:rPr>
          <w:sz w:val="20"/>
          <w:szCs w:val="20"/>
        </w:rPr>
        <w:t>L</w:t>
      </w:r>
      <w:r w:rsidRPr="00F52E50">
        <w:rPr>
          <w:sz w:val="20"/>
          <w:szCs w:val="20"/>
        </w:rPr>
        <w:t xml:space="preserve">ogistics </w:t>
      </w:r>
      <w:r w:rsidR="00E47B0F">
        <w:rPr>
          <w:sz w:val="20"/>
          <w:szCs w:val="20"/>
        </w:rPr>
        <w:t>D</w:t>
      </w:r>
      <w:r w:rsidRPr="00F52E50">
        <w:rPr>
          <w:sz w:val="20"/>
          <w:szCs w:val="20"/>
        </w:rPr>
        <w:t xml:space="preserve">emonstration </w:t>
      </w:r>
      <w:r w:rsidR="00E47B0F">
        <w:rPr>
          <w:sz w:val="20"/>
          <w:szCs w:val="20"/>
        </w:rPr>
        <w:t>P</w:t>
      </w:r>
      <w:r w:rsidRPr="00F52E50">
        <w:rPr>
          <w:sz w:val="20"/>
          <w:szCs w:val="20"/>
        </w:rPr>
        <w:t>roject</w:t>
      </w:r>
      <w:r w:rsidR="00D31D92">
        <w:rPr>
          <w:sz w:val="20"/>
          <w:szCs w:val="20"/>
        </w:rPr>
        <w:t>.</w:t>
      </w:r>
    </w:p>
    <w:p w14:paraId="1CA60691" w14:textId="7DFA801F" w:rsidR="00D31D92" w:rsidRDefault="00D31D92" w:rsidP="00FF18B7">
      <w:pPr>
        <w:jc w:val="both"/>
      </w:pPr>
      <w:r w:rsidRPr="00D31D92">
        <w:t xml:space="preserve">The </w:t>
      </w:r>
      <w:r>
        <w:t xml:space="preserve">large discrepancies between the targets for fuel savings and GHG emissions reductions set in the </w:t>
      </w:r>
      <w:proofErr w:type="spellStart"/>
      <w:r>
        <w:t>ProDoc</w:t>
      </w:r>
      <w:proofErr w:type="spellEnd"/>
      <w:r>
        <w:t>, and the actual results achieved by the project elicit two questions:</w:t>
      </w:r>
    </w:p>
    <w:p w14:paraId="79E00264" w14:textId="03630C56" w:rsidR="00D31D92" w:rsidRDefault="00D31D92" w:rsidP="001F0D97">
      <w:pPr>
        <w:pStyle w:val="ListParagraph"/>
        <w:numPr>
          <w:ilvl w:val="0"/>
          <w:numId w:val="56"/>
        </w:numPr>
        <w:jc w:val="both"/>
      </w:pPr>
      <w:r>
        <w:t>Were the targets in the ProDoc too ambitious? and/or,</w:t>
      </w:r>
    </w:p>
    <w:p w14:paraId="44756BE7" w14:textId="0E121B5A" w:rsidR="00D31D92" w:rsidRDefault="00D31D92" w:rsidP="001F0D97">
      <w:pPr>
        <w:pStyle w:val="ListParagraph"/>
        <w:numPr>
          <w:ilvl w:val="0"/>
          <w:numId w:val="56"/>
        </w:numPr>
        <w:jc w:val="both"/>
      </w:pPr>
      <w:r>
        <w:t>Were the demonstration projects not properly selected?</w:t>
      </w:r>
    </w:p>
    <w:p w14:paraId="39E0E859" w14:textId="77777777" w:rsidR="00D31D92" w:rsidRDefault="00D31D92" w:rsidP="00FF18B7">
      <w:pPr>
        <w:jc w:val="both"/>
      </w:pPr>
      <w:r>
        <w:t>Based on the evidence, the answer to both questions is most probably yes: targets were too ambitious and the scope of the demonstration projects too small to meet the proposed targets. In light of these facts, the next questions to be asked are:</w:t>
      </w:r>
    </w:p>
    <w:p w14:paraId="55333FEB" w14:textId="2851DE9B" w:rsidR="00D772B9" w:rsidRDefault="00D31D92" w:rsidP="001F0D97">
      <w:pPr>
        <w:pStyle w:val="ListParagraph"/>
        <w:numPr>
          <w:ilvl w:val="0"/>
          <w:numId w:val="57"/>
        </w:numPr>
        <w:jc w:val="both"/>
      </w:pPr>
      <w:r>
        <w:t xml:space="preserve">Did the </w:t>
      </w:r>
      <w:r w:rsidR="00D772B9">
        <w:t>project’s M&amp;E framework correctly identify the issue on a timely manner?</w:t>
      </w:r>
      <w:r w:rsidR="00FF18B7">
        <w:t xml:space="preserve"> and/or,</w:t>
      </w:r>
    </w:p>
    <w:p w14:paraId="42390B97" w14:textId="77777777" w:rsidR="00D772B9" w:rsidRDefault="00D772B9" w:rsidP="001F0D97">
      <w:pPr>
        <w:pStyle w:val="ListParagraph"/>
        <w:numPr>
          <w:ilvl w:val="0"/>
          <w:numId w:val="57"/>
        </w:numPr>
        <w:jc w:val="both"/>
      </w:pPr>
      <w:r>
        <w:t>Were changes to the project proposed and formally approved?</w:t>
      </w:r>
    </w:p>
    <w:p w14:paraId="171FEA70" w14:textId="399EBA4E" w:rsidR="00B837D8" w:rsidRDefault="00E47B0F" w:rsidP="00B837D8">
      <w:pPr>
        <w:jc w:val="both"/>
      </w:pPr>
      <w:r>
        <w:t>B</w:t>
      </w:r>
      <w:r w:rsidR="00FF18B7">
        <w:t>ased on the available evidence, the answer to both questions is no: neither PIRs, nor the MTR identified the issue and alerted project stakeholders on time. Also, no changes to the targets or activities were proposed and formally adopted to address the issue.</w:t>
      </w:r>
    </w:p>
    <w:p w14:paraId="4640B1E3" w14:textId="59EDE967" w:rsidR="00623F7E" w:rsidRPr="001C00DB" w:rsidRDefault="00886CDA" w:rsidP="00B837D8">
      <w:pPr>
        <w:jc w:val="both"/>
        <w:rPr>
          <w:i/>
          <w:iCs/>
        </w:rPr>
      </w:pPr>
      <w:r w:rsidRPr="001C00DB">
        <w:rPr>
          <w:i/>
          <w:iCs/>
        </w:rPr>
        <w:t>O</w:t>
      </w:r>
      <w:r w:rsidR="0058596A" w:rsidRPr="001C00DB">
        <w:rPr>
          <w:i/>
          <w:iCs/>
        </w:rPr>
        <w:t>utput 2.1. Completed designs of energy efficient materials management demonstrations focusing on using energy efficient materials management systems in packaging, warehousing, cold storage, etc., in the logistics industry in Zhejiang Province</w:t>
      </w:r>
    </w:p>
    <w:p w14:paraId="642A40AF" w14:textId="535EF6AC" w:rsidR="00EB6CAD" w:rsidRDefault="004D6BC9" w:rsidP="00966E52">
      <w:pPr>
        <w:jc w:val="both"/>
      </w:pPr>
      <w:r>
        <w:t xml:space="preserve">The pilot project on energy efficient materials management was implemented by </w:t>
      </w:r>
      <w:r w:rsidRPr="004D6BC9">
        <w:t>Zhejiang Fuyang Port International Logistics Co., Ltd.</w:t>
      </w:r>
      <w:r>
        <w:t xml:space="preserve"> in a wine warehouse.</w:t>
      </w:r>
      <w:r>
        <w:rPr>
          <w:rStyle w:val="FootnoteReference"/>
        </w:rPr>
        <w:footnoteReference w:id="52"/>
      </w:r>
      <w:r>
        <w:t xml:space="preserve"> </w:t>
      </w:r>
      <w:r w:rsidRPr="002C41CF">
        <w:t xml:space="preserve">The </w:t>
      </w:r>
      <w:r w:rsidR="002C41CF">
        <w:t xml:space="preserve">project contributed experts </w:t>
      </w:r>
      <w:r w:rsidR="00966E52">
        <w:t>who</w:t>
      </w:r>
      <w:r w:rsidR="002C41CF">
        <w:t xml:space="preserve"> provided input</w:t>
      </w:r>
      <w:r w:rsidR="00966E52">
        <w:t>s</w:t>
      </w:r>
      <w:r w:rsidR="002C41CF">
        <w:t xml:space="preserve"> </w:t>
      </w:r>
      <w:r w:rsidR="00966E52">
        <w:lastRenderedPageBreak/>
        <w:t>on energy efficiency aspects to the design of the warehouse.</w:t>
      </w:r>
      <w:r w:rsidR="00966E52">
        <w:rPr>
          <w:rStyle w:val="FootnoteReference"/>
        </w:rPr>
        <w:footnoteReference w:id="53"/>
      </w:r>
      <w:r w:rsidR="00966E52">
        <w:t xml:space="preserve"> </w:t>
      </w:r>
      <w:r>
        <w:t xml:space="preserve"> </w:t>
      </w:r>
      <w:r w:rsidR="007F5CA6" w:rsidRPr="007F5CA6">
        <w:t xml:space="preserve">The </w:t>
      </w:r>
      <w:r w:rsidR="007F5CA6">
        <w:t xml:space="preserve">pilot project incorporated energy and water saving technologies for the building envelope, HVAC </w:t>
      </w:r>
      <w:r w:rsidR="007F5CA6" w:rsidRPr="007F5CA6">
        <w:t xml:space="preserve">system, </w:t>
      </w:r>
      <w:r w:rsidR="007F5CA6">
        <w:t xml:space="preserve">automatic lighting, temperature and humidity controls. </w:t>
      </w:r>
      <w:r w:rsidR="007F5CA6" w:rsidRPr="007F5CA6">
        <w:t xml:space="preserve">rainwater </w:t>
      </w:r>
      <w:r w:rsidR="007F5CA6">
        <w:t>collection and</w:t>
      </w:r>
      <w:r w:rsidR="007F5CA6" w:rsidRPr="007F5CA6">
        <w:t xml:space="preserve"> automatic solar irrigation system</w:t>
      </w:r>
      <w:r w:rsidR="007F5CA6">
        <w:t>s</w:t>
      </w:r>
      <w:r w:rsidR="007F5CA6" w:rsidRPr="007F5CA6">
        <w:t>,</w:t>
      </w:r>
      <w:r w:rsidR="007F5CA6">
        <w:t xml:space="preserve"> among others</w:t>
      </w:r>
      <w:r w:rsidR="007F5CA6" w:rsidRPr="007F5CA6">
        <w:t>.</w:t>
      </w:r>
      <w:r w:rsidR="0015626B">
        <w:t xml:space="preserve"> </w:t>
      </w:r>
    </w:p>
    <w:p w14:paraId="6630C2CB" w14:textId="74914E3B" w:rsidR="0058596A" w:rsidRPr="001C00DB" w:rsidRDefault="0058596A" w:rsidP="001C00DB">
      <w:pPr>
        <w:jc w:val="both"/>
        <w:rPr>
          <w:i/>
          <w:iCs/>
        </w:rPr>
      </w:pPr>
      <w:r w:rsidRPr="001C00DB">
        <w:rPr>
          <w:i/>
          <w:iCs/>
        </w:rPr>
        <w:t>Output 2.2. Completed designs of energy efficient physical distribution demonstrations focusing on integrated multi-modal transport systems and reduction of empty load rates in the freight transport operations of the logistics in Zhejiang Province</w:t>
      </w:r>
    </w:p>
    <w:p w14:paraId="7B66DABE" w14:textId="420FD58C" w:rsidR="00A649A6" w:rsidRDefault="003021D8" w:rsidP="008B68AF">
      <w:pPr>
        <w:jc w:val="both"/>
      </w:pPr>
      <w:r>
        <w:t xml:space="preserve">The project contributed to the feasibility studies </w:t>
      </w:r>
      <w:r w:rsidR="00A649A6">
        <w:t xml:space="preserve">and implementation plans </w:t>
      </w:r>
      <w:r>
        <w:t xml:space="preserve">of the pilots on physical distribution </w:t>
      </w:r>
      <w:r w:rsidR="00A649A6">
        <w:t xml:space="preserve">at </w:t>
      </w:r>
      <w:r w:rsidR="00A649A6" w:rsidRPr="00A649A6">
        <w:t>Zhejiang Fuyang Port International Logistics Co., Ltd.</w:t>
      </w:r>
      <w:r w:rsidR="00A649A6">
        <w:t xml:space="preserve"> and </w:t>
      </w:r>
      <w:r w:rsidR="00A649A6" w:rsidRPr="00A649A6">
        <w:t xml:space="preserve">Hangzhou Fuyang </w:t>
      </w:r>
      <w:r w:rsidR="009442F5">
        <w:t>Transf</w:t>
      </w:r>
      <w:r w:rsidR="003B328E">
        <w:t>a</w:t>
      </w:r>
      <w:r w:rsidR="009442F5">
        <w:t>r</w:t>
      </w:r>
      <w:r w:rsidR="007B3850">
        <w:t xml:space="preserve"> </w:t>
      </w:r>
      <w:r w:rsidR="00A649A6" w:rsidRPr="00A649A6">
        <w:t>Logistics Base Co., Ltd.</w:t>
      </w:r>
      <w:r w:rsidR="00A649A6">
        <w:t xml:space="preserve"> The former implemented actions for the distribution of merchandises along waterways, the later invested in road-based distribution </w:t>
      </w:r>
      <w:r w:rsidR="00CC73D3">
        <w:t>assets</w:t>
      </w:r>
      <w:r w:rsidR="00A649A6">
        <w:t>.</w:t>
      </w:r>
      <w:r w:rsidR="00CC73D3">
        <w:rPr>
          <w:rStyle w:val="FootnoteReference"/>
        </w:rPr>
        <w:footnoteReference w:id="54"/>
      </w:r>
      <w:r w:rsidR="00A649A6">
        <w:t xml:space="preserve"> </w:t>
      </w:r>
    </w:p>
    <w:p w14:paraId="4035A943" w14:textId="67172D2E" w:rsidR="009442F5" w:rsidRDefault="007F5CA6" w:rsidP="008B68AF">
      <w:pPr>
        <w:jc w:val="both"/>
      </w:pPr>
      <w:r>
        <w:t xml:space="preserve">The technologies installed by </w:t>
      </w:r>
      <w:r w:rsidRPr="00A649A6">
        <w:t>Zhejiang Fuyang Port International Logistics Co., Ltd.</w:t>
      </w:r>
      <w:r>
        <w:t xml:space="preserve"> allow for the integration of different modes of transportation over sea, river, rail</w:t>
      </w:r>
      <w:r w:rsidR="001C00DB">
        <w:t>,</w:t>
      </w:r>
      <w:r>
        <w:t xml:space="preserve"> and road, combined with information technologies to track cargo and optimize delivery</w:t>
      </w:r>
      <w:r w:rsidR="004F6A58">
        <w:t xml:space="preserve"> taking into consideration parameters on energy consumption and GHG emissions.</w:t>
      </w:r>
      <w:r w:rsidR="00557694">
        <w:t xml:space="preserve"> T</w:t>
      </w:r>
      <w:r w:rsidR="007B3850">
        <w:t xml:space="preserve">he pilot </w:t>
      </w:r>
      <w:r w:rsidR="00557694">
        <w:t xml:space="preserve">project </w:t>
      </w:r>
      <w:r w:rsidR="007B3850">
        <w:t xml:space="preserve">implemented by </w:t>
      </w:r>
      <w:r w:rsidR="007B3850" w:rsidRPr="00A649A6">
        <w:t xml:space="preserve">Hangzhou Fuyang </w:t>
      </w:r>
      <w:r w:rsidR="007B3850">
        <w:t>Transf</w:t>
      </w:r>
      <w:r w:rsidR="003B328E">
        <w:t>a</w:t>
      </w:r>
      <w:r w:rsidR="007B3850">
        <w:t xml:space="preserve">r </w:t>
      </w:r>
      <w:r w:rsidR="007B3850" w:rsidRPr="00A649A6">
        <w:t>Logistics Base Co., Ltd.</w:t>
      </w:r>
      <w:r w:rsidR="007B3850">
        <w:t xml:space="preserve"> introduced a logistics information management system that optimizes train scheduling and tracking, reducing idling time and fuel consumption.</w:t>
      </w:r>
    </w:p>
    <w:p w14:paraId="5F9ACB59" w14:textId="72E6FDEA" w:rsidR="0058596A" w:rsidRPr="00434D44" w:rsidRDefault="003021D8" w:rsidP="007E2573">
      <w:pPr>
        <w:rPr>
          <w:i/>
          <w:iCs/>
        </w:rPr>
      </w:pPr>
      <w:r w:rsidRPr="00434D44">
        <w:rPr>
          <w:i/>
          <w:iCs/>
        </w:rPr>
        <w:t>O</w:t>
      </w:r>
      <w:r w:rsidR="0058596A" w:rsidRPr="00434D44">
        <w:rPr>
          <w:i/>
          <w:iCs/>
        </w:rPr>
        <w:t>utput 2.3. Installed and fully operational green logistics-based centralized logistic platform in Fuyang City, Zhejiang Province</w:t>
      </w:r>
    </w:p>
    <w:p w14:paraId="22A7F7E4" w14:textId="2A44AB70" w:rsidR="00434D44" w:rsidRDefault="00434D44" w:rsidP="00434D44">
      <w:pPr>
        <w:jc w:val="both"/>
      </w:pPr>
      <w:r>
        <w:t xml:space="preserve">According to clarifications provided by project stakeholders, the proposed </w:t>
      </w:r>
      <w:r w:rsidRPr="00206B68">
        <w:t>logistic platform</w:t>
      </w:r>
      <w:r>
        <w:t xml:space="preserve"> was implemented as part of the demonstration projects on physical distribution systems by </w:t>
      </w:r>
      <w:r w:rsidRPr="00A649A6">
        <w:t>Zhejiang Fuyang Port International Logistics Co., Ltd.</w:t>
      </w:r>
      <w:r>
        <w:t xml:space="preserve"> and </w:t>
      </w:r>
      <w:r w:rsidRPr="00A649A6">
        <w:t xml:space="preserve">Hangzhou Fuyang </w:t>
      </w:r>
      <w:r>
        <w:t xml:space="preserve">Transfar </w:t>
      </w:r>
      <w:r w:rsidRPr="00A649A6">
        <w:t>Logistics Base Co., Ltd.</w:t>
      </w:r>
      <w:r>
        <w:t xml:space="preserve"> (see output 1.4).</w:t>
      </w:r>
    </w:p>
    <w:p w14:paraId="719C83F4" w14:textId="0F064741" w:rsidR="0058596A" w:rsidRPr="00434D44" w:rsidRDefault="0058596A" w:rsidP="007E2573">
      <w:pPr>
        <w:rPr>
          <w:i/>
          <w:iCs/>
        </w:rPr>
      </w:pPr>
      <w:r w:rsidRPr="00434D44">
        <w:rPr>
          <w:i/>
          <w:iCs/>
        </w:rPr>
        <w:t>Output 2.4. Operational green logistics-based physical distribution system demonstration project in Zhejiang Province</w:t>
      </w:r>
    </w:p>
    <w:p w14:paraId="7EE8472D" w14:textId="173F441B" w:rsidR="007A3772" w:rsidRPr="00206B68" w:rsidRDefault="007A3772" w:rsidP="00831603">
      <w:pPr>
        <w:jc w:val="both"/>
      </w:pPr>
      <w:r>
        <w:t xml:space="preserve">The pilot projects on physical distribution systems at </w:t>
      </w:r>
      <w:r w:rsidRPr="00A649A6">
        <w:t>Zhejiang Fuyang Port International Logistics Co., Ltd.</w:t>
      </w:r>
      <w:r>
        <w:t xml:space="preserve"> and </w:t>
      </w:r>
      <w:r w:rsidRPr="00A649A6">
        <w:t xml:space="preserve">Hangzhou Fuyang </w:t>
      </w:r>
      <w:r w:rsidR="009442F5">
        <w:t>Transf</w:t>
      </w:r>
      <w:r w:rsidR="003B328E">
        <w:t>a</w:t>
      </w:r>
      <w:r w:rsidR="009442F5">
        <w:t>r</w:t>
      </w:r>
      <w:r w:rsidR="007B3850">
        <w:t xml:space="preserve"> </w:t>
      </w:r>
      <w:r w:rsidRPr="00A649A6">
        <w:t>Logistics Base Co., Ltd.</w:t>
      </w:r>
      <w:r>
        <w:t xml:space="preserve"> were completed and commissioned in 2018.</w:t>
      </w:r>
      <w:r>
        <w:rPr>
          <w:rStyle w:val="FootnoteReference"/>
        </w:rPr>
        <w:footnoteReference w:id="55"/>
      </w:r>
      <w:r w:rsidR="0015626B">
        <w:t xml:space="preserve"> Interviews with project stakeholders highlighted the innovative nature of the measures adopted by the demonstration projects.</w:t>
      </w:r>
    </w:p>
    <w:p w14:paraId="3E15CDEF" w14:textId="77777777" w:rsidR="00976E95" w:rsidRPr="00434D44" w:rsidRDefault="0058596A" w:rsidP="00976E95">
      <w:pPr>
        <w:jc w:val="both"/>
        <w:rPr>
          <w:i/>
          <w:iCs/>
        </w:rPr>
      </w:pPr>
      <w:r w:rsidRPr="00434D44">
        <w:rPr>
          <w:i/>
          <w:iCs/>
        </w:rPr>
        <w:t>Output 2.5.  Documented annual evaluation reports on the energy performance and environmental impacts of each demo project in materials management and physical distribution, and documented and disseminated demo project results</w:t>
      </w:r>
      <w:r w:rsidR="00976E95" w:rsidRPr="00434D44">
        <w:rPr>
          <w:i/>
          <w:iCs/>
        </w:rPr>
        <w:t xml:space="preserve"> </w:t>
      </w:r>
    </w:p>
    <w:p w14:paraId="6FE26569" w14:textId="24DA3FB6" w:rsidR="00976E95" w:rsidRDefault="00976E95" w:rsidP="008C7AF9">
      <w:pPr>
        <w:jc w:val="both"/>
      </w:pPr>
      <w:r>
        <w:t xml:space="preserve">In 2019, </w:t>
      </w:r>
      <w:r w:rsidRPr="00A649A6">
        <w:t xml:space="preserve">Hangzhou Fuyang </w:t>
      </w:r>
      <w:r w:rsidR="009442F5">
        <w:t>Transf</w:t>
      </w:r>
      <w:r w:rsidR="003B328E">
        <w:t>a</w:t>
      </w:r>
      <w:r w:rsidR="009442F5">
        <w:t>r</w:t>
      </w:r>
      <w:r w:rsidR="003B328E">
        <w:t xml:space="preserve"> </w:t>
      </w:r>
      <w:r w:rsidRPr="00A649A6">
        <w:t>Logistics Base Co., Ltd.</w:t>
      </w:r>
      <w:r>
        <w:t xml:space="preserve"> and </w:t>
      </w:r>
      <w:r w:rsidRPr="00A649A6">
        <w:t>Zhejiang Fuyang Port International Logistics Co., Ltd.</w:t>
      </w:r>
      <w:r>
        <w:t xml:space="preserve"> started estimating GHG emissions reductions from the </w:t>
      </w:r>
      <w:r w:rsidR="00831603">
        <w:t>demonstration</w:t>
      </w:r>
      <w:r>
        <w:t xml:space="preserve"> projects.</w:t>
      </w:r>
      <w:r>
        <w:rPr>
          <w:rStyle w:val="FootnoteReference"/>
        </w:rPr>
        <w:footnoteReference w:id="56"/>
      </w:r>
      <w:r w:rsidR="00D470D1">
        <w:t xml:space="preserve"> </w:t>
      </w:r>
      <w:r w:rsidR="00F84631">
        <w:t>A report on the environmental performance of the pilot project was completed later that year.</w:t>
      </w:r>
      <w:r w:rsidR="00F84631">
        <w:rPr>
          <w:rStyle w:val="FootnoteReference"/>
        </w:rPr>
        <w:footnoteReference w:id="57"/>
      </w:r>
    </w:p>
    <w:p w14:paraId="2D6D12E5" w14:textId="7DACA12A" w:rsidR="007A46D5" w:rsidRPr="00206B68" w:rsidRDefault="00E01822" w:rsidP="008C7AF9">
      <w:pPr>
        <w:jc w:val="both"/>
        <w:rPr>
          <w:b/>
          <w:bCs/>
        </w:rPr>
      </w:pPr>
      <w:r>
        <w:lastRenderedPageBreak/>
        <w:t xml:space="preserve">In 2020, the project completed energy and environmental performance reports for the demonstration projects in </w:t>
      </w:r>
      <w:r w:rsidRPr="00E01822">
        <w:t xml:space="preserve">Zhejiang Fuyang Port International Logistics Co., </w:t>
      </w:r>
      <w:r>
        <w:t xml:space="preserve">and </w:t>
      </w:r>
      <w:r w:rsidRPr="00E01822">
        <w:t>Fuyang Hangzhou Transf</w:t>
      </w:r>
      <w:r w:rsidR="003B328E">
        <w:t>a</w:t>
      </w:r>
      <w:r w:rsidRPr="00E01822">
        <w:t>r Logistics Base Co., Ltd.</w:t>
      </w:r>
      <w:r w:rsidR="007A46D5">
        <w:t xml:space="preserve"> Results were compiled in a report on “</w:t>
      </w:r>
      <w:r w:rsidR="007A46D5" w:rsidRPr="007A46D5">
        <w:t>Energy Consumption and Carbon Emission Report for the Green Logistics Demonstration Project 2019</w:t>
      </w:r>
      <w:r w:rsidR="007A46D5">
        <w:t>”.</w:t>
      </w:r>
      <w:r w:rsidR="007A46D5">
        <w:rPr>
          <w:rStyle w:val="FootnoteReference"/>
        </w:rPr>
        <w:footnoteReference w:id="58"/>
      </w:r>
    </w:p>
    <w:p w14:paraId="5AFC2F55" w14:textId="7ADF7647" w:rsidR="0058596A" w:rsidRPr="00831603" w:rsidRDefault="0058596A" w:rsidP="007E2573">
      <w:pPr>
        <w:rPr>
          <w:i/>
          <w:iCs/>
        </w:rPr>
      </w:pPr>
      <w:bookmarkStart w:id="58" w:name="_Hlk62033660"/>
      <w:r w:rsidRPr="00831603">
        <w:rPr>
          <w:i/>
          <w:iCs/>
        </w:rPr>
        <w:t>Output 2.6. Developed action plan for sustainability of the green logistics system demonstration program</w:t>
      </w:r>
    </w:p>
    <w:bookmarkEnd w:id="58"/>
    <w:p w14:paraId="69C98C68" w14:textId="5362D925" w:rsidR="0038388F" w:rsidRDefault="005F0A63" w:rsidP="00E87478">
      <w:pPr>
        <w:jc w:val="both"/>
      </w:pPr>
      <w:r>
        <w:t xml:space="preserve">A green logistics promotion plan was completed and in under implementation by the </w:t>
      </w:r>
      <w:r w:rsidRPr="005F0A63">
        <w:t>Shanghai Economic Information Center</w:t>
      </w:r>
      <w:r>
        <w:t>. The purpose of the plan is to promote green logistics technologies and practices in Shanghai Province.</w:t>
      </w:r>
      <w:r>
        <w:rPr>
          <w:rStyle w:val="FootnoteReference"/>
        </w:rPr>
        <w:footnoteReference w:id="59"/>
      </w:r>
      <w:r>
        <w:t xml:space="preserve"> </w:t>
      </w:r>
    </w:p>
    <w:p w14:paraId="6A3D847F" w14:textId="189873A7" w:rsidR="00623F7E" w:rsidRDefault="00623F7E" w:rsidP="007E2573">
      <w:pPr>
        <w:rPr>
          <w:b/>
          <w:bCs/>
        </w:rPr>
      </w:pPr>
      <w:r w:rsidRPr="00206B68">
        <w:rPr>
          <w:b/>
          <w:bCs/>
        </w:rPr>
        <w:t>Outcome 3. Improved capacities and access to information on green logistics systems among authorities and LSPs in Zhejiang Province</w:t>
      </w:r>
    </w:p>
    <w:p w14:paraId="0C4FE189" w14:textId="435423EB" w:rsidR="000E41BF" w:rsidRDefault="000E41BF" w:rsidP="000E41BF">
      <w:pPr>
        <w:pStyle w:val="Caption"/>
      </w:pPr>
      <w:r>
        <w:t xml:space="preserve">Table </w:t>
      </w:r>
      <w:r>
        <w:fldChar w:fldCharType="begin"/>
      </w:r>
      <w:r>
        <w:instrText xml:space="preserve"> SEQ Table \* ARABIC </w:instrText>
      </w:r>
      <w:r>
        <w:fldChar w:fldCharType="separate"/>
      </w:r>
      <w:r w:rsidR="004718D8">
        <w:rPr>
          <w:noProof/>
        </w:rPr>
        <w:t>18</w:t>
      </w:r>
      <w:r>
        <w:fldChar w:fldCharType="end"/>
      </w:r>
      <w:r>
        <w:t>. Outcome 3 targets and indicators at end of project</w:t>
      </w:r>
    </w:p>
    <w:tbl>
      <w:tblPr>
        <w:tblStyle w:val="TableGrid"/>
        <w:tblW w:w="9351" w:type="dxa"/>
        <w:tblLook w:val="04A0" w:firstRow="1" w:lastRow="0" w:firstColumn="1" w:lastColumn="0" w:noHBand="0" w:noVBand="1"/>
      </w:tblPr>
      <w:tblGrid>
        <w:gridCol w:w="6941"/>
        <w:gridCol w:w="2410"/>
      </w:tblGrid>
      <w:tr w:rsidR="000E41BF" w14:paraId="277983ED" w14:textId="77777777" w:rsidTr="00511249">
        <w:tc>
          <w:tcPr>
            <w:tcW w:w="6941" w:type="dxa"/>
            <w:shd w:val="clear" w:color="auto" w:fill="77ACDC" w:themeFill="accent5" w:themeFillTint="99"/>
          </w:tcPr>
          <w:p w14:paraId="6F8BECEE" w14:textId="77777777" w:rsidR="000E41BF" w:rsidRDefault="000E41BF" w:rsidP="004F6A58">
            <w:pPr>
              <w:rPr>
                <w:b/>
                <w:bCs/>
              </w:rPr>
            </w:pPr>
            <w:r>
              <w:rPr>
                <w:b/>
                <w:bCs/>
              </w:rPr>
              <w:t>Outcome indicator and target by end of project</w:t>
            </w:r>
          </w:p>
        </w:tc>
        <w:tc>
          <w:tcPr>
            <w:tcW w:w="2410" w:type="dxa"/>
            <w:shd w:val="clear" w:color="auto" w:fill="77ACDC" w:themeFill="accent5" w:themeFillTint="99"/>
          </w:tcPr>
          <w:p w14:paraId="660D4E16" w14:textId="1E7ABB2A" w:rsidR="000E41BF" w:rsidRDefault="000E41BF" w:rsidP="004F6A58">
            <w:pPr>
              <w:rPr>
                <w:b/>
                <w:bCs/>
              </w:rPr>
            </w:pPr>
            <w:r>
              <w:rPr>
                <w:b/>
                <w:bCs/>
              </w:rPr>
              <w:t>Reported outcome indicators at end of project</w:t>
            </w:r>
            <w:r w:rsidR="005E6633">
              <w:rPr>
                <w:rStyle w:val="FootnoteReference"/>
                <w:b/>
                <w:bCs/>
              </w:rPr>
              <w:footnoteReference w:id="60"/>
            </w:r>
          </w:p>
        </w:tc>
      </w:tr>
      <w:tr w:rsidR="000E41BF" w14:paraId="750BE4BB" w14:textId="77777777" w:rsidTr="00511249">
        <w:tc>
          <w:tcPr>
            <w:tcW w:w="6941" w:type="dxa"/>
          </w:tcPr>
          <w:p w14:paraId="31D5AF18" w14:textId="6DAB0063" w:rsidR="009610F5" w:rsidRDefault="009610F5" w:rsidP="009610F5">
            <w:r w:rsidRPr="009610F5">
              <w:t xml:space="preserve">No. of logistics companies actively employing green logistics technologies and techniques in their materials management operations by EOP </w:t>
            </w:r>
          </w:p>
          <w:p w14:paraId="506432E5" w14:textId="77777777" w:rsidR="00222B6A" w:rsidRDefault="00222B6A" w:rsidP="009610F5"/>
          <w:p w14:paraId="0C3C6B15" w14:textId="6369AB95" w:rsidR="00222B6A" w:rsidRDefault="00222B6A" w:rsidP="009610F5">
            <w:r>
              <w:t>Baseline: 0</w:t>
            </w:r>
          </w:p>
          <w:p w14:paraId="7BC6DE15" w14:textId="08B6A697" w:rsidR="000E41BF" w:rsidRDefault="009610F5" w:rsidP="00C14938">
            <w:pPr>
              <w:rPr>
                <w:b/>
                <w:bCs/>
              </w:rPr>
            </w:pPr>
            <w:r>
              <w:t xml:space="preserve">Target: </w:t>
            </w:r>
            <w:r w:rsidR="00A9177A">
              <w:t>100</w:t>
            </w:r>
          </w:p>
        </w:tc>
        <w:tc>
          <w:tcPr>
            <w:tcW w:w="2410" w:type="dxa"/>
            <w:vAlign w:val="center"/>
          </w:tcPr>
          <w:p w14:paraId="1742B44E" w14:textId="0D6E7E7B" w:rsidR="000E41BF" w:rsidRPr="000E41BF" w:rsidRDefault="00511249" w:rsidP="00511249">
            <w:pPr>
              <w:jc w:val="center"/>
            </w:pPr>
            <w:r>
              <w:t>105</w:t>
            </w:r>
          </w:p>
        </w:tc>
      </w:tr>
      <w:tr w:rsidR="009610F5" w14:paraId="570AD9BF" w14:textId="77777777" w:rsidTr="00511249">
        <w:tc>
          <w:tcPr>
            <w:tcW w:w="6941" w:type="dxa"/>
          </w:tcPr>
          <w:p w14:paraId="716ECC12" w14:textId="77777777" w:rsidR="00A9177A" w:rsidRDefault="00A9177A" w:rsidP="00A9177A">
            <w:r w:rsidRPr="00A9177A">
              <w:t xml:space="preserve">No. of logistics companies actively employing green logistic technologies and techniques in their physical distribution operations by EOP </w:t>
            </w:r>
          </w:p>
          <w:p w14:paraId="67940F83" w14:textId="77777777" w:rsidR="00222B6A" w:rsidRDefault="00222B6A" w:rsidP="00222B6A"/>
          <w:p w14:paraId="17A06D9D" w14:textId="77777777" w:rsidR="00194940" w:rsidRDefault="00194940" w:rsidP="00194940">
            <w:r>
              <w:t>Baseline: 0</w:t>
            </w:r>
          </w:p>
          <w:p w14:paraId="1FC9E0C3" w14:textId="549B68AA" w:rsidR="009610F5" w:rsidRPr="009610F5" w:rsidRDefault="00A9177A" w:rsidP="001D7928">
            <w:r>
              <w:t>Target: at least 50</w:t>
            </w:r>
          </w:p>
        </w:tc>
        <w:tc>
          <w:tcPr>
            <w:tcW w:w="2410" w:type="dxa"/>
            <w:vAlign w:val="center"/>
          </w:tcPr>
          <w:p w14:paraId="1EC06C63" w14:textId="3343F4F1" w:rsidR="009610F5" w:rsidRPr="000E41BF" w:rsidRDefault="00511249" w:rsidP="00511249">
            <w:pPr>
              <w:jc w:val="center"/>
            </w:pPr>
            <w:r>
              <w:t>99</w:t>
            </w:r>
          </w:p>
        </w:tc>
      </w:tr>
    </w:tbl>
    <w:p w14:paraId="23DA4C3C" w14:textId="77777777" w:rsidR="007B6387" w:rsidRDefault="007B6387" w:rsidP="00A14A19">
      <w:pPr>
        <w:jc w:val="both"/>
      </w:pPr>
    </w:p>
    <w:p w14:paraId="1FC07691" w14:textId="52C67DF0" w:rsidR="00222B6A" w:rsidRDefault="00FF040E" w:rsidP="00A14A19">
      <w:pPr>
        <w:jc w:val="both"/>
      </w:pPr>
      <w:r w:rsidRPr="00FF040E">
        <w:t>As</w:t>
      </w:r>
      <w:r>
        <w:t xml:space="preserve"> recorded in the ProDoc, the baseline value for the indicators on the number of LSPs employing green logistics practices and technologies was zero. However, a survey implemented by the project during the first quarter of 2018, showed that the level</w:t>
      </w:r>
      <w:r w:rsidR="00C21B0C">
        <w:t>s of adoption of green logistics practices and technologies was higher than zero.</w:t>
      </w:r>
      <w:r w:rsidR="00C21B0C">
        <w:rPr>
          <w:rStyle w:val="FootnoteReference"/>
        </w:rPr>
        <w:footnoteReference w:id="61"/>
      </w:r>
      <w:r w:rsidR="00C21B0C">
        <w:t xml:space="preserve"> </w:t>
      </w:r>
      <w:r>
        <w:t xml:space="preserve"> </w:t>
      </w:r>
      <w:r w:rsidR="008E65D4">
        <w:t>Th</w:t>
      </w:r>
      <w:r w:rsidR="00005535">
        <w:t>ese</w:t>
      </w:r>
      <w:r w:rsidR="008E65D4">
        <w:t xml:space="preserve"> finding</w:t>
      </w:r>
      <w:r w:rsidR="00005535">
        <w:t xml:space="preserve">s brought to light a causal attribution problem of the project design in the sense that, without clear criteria </w:t>
      </w:r>
      <w:r w:rsidR="00051623">
        <w:t>to count individual</w:t>
      </w:r>
      <w:r w:rsidR="00005535">
        <w:t xml:space="preserve"> enterprise</w:t>
      </w:r>
      <w:r w:rsidR="00051623">
        <w:t>s</w:t>
      </w:r>
      <w:r w:rsidR="00005535">
        <w:t xml:space="preserve"> towards the targets of outcome 3, the project risked reporting impacts that should not be attributed to it. In other words, the project </w:t>
      </w:r>
      <w:r w:rsidR="0036123C">
        <w:t>may</w:t>
      </w:r>
      <w:r w:rsidR="00005535">
        <w:t xml:space="preserve"> have risked counting toward</w:t>
      </w:r>
      <w:r w:rsidR="00051623">
        <w:t>s</w:t>
      </w:r>
      <w:r w:rsidR="00005535">
        <w:t xml:space="preserve"> the target of outcome 3, companies that had adopted green logistics technologies and practices without an input from the project.</w:t>
      </w:r>
      <w:r w:rsidR="00166C3E">
        <w:t xml:space="preserve"> </w:t>
      </w:r>
      <w:r w:rsidR="00BB49C8" w:rsidRPr="0036123C">
        <w:t>The issue of causal attribution is further complicated by the fact tha</w:t>
      </w:r>
      <w:r w:rsidR="0004232D">
        <w:t xml:space="preserve">t project reports describe how </w:t>
      </w:r>
      <w:r w:rsidR="00BB49C8" w:rsidRPr="0036123C">
        <w:t>LSPs were selected as pilots</w:t>
      </w:r>
      <w:r w:rsidR="0004232D">
        <w:t xml:space="preserve">, but not the type of support they received to adopt green logistics technologies and practices and therefore be counted towards the target of outcome. </w:t>
      </w:r>
      <w:r w:rsidR="00166C3E" w:rsidRPr="0036123C">
        <w:t>The methodology for this TE in</w:t>
      </w:r>
      <w:r w:rsidR="0004232D">
        <w:t>t</w:t>
      </w:r>
      <w:r w:rsidR="00166C3E" w:rsidRPr="0036123C">
        <w:t>en</w:t>
      </w:r>
      <w:r w:rsidR="0004232D">
        <w:t>d</w:t>
      </w:r>
      <w:r w:rsidR="00166C3E" w:rsidRPr="0036123C">
        <w:t xml:space="preserve">ed to address the causal attribution issue by means of a new survey of LSPs. Unfortunately, </w:t>
      </w:r>
      <w:r w:rsidR="0004232D">
        <w:t>a</w:t>
      </w:r>
      <w:r w:rsidR="00166C3E" w:rsidRPr="0036123C">
        <w:t xml:space="preserve"> </w:t>
      </w:r>
      <w:r w:rsidR="0004232D">
        <w:t>list</w:t>
      </w:r>
      <w:r w:rsidR="00252B5B" w:rsidRPr="0036123C">
        <w:t xml:space="preserve"> </w:t>
      </w:r>
      <w:r w:rsidR="0004232D">
        <w:t xml:space="preserve">of </w:t>
      </w:r>
      <w:r w:rsidR="00166C3E" w:rsidRPr="0036123C">
        <w:t>LSPs</w:t>
      </w:r>
      <w:r w:rsidR="00252B5B" w:rsidRPr="0036123C">
        <w:t xml:space="preserve"> that were counted towards the targets </w:t>
      </w:r>
      <w:r w:rsidR="0004232D">
        <w:t>could not be produced by the project team.</w:t>
      </w:r>
    </w:p>
    <w:p w14:paraId="5F986717" w14:textId="2E005687" w:rsidR="0058596A" w:rsidRPr="0004232D" w:rsidRDefault="0058596A" w:rsidP="00845B64">
      <w:pPr>
        <w:jc w:val="both"/>
        <w:rPr>
          <w:i/>
          <w:iCs/>
        </w:rPr>
      </w:pPr>
      <w:r w:rsidRPr="0004232D">
        <w:rPr>
          <w:i/>
          <w:iCs/>
        </w:rPr>
        <w:lastRenderedPageBreak/>
        <w:t>Output 3.1. Completed assessment report on capacity development needs in the area of green logistics and developed green logistics capacity building program</w:t>
      </w:r>
    </w:p>
    <w:p w14:paraId="3D47C78E" w14:textId="2D9DC839" w:rsidR="002C41CF" w:rsidRDefault="002C41CF" w:rsidP="00845B64">
      <w:pPr>
        <w:jc w:val="both"/>
      </w:pPr>
      <w:r w:rsidRPr="002C41CF">
        <w:t xml:space="preserve">The project </w:t>
      </w:r>
      <w:r>
        <w:t>completed the assessment of capacity development needs in the logistics industry as part of the survey to LSPs completed in 2018</w:t>
      </w:r>
      <w:r w:rsidR="002E699A">
        <w:t xml:space="preserve"> (see description under output 1.1.)</w:t>
      </w:r>
      <w:r>
        <w:t>. An internal report of the findings of the survey was produced</w:t>
      </w:r>
      <w:r w:rsidR="00A22B74">
        <w:t xml:space="preserve"> (</w:t>
      </w:r>
      <w:r w:rsidR="00A22B74" w:rsidRPr="00A22B74">
        <w:t>"Zhejiang Province Green Logistics Capacity Building Demand Analysis Report"</w:t>
      </w:r>
      <w:r w:rsidR="00A22B74">
        <w:t>)</w:t>
      </w:r>
      <w:r w:rsidR="00A22B74">
        <w:rPr>
          <w:rStyle w:val="FootnoteReference"/>
        </w:rPr>
        <w:footnoteReference w:id="62"/>
      </w:r>
      <w:r>
        <w:t>, but it was not disseminated.</w:t>
      </w:r>
      <w:r w:rsidR="002E699A">
        <w:t xml:space="preserve"> The report was the basis for the definition of the contents of the training program to be provide to LSPs.</w:t>
      </w:r>
    </w:p>
    <w:p w14:paraId="4A8DE1B6" w14:textId="3AB0CD27" w:rsidR="0058596A" w:rsidRPr="0004232D" w:rsidRDefault="0058596A" w:rsidP="00845B64">
      <w:pPr>
        <w:jc w:val="both"/>
        <w:rPr>
          <w:i/>
          <w:iCs/>
        </w:rPr>
      </w:pPr>
      <w:r w:rsidRPr="0004232D">
        <w:rPr>
          <w:i/>
          <w:iCs/>
        </w:rPr>
        <w:t>Output 3.2 Completed green logistics training courses for government authorities and relevant stakeholders in the logistics and manufacturing industries in Zhejiang Province (e.g., concepts, practices, methodologies)</w:t>
      </w:r>
    </w:p>
    <w:p w14:paraId="2BBB30DA" w14:textId="4AD4F8EB" w:rsidR="00A22B74" w:rsidRDefault="004718D8" w:rsidP="004718D8">
      <w:pPr>
        <w:jc w:val="both"/>
      </w:pPr>
      <w:r>
        <w:t>Initial t</w:t>
      </w:r>
      <w:r w:rsidR="00A22B74">
        <w:t>raining sessions for LSPs were completed in 2018</w:t>
      </w:r>
      <w:r w:rsidR="002E699A">
        <w:t xml:space="preserve">, </w:t>
      </w:r>
      <w:r w:rsidR="00EA2E2B">
        <w:t>in collaboration with</w:t>
      </w:r>
      <w:r>
        <w:t xml:space="preserve"> the</w:t>
      </w:r>
      <w:r w:rsidR="00EA2E2B">
        <w:t xml:space="preserve"> </w:t>
      </w:r>
      <w:r w:rsidR="00EA2E2B" w:rsidRPr="00EA2E2B">
        <w:t xml:space="preserve">Zhejiang Province Association of Logistics </w:t>
      </w:r>
      <w:r>
        <w:t>and</w:t>
      </w:r>
      <w:r w:rsidR="00EA2E2B" w:rsidRPr="00EA2E2B">
        <w:t xml:space="preserve"> Purchasing</w:t>
      </w:r>
      <w:r w:rsidR="00EA2E2B">
        <w:t xml:space="preserve">. The topics of the training included </w:t>
      </w:r>
      <w:r w:rsidR="00EA2E2B" w:rsidRPr="00EA2E2B">
        <w:t>green logistics policy, concept</w:t>
      </w:r>
      <w:r w:rsidR="00EA2E2B">
        <w:t>s</w:t>
      </w:r>
      <w:r w:rsidR="00EA2E2B" w:rsidRPr="00EA2E2B">
        <w:t>, standard</w:t>
      </w:r>
      <w:r w:rsidR="00EA2E2B">
        <w:t>s</w:t>
      </w:r>
      <w:r w:rsidR="00EA2E2B" w:rsidRPr="00EA2E2B">
        <w:t>, technolog</w:t>
      </w:r>
      <w:r w:rsidR="00EA2E2B">
        <w:t>ies and practices</w:t>
      </w:r>
      <w:r w:rsidR="00EA2E2B" w:rsidRPr="00EA2E2B">
        <w:t xml:space="preserve">. </w:t>
      </w:r>
      <w:r w:rsidR="00EA2E2B">
        <w:t>Approximately 70 LSPs participated in the training.</w:t>
      </w:r>
      <w:r w:rsidR="00EA2E2B">
        <w:rPr>
          <w:rStyle w:val="FootnoteReference"/>
        </w:rPr>
        <w:footnoteReference w:id="63"/>
      </w:r>
      <w:r w:rsidR="00EA2E2B">
        <w:t xml:space="preserve"> </w:t>
      </w:r>
    </w:p>
    <w:p w14:paraId="7AC49CF9" w14:textId="2E5BC37D" w:rsidR="00880BF3" w:rsidRDefault="004718D8" w:rsidP="00845B64">
      <w:pPr>
        <w:jc w:val="both"/>
      </w:pPr>
      <w:r>
        <w:t>Additional t</w:t>
      </w:r>
      <w:r w:rsidR="00880BF3">
        <w:t xml:space="preserve">raining sessions for manager of LSPs were completed in October 2019, at the </w:t>
      </w:r>
      <w:r w:rsidR="00880BF3" w:rsidRPr="00880BF3">
        <w:t xml:space="preserve">Zhejiang Vocational and Technical College of </w:t>
      </w:r>
      <w:r w:rsidR="00880BF3">
        <w:t>C</w:t>
      </w:r>
      <w:r w:rsidR="00880BF3" w:rsidRPr="00880BF3">
        <w:t>ommunications</w:t>
      </w:r>
      <w:r w:rsidR="00880BF3">
        <w:rPr>
          <w:rStyle w:val="FootnoteReference"/>
        </w:rPr>
        <w:footnoteReference w:id="64"/>
      </w:r>
      <w:r>
        <w:t xml:space="preserve">, and in November 2020, in collaboration with the </w:t>
      </w:r>
      <w:r w:rsidRPr="004718D8">
        <w:t xml:space="preserve">Zhejiang Economic Information Center and </w:t>
      </w:r>
      <w:r>
        <w:t xml:space="preserve">the </w:t>
      </w:r>
      <w:r w:rsidRPr="004718D8">
        <w:t>Zhejiang Logistics Association</w:t>
      </w:r>
      <w:r>
        <w:t>.</w:t>
      </w:r>
    </w:p>
    <w:p w14:paraId="6A65F44E" w14:textId="589EEE5A" w:rsidR="009310AD" w:rsidRDefault="004718D8" w:rsidP="00845B64">
      <w:pPr>
        <w:jc w:val="both"/>
      </w:pPr>
      <w:r>
        <w:t>Further t</w:t>
      </w:r>
      <w:r w:rsidR="009310AD">
        <w:t>raining sessions were impacted by the global pandemic and had to postponed/cancelled.</w:t>
      </w:r>
      <w:r w:rsidR="009310AD">
        <w:rPr>
          <w:rStyle w:val="FootnoteReference"/>
        </w:rPr>
        <w:footnoteReference w:id="65"/>
      </w:r>
    </w:p>
    <w:p w14:paraId="3FFF08B3" w14:textId="77777777" w:rsidR="00A22B74" w:rsidRPr="004718D8" w:rsidRDefault="0058596A" w:rsidP="00845B64">
      <w:pPr>
        <w:jc w:val="both"/>
        <w:rPr>
          <w:i/>
          <w:iCs/>
        </w:rPr>
      </w:pPr>
      <w:r w:rsidRPr="004718D8">
        <w:rPr>
          <w:i/>
          <w:iCs/>
        </w:rPr>
        <w:t>Output 3.3. Completed technical assistance program for assisting small-to-medium size LSPs on the application of green logistics systems</w:t>
      </w:r>
      <w:r w:rsidR="00A22B74" w:rsidRPr="004718D8">
        <w:rPr>
          <w:i/>
          <w:iCs/>
        </w:rPr>
        <w:t xml:space="preserve"> </w:t>
      </w:r>
    </w:p>
    <w:p w14:paraId="54A9AE30" w14:textId="68222DC0" w:rsidR="00A22B74" w:rsidRDefault="00A22B74" w:rsidP="00845B64">
      <w:pPr>
        <w:jc w:val="both"/>
      </w:pPr>
      <w:r>
        <w:t>As part of the training program, the project completed the following training materials:</w:t>
      </w:r>
    </w:p>
    <w:p w14:paraId="7CFA83D2" w14:textId="67BFA6EC" w:rsidR="004718D8" w:rsidRDefault="004718D8" w:rsidP="004718D8">
      <w:pPr>
        <w:pStyle w:val="ListParagraph"/>
        <w:numPr>
          <w:ilvl w:val="0"/>
          <w:numId w:val="53"/>
        </w:numPr>
        <w:jc w:val="both"/>
      </w:pPr>
      <w:r>
        <w:t xml:space="preserve">Training materials for the capacity building activities on green logistics for </w:t>
      </w:r>
      <w:r w:rsidRPr="00206B68">
        <w:t>small-</w:t>
      </w:r>
      <w:r>
        <w:t xml:space="preserve"> and </w:t>
      </w:r>
      <w:r w:rsidRPr="00206B68">
        <w:t>medium</w:t>
      </w:r>
      <w:r>
        <w:t>-</w:t>
      </w:r>
      <w:r w:rsidRPr="00206B68">
        <w:t>size</w:t>
      </w:r>
      <w:r>
        <w:t>d</w:t>
      </w:r>
      <w:r w:rsidRPr="00206B68">
        <w:t xml:space="preserve"> LSPs</w:t>
      </w:r>
      <w:r>
        <w:t xml:space="preserve"> were completed in 2019.</w:t>
      </w:r>
      <w:r>
        <w:rPr>
          <w:rStyle w:val="FootnoteReference"/>
        </w:rPr>
        <w:footnoteReference w:id="66"/>
      </w:r>
      <w:r>
        <w:t xml:space="preserve"> The delivery of these materials could have been programmed earlier in the project implementation, since training activities had already started in 2018;</w:t>
      </w:r>
    </w:p>
    <w:p w14:paraId="25AFD16A" w14:textId="5F5AE790" w:rsidR="004718D8" w:rsidRDefault="004D6ECD" w:rsidP="0049056F">
      <w:pPr>
        <w:pStyle w:val="ListParagraph"/>
        <w:numPr>
          <w:ilvl w:val="0"/>
          <w:numId w:val="53"/>
        </w:numPr>
        <w:jc w:val="both"/>
      </w:pPr>
      <w:r>
        <w:t xml:space="preserve">A technical guide on green logistics technologies and practices prepared by the </w:t>
      </w:r>
      <w:r w:rsidRPr="004D6ECD">
        <w:t>Zhejiang Economic Information Center</w:t>
      </w:r>
      <w:r>
        <w:t xml:space="preserve"> and published as “Green Technology Application and Practice Guide for Zhejiang Logistics Enterprises”, in January 2020</w:t>
      </w:r>
      <w:r w:rsidR="004718D8">
        <w:t>; and,</w:t>
      </w:r>
    </w:p>
    <w:p w14:paraId="3523A164" w14:textId="6F9E4451" w:rsidR="00A22B74" w:rsidRDefault="00EA2E2B" w:rsidP="0049056F">
      <w:pPr>
        <w:pStyle w:val="ListParagraph"/>
        <w:numPr>
          <w:ilvl w:val="0"/>
          <w:numId w:val="53"/>
        </w:numPr>
        <w:jc w:val="both"/>
      </w:pPr>
      <w:r>
        <w:t>An overview of the main concepts and status of implementation of green technologies and practices in Zhejiang Province. The overview was published under the title “</w:t>
      </w:r>
      <w:r w:rsidR="00A22B74" w:rsidRPr="00A22B74">
        <w:t>Zhejiang Modern Logistics - Green Logistics Special Issue</w:t>
      </w:r>
      <w:r>
        <w:t>”</w:t>
      </w:r>
      <w:r w:rsidR="00710B32">
        <w:t>.</w:t>
      </w:r>
      <w:r w:rsidR="00A22B74">
        <w:rPr>
          <w:rStyle w:val="FootnoteReference"/>
        </w:rPr>
        <w:footnoteReference w:id="67"/>
      </w:r>
    </w:p>
    <w:p w14:paraId="73E344DC" w14:textId="69EE0348" w:rsidR="0058596A" w:rsidRDefault="0058596A" w:rsidP="00845B64">
      <w:pPr>
        <w:jc w:val="both"/>
        <w:rPr>
          <w:i/>
          <w:iCs/>
        </w:rPr>
      </w:pPr>
      <w:r w:rsidRPr="004718D8">
        <w:rPr>
          <w:i/>
          <w:iCs/>
        </w:rPr>
        <w:t>Output 3.4. Completed promotional workshops and/or activities to enhance awareness and knowledge in green logistics systems</w:t>
      </w:r>
    </w:p>
    <w:p w14:paraId="6B00CCE7" w14:textId="407F6D04" w:rsidR="004718D8" w:rsidRPr="004718D8" w:rsidRDefault="004718D8" w:rsidP="00845B64">
      <w:pPr>
        <w:jc w:val="both"/>
      </w:pPr>
      <w:r>
        <w:t>The knowledge and communication products delivered by the project include:</w:t>
      </w:r>
    </w:p>
    <w:p w14:paraId="3331A0C6" w14:textId="5F5B7A4E" w:rsidR="006F01AC" w:rsidRDefault="006F01AC" w:rsidP="00845B64">
      <w:pPr>
        <w:pStyle w:val="ListParagraph"/>
        <w:numPr>
          <w:ilvl w:val="0"/>
          <w:numId w:val="53"/>
        </w:numPr>
        <w:jc w:val="both"/>
      </w:pPr>
      <w:r>
        <w:lastRenderedPageBreak/>
        <w:t>A video to promote green logistics: “</w:t>
      </w:r>
      <w:r w:rsidRPr="00710B32">
        <w:t>Green Logistics in Zhejiang</w:t>
      </w:r>
      <w:r>
        <w:t>”</w:t>
      </w:r>
      <w:r w:rsidR="004718D8">
        <w:t>;</w:t>
      </w:r>
      <w:r>
        <w:rPr>
          <w:rStyle w:val="FootnoteReference"/>
        </w:rPr>
        <w:footnoteReference w:id="68"/>
      </w:r>
      <w:r w:rsidR="004718D8">
        <w:t xml:space="preserve"> and,</w:t>
      </w:r>
    </w:p>
    <w:p w14:paraId="1E1C3F43" w14:textId="7037E6DD" w:rsidR="009310AD" w:rsidRDefault="009310AD" w:rsidP="00845B64">
      <w:pPr>
        <w:pStyle w:val="ListParagraph"/>
        <w:numPr>
          <w:ilvl w:val="0"/>
          <w:numId w:val="53"/>
        </w:numPr>
        <w:jc w:val="both"/>
      </w:pPr>
      <w:r>
        <w:t xml:space="preserve">A seminar on </w:t>
      </w:r>
      <w:r w:rsidRPr="009310AD">
        <w:t>Zhejiang-Shanghai Integrated Green Logistics</w:t>
      </w:r>
      <w:r>
        <w:t>.</w:t>
      </w:r>
      <w:r>
        <w:rPr>
          <w:rStyle w:val="FootnoteReference"/>
        </w:rPr>
        <w:footnoteReference w:id="69"/>
      </w:r>
    </w:p>
    <w:p w14:paraId="2BA09C9B" w14:textId="33942B36" w:rsidR="004718D8" w:rsidRPr="00A22B74" w:rsidRDefault="0049056F" w:rsidP="004718D8">
      <w:pPr>
        <w:jc w:val="both"/>
      </w:pPr>
      <w:r>
        <w:t xml:space="preserve">Considering the large </w:t>
      </w:r>
      <w:r w:rsidR="00FA3359">
        <w:t>number of LSP in Zhejiang Province and elsewhere in China, the project could have opted for maintaining a website to inform stakeholders of project activities, and to disseminate knowledge products.</w:t>
      </w:r>
    </w:p>
    <w:p w14:paraId="4EA9A25A" w14:textId="54E3E533" w:rsidR="0058596A" w:rsidRPr="00FA3359" w:rsidRDefault="0058596A" w:rsidP="00845B64">
      <w:pPr>
        <w:jc w:val="both"/>
        <w:rPr>
          <w:i/>
          <w:iCs/>
        </w:rPr>
      </w:pPr>
      <w:r w:rsidRPr="00FA3359">
        <w:rPr>
          <w:i/>
          <w:iCs/>
        </w:rPr>
        <w:t>Output 3.5. Completed and fully evaluated program for the promotion and capacity building of green logistics systems</w:t>
      </w:r>
    </w:p>
    <w:p w14:paraId="45DCB55C" w14:textId="685F472A" w:rsidR="009F3765" w:rsidRDefault="009F3765" w:rsidP="00A44669">
      <w:pPr>
        <w:jc w:val="both"/>
      </w:pPr>
      <w:r>
        <w:t>The program on capacity building for the adoption of green logistics technologies and practices for small- and medium sized enterprises was completed in 2019.</w:t>
      </w:r>
      <w:r>
        <w:rPr>
          <w:rStyle w:val="FootnoteReference"/>
        </w:rPr>
        <w:footnoteReference w:id="70"/>
      </w:r>
      <w:r w:rsidR="00B95335">
        <w:t xml:space="preserve"> </w:t>
      </w:r>
      <w:r w:rsidR="008F7B28">
        <w:t>That year, the project also completed an</w:t>
      </w:r>
      <w:r w:rsidR="00B95335">
        <w:t xml:space="preserve"> </w:t>
      </w:r>
      <w:r w:rsidR="008F7B28">
        <w:t>“</w:t>
      </w:r>
      <w:r w:rsidR="008F7B28" w:rsidRPr="008F7B28">
        <w:t xml:space="preserve">Analysis and evaluation report on the effect of green logistics capacity building </w:t>
      </w:r>
      <w:r w:rsidR="00B95335">
        <w:t>evaluation of the capacity building activities</w:t>
      </w:r>
      <w:r w:rsidR="008F7B28">
        <w:t>”</w:t>
      </w:r>
      <w:r w:rsidR="008F7B28">
        <w:rPr>
          <w:rStyle w:val="FootnoteReference"/>
        </w:rPr>
        <w:footnoteReference w:id="71"/>
      </w:r>
      <w:r w:rsidR="008F7B28">
        <w:t xml:space="preserve">. Given that few of the project’s capacity building activities had taken place by that time, it isn’t clear what effects this evaluation could have captured and </w:t>
      </w:r>
      <w:r w:rsidR="00A44669">
        <w:t>analyzed</w:t>
      </w:r>
      <w:r w:rsidR="00B95335">
        <w:t>.</w:t>
      </w:r>
    </w:p>
    <w:p w14:paraId="2A3A120A" w14:textId="470B4084" w:rsidR="00425948" w:rsidRPr="00206B68" w:rsidRDefault="00425948" w:rsidP="00A44669">
      <w:pPr>
        <w:jc w:val="both"/>
      </w:pPr>
      <w:r>
        <w:t>The project adopted an updated capacity building plan for 2020.</w:t>
      </w:r>
      <w:r>
        <w:rPr>
          <w:rStyle w:val="FootnoteReference"/>
        </w:rPr>
        <w:footnoteReference w:id="72"/>
      </w:r>
    </w:p>
    <w:p w14:paraId="397D523C" w14:textId="3D65F030" w:rsidR="0058596A" w:rsidRPr="00FA3359" w:rsidRDefault="0058596A" w:rsidP="0058596A">
      <w:pPr>
        <w:rPr>
          <w:i/>
          <w:iCs/>
        </w:rPr>
      </w:pPr>
      <w:r w:rsidRPr="00FA3359">
        <w:rPr>
          <w:i/>
          <w:iCs/>
        </w:rPr>
        <w:t>Output 3.6. Designed, endorsed and implemented an energy performance rating program and green logistics information sharing system for LSPs in Zhejiang Province</w:t>
      </w:r>
    </w:p>
    <w:p w14:paraId="492223B1" w14:textId="1E2772A5" w:rsidR="003E66C0" w:rsidRDefault="00877AE4" w:rsidP="00845B64">
      <w:pPr>
        <w:jc w:val="both"/>
      </w:pPr>
      <w:r>
        <w:t>The “</w:t>
      </w:r>
      <w:r w:rsidRPr="00877AE4">
        <w:t>Zhejiang Green Logistics Development Index</w:t>
      </w:r>
      <w:r>
        <w:t>” was launch</w:t>
      </w:r>
      <w:r w:rsidR="00FA3359">
        <w:t>ed</w:t>
      </w:r>
      <w:r>
        <w:t xml:space="preserve"> in </w:t>
      </w:r>
      <w:r w:rsidR="00C81640">
        <w:t xml:space="preserve">March </w:t>
      </w:r>
      <w:r>
        <w:t>2019</w:t>
      </w:r>
      <w:r w:rsidR="00D8200F">
        <w:t xml:space="preserve"> and a conference was organized to promote it</w:t>
      </w:r>
      <w:r>
        <w:t>.</w:t>
      </w:r>
      <w:r w:rsidR="00D8200F">
        <w:t xml:space="preserve"> Representatives from</w:t>
      </w:r>
      <w:r w:rsidR="00D8200F" w:rsidRPr="00D8200F">
        <w:t xml:space="preserve"> UNDP China, </w:t>
      </w:r>
      <w:r w:rsidR="00D8200F">
        <w:t xml:space="preserve">the </w:t>
      </w:r>
      <w:r w:rsidR="00D8200F" w:rsidRPr="00D8200F">
        <w:t xml:space="preserve">Provincial Development and Reform Commission, </w:t>
      </w:r>
      <w:r w:rsidR="00D8200F">
        <w:t xml:space="preserve">the </w:t>
      </w:r>
      <w:r w:rsidR="00D8200F" w:rsidRPr="00D8200F">
        <w:t xml:space="preserve">Provincial Department of Finance, </w:t>
      </w:r>
      <w:r w:rsidR="00D8200F">
        <w:t xml:space="preserve">the </w:t>
      </w:r>
      <w:r w:rsidR="00D8200F" w:rsidRPr="00D8200F">
        <w:t xml:space="preserve">Provincial Department of Transportation, </w:t>
      </w:r>
      <w:r w:rsidR="00D8200F">
        <w:t xml:space="preserve">the </w:t>
      </w:r>
      <w:r w:rsidR="00D8200F" w:rsidRPr="00D8200F">
        <w:t xml:space="preserve">Provincial Statistics Bureau, </w:t>
      </w:r>
      <w:r w:rsidR="00D8200F">
        <w:t xml:space="preserve">and others, </w:t>
      </w:r>
      <w:r w:rsidR="00D8200F" w:rsidRPr="00D8200F">
        <w:t xml:space="preserve">attended the </w:t>
      </w:r>
      <w:r w:rsidR="00D8200F">
        <w:t>event</w:t>
      </w:r>
      <w:r w:rsidR="00D8200F" w:rsidRPr="00D8200F">
        <w:t>.</w:t>
      </w:r>
      <w:r>
        <w:rPr>
          <w:rStyle w:val="FootnoteReference"/>
        </w:rPr>
        <w:footnoteReference w:id="73"/>
      </w:r>
      <w:r>
        <w:t xml:space="preserve"> </w:t>
      </w:r>
      <w:r w:rsidR="00E02E72">
        <w:t>Later during 2019, the project participated in the preparation of a proposal for the publication of the index. The proposal was approved by the Deputy Governor of Zhejiang Province, acknowledging the innovative aspects of the work supported by the project.</w:t>
      </w:r>
      <w:r w:rsidR="00CB2C29">
        <w:rPr>
          <w:rStyle w:val="FootnoteReference"/>
        </w:rPr>
        <w:footnoteReference w:id="74"/>
      </w:r>
      <w:r w:rsidR="00FA3359">
        <w:t xml:space="preserve"> </w:t>
      </w:r>
      <w:r w:rsidR="003E66C0">
        <w:t>A guide for the implementation of the index in small- and medium-sized LSPs was completed in 2019.</w:t>
      </w:r>
      <w:r w:rsidR="003E66C0">
        <w:rPr>
          <w:rStyle w:val="FootnoteReference"/>
        </w:rPr>
        <w:footnoteReference w:id="75"/>
      </w:r>
      <w:r w:rsidR="00A0437E">
        <w:t xml:space="preserve"> A conference on the index was also held in April 2020.</w:t>
      </w:r>
      <w:r w:rsidR="00A0437E">
        <w:rPr>
          <w:rStyle w:val="FootnoteReference"/>
        </w:rPr>
        <w:footnoteReference w:id="76"/>
      </w:r>
    </w:p>
    <w:p w14:paraId="04323C32" w14:textId="0F29E335" w:rsidR="009A5111" w:rsidRPr="00FA3359" w:rsidRDefault="0058596A" w:rsidP="00845B64">
      <w:pPr>
        <w:jc w:val="both"/>
        <w:rPr>
          <w:i/>
          <w:iCs/>
        </w:rPr>
      </w:pPr>
      <w:r w:rsidRPr="00FA3359">
        <w:rPr>
          <w:i/>
          <w:iCs/>
        </w:rPr>
        <w:t>Output 3.7.  Published and disseminated guides and reference documents for the application of energy conserving and energy efficient practices in the logistics industry</w:t>
      </w:r>
      <w:r w:rsidR="00FA3359">
        <w:rPr>
          <w:i/>
          <w:iCs/>
        </w:rPr>
        <w:t xml:space="preserve"> (originally output 1.3)</w:t>
      </w:r>
    </w:p>
    <w:p w14:paraId="5A1DBB25" w14:textId="44DB4366" w:rsidR="00A844CA" w:rsidRDefault="00A844CA" w:rsidP="00845B64">
      <w:pPr>
        <w:jc w:val="both"/>
      </w:pPr>
      <w:r>
        <w:t>The project completed the following products on the application of green logistics practices and technologies:</w:t>
      </w:r>
    </w:p>
    <w:p w14:paraId="2AB58283" w14:textId="54FE1596" w:rsidR="00A844CA" w:rsidRDefault="00A844CA" w:rsidP="00845B64">
      <w:pPr>
        <w:pStyle w:val="ListParagraph"/>
        <w:numPr>
          <w:ilvl w:val="0"/>
          <w:numId w:val="41"/>
        </w:numPr>
        <w:jc w:val="both"/>
      </w:pPr>
      <w:r>
        <w:t>“E</w:t>
      </w:r>
      <w:r w:rsidRPr="00A844CA">
        <w:t>nergy conservation emission reduction accounting methods due to implementation of green logistics projects in Zhejiang Province</w:t>
      </w:r>
      <w:r>
        <w:t>”</w:t>
      </w:r>
      <w:r>
        <w:rPr>
          <w:rStyle w:val="FootnoteReference"/>
        </w:rPr>
        <w:footnoteReference w:id="77"/>
      </w:r>
      <w:r w:rsidR="00FA3359">
        <w:t>;</w:t>
      </w:r>
    </w:p>
    <w:p w14:paraId="23E95FF8" w14:textId="328EF136" w:rsidR="00A844CA" w:rsidRDefault="00A844CA" w:rsidP="00845B64">
      <w:pPr>
        <w:pStyle w:val="ListParagraph"/>
        <w:numPr>
          <w:ilvl w:val="0"/>
          <w:numId w:val="41"/>
        </w:numPr>
        <w:jc w:val="both"/>
      </w:pPr>
      <w:r>
        <w:lastRenderedPageBreak/>
        <w:t>“S</w:t>
      </w:r>
      <w:r w:rsidRPr="00A844CA">
        <w:t>tatistical methods for the total amount of greenhouse gas emissions from logistics enterprises in Zhejiang Province</w:t>
      </w:r>
      <w:r>
        <w:t>”</w:t>
      </w:r>
      <w:r>
        <w:rPr>
          <w:rStyle w:val="FootnoteReference"/>
        </w:rPr>
        <w:footnoteReference w:id="78"/>
      </w:r>
      <w:r w:rsidR="00FA3359">
        <w:t>;</w:t>
      </w:r>
    </w:p>
    <w:p w14:paraId="2EB98661" w14:textId="233E9BFE" w:rsidR="007A3772" w:rsidRDefault="007A3772" w:rsidP="00845B64">
      <w:pPr>
        <w:pStyle w:val="ListParagraph"/>
        <w:numPr>
          <w:ilvl w:val="0"/>
          <w:numId w:val="41"/>
        </w:numPr>
        <w:jc w:val="both"/>
      </w:pPr>
      <w:r>
        <w:t>“A</w:t>
      </w:r>
      <w:r w:rsidRPr="007A3772">
        <w:t>pplication guide for green logistics technology of small and medium-sized logistics enterprises in Zhejiang Province"</w:t>
      </w:r>
      <w:r>
        <w:rPr>
          <w:rStyle w:val="FootnoteReference"/>
        </w:rPr>
        <w:footnoteReference w:id="79"/>
      </w:r>
      <w:r w:rsidR="00FA3359">
        <w:t>; and,</w:t>
      </w:r>
    </w:p>
    <w:p w14:paraId="38B5DFD4" w14:textId="72FFCB2C" w:rsidR="00E82201" w:rsidRDefault="006B3A20" w:rsidP="00845B64">
      <w:pPr>
        <w:pStyle w:val="ListParagraph"/>
        <w:numPr>
          <w:ilvl w:val="0"/>
          <w:numId w:val="41"/>
        </w:numPr>
        <w:jc w:val="both"/>
      </w:pPr>
      <w:r>
        <w:t>“A</w:t>
      </w:r>
      <w:r w:rsidRPr="006B3A20">
        <w:t>pplication guide of energy saving and carbon reduction technology for small and medium-sized logistics enterprises in Zhejiang Province</w:t>
      </w:r>
      <w:r>
        <w:t>”</w:t>
      </w:r>
      <w:r>
        <w:rPr>
          <w:rStyle w:val="FootnoteReference"/>
        </w:rPr>
        <w:footnoteReference w:id="80"/>
      </w:r>
    </w:p>
    <w:p w14:paraId="5A225696" w14:textId="523583B8" w:rsidR="007400A3" w:rsidRDefault="004A037A" w:rsidP="004A037A">
      <w:pPr>
        <w:rPr>
          <w:b/>
          <w:bCs/>
        </w:rPr>
      </w:pPr>
      <w:r w:rsidRPr="004A037A">
        <w:rPr>
          <w:b/>
          <w:bCs/>
        </w:rPr>
        <w:t>Project objective and goal</w:t>
      </w:r>
    </w:p>
    <w:p w14:paraId="4C034236" w14:textId="26D09D81" w:rsidR="004A037A" w:rsidRDefault="004A037A" w:rsidP="004A037A">
      <w:pPr>
        <w:pStyle w:val="Caption"/>
      </w:pPr>
      <w:r>
        <w:t xml:space="preserve">Table </w:t>
      </w:r>
      <w:r>
        <w:fldChar w:fldCharType="begin"/>
      </w:r>
      <w:r>
        <w:instrText xml:space="preserve"> SEQ Table \* ARABIC </w:instrText>
      </w:r>
      <w:r>
        <w:fldChar w:fldCharType="separate"/>
      </w:r>
      <w:r w:rsidR="00837CE3">
        <w:rPr>
          <w:noProof/>
        </w:rPr>
        <w:t>19</w:t>
      </w:r>
      <w:r>
        <w:fldChar w:fldCharType="end"/>
      </w:r>
      <w:r>
        <w:t>. Project objective and goal targets and indicators at end of project</w:t>
      </w:r>
    </w:p>
    <w:tbl>
      <w:tblPr>
        <w:tblStyle w:val="TableGrid"/>
        <w:tblW w:w="9350" w:type="dxa"/>
        <w:tblLook w:val="04A0" w:firstRow="1" w:lastRow="0" w:firstColumn="1" w:lastColumn="0" w:noHBand="0" w:noVBand="1"/>
      </w:tblPr>
      <w:tblGrid>
        <w:gridCol w:w="4561"/>
        <w:gridCol w:w="2514"/>
        <w:gridCol w:w="2275"/>
      </w:tblGrid>
      <w:tr w:rsidR="00194940" w14:paraId="00729E3C" w14:textId="03610A27" w:rsidTr="006F351C">
        <w:trPr>
          <w:trHeight w:val="439"/>
        </w:trPr>
        <w:tc>
          <w:tcPr>
            <w:tcW w:w="4561" w:type="dxa"/>
            <w:vMerge w:val="restart"/>
            <w:shd w:val="clear" w:color="auto" w:fill="77ACDC" w:themeFill="accent5" w:themeFillTint="99"/>
            <w:vAlign w:val="center"/>
          </w:tcPr>
          <w:p w14:paraId="340FDF78" w14:textId="0CCF273B" w:rsidR="00194940" w:rsidRDefault="00194940" w:rsidP="00194940">
            <w:pPr>
              <w:jc w:val="center"/>
              <w:rPr>
                <w:b/>
                <w:bCs/>
              </w:rPr>
            </w:pPr>
            <w:r>
              <w:rPr>
                <w:b/>
                <w:bCs/>
              </w:rPr>
              <w:t>Indicator and target by end of project</w:t>
            </w:r>
          </w:p>
        </w:tc>
        <w:tc>
          <w:tcPr>
            <w:tcW w:w="4789" w:type="dxa"/>
            <w:gridSpan w:val="2"/>
            <w:shd w:val="clear" w:color="auto" w:fill="77ACDC" w:themeFill="accent5" w:themeFillTint="99"/>
            <w:vAlign w:val="center"/>
          </w:tcPr>
          <w:p w14:paraId="3CCF3A15" w14:textId="088484BD" w:rsidR="00194940" w:rsidRDefault="00194940" w:rsidP="006F351C">
            <w:pPr>
              <w:jc w:val="center"/>
              <w:rPr>
                <w:b/>
                <w:bCs/>
              </w:rPr>
            </w:pPr>
            <w:r>
              <w:rPr>
                <w:b/>
                <w:bCs/>
              </w:rPr>
              <w:t>Reported indicators</w:t>
            </w:r>
          </w:p>
        </w:tc>
      </w:tr>
      <w:tr w:rsidR="00194940" w14:paraId="63018DD5" w14:textId="74F40F24" w:rsidTr="004A037A">
        <w:tc>
          <w:tcPr>
            <w:tcW w:w="4561" w:type="dxa"/>
            <w:vMerge/>
            <w:shd w:val="clear" w:color="auto" w:fill="77ACDC" w:themeFill="accent5" w:themeFillTint="99"/>
          </w:tcPr>
          <w:p w14:paraId="44DDF57D" w14:textId="77777777" w:rsidR="00194940" w:rsidRDefault="00194940" w:rsidP="007B6387">
            <w:pPr>
              <w:rPr>
                <w:b/>
                <w:bCs/>
              </w:rPr>
            </w:pPr>
          </w:p>
        </w:tc>
        <w:tc>
          <w:tcPr>
            <w:tcW w:w="2514" w:type="dxa"/>
            <w:shd w:val="clear" w:color="auto" w:fill="77ACDC" w:themeFill="accent5" w:themeFillTint="99"/>
          </w:tcPr>
          <w:p w14:paraId="121FA4CA" w14:textId="076D62D5" w:rsidR="00194940" w:rsidRDefault="00194940" w:rsidP="00194940">
            <w:pPr>
              <w:jc w:val="center"/>
              <w:rPr>
                <w:b/>
                <w:bCs/>
              </w:rPr>
            </w:pPr>
            <w:r>
              <w:rPr>
                <w:b/>
                <w:bCs/>
              </w:rPr>
              <w:t>2019 PIR</w:t>
            </w:r>
            <w:r w:rsidR="006F351C">
              <w:rPr>
                <w:rStyle w:val="FootnoteReference"/>
                <w:b/>
                <w:bCs/>
              </w:rPr>
              <w:footnoteReference w:id="81"/>
            </w:r>
          </w:p>
        </w:tc>
        <w:tc>
          <w:tcPr>
            <w:tcW w:w="2275" w:type="dxa"/>
            <w:shd w:val="clear" w:color="auto" w:fill="77ACDC" w:themeFill="accent5" w:themeFillTint="99"/>
          </w:tcPr>
          <w:p w14:paraId="51F5DE46" w14:textId="7F2B3419" w:rsidR="00194940" w:rsidRDefault="00194940" w:rsidP="00194940">
            <w:pPr>
              <w:jc w:val="center"/>
              <w:rPr>
                <w:b/>
                <w:bCs/>
              </w:rPr>
            </w:pPr>
            <w:r>
              <w:rPr>
                <w:b/>
                <w:bCs/>
              </w:rPr>
              <w:t>2020 PIR</w:t>
            </w:r>
            <w:r w:rsidR="006F351C">
              <w:rPr>
                <w:rStyle w:val="FootnoteReference"/>
                <w:b/>
                <w:bCs/>
              </w:rPr>
              <w:footnoteReference w:id="82"/>
            </w:r>
          </w:p>
        </w:tc>
      </w:tr>
      <w:tr w:rsidR="00194940" w14:paraId="2E17332C" w14:textId="77777777" w:rsidTr="007B6387">
        <w:tc>
          <w:tcPr>
            <w:tcW w:w="9350" w:type="dxa"/>
            <w:gridSpan w:val="3"/>
            <w:shd w:val="clear" w:color="auto" w:fill="D1E3F3" w:themeFill="accent5" w:themeFillTint="33"/>
          </w:tcPr>
          <w:p w14:paraId="4E6FB247" w14:textId="3091EB51" w:rsidR="00194940" w:rsidRDefault="00194940" w:rsidP="007B6387">
            <w:pPr>
              <w:rPr>
                <w:b/>
                <w:bCs/>
              </w:rPr>
            </w:pPr>
            <w:r>
              <w:rPr>
                <w:b/>
                <w:bCs/>
              </w:rPr>
              <w:t>Project goal</w:t>
            </w:r>
          </w:p>
        </w:tc>
      </w:tr>
      <w:tr w:rsidR="0028468B" w14:paraId="5FF1E060" w14:textId="605D098E" w:rsidTr="004A037A">
        <w:tc>
          <w:tcPr>
            <w:tcW w:w="4561" w:type="dxa"/>
          </w:tcPr>
          <w:p w14:paraId="27C34710" w14:textId="71337A14" w:rsidR="0028468B" w:rsidRPr="009610F5" w:rsidRDefault="0028468B" w:rsidP="0028468B">
            <w:r>
              <w:t>Cumulative CO</w:t>
            </w:r>
            <w:r>
              <w:rPr>
                <w:vertAlign w:val="subscript"/>
              </w:rPr>
              <w:t>2</w:t>
            </w:r>
            <w:r w:rsidRPr="009610F5">
              <w:t xml:space="preserve"> emission reduction by EOP</w:t>
            </w:r>
          </w:p>
          <w:p w14:paraId="6F4EA1A3" w14:textId="77777777" w:rsidR="0028468B" w:rsidRDefault="0028468B" w:rsidP="0028468B"/>
          <w:p w14:paraId="332415AA" w14:textId="4E3556C5" w:rsidR="0028468B" w:rsidRDefault="0028468B" w:rsidP="0028468B">
            <w:r>
              <w:t>Baseline: 0</w:t>
            </w:r>
          </w:p>
          <w:p w14:paraId="5538CA2C" w14:textId="5AD5DEDF" w:rsidR="0028468B" w:rsidRDefault="0028468B" w:rsidP="0028468B">
            <w:pPr>
              <w:rPr>
                <w:b/>
                <w:bCs/>
              </w:rPr>
            </w:pPr>
            <w:r>
              <w:t>Target: 1,749,270 t</w:t>
            </w:r>
            <w:r w:rsidRPr="009610F5">
              <w:t>CO</w:t>
            </w:r>
            <w:r w:rsidRPr="009610F5">
              <w:rPr>
                <w:vertAlign w:val="subscript"/>
              </w:rPr>
              <w:t>2</w:t>
            </w:r>
          </w:p>
        </w:tc>
        <w:tc>
          <w:tcPr>
            <w:tcW w:w="2514" w:type="dxa"/>
          </w:tcPr>
          <w:p w14:paraId="4DEEB63F" w14:textId="77777777" w:rsidR="0028468B" w:rsidRDefault="0028468B" w:rsidP="0028468B">
            <w:pPr>
              <w:jc w:val="center"/>
            </w:pPr>
          </w:p>
          <w:p w14:paraId="59D27011" w14:textId="77777777" w:rsidR="0028468B" w:rsidRDefault="0028468B" w:rsidP="0028468B">
            <w:pPr>
              <w:jc w:val="center"/>
            </w:pPr>
          </w:p>
          <w:p w14:paraId="7EB0CE93" w14:textId="6E4208CE" w:rsidR="0028468B" w:rsidRPr="000E41BF" w:rsidRDefault="0028468B" w:rsidP="0028468B">
            <w:pPr>
              <w:jc w:val="center"/>
            </w:pPr>
            <w:r>
              <w:t>2,808,080 t</w:t>
            </w:r>
            <w:r w:rsidRPr="009610F5">
              <w:t>CO</w:t>
            </w:r>
            <w:r w:rsidRPr="009610F5">
              <w:rPr>
                <w:vertAlign w:val="subscript"/>
              </w:rPr>
              <w:t>2</w:t>
            </w:r>
          </w:p>
        </w:tc>
        <w:tc>
          <w:tcPr>
            <w:tcW w:w="2275" w:type="dxa"/>
          </w:tcPr>
          <w:p w14:paraId="307281B6" w14:textId="77777777" w:rsidR="0028468B" w:rsidRDefault="0028468B" w:rsidP="0028468B">
            <w:pPr>
              <w:jc w:val="center"/>
            </w:pPr>
          </w:p>
          <w:p w14:paraId="33E6FDDB" w14:textId="77777777" w:rsidR="0028468B" w:rsidRDefault="0028468B" w:rsidP="0028468B">
            <w:pPr>
              <w:jc w:val="center"/>
            </w:pPr>
          </w:p>
          <w:p w14:paraId="6C447C87" w14:textId="280E067C" w:rsidR="0028468B" w:rsidRDefault="0028468B" w:rsidP="0028468B">
            <w:pPr>
              <w:jc w:val="center"/>
            </w:pPr>
            <w:r>
              <w:t>5,083,670 t</w:t>
            </w:r>
            <w:r w:rsidRPr="009610F5">
              <w:t>CO</w:t>
            </w:r>
            <w:r w:rsidRPr="009610F5">
              <w:rPr>
                <w:vertAlign w:val="subscript"/>
              </w:rPr>
              <w:t>2</w:t>
            </w:r>
          </w:p>
        </w:tc>
      </w:tr>
      <w:tr w:rsidR="0028468B" w14:paraId="16CABB0B" w14:textId="77777777" w:rsidTr="007B6387">
        <w:tc>
          <w:tcPr>
            <w:tcW w:w="4561" w:type="dxa"/>
          </w:tcPr>
          <w:p w14:paraId="673DA103" w14:textId="1EFAFFFF" w:rsidR="0028468B" w:rsidRDefault="0028468B" w:rsidP="0028468B">
            <w:r w:rsidRPr="00194940">
              <w:t>Reduction in the annual growth rate of GHG emissions by EOP</w:t>
            </w:r>
          </w:p>
          <w:p w14:paraId="13E4DA6C" w14:textId="77777777" w:rsidR="0028468B" w:rsidRDefault="0028468B" w:rsidP="0028468B"/>
          <w:p w14:paraId="4D9C0D24" w14:textId="77777777" w:rsidR="0028468B" w:rsidRDefault="0028468B" w:rsidP="0028468B">
            <w:r>
              <w:t>Baseline: 0</w:t>
            </w:r>
          </w:p>
          <w:p w14:paraId="49F8C4B5" w14:textId="369BD91C" w:rsidR="0028468B" w:rsidRDefault="0028468B" w:rsidP="0028468B">
            <w:r>
              <w:t>Target: 3%</w:t>
            </w:r>
          </w:p>
        </w:tc>
        <w:tc>
          <w:tcPr>
            <w:tcW w:w="2514" w:type="dxa"/>
            <w:vAlign w:val="center"/>
          </w:tcPr>
          <w:p w14:paraId="679F4245" w14:textId="5BAD1682" w:rsidR="0028468B" w:rsidRDefault="0028468B" w:rsidP="0028468B">
            <w:pPr>
              <w:jc w:val="center"/>
            </w:pPr>
            <w:r>
              <w:t>50% for two demonstration projects</w:t>
            </w:r>
          </w:p>
        </w:tc>
        <w:tc>
          <w:tcPr>
            <w:tcW w:w="2275" w:type="dxa"/>
            <w:vAlign w:val="center"/>
          </w:tcPr>
          <w:p w14:paraId="63BE4E32" w14:textId="523F9BCB" w:rsidR="0028468B" w:rsidRDefault="0028468B" w:rsidP="0028468B">
            <w:pPr>
              <w:jc w:val="center"/>
            </w:pPr>
            <w:r>
              <w:t xml:space="preserve">20% for two demonstration project </w:t>
            </w:r>
          </w:p>
        </w:tc>
      </w:tr>
      <w:tr w:rsidR="0028468B" w14:paraId="3392FA34" w14:textId="77777777" w:rsidTr="00194940">
        <w:tc>
          <w:tcPr>
            <w:tcW w:w="9350" w:type="dxa"/>
            <w:gridSpan w:val="3"/>
            <w:shd w:val="clear" w:color="auto" w:fill="D1E3F3" w:themeFill="accent5" w:themeFillTint="33"/>
          </w:tcPr>
          <w:p w14:paraId="25CC8EE7" w14:textId="12A83361" w:rsidR="0028468B" w:rsidRPr="00194940" w:rsidRDefault="0028468B" w:rsidP="0028468B">
            <w:pPr>
              <w:rPr>
                <w:b/>
                <w:bCs/>
              </w:rPr>
            </w:pPr>
            <w:r w:rsidRPr="00194940">
              <w:rPr>
                <w:b/>
                <w:bCs/>
              </w:rPr>
              <w:t>Project objective</w:t>
            </w:r>
          </w:p>
        </w:tc>
      </w:tr>
      <w:tr w:rsidR="0028468B" w14:paraId="7E066218" w14:textId="1A6A2F1F" w:rsidTr="007B6387">
        <w:tc>
          <w:tcPr>
            <w:tcW w:w="4561" w:type="dxa"/>
          </w:tcPr>
          <w:p w14:paraId="2EEAEA77" w14:textId="41895DA9" w:rsidR="0028468B" w:rsidRPr="009610F5" w:rsidRDefault="0028468B" w:rsidP="0028468B">
            <w:r>
              <w:t xml:space="preserve">Cumulative fuel savings due to project intervention by </w:t>
            </w:r>
            <w:r w:rsidRPr="009610F5">
              <w:t>EOP</w:t>
            </w:r>
          </w:p>
          <w:p w14:paraId="652B4F51" w14:textId="77777777" w:rsidR="0028468B" w:rsidRDefault="0028468B" w:rsidP="0028468B"/>
          <w:p w14:paraId="019856D7" w14:textId="77777777" w:rsidR="0028468B" w:rsidRDefault="0028468B" w:rsidP="0028468B">
            <w:r>
              <w:t>Baseline: 0</w:t>
            </w:r>
          </w:p>
          <w:p w14:paraId="4312B7E5" w14:textId="066FBDE8" w:rsidR="0028468B" w:rsidRPr="009610F5" w:rsidRDefault="0028468B" w:rsidP="0028468B">
            <w:r>
              <w:t>Target: 296,240 toe</w:t>
            </w:r>
          </w:p>
        </w:tc>
        <w:tc>
          <w:tcPr>
            <w:tcW w:w="2514" w:type="dxa"/>
            <w:vAlign w:val="center"/>
          </w:tcPr>
          <w:p w14:paraId="40259D0A" w14:textId="6981F1C1" w:rsidR="0028468B" w:rsidRPr="000E41BF" w:rsidRDefault="0028468B" w:rsidP="0028468B">
            <w:pPr>
              <w:jc w:val="center"/>
            </w:pPr>
            <w:r>
              <w:t>765,370 toe</w:t>
            </w:r>
          </w:p>
        </w:tc>
        <w:tc>
          <w:tcPr>
            <w:tcW w:w="2275" w:type="dxa"/>
            <w:vAlign w:val="center"/>
          </w:tcPr>
          <w:p w14:paraId="769E7746" w14:textId="240824F4" w:rsidR="0028468B" w:rsidRDefault="0028468B" w:rsidP="0028468B">
            <w:pPr>
              <w:jc w:val="center"/>
            </w:pPr>
            <w:r>
              <w:t>1,516,911 toe</w:t>
            </w:r>
          </w:p>
        </w:tc>
      </w:tr>
      <w:tr w:rsidR="0028468B" w14:paraId="47B80D11" w14:textId="77777777" w:rsidTr="007B6387">
        <w:tc>
          <w:tcPr>
            <w:tcW w:w="4561" w:type="dxa"/>
          </w:tcPr>
          <w:p w14:paraId="7C0E7522" w14:textId="77777777" w:rsidR="0028468B" w:rsidRDefault="0028468B" w:rsidP="0028468B">
            <w:r>
              <w:t xml:space="preserve">No. of jobs created with </w:t>
            </w:r>
            <w:r w:rsidRPr="00194940">
              <w:t>the application of green logistics techniques in the logistics industry in Zhejiang Province by EOP</w:t>
            </w:r>
          </w:p>
          <w:p w14:paraId="7D4AC1FD" w14:textId="77777777" w:rsidR="0028468B" w:rsidRDefault="0028468B" w:rsidP="0028468B"/>
          <w:p w14:paraId="08D75AA4" w14:textId="77777777" w:rsidR="0028468B" w:rsidRDefault="0028468B" w:rsidP="0028468B">
            <w:r>
              <w:t>Baseline: 0</w:t>
            </w:r>
          </w:p>
          <w:p w14:paraId="709F0A9C" w14:textId="0053F125" w:rsidR="0028468B" w:rsidRDefault="0028468B" w:rsidP="0028468B">
            <w:r>
              <w:t>Target: at least 1,000</w:t>
            </w:r>
          </w:p>
        </w:tc>
        <w:tc>
          <w:tcPr>
            <w:tcW w:w="2514" w:type="dxa"/>
            <w:vAlign w:val="center"/>
          </w:tcPr>
          <w:p w14:paraId="2066EF78" w14:textId="1C54ABFB" w:rsidR="0028468B" w:rsidRPr="000E41BF" w:rsidRDefault="0028468B" w:rsidP="0028468B">
            <w:pPr>
              <w:jc w:val="center"/>
            </w:pPr>
            <w:r>
              <w:t>678</w:t>
            </w:r>
          </w:p>
        </w:tc>
        <w:tc>
          <w:tcPr>
            <w:tcW w:w="2275" w:type="dxa"/>
            <w:vAlign w:val="center"/>
          </w:tcPr>
          <w:p w14:paraId="27FD9E8B" w14:textId="37B57843" w:rsidR="0028468B" w:rsidRDefault="0028468B" w:rsidP="0028468B">
            <w:pPr>
              <w:jc w:val="center"/>
            </w:pPr>
            <w:r>
              <w:t>1,326</w:t>
            </w:r>
          </w:p>
        </w:tc>
      </w:tr>
    </w:tbl>
    <w:p w14:paraId="00036E02" w14:textId="1B5235D1" w:rsidR="00D51C65" w:rsidRDefault="00D51C65" w:rsidP="00D51C65">
      <w:pPr>
        <w:jc w:val="both"/>
      </w:pPr>
    </w:p>
    <w:p w14:paraId="7BDFC19A" w14:textId="67D19343" w:rsidR="00D51C65" w:rsidRDefault="0028468B" w:rsidP="00D51C65">
      <w:pPr>
        <w:jc w:val="both"/>
      </w:pPr>
      <w:r>
        <w:t xml:space="preserve">As described in section </w:t>
      </w:r>
      <w:r>
        <w:fldChar w:fldCharType="begin"/>
      </w:r>
      <w:r>
        <w:instrText xml:space="preserve"> REF _Ref64381623 \w \h </w:instrText>
      </w:r>
      <w:r>
        <w:fldChar w:fldCharType="separate"/>
      </w:r>
      <w:r>
        <w:t>4.3.3</w:t>
      </w:r>
      <w:r>
        <w:fldChar w:fldCharType="end"/>
      </w:r>
      <w:r>
        <w:t xml:space="preserve">, during project implementation, the approach for the calculation of GHG emissions reductions was </w:t>
      </w:r>
      <w:r w:rsidR="00D96757">
        <w:t>modified</w:t>
      </w:r>
      <w:r>
        <w:t>. The new approach</w:t>
      </w:r>
      <w:r w:rsidR="00D96757">
        <w:t>,</w:t>
      </w:r>
      <w:r w:rsidR="00E143CF">
        <w:t xml:space="preserve"> </w:t>
      </w:r>
      <w:r>
        <w:t>based on the extrapolation of results from the two demonstration projects</w:t>
      </w:r>
      <w:r w:rsidR="00D96757">
        <w:t xml:space="preserve">, </w:t>
      </w:r>
      <w:r>
        <w:t xml:space="preserve">is not considered adequate for the estimation of GHG emissions reductions attributable to the project. Given that </w:t>
      </w:r>
      <w:r w:rsidR="00E143CF">
        <w:t xml:space="preserve">direct </w:t>
      </w:r>
      <w:r>
        <w:t>emissions reduction</w:t>
      </w:r>
      <w:r w:rsidR="00E143CF">
        <w:t>s</w:t>
      </w:r>
      <w:r>
        <w:t xml:space="preserve"> from the two demonstration projects </w:t>
      </w:r>
      <w:r w:rsidRPr="00E143CF">
        <w:t xml:space="preserve">were </w:t>
      </w:r>
      <w:r w:rsidR="00E143CF" w:rsidRPr="00E143CF">
        <w:t xml:space="preserve">measured </w:t>
      </w:r>
      <w:r w:rsidRPr="00E143CF">
        <w:t>a</w:t>
      </w:r>
      <w:r w:rsidR="00E143CF">
        <w:t>t</w:t>
      </w:r>
      <w:r w:rsidRPr="00E143CF">
        <w:t xml:space="preserve"> </w:t>
      </w:r>
      <w:r w:rsidRPr="00E143CF">
        <w:rPr>
          <w:rFonts w:cs="Times New Roman"/>
        </w:rPr>
        <w:t>4,3</w:t>
      </w:r>
      <w:r w:rsidR="00E143CF">
        <w:rPr>
          <w:rFonts w:cs="Times New Roman"/>
        </w:rPr>
        <w:t>12</w:t>
      </w:r>
      <w:r w:rsidRPr="00E143CF">
        <w:rPr>
          <w:rFonts w:cs="Times New Roman"/>
        </w:rPr>
        <w:t xml:space="preserve"> tCO</w:t>
      </w:r>
      <w:r w:rsidRPr="00E143CF">
        <w:rPr>
          <w:rFonts w:cs="Times New Roman"/>
          <w:vertAlign w:val="subscript"/>
        </w:rPr>
        <w:t>2</w:t>
      </w:r>
      <w:r w:rsidRPr="00E143CF">
        <w:rPr>
          <w:rFonts w:cs="Times New Roman"/>
        </w:rPr>
        <w:t>e/year</w:t>
      </w:r>
      <w:r w:rsidR="00E143CF" w:rsidRPr="00E143CF">
        <w:rPr>
          <w:rFonts w:cs="Times New Roman"/>
        </w:rPr>
        <w:t xml:space="preserve">, </w:t>
      </w:r>
      <w:r w:rsidR="00E143CF">
        <w:rPr>
          <w:rFonts w:cs="Times New Roman"/>
        </w:rPr>
        <w:t>it is unlikely that total annual GHG emissions reductions could have been more than 500 times higher than that, at</w:t>
      </w:r>
      <w:r w:rsidR="00D96757">
        <w:rPr>
          <w:rFonts w:cs="Times New Roman"/>
        </w:rPr>
        <w:t xml:space="preserve"> 2,3 – 2.8 million</w:t>
      </w:r>
      <w:r w:rsidR="00E143CF">
        <w:rPr>
          <w:rFonts w:cs="Times New Roman"/>
        </w:rPr>
        <w:t xml:space="preserve"> </w:t>
      </w:r>
      <w:r w:rsidR="00E143CF" w:rsidRPr="00E143CF">
        <w:rPr>
          <w:rFonts w:cs="Times New Roman"/>
        </w:rPr>
        <w:t>t</w:t>
      </w:r>
      <w:r w:rsidR="00D96757">
        <w:rPr>
          <w:rFonts w:cs="Times New Roman"/>
        </w:rPr>
        <w:t xml:space="preserve">onnes of </w:t>
      </w:r>
      <w:r w:rsidR="00E143CF" w:rsidRPr="00E143CF">
        <w:rPr>
          <w:rFonts w:cs="Times New Roman"/>
        </w:rPr>
        <w:t>CO</w:t>
      </w:r>
      <w:r w:rsidR="00E143CF" w:rsidRPr="00E143CF">
        <w:rPr>
          <w:rFonts w:cs="Times New Roman"/>
          <w:vertAlign w:val="subscript"/>
        </w:rPr>
        <w:t>2</w:t>
      </w:r>
      <w:r w:rsidR="00E143CF" w:rsidRPr="00E143CF">
        <w:rPr>
          <w:rFonts w:cs="Times New Roman"/>
        </w:rPr>
        <w:t>e</w:t>
      </w:r>
      <w:r w:rsidR="00D96757">
        <w:rPr>
          <w:rFonts w:cs="Times New Roman"/>
        </w:rPr>
        <w:t xml:space="preserve"> per </w:t>
      </w:r>
      <w:r w:rsidR="00E143CF" w:rsidRPr="00E143CF">
        <w:rPr>
          <w:rFonts w:cs="Times New Roman"/>
        </w:rPr>
        <w:t>year</w:t>
      </w:r>
      <w:r w:rsidR="00E143CF">
        <w:rPr>
          <w:rFonts w:cs="Times New Roman"/>
        </w:rPr>
        <w:t xml:space="preserve">. Likewise, </w:t>
      </w:r>
      <w:r w:rsidR="000C47C7">
        <w:rPr>
          <w:rFonts w:cs="Times New Roman"/>
        </w:rPr>
        <w:t xml:space="preserve">since </w:t>
      </w:r>
      <w:r w:rsidR="00E143CF">
        <w:rPr>
          <w:rFonts w:cs="Times New Roman"/>
        </w:rPr>
        <w:t xml:space="preserve">annual </w:t>
      </w:r>
      <w:r w:rsidR="00E143CF">
        <w:rPr>
          <w:rFonts w:cs="Times New Roman"/>
        </w:rPr>
        <w:lastRenderedPageBreak/>
        <w:t>fuel saving</w:t>
      </w:r>
      <w:r w:rsidR="000C47C7">
        <w:rPr>
          <w:rFonts w:cs="Times New Roman"/>
        </w:rPr>
        <w:t>s from the demonstration projects</w:t>
      </w:r>
      <w:r w:rsidR="00E143CF">
        <w:rPr>
          <w:rFonts w:cs="Times New Roman"/>
        </w:rPr>
        <w:t xml:space="preserve"> were measured at 1</w:t>
      </w:r>
      <w:r w:rsidR="00E143CF" w:rsidRPr="00E143CF">
        <w:t>,360.85 toe/year</w:t>
      </w:r>
      <w:r w:rsidR="00E143CF">
        <w:t xml:space="preserve">, </w:t>
      </w:r>
      <w:r w:rsidR="000C47C7">
        <w:t>i</w:t>
      </w:r>
      <w:r w:rsidR="00E143CF">
        <w:t xml:space="preserve">t </w:t>
      </w:r>
      <w:r w:rsidR="00012287">
        <w:t>is not</w:t>
      </w:r>
      <w:r w:rsidR="00E143CF">
        <w:t xml:space="preserve"> </w:t>
      </w:r>
      <w:r w:rsidR="000C47C7">
        <w:t>likely that total annual fuel savings due to the project could be 500 times that.</w:t>
      </w:r>
    </w:p>
    <w:p w14:paraId="04D454F8" w14:textId="10E89E6B" w:rsidR="0090275A" w:rsidRDefault="0090275A" w:rsidP="00D51C65">
      <w:pPr>
        <w:jc w:val="both"/>
      </w:pPr>
      <w:r>
        <w:t xml:space="preserve">In conclusion, due to shortcoming of the project’s monitoring framework, this TE </w:t>
      </w:r>
      <w:r w:rsidR="00012287">
        <w:t>could not</w:t>
      </w:r>
      <w:r>
        <w:t xml:space="preserve"> draw a conclusion about the project’s progress towards the goal of reducing GHG emissions.</w:t>
      </w:r>
    </w:p>
    <w:p w14:paraId="7CF2EB2B" w14:textId="727799F5" w:rsidR="008E2C94" w:rsidRDefault="008E2C94" w:rsidP="00845B64">
      <w:pPr>
        <w:pStyle w:val="ListParagraph"/>
        <w:numPr>
          <w:ilvl w:val="2"/>
          <w:numId w:val="47"/>
        </w:numPr>
        <w:jc w:val="both"/>
        <w:rPr>
          <w:color w:val="2E75B6" w:themeColor="accent5"/>
        </w:rPr>
      </w:pPr>
      <w:r w:rsidRPr="008E2C94">
        <w:rPr>
          <w:color w:val="2E75B6" w:themeColor="accent5"/>
        </w:rPr>
        <w:t>Efficiency</w:t>
      </w:r>
    </w:p>
    <w:p w14:paraId="715A4FA6" w14:textId="3AB4B15E" w:rsidR="007400A3" w:rsidRPr="007400A3" w:rsidRDefault="00CD1953" w:rsidP="00845B64">
      <w:pPr>
        <w:jc w:val="both"/>
      </w:pPr>
      <w:r>
        <w:t xml:space="preserve">Efficiency is a performance measure </w:t>
      </w:r>
      <w:r w:rsidR="00866F08">
        <w:t>of</w:t>
      </w:r>
      <w:r>
        <w:t xml:space="preserve"> the timeliness and cost-effectiveness of the implementation of planned activities and the delivery of outputs and outcomes. Efficiency gains can be achieved through the implementation of cost- and time-saving measures, the use of existing systems to support project implementation, securing the support from partnerships, and deploying human and financial resources wisely. Conversely, efficiency can be affected by factors including administrative and management delays, new or unfamiliar procedures, </w:t>
      </w:r>
      <w:r w:rsidR="000A122D">
        <w:t xml:space="preserve">or </w:t>
      </w:r>
      <w:r>
        <w:t xml:space="preserve">skills </w:t>
      </w:r>
      <w:r w:rsidR="000A122D">
        <w:t>gaps.</w:t>
      </w:r>
      <w:r>
        <w:t xml:space="preserve"> </w:t>
      </w:r>
    </w:p>
    <w:p w14:paraId="35326A67" w14:textId="764510AA" w:rsidR="007400A3" w:rsidRDefault="001D431D" w:rsidP="007400A3">
      <w:pPr>
        <w:jc w:val="both"/>
      </w:pPr>
      <w:r>
        <w:t xml:space="preserve">Overall, the project was implemented according to schedule, with only minor delays in the hiring of the project manager at project start, and inevitable impacts due to the global </w:t>
      </w:r>
      <w:r w:rsidR="00866F08">
        <w:t xml:space="preserve">COVID-19 </w:t>
      </w:r>
      <w:r>
        <w:t>pandemic towards the end of the project</w:t>
      </w:r>
      <w:r w:rsidR="008B0F56">
        <w:t xml:space="preserve">. </w:t>
      </w:r>
      <w:r w:rsidR="00A45788">
        <w:t>The development of standards under component one, progressed quickly so that they could be adopted and published within the project´s timeframe.</w:t>
      </w:r>
      <w:r w:rsidR="00866F08">
        <w:t xml:space="preserve"> </w:t>
      </w:r>
      <w:r w:rsidR="008B0F56">
        <w:t xml:space="preserve">Both demonstration projects were designed and implemented promptly, allowing time for the monitoring and reporting of their performance, </w:t>
      </w:r>
      <w:r w:rsidR="00866F08">
        <w:t xml:space="preserve">which is considered </w:t>
      </w:r>
      <w:r w:rsidR="008B0F56">
        <w:t xml:space="preserve">a key project output (i.e. output 2.5.). </w:t>
      </w:r>
      <w:r w:rsidR="00CD3196">
        <w:t xml:space="preserve">Trainings under component 3 could have been delivered earlier, to better link the result from these training to activities to support the adoption of green logistics technologies and practices by LSPs. Likewise, training materials </w:t>
      </w:r>
      <w:r w:rsidR="004D6ECD">
        <w:t xml:space="preserve">prepared under output 3.3. could have been produced earlier, to be used in training and awareness raising activities (for example, the </w:t>
      </w:r>
      <w:r w:rsidR="004D6ECD" w:rsidRPr="004D6ECD">
        <w:t>“Green Technology Application and Practice Guide for Zhejiang Logistics Enterprises”</w:t>
      </w:r>
      <w:r w:rsidR="004D6ECD">
        <w:t xml:space="preserve"> was only published in 2020, when </w:t>
      </w:r>
      <w:r w:rsidR="00866F08">
        <w:t xml:space="preserve">most </w:t>
      </w:r>
      <w:r w:rsidR="004D6ECD">
        <w:t>trainings had been completed).</w:t>
      </w:r>
    </w:p>
    <w:p w14:paraId="33A307F8" w14:textId="75C3E45A" w:rsidR="004D6ECD" w:rsidRDefault="005F429E" w:rsidP="007400A3">
      <w:pPr>
        <w:jc w:val="both"/>
      </w:pPr>
      <w:r>
        <w:t xml:space="preserve">The project team was efficient planning and disbursing </w:t>
      </w:r>
      <w:r w:rsidR="002F6D9D">
        <w:t xml:space="preserve">financial </w:t>
      </w:r>
      <w:r>
        <w:t xml:space="preserve">resources, </w:t>
      </w:r>
      <w:r w:rsidR="002F6D9D">
        <w:t xml:space="preserve">resulting in satisfactory annual execution ratios between 84 and 100% (see section </w:t>
      </w:r>
      <w:r w:rsidR="002F6D9D">
        <w:fldChar w:fldCharType="begin"/>
      </w:r>
      <w:r w:rsidR="002F6D9D">
        <w:instrText xml:space="preserve"> REF _Ref62034375 \r \h </w:instrText>
      </w:r>
      <w:r w:rsidR="002F6D9D">
        <w:fldChar w:fldCharType="separate"/>
      </w:r>
      <w:r w:rsidR="00866F08">
        <w:t>4.2.3</w:t>
      </w:r>
      <w:r w:rsidR="002F6D9D">
        <w:fldChar w:fldCharType="end"/>
      </w:r>
      <w:r w:rsidR="002F6D9D">
        <w:t>). The discussion of the applicable procurement and contract management procedures during project inception was a contributing factor to the satisfactory performance of the financial management aspects of the project.</w:t>
      </w:r>
    </w:p>
    <w:p w14:paraId="799F52CC" w14:textId="7BC74700" w:rsidR="00A5385F" w:rsidRDefault="00A5385F" w:rsidP="00A5385F">
      <w:pPr>
        <w:jc w:val="both"/>
      </w:pPr>
      <w:r>
        <w:t>The project team built effective partnership with project stakeholders that contributed to an efficient implementation of project activities and the delivery of project outputs. Among others, the partnerships with China Quality Certification Center, Zhejiang Economic Information Development Co., Ltd., and the Zhejiang Logistics Association contributed to the timely delivery of project outputs.</w:t>
      </w:r>
    </w:p>
    <w:p w14:paraId="0E34BB19" w14:textId="2892ABE7" w:rsidR="008E2C94" w:rsidRDefault="008E2C94" w:rsidP="00DE67CF">
      <w:pPr>
        <w:pStyle w:val="ListParagraph"/>
        <w:numPr>
          <w:ilvl w:val="2"/>
          <w:numId w:val="47"/>
        </w:numPr>
        <w:jc w:val="both"/>
        <w:rPr>
          <w:color w:val="2E75B6" w:themeColor="accent5"/>
        </w:rPr>
      </w:pPr>
      <w:r w:rsidRPr="008E2C94">
        <w:rPr>
          <w:color w:val="2E75B6" w:themeColor="accent5"/>
        </w:rPr>
        <w:t xml:space="preserve">Overall </w:t>
      </w:r>
      <w:r w:rsidR="007D090D">
        <w:rPr>
          <w:color w:val="2E75B6" w:themeColor="accent5"/>
        </w:rPr>
        <w:t xml:space="preserve">project </w:t>
      </w:r>
      <w:r w:rsidRPr="008E2C94">
        <w:rPr>
          <w:color w:val="2E75B6" w:themeColor="accent5"/>
        </w:rPr>
        <w:t>outcome</w:t>
      </w:r>
    </w:p>
    <w:p w14:paraId="268B738E" w14:textId="6699A099" w:rsidR="007D090D" w:rsidRDefault="007D090D" w:rsidP="007D090D">
      <w:pPr>
        <w:jc w:val="both"/>
      </w:pPr>
      <w:r>
        <w:t xml:space="preserve">The overall project outcome is rated on a six-point scale, based on the ratings for relevance, effectiveness and efficiency. The ratings are provided in </w:t>
      </w:r>
      <w:r>
        <w:fldChar w:fldCharType="begin"/>
      </w:r>
      <w:r>
        <w:instrText xml:space="preserve"> REF _Ref62036039 \h </w:instrText>
      </w:r>
      <w:r>
        <w:fldChar w:fldCharType="separate"/>
      </w:r>
      <w:r w:rsidR="00837CE3">
        <w:t xml:space="preserve">Table </w:t>
      </w:r>
      <w:r w:rsidR="00837CE3">
        <w:rPr>
          <w:noProof/>
        </w:rPr>
        <w:t>20</w:t>
      </w:r>
      <w:r>
        <w:fldChar w:fldCharType="end"/>
      </w:r>
      <w:r>
        <w:t xml:space="preserve">, below. An explanation of the ratings scale is provided in </w:t>
      </w:r>
      <w:r>
        <w:fldChar w:fldCharType="begin"/>
      </w:r>
      <w:r>
        <w:instrText xml:space="preserve"> REF _Ref61533923 \r \h </w:instrText>
      </w:r>
      <w:r>
        <w:fldChar w:fldCharType="separate"/>
      </w:r>
      <w:r w:rsidR="004718D8">
        <w:t>Annex E</w:t>
      </w:r>
      <w:r>
        <w:fldChar w:fldCharType="end"/>
      </w:r>
      <w:r>
        <w:t>.</w:t>
      </w:r>
    </w:p>
    <w:p w14:paraId="4EDCD338" w14:textId="5AB6F2B9" w:rsidR="007D090D" w:rsidRDefault="007D090D" w:rsidP="007D090D">
      <w:pPr>
        <w:pStyle w:val="Caption"/>
        <w:ind w:left="1134" w:right="2556"/>
      </w:pPr>
      <w:bookmarkStart w:id="59" w:name="_Ref62036039"/>
      <w:bookmarkStart w:id="60" w:name="_Ref62036034"/>
      <w:r>
        <w:t xml:space="preserve">Table </w:t>
      </w:r>
      <w:r>
        <w:fldChar w:fldCharType="begin"/>
      </w:r>
      <w:r>
        <w:instrText xml:space="preserve"> SEQ Table \* ARABIC </w:instrText>
      </w:r>
      <w:r>
        <w:fldChar w:fldCharType="separate"/>
      </w:r>
      <w:r w:rsidR="00837CE3">
        <w:rPr>
          <w:noProof/>
        </w:rPr>
        <w:t>20</w:t>
      </w:r>
      <w:r>
        <w:fldChar w:fldCharType="end"/>
      </w:r>
      <w:bookmarkEnd w:id="59"/>
      <w:r>
        <w:t xml:space="preserve">. Evaluation ratings of project </w:t>
      </w:r>
      <w:bookmarkEnd w:id="60"/>
      <w:r>
        <w:t>relevance, effectiveness, efficiency, and overall outcome</w:t>
      </w:r>
    </w:p>
    <w:tbl>
      <w:tblPr>
        <w:tblStyle w:val="TableGrid"/>
        <w:tblW w:w="0" w:type="auto"/>
        <w:tblInd w:w="1129" w:type="dxa"/>
        <w:tblLook w:val="04A0" w:firstRow="1" w:lastRow="0" w:firstColumn="1" w:lastColumn="0" w:noHBand="0" w:noVBand="1"/>
      </w:tblPr>
      <w:tblGrid>
        <w:gridCol w:w="3969"/>
        <w:gridCol w:w="1701"/>
      </w:tblGrid>
      <w:tr w:rsidR="007D090D" w:rsidRPr="00A433DD" w14:paraId="7E8D4458" w14:textId="77777777" w:rsidTr="007D090D">
        <w:tc>
          <w:tcPr>
            <w:tcW w:w="3969" w:type="dxa"/>
            <w:shd w:val="clear" w:color="auto" w:fill="77ACDC" w:themeFill="accent5" w:themeFillTint="99"/>
          </w:tcPr>
          <w:p w14:paraId="089FF3DF" w14:textId="2FE8F80A" w:rsidR="007D090D" w:rsidRPr="00A433DD" w:rsidRDefault="007D090D" w:rsidP="00C849FC">
            <w:pPr>
              <w:ind w:left="176" w:hanging="176"/>
              <w:jc w:val="both"/>
            </w:pPr>
            <w:r>
              <w:t>Assessment of outcomes</w:t>
            </w:r>
          </w:p>
        </w:tc>
        <w:tc>
          <w:tcPr>
            <w:tcW w:w="1701" w:type="dxa"/>
            <w:shd w:val="clear" w:color="auto" w:fill="77ACDC" w:themeFill="accent5" w:themeFillTint="99"/>
          </w:tcPr>
          <w:p w14:paraId="7B5B7465" w14:textId="77777777" w:rsidR="007D090D" w:rsidRPr="00A433DD" w:rsidRDefault="007D090D" w:rsidP="0043662F">
            <w:pPr>
              <w:jc w:val="center"/>
            </w:pPr>
            <w:r w:rsidRPr="00A433DD">
              <w:t>Rating</w:t>
            </w:r>
          </w:p>
        </w:tc>
      </w:tr>
      <w:tr w:rsidR="007D090D" w14:paraId="573828F0" w14:textId="77777777" w:rsidTr="007D090D">
        <w:tc>
          <w:tcPr>
            <w:tcW w:w="3969" w:type="dxa"/>
          </w:tcPr>
          <w:p w14:paraId="0C83D557" w14:textId="2DD0D3FB" w:rsidR="007D090D" w:rsidRPr="00A433DD" w:rsidRDefault="007D090D" w:rsidP="00C849FC">
            <w:r>
              <w:t>Relevance</w:t>
            </w:r>
          </w:p>
        </w:tc>
        <w:tc>
          <w:tcPr>
            <w:tcW w:w="1701" w:type="dxa"/>
          </w:tcPr>
          <w:p w14:paraId="389C1757" w14:textId="77777777" w:rsidR="007D090D" w:rsidRPr="00590E05" w:rsidRDefault="007D090D" w:rsidP="00C849FC">
            <w:pPr>
              <w:jc w:val="center"/>
            </w:pPr>
            <w:r w:rsidRPr="00590E05">
              <w:t>S</w:t>
            </w:r>
          </w:p>
        </w:tc>
      </w:tr>
      <w:tr w:rsidR="007D090D" w14:paraId="187799A3" w14:textId="77777777" w:rsidTr="007D090D">
        <w:tc>
          <w:tcPr>
            <w:tcW w:w="3969" w:type="dxa"/>
          </w:tcPr>
          <w:p w14:paraId="20877234" w14:textId="145A09DC" w:rsidR="007D090D" w:rsidRPr="00A433DD" w:rsidRDefault="007D090D" w:rsidP="00C849FC">
            <w:r>
              <w:t>Effectiveness</w:t>
            </w:r>
          </w:p>
        </w:tc>
        <w:tc>
          <w:tcPr>
            <w:tcW w:w="1701" w:type="dxa"/>
          </w:tcPr>
          <w:p w14:paraId="073507C4" w14:textId="131387FE" w:rsidR="007D090D" w:rsidRPr="00590E05" w:rsidRDefault="007D090D" w:rsidP="00C849FC">
            <w:pPr>
              <w:jc w:val="center"/>
            </w:pPr>
            <w:r>
              <w:t>S</w:t>
            </w:r>
          </w:p>
        </w:tc>
      </w:tr>
      <w:tr w:rsidR="007D090D" w14:paraId="3004550D" w14:textId="77777777" w:rsidTr="007D090D">
        <w:tc>
          <w:tcPr>
            <w:tcW w:w="3969" w:type="dxa"/>
          </w:tcPr>
          <w:p w14:paraId="3F4DB4DE" w14:textId="485558F1" w:rsidR="007D090D" w:rsidRPr="00A433DD" w:rsidRDefault="007D090D" w:rsidP="00C849FC">
            <w:r>
              <w:t>Efficiency</w:t>
            </w:r>
          </w:p>
        </w:tc>
        <w:tc>
          <w:tcPr>
            <w:tcW w:w="1701" w:type="dxa"/>
          </w:tcPr>
          <w:p w14:paraId="23207A66" w14:textId="77777777" w:rsidR="007D090D" w:rsidRPr="00590E05" w:rsidRDefault="007D090D" w:rsidP="00C849FC">
            <w:pPr>
              <w:jc w:val="center"/>
            </w:pPr>
            <w:r>
              <w:t>S</w:t>
            </w:r>
          </w:p>
        </w:tc>
      </w:tr>
      <w:tr w:rsidR="007D090D" w14:paraId="4D14E725" w14:textId="77777777" w:rsidTr="007D090D">
        <w:tc>
          <w:tcPr>
            <w:tcW w:w="3969" w:type="dxa"/>
          </w:tcPr>
          <w:p w14:paraId="44BF92E4" w14:textId="4EEA06D7" w:rsidR="007D090D" w:rsidRDefault="007D090D" w:rsidP="00C849FC">
            <w:r>
              <w:t>Overall project outcome</w:t>
            </w:r>
          </w:p>
        </w:tc>
        <w:tc>
          <w:tcPr>
            <w:tcW w:w="1701" w:type="dxa"/>
          </w:tcPr>
          <w:p w14:paraId="04730F0C" w14:textId="53E74F60" w:rsidR="007D090D" w:rsidRDefault="007D090D" w:rsidP="00C849FC">
            <w:pPr>
              <w:jc w:val="center"/>
            </w:pPr>
            <w:r>
              <w:t>S</w:t>
            </w:r>
          </w:p>
        </w:tc>
      </w:tr>
    </w:tbl>
    <w:p w14:paraId="615E3DD6" w14:textId="77777777" w:rsidR="007D090D" w:rsidRPr="007D090D" w:rsidRDefault="007D090D" w:rsidP="007D090D">
      <w:pPr>
        <w:jc w:val="both"/>
        <w:rPr>
          <w:color w:val="2E75B6" w:themeColor="accent5"/>
        </w:rPr>
      </w:pPr>
    </w:p>
    <w:p w14:paraId="17FA65E8" w14:textId="7A8CBCD1" w:rsidR="008E2C94" w:rsidRDefault="008E2C94" w:rsidP="00DE67CF">
      <w:pPr>
        <w:pStyle w:val="ListParagraph"/>
        <w:numPr>
          <w:ilvl w:val="2"/>
          <w:numId w:val="47"/>
        </w:numPr>
        <w:jc w:val="both"/>
        <w:rPr>
          <w:color w:val="2E75B6" w:themeColor="accent5"/>
        </w:rPr>
      </w:pPr>
      <w:r w:rsidRPr="008E2C94">
        <w:rPr>
          <w:color w:val="2E75B6" w:themeColor="accent5"/>
        </w:rPr>
        <w:lastRenderedPageBreak/>
        <w:t>Sustainability: financial, socio-</w:t>
      </w:r>
      <w:r w:rsidR="00DF2485">
        <w:rPr>
          <w:color w:val="2E75B6" w:themeColor="accent5"/>
        </w:rPr>
        <w:t>political</w:t>
      </w:r>
      <w:r w:rsidRPr="008E2C94">
        <w:rPr>
          <w:color w:val="2E75B6" w:themeColor="accent5"/>
        </w:rPr>
        <w:t>, institutional framework</w:t>
      </w:r>
      <w:r w:rsidR="00DF2485">
        <w:rPr>
          <w:color w:val="2E75B6" w:themeColor="accent5"/>
        </w:rPr>
        <w:t>s</w:t>
      </w:r>
      <w:r w:rsidRPr="008E2C94">
        <w:rPr>
          <w:color w:val="2E75B6" w:themeColor="accent5"/>
        </w:rPr>
        <w:t xml:space="preserve"> and governance, environmental, and overall likelihood</w:t>
      </w:r>
    </w:p>
    <w:p w14:paraId="3E808AEC" w14:textId="2482F08C" w:rsidR="005D435E" w:rsidRPr="00DF2485" w:rsidRDefault="00DF2485" w:rsidP="005D435E">
      <w:pPr>
        <w:jc w:val="both"/>
      </w:pPr>
      <w:r w:rsidRPr="00DF2485">
        <w:t xml:space="preserve">Sustainability refers </w:t>
      </w:r>
      <w:r>
        <w:t xml:space="preserve">to the likelihood that the project´s positive effects will be maintained after the project has closed, ending external funding and assistance. Sustainability is evaluated in terms of the identifiable risks that could affect the continuation of such positive effects. The risks to sustainability are assessed in four areas: (i) </w:t>
      </w:r>
      <w:r w:rsidRPr="00DF2485">
        <w:t xml:space="preserve">financial, </w:t>
      </w:r>
      <w:r>
        <w:t xml:space="preserve">(ii) </w:t>
      </w:r>
      <w:r w:rsidR="00D93DB9" w:rsidRPr="00DF2485">
        <w:t>socio-political</w:t>
      </w:r>
      <w:r w:rsidRPr="00DF2485">
        <w:t>,</w:t>
      </w:r>
      <w:r>
        <w:t xml:space="preserve"> (iii)</w:t>
      </w:r>
      <w:r w:rsidRPr="00DF2485">
        <w:t xml:space="preserve"> institutional framework</w:t>
      </w:r>
      <w:r>
        <w:t>s</w:t>
      </w:r>
      <w:r w:rsidRPr="00DF2485">
        <w:t xml:space="preserve"> and governance, </w:t>
      </w:r>
      <w:r>
        <w:t xml:space="preserve">and (iv) </w:t>
      </w:r>
      <w:r w:rsidRPr="00DF2485">
        <w:t>environmental</w:t>
      </w:r>
      <w:r>
        <w:t>.</w:t>
      </w:r>
    </w:p>
    <w:p w14:paraId="287B50EF" w14:textId="4BF4F9FF" w:rsidR="005D435E" w:rsidRDefault="00DF2485" w:rsidP="005D435E">
      <w:pPr>
        <w:jc w:val="both"/>
      </w:pPr>
      <w:r w:rsidRPr="00DF2485">
        <w:rPr>
          <w:b/>
          <w:bCs/>
        </w:rPr>
        <w:t>Financial sustainability</w:t>
      </w:r>
      <w:r>
        <w:rPr>
          <w:b/>
          <w:bCs/>
        </w:rPr>
        <w:t xml:space="preserve">. </w:t>
      </w:r>
      <w:r w:rsidR="00D05940">
        <w:t xml:space="preserve">Individual LSPs will continue to be the main driving force for the widespread adoption </w:t>
      </w:r>
      <w:r w:rsidR="00866F08">
        <w:t xml:space="preserve">of </w:t>
      </w:r>
      <w:r w:rsidR="00D05940">
        <w:t>green logistics technologies and practices. L</w:t>
      </w:r>
      <w:r w:rsidR="00306872">
        <w:t>SP</w:t>
      </w:r>
      <w:r w:rsidR="00D05940">
        <w:t xml:space="preserve">s will make investment decisions based on the prevailing business environment and the available information available about </w:t>
      </w:r>
      <w:r w:rsidR="00866F08">
        <w:t xml:space="preserve">the </w:t>
      </w:r>
      <w:r w:rsidR="00D05940">
        <w:t>costs and comparative advantages of these technologies and practices.</w:t>
      </w:r>
      <w:r w:rsidR="003A3C61">
        <w:t xml:space="preserve"> While the views from interviewees were not unanimous, most stakeholders consulted during this evaluation considered that</w:t>
      </w:r>
      <w:r w:rsidR="009310AD">
        <w:t>, t</w:t>
      </w:r>
      <w:r w:rsidR="00D05940">
        <w:t>hrough pilot project</w:t>
      </w:r>
      <w:r w:rsidR="00866F08">
        <w:t>s</w:t>
      </w:r>
      <w:r w:rsidR="00D05940">
        <w:t xml:space="preserve"> and research, the project has demonstrated the financial and operational benefits from green </w:t>
      </w:r>
      <w:r w:rsidR="00866F08">
        <w:t>logistics.</w:t>
      </w:r>
      <w:r w:rsidR="003A3C61">
        <w:t xml:space="preserve"> </w:t>
      </w:r>
      <w:r w:rsidR="00866F08">
        <w:t>In</w:t>
      </w:r>
      <w:r w:rsidR="00D05940">
        <w:t xml:space="preserve"> the highly competitive environment of the logistics industry, those benefits are highly valued by enterprises and weigh heavily </w:t>
      </w:r>
      <w:r w:rsidR="00306872">
        <w:t>i</w:t>
      </w:r>
      <w:r w:rsidR="00D05940">
        <w:t>n their investment decisions. A decisive factor is, then, the degree to which the evidence of those benefits w</w:t>
      </w:r>
      <w:r w:rsidR="000645B5">
        <w:t>as</w:t>
      </w:r>
      <w:r w:rsidR="00D05940">
        <w:t xml:space="preserve"> disseminated among industry stakeholders and how easily they can incorporate </w:t>
      </w:r>
      <w:r w:rsidR="000645B5">
        <w:t xml:space="preserve">that knowledge into their investment analysis. </w:t>
      </w:r>
      <w:r w:rsidR="00866F08">
        <w:t>E</w:t>
      </w:r>
      <w:r w:rsidR="00306872">
        <w:t xml:space="preserve">vidence shows that, to a point, the project disseminated the knowledge generated by pilot demonstrations and research. Going forward, to ensure the sustainability of project results, project partners would need to play a role in disseminating this knowledge further, and in generating new information. Fortunately, the project built partnerships with key stakeholders (i.e.  Zhejiang Logistics Association) who could play that role. Therefore, the rating for financial sustainability is likely (L). </w:t>
      </w:r>
    </w:p>
    <w:p w14:paraId="0A6FD0BE" w14:textId="21B4BE9A" w:rsidR="00306872" w:rsidRDefault="00D93DB9" w:rsidP="005D435E">
      <w:pPr>
        <w:jc w:val="both"/>
      </w:pPr>
      <w:r w:rsidRPr="00D93DB9">
        <w:rPr>
          <w:b/>
          <w:bCs/>
        </w:rPr>
        <w:t>Socio-political sustainability</w:t>
      </w:r>
      <w:r>
        <w:t xml:space="preserve">. </w:t>
      </w:r>
      <w:r w:rsidR="00EF3F3E">
        <w:t xml:space="preserve">Stakeholders, including LSPs and government authorities, have an interest in expanding the deployment of green logistics technologies and practices. As discussed above, these technologies and practices have financial and operational characteristics that </w:t>
      </w:r>
      <w:r w:rsidR="00D73508">
        <w:t xml:space="preserve">the </w:t>
      </w:r>
      <w:r w:rsidR="00EF3F3E">
        <w:t xml:space="preserve">benefit enterprises that adopt them. Authorities are interested in the contribution of green logistics to business competitiveness, energy security, environmental quality, and climate change mitigation. The public´s awareness and attitudes towards green logistics have not been assessed by the project or the evaluation team, but there is no evidence that they </w:t>
      </w:r>
      <w:r w:rsidR="007B37F5">
        <w:t>could be</w:t>
      </w:r>
      <w:r w:rsidR="00EF3F3E">
        <w:t xml:space="preserve"> against it.</w:t>
      </w:r>
      <w:r w:rsidR="007B37F5">
        <w:t xml:space="preserve"> The </w:t>
      </w:r>
      <w:r w:rsidR="007B37F5" w:rsidRPr="007B37F5">
        <w:t>socio-political</w:t>
      </w:r>
      <w:r w:rsidR="007B37F5">
        <w:t xml:space="preserve"> sustainability is rated as likely (L).</w:t>
      </w:r>
    </w:p>
    <w:p w14:paraId="2460120F" w14:textId="46CE750B" w:rsidR="00FF24C5" w:rsidRDefault="007B37F5" w:rsidP="005D435E">
      <w:pPr>
        <w:jc w:val="both"/>
      </w:pPr>
      <w:r w:rsidRPr="00B2722F">
        <w:rPr>
          <w:b/>
          <w:bCs/>
        </w:rPr>
        <w:t>Institutional frameworks and governance</w:t>
      </w:r>
      <w:r>
        <w:t xml:space="preserve">. </w:t>
      </w:r>
      <w:r w:rsidR="00C94F5C">
        <w:t xml:space="preserve">During the </w:t>
      </w:r>
      <w:r w:rsidR="00321626">
        <w:t xml:space="preserve">formulation and </w:t>
      </w:r>
      <w:r w:rsidR="00C94F5C">
        <w:t xml:space="preserve">implementation of the project, the </w:t>
      </w:r>
      <w:r w:rsidR="00C44884">
        <w:t xml:space="preserve">Government </w:t>
      </w:r>
      <w:r w:rsidR="00D73508">
        <w:t xml:space="preserve">of China </w:t>
      </w:r>
      <w:r w:rsidR="00C44884">
        <w:t>and the Government of Zhejiang Province incorporated concepts on green logistics in relevant policies and plans, including the 14</w:t>
      </w:r>
      <w:r w:rsidR="00C44884" w:rsidRPr="008E43F6">
        <w:rPr>
          <w:vertAlign w:val="superscript"/>
        </w:rPr>
        <w:t>th</w:t>
      </w:r>
      <w:r w:rsidR="00C44884">
        <w:t xml:space="preserve"> Five-Year Plan by the Government of Zhejiang Province</w:t>
      </w:r>
      <w:r w:rsidR="00C44884">
        <w:rPr>
          <w:rStyle w:val="FootnoteReference"/>
        </w:rPr>
        <w:footnoteReference w:id="83"/>
      </w:r>
      <w:r w:rsidR="00C44884">
        <w:t xml:space="preserve"> </w:t>
      </w:r>
      <w:r w:rsidR="00C94F5C">
        <w:t>(</w:t>
      </w:r>
      <w:r w:rsidR="00C94F5C">
        <w:fldChar w:fldCharType="begin"/>
      </w:r>
      <w:r w:rsidR="00C94F5C">
        <w:instrText xml:space="preserve"> REF _Ref61262703 \h </w:instrText>
      </w:r>
      <w:r w:rsidR="00C94F5C">
        <w:fldChar w:fldCharType="separate"/>
      </w:r>
      <w:r w:rsidR="00D73508" w:rsidRPr="00A64EE1">
        <w:t xml:space="preserve">Table </w:t>
      </w:r>
      <w:r w:rsidR="00D73508">
        <w:rPr>
          <w:noProof/>
        </w:rPr>
        <w:t>14</w:t>
      </w:r>
      <w:r w:rsidR="00C94F5C">
        <w:fldChar w:fldCharType="end"/>
      </w:r>
      <w:r w:rsidR="00C94F5C">
        <w:t xml:space="preserve"> summarizes these developments).</w:t>
      </w:r>
      <w:r w:rsidR="00321626">
        <w:t xml:space="preserve"> </w:t>
      </w:r>
      <w:r w:rsidR="00D73508">
        <w:t>By</w:t>
      </w:r>
      <w:r w:rsidR="00321626">
        <w:t xml:space="preserve"> themselves, these actions do not guarantee sustainability, but </w:t>
      </w:r>
      <w:r w:rsidR="00D73508">
        <w:t xml:space="preserve">they </w:t>
      </w:r>
      <w:r w:rsidR="00321626">
        <w:t xml:space="preserve">signal a keen interest in furthering the adoption of green logistics technologies and practices. </w:t>
      </w:r>
      <w:r w:rsidR="00FF24C5">
        <w:t xml:space="preserve">Interviewees considered that the inclusion of green logistics in the Province´s Five-Year Plan </w:t>
      </w:r>
      <w:r w:rsidR="001A3738">
        <w:t>will have</w:t>
      </w:r>
      <w:r w:rsidR="00FF24C5">
        <w:t xml:space="preserve"> a meaningful impact on the future of the energy efficiency performance of this industry.</w:t>
      </w:r>
    </w:p>
    <w:p w14:paraId="359358B8" w14:textId="28E39C0E" w:rsidR="005D435E" w:rsidRDefault="00CD6ED9" w:rsidP="005D435E">
      <w:pPr>
        <w:jc w:val="both"/>
      </w:pPr>
      <w:r>
        <w:t>Direct financial incentives played an important role in the implementation of pilot projects under component two</w:t>
      </w:r>
      <w:r w:rsidR="001A3738">
        <w:t xml:space="preserve"> of the project</w:t>
      </w:r>
      <w:r>
        <w:t>. Consultations with stakeholders during this TE pointed to a likely continuation of these benefits in the immediate future.</w:t>
      </w:r>
      <w:r w:rsidR="005F0A63">
        <w:t xml:space="preserve"> For example, stakeholders indicated that there are now financial incentives from the government that are available to LSPs to investment in low-carbon vehicles.</w:t>
      </w:r>
      <w:r w:rsidR="00663573">
        <w:t xml:space="preserve"> Providing technical assistance to LSPs (especially small- and medium-sized companies) is an important supporting role </w:t>
      </w:r>
      <w:r w:rsidR="00556C5F">
        <w:t xml:space="preserve">in the promotion of green logistics. Consultations with stakeholders did not </w:t>
      </w:r>
      <w:r w:rsidR="00556C5F">
        <w:lastRenderedPageBreak/>
        <w:t>identify a stakeholder who would likely take on this role in the future. The rating for sustainable regarding i</w:t>
      </w:r>
      <w:r w:rsidR="00556C5F" w:rsidRPr="00556C5F">
        <w:t>nstitutional frameworks and governance</w:t>
      </w:r>
      <w:r w:rsidR="00556C5F">
        <w:t xml:space="preserve"> is moderately likely (ML)</w:t>
      </w:r>
      <w:r w:rsidR="0095220E">
        <w:t>.</w:t>
      </w:r>
    </w:p>
    <w:p w14:paraId="011CC656" w14:textId="27077DC1" w:rsidR="0095220E" w:rsidRDefault="00C85BBC" w:rsidP="005D435E">
      <w:pPr>
        <w:jc w:val="both"/>
      </w:pPr>
      <w:r w:rsidRPr="00C85BBC">
        <w:rPr>
          <w:b/>
          <w:bCs/>
        </w:rPr>
        <w:t>Environmental</w:t>
      </w:r>
      <w:r>
        <w:t xml:space="preserve">. </w:t>
      </w:r>
      <w:r w:rsidR="00895B42">
        <w:t>Green logistics technologies and practices have environmental benefits in terms of energy savings</w:t>
      </w:r>
      <w:r w:rsidR="00A603D2">
        <w:t>, air quality, and waste management</w:t>
      </w:r>
      <w:r w:rsidR="00895B42">
        <w:t xml:space="preserve">. </w:t>
      </w:r>
      <w:r w:rsidR="00A603D2">
        <w:t>Practices related to green buildings have additional benefits on water efficiency, indoor-air quality, waste management</w:t>
      </w:r>
      <w:r w:rsidR="00837CE3">
        <w:t>,</w:t>
      </w:r>
      <w:r w:rsidR="00A603D2">
        <w:t xml:space="preserve"> and others. No significant, negative environmental impact from green logistics and practices promoted in Zhejiang Province had been identified. In conclusion, the environmental sustainability is likely</w:t>
      </w:r>
      <w:r w:rsidR="00837CE3">
        <w:t xml:space="preserve"> (L)</w:t>
      </w:r>
      <w:r w:rsidR="00A603D2">
        <w:t>.</w:t>
      </w:r>
    </w:p>
    <w:p w14:paraId="0D940A04" w14:textId="44D2B10F" w:rsidR="0043662F" w:rsidRDefault="0043662F" w:rsidP="0043662F">
      <w:pPr>
        <w:jc w:val="both"/>
      </w:pPr>
      <w:r>
        <w:t xml:space="preserve">Each assessed area of sustainability is individually rated on a four-point scale from unlikely (U), to likely (L). Based on the rating of individual areas, the overall likelihood of sustainability is ranked on the same four-point scale. The ratings are provided in </w:t>
      </w:r>
      <w:r w:rsidR="00837CE3">
        <w:fldChar w:fldCharType="begin"/>
      </w:r>
      <w:r w:rsidR="00837CE3">
        <w:instrText xml:space="preserve"> REF _Ref64383978 \h </w:instrText>
      </w:r>
      <w:r w:rsidR="00837CE3">
        <w:fldChar w:fldCharType="separate"/>
      </w:r>
      <w:r w:rsidR="00837CE3">
        <w:t xml:space="preserve">Table </w:t>
      </w:r>
      <w:r w:rsidR="00837CE3">
        <w:rPr>
          <w:noProof/>
        </w:rPr>
        <w:t>21</w:t>
      </w:r>
      <w:r w:rsidR="00837CE3">
        <w:fldChar w:fldCharType="end"/>
      </w:r>
      <w:r>
        <w:fldChar w:fldCharType="begin"/>
      </w:r>
      <w:r>
        <w:instrText xml:space="preserve"> REF _Ref62036039 \h </w:instrText>
      </w:r>
      <w:r>
        <w:fldChar w:fldCharType="end"/>
      </w:r>
      <w:r>
        <w:t xml:space="preserve">, below. An explanation of the ratings scale is provided in </w:t>
      </w:r>
      <w:r>
        <w:fldChar w:fldCharType="begin"/>
      </w:r>
      <w:r>
        <w:instrText xml:space="preserve"> REF _Ref61533923 \r \h </w:instrText>
      </w:r>
      <w:r>
        <w:fldChar w:fldCharType="separate"/>
      </w:r>
      <w:r w:rsidR="00837CE3">
        <w:t>Annex E</w:t>
      </w:r>
      <w:r>
        <w:fldChar w:fldCharType="end"/>
      </w:r>
      <w:r>
        <w:t>.</w:t>
      </w:r>
    </w:p>
    <w:p w14:paraId="0350FF91" w14:textId="7304DDA1" w:rsidR="0043662F" w:rsidRDefault="0043662F" w:rsidP="0043662F">
      <w:pPr>
        <w:pStyle w:val="Caption"/>
        <w:ind w:left="1134" w:right="2556"/>
      </w:pPr>
      <w:bookmarkStart w:id="61" w:name="_Ref64383978"/>
      <w:r>
        <w:t xml:space="preserve">Table </w:t>
      </w:r>
      <w:r>
        <w:fldChar w:fldCharType="begin"/>
      </w:r>
      <w:r>
        <w:instrText xml:space="preserve"> SEQ Table \* ARABIC </w:instrText>
      </w:r>
      <w:r>
        <w:fldChar w:fldCharType="separate"/>
      </w:r>
      <w:r w:rsidR="00837CE3">
        <w:rPr>
          <w:noProof/>
        </w:rPr>
        <w:t>21</w:t>
      </w:r>
      <w:r>
        <w:fldChar w:fldCharType="end"/>
      </w:r>
      <w:bookmarkEnd w:id="61"/>
      <w:r>
        <w:t>. Evaluation ratings of sustainability</w:t>
      </w:r>
    </w:p>
    <w:tbl>
      <w:tblPr>
        <w:tblStyle w:val="TableGrid"/>
        <w:tblW w:w="0" w:type="auto"/>
        <w:tblInd w:w="1129" w:type="dxa"/>
        <w:tblLook w:val="04A0" w:firstRow="1" w:lastRow="0" w:firstColumn="1" w:lastColumn="0" w:noHBand="0" w:noVBand="1"/>
      </w:tblPr>
      <w:tblGrid>
        <w:gridCol w:w="3969"/>
        <w:gridCol w:w="1701"/>
      </w:tblGrid>
      <w:tr w:rsidR="0043662F" w:rsidRPr="00A433DD" w14:paraId="13C37A45" w14:textId="77777777" w:rsidTr="00C849FC">
        <w:tc>
          <w:tcPr>
            <w:tcW w:w="3969" w:type="dxa"/>
            <w:shd w:val="clear" w:color="auto" w:fill="77ACDC" w:themeFill="accent5" w:themeFillTint="99"/>
          </w:tcPr>
          <w:p w14:paraId="5569156C" w14:textId="6669394B" w:rsidR="0043662F" w:rsidRPr="00A433DD" w:rsidRDefault="0043662F" w:rsidP="00C849FC">
            <w:pPr>
              <w:ind w:left="176" w:hanging="176"/>
              <w:jc w:val="both"/>
            </w:pPr>
            <w:r>
              <w:t>Assessment of sustainability</w:t>
            </w:r>
          </w:p>
        </w:tc>
        <w:tc>
          <w:tcPr>
            <w:tcW w:w="1701" w:type="dxa"/>
            <w:shd w:val="clear" w:color="auto" w:fill="77ACDC" w:themeFill="accent5" w:themeFillTint="99"/>
          </w:tcPr>
          <w:p w14:paraId="3B67AF79" w14:textId="77777777" w:rsidR="0043662F" w:rsidRPr="00A433DD" w:rsidRDefault="0043662F" w:rsidP="0043662F">
            <w:pPr>
              <w:jc w:val="center"/>
            </w:pPr>
            <w:r w:rsidRPr="00A433DD">
              <w:t>Rating</w:t>
            </w:r>
          </w:p>
        </w:tc>
      </w:tr>
      <w:tr w:rsidR="0043662F" w14:paraId="3B048E07" w14:textId="77777777" w:rsidTr="00C849FC">
        <w:tc>
          <w:tcPr>
            <w:tcW w:w="3969" w:type="dxa"/>
          </w:tcPr>
          <w:p w14:paraId="4D365D37" w14:textId="3886B44A" w:rsidR="0043662F" w:rsidRPr="0043662F" w:rsidRDefault="0043662F" w:rsidP="00C849FC">
            <w:r w:rsidRPr="0043662F">
              <w:t xml:space="preserve">Financial </w:t>
            </w:r>
          </w:p>
        </w:tc>
        <w:tc>
          <w:tcPr>
            <w:tcW w:w="1701" w:type="dxa"/>
          </w:tcPr>
          <w:p w14:paraId="39A2F101" w14:textId="04E6BAC2" w:rsidR="0043662F" w:rsidRPr="00AB7771" w:rsidRDefault="0043662F" w:rsidP="00C849FC">
            <w:pPr>
              <w:jc w:val="center"/>
              <w:rPr>
                <w:b/>
                <w:bCs/>
              </w:rPr>
            </w:pPr>
            <w:r w:rsidRPr="00AB7771">
              <w:rPr>
                <w:b/>
                <w:bCs/>
              </w:rPr>
              <w:t>L</w:t>
            </w:r>
          </w:p>
        </w:tc>
      </w:tr>
      <w:tr w:rsidR="0043662F" w14:paraId="01B80FDA" w14:textId="77777777" w:rsidTr="00C849FC">
        <w:tc>
          <w:tcPr>
            <w:tcW w:w="3969" w:type="dxa"/>
          </w:tcPr>
          <w:p w14:paraId="38C97424" w14:textId="088E28E5" w:rsidR="0043662F" w:rsidRPr="0043662F" w:rsidRDefault="0043662F" w:rsidP="00C849FC">
            <w:r w:rsidRPr="0043662F">
              <w:t>Socio-political</w:t>
            </w:r>
          </w:p>
        </w:tc>
        <w:tc>
          <w:tcPr>
            <w:tcW w:w="1701" w:type="dxa"/>
          </w:tcPr>
          <w:p w14:paraId="23795B80" w14:textId="229757E1" w:rsidR="0043662F" w:rsidRPr="00AB7771" w:rsidRDefault="0043662F" w:rsidP="00C849FC">
            <w:pPr>
              <w:jc w:val="center"/>
              <w:rPr>
                <w:b/>
                <w:bCs/>
              </w:rPr>
            </w:pPr>
            <w:r w:rsidRPr="00AB7771">
              <w:rPr>
                <w:b/>
                <w:bCs/>
              </w:rPr>
              <w:t>L</w:t>
            </w:r>
          </w:p>
        </w:tc>
      </w:tr>
      <w:tr w:rsidR="0043662F" w14:paraId="498E6C85" w14:textId="77777777" w:rsidTr="00C849FC">
        <w:tc>
          <w:tcPr>
            <w:tcW w:w="3969" w:type="dxa"/>
          </w:tcPr>
          <w:p w14:paraId="37655137" w14:textId="4C461AB5" w:rsidR="0043662F" w:rsidRPr="0043662F" w:rsidRDefault="0043662F" w:rsidP="00C849FC">
            <w:r w:rsidRPr="0043662F">
              <w:t>Institutional frameworks and governance</w:t>
            </w:r>
          </w:p>
        </w:tc>
        <w:tc>
          <w:tcPr>
            <w:tcW w:w="1701" w:type="dxa"/>
          </w:tcPr>
          <w:p w14:paraId="44E969D8" w14:textId="2F5D5590" w:rsidR="0043662F" w:rsidRPr="00AB7771" w:rsidRDefault="0043662F" w:rsidP="00C849FC">
            <w:pPr>
              <w:jc w:val="center"/>
              <w:rPr>
                <w:b/>
                <w:bCs/>
              </w:rPr>
            </w:pPr>
            <w:r w:rsidRPr="00AB7771">
              <w:rPr>
                <w:b/>
                <w:bCs/>
              </w:rPr>
              <w:t>ML</w:t>
            </w:r>
          </w:p>
        </w:tc>
      </w:tr>
      <w:tr w:rsidR="0043662F" w14:paraId="37E76B04" w14:textId="77777777" w:rsidTr="00C849FC">
        <w:tc>
          <w:tcPr>
            <w:tcW w:w="3969" w:type="dxa"/>
          </w:tcPr>
          <w:p w14:paraId="0D44C337" w14:textId="10B5BDF6" w:rsidR="0043662F" w:rsidRPr="0043662F" w:rsidRDefault="0043662F" w:rsidP="00C849FC">
            <w:r w:rsidRPr="0043662F">
              <w:t>Environmental</w:t>
            </w:r>
          </w:p>
        </w:tc>
        <w:tc>
          <w:tcPr>
            <w:tcW w:w="1701" w:type="dxa"/>
          </w:tcPr>
          <w:p w14:paraId="2201BE1F" w14:textId="2AA8432A" w:rsidR="0043662F" w:rsidRPr="00AB7771" w:rsidRDefault="0043662F" w:rsidP="00C849FC">
            <w:pPr>
              <w:jc w:val="center"/>
              <w:rPr>
                <w:b/>
                <w:bCs/>
              </w:rPr>
            </w:pPr>
            <w:r w:rsidRPr="00AB7771">
              <w:rPr>
                <w:b/>
                <w:bCs/>
              </w:rPr>
              <w:t>L</w:t>
            </w:r>
          </w:p>
        </w:tc>
      </w:tr>
      <w:tr w:rsidR="0043662F" w14:paraId="7BC0D1B0" w14:textId="77777777" w:rsidTr="00C849FC">
        <w:tc>
          <w:tcPr>
            <w:tcW w:w="3969" w:type="dxa"/>
          </w:tcPr>
          <w:p w14:paraId="44015926" w14:textId="139C1BC5" w:rsidR="0043662F" w:rsidRPr="0043662F" w:rsidRDefault="0043662F" w:rsidP="00C849FC">
            <w:r w:rsidRPr="0043662F">
              <w:t>Overall likelihood</w:t>
            </w:r>
          </w:p>
        </w:tc>
        <w:tc>
          <w:tcPr>
            <w:tcW w:w="1701" w:type="dxa"/>
          </w:tcPr>
          <w:p w14:paraId="02C5DD20" w14:textId="14257189" w:rsidR="0043662F" w:rsidRPr="00AB7771" w:rsidRDefault="0043662F" w:rsidP="00C849FC">
            <w:pPr>
              <w:jc w:val="center"/>
              <w:rPr>
                <w:b/>
                <w:bCs/>
              </w:rPr>
            </w:pPr>
            <w:r w:rsidRPr="00AB7771">
              <w:rPr>
                <w:b/>
                <w:bCs/>
              </w:rPr>
              <w:t>L</w:t>
            </w:r>
          </w:p>
        </w:tc>
      </w:tr>
    </w:tbl>
    <w:p w14:paraId="14CE576E" w14:textId="4AFCC8F0" w:rsidR="0095220E" w:rsidRDefault="0095220E" w:rsidP="005D435E">
      <w:pPr>
        <w:jc w:val="both"/>
      </w:pPr>
    </w:p>
    <w:p w14:paraId="7C24351E" w14:textId="09D09B98" w:rsidR="008E2C94" w:rsidRDefault="008E2C94" w:rsidP="00DE67CF">
      <w:pPr>
        <w:pStyle w:val="ListParagraph"/>
        <w:numPr>
          <w:ilvl w:val="2"/>
          <w:numId w:val="47"/>
        </w:numPr>
        <w:jc w:val="both"/>
        <w:rPr>
          <w:color w:val="2E75B6" w:themeColor="accent5"/>
        </w:rPr>
      </w:pPr>
      <w:r w:rsidRPr="008E2C94">
        <w:rPr>
          <w:color w:val="2E75B6" w:themeColor="accent5"/>
        </w:rPr>
        <w:t>Country ownership</w:t>
      </w:r>
    </w:p>
    <w:p w14:paraId="5E8EA1DE" w14:textId="4DE89A42" w:rsidR="004F6A58" w:rsidRDefault="00C849FC" w:rsidP="004F6A58">
      <w:pPr>
        <w:jc w:val="both"/>
      </w:pPr>
      <w:r w:rsidRPr="00C849FC">
        <w:t xml:space="preserve">The </w:t>
      </w:r>
      <w:r>
        <w:t>Government</w:t>
      </w:r>
      <w:r w:rsidR="000B2489">
        <w:t xml:space="preserve">s </w:t>
      </w:r>
      <w:r>
        <w:t>of Zhejiang Province</w:t>
      </w:r>
      <w:r w:rsidR="000B2489">
        <w:t xml:space="preserve"> and Fu</w:t>
      </w:r>
      <w:r w:rsidR="000B12DA">
        <w:t>y</w:t>
      </w:r>
      <w:r w:rsidR="000B2489">
        <w:t xml:space="preserve">ang City </w:t>
      </w:r>
      <w:r>
        <w:t xml:space="preserve">participated in the formulation and implementation of the project. </w:t>
      </w:r>
      <w:r w:rsidR="00C44884">
        <w:t>The</w:t>
      </w:r>
      <w:r w:rsidR="000B2489">
        <w:t>ir</w:t>
      </w:r>
      <w:r w:rsidR="00C44884">
        <w:t xml:space="preserve"> support to the project has been demonstrated in many instances, for example, the Government of Zhejiang Province and Fuyang City contributed </w:t>
      </w:r>
      <w:r w:rsidR="003A1D83">
        <w:t xml:space="preserve">significant </w:t>
      </w:r>
      <w:r w:rsidR="00C44884">
        <w:t>cofinancing resources</w:t>
      </w:r>
      <w:r w:rsidR="003A1D83">
        <w:t xml:space="preserve"> for the implementation of demonstration projects</w:t>
      </w:r>
      <w:r w:rsidR="00FE3AFD">
        <w:t>. ZDRC was a member of the PSC and participated actively in meetings and decisions.</w:t>
      </w:r>
      <w:r w:rsidR="00C44884">
        <w:t xml:space="preserve"> </w:t>
      </w:r>
      <w:r>
        <w:t xml:space="preserve">At important milestones, including </w:t>
      </w:r>
      <w:r w:rsidR="00696EE1">
        <w:t xml:space="preserve">the launch of the Zhejiang </w:t>
      </w:r>
      <w:r w:rsidR="00696EE1" w:rsidRPr="00696EE1">
        <w:t>Green Logistics Development Index</w:t>
      </w:r>
      <w:r w:rsidR="00696EE1">
        <w:t xml:space="preserve">, </w:t>
      </w:r>
      <w:r>
        <w:t>the</w:t>
      </w:r>
      <w:r w:rsidRPr="00C849FC">
        <w:t xml:space="preserve"> </w:t>
      </w:r>
      <w:r>
        <w:t xml:space="preserve">Government of </w:t>
      </w:r>
      <w:r w:rsidR="00696EE1">
        <w:t xml:space="preserve">the </w:t>
      </w:r>
      <w:r>
        <w:t xml:space="preserve">Province expressed support </w:t>
      </w:r>
      <w:r w:rsidR="003A1D83">
        <w:t>for</w:t>
      </w:r>
      <w:r>
        <w:t xml:space="preserve"> the project’s initiatives, including by the Deputy Governor and the </w:t>
      </w:r>
      <w:r w:rsidRPr="00406DF7">
        <w:t>Director of Development and Reform Commission</w:t>
      </w:r>
      <w:r>
        <w:t>.</w:t>
      </w:r>
      <w:r>
        <w:rPr>
          <w:rStyle w:val="FootnoteReference"/>
        </w:rPr>
        <w:footnoteReference w:id="84"/>
      </w:r>
      <w:r w:rsidR="00696EE1">
        <w:t xml:space="preserve"> </w:t>
      </w:r>
      <w:r w:rsidR="00C44884">
        <w:t>As indicated in the preceding section on i</w:t>
      </w:r>
      <w:r w:rsidR="00C44884" w:rsidRPr="00C44884">
        <w:t>nstitutional frameworks and governance</w:t>
      </w:r>
      <w:r w:rsidR="00C44884">
        <w:t xml:space="preserve">, the </w:t>
      </w:r>
      <w:r w:rsidR="00C44884" w:rsidRPr="00C44884">
        <w:t xml:space="preserve">national Government and the Government of Zhejiang Province </w:t>
      </w:r>
      <w:r w:rsidR="00C44884">
        <w:t>have included green logistics in key</w:t>
      </w:r>
      <w:r w:rsidR="00C44884" w:rsidRPr="00C44884">
        <w:t xml:space="preserve"> policies and plans</w:t>
      </w:r>
      <w:r w:rsidR="00C44884">
        <w:t xml:space="preserve">. </w:t>
      </w:r>
      <w:r w:rsidR="004F6A58" w:rsidRPr="0086614E">
        <w:t>Results from the project, especially from pilot demonstration projects under component 2, were showcased at the Chinese pavilion at the 24</w:t>
      </w:r>
      <w:r w:rsidR="004F6A58" w:rsidRPr="0086614E">
        <w:rPr>
          <w:vertAlign w:val="superscript"/>
        </w:rPr>
        <w:t>th</w:t>
      </w:r>
      <w:r w:rsidR="004F6A58" w:rsidRPr="0086614E">
        <w:t xml:space="preserve"> Conferences of the Parties (COP) </w:t>
      </w:r>
      <w:r w:rsidR="0086614E" w:rsidRPr="0086614E">
        <w:t>of</w:t>
      </w:r>
      <w:r w:rsidR="004F6A58" w:rsidRPr="0086614E">
        <w:t xml:space="preserve"> the United Nations Framework Convention on Climate Change (</w:t>
      </w:r>
      <w:r w:rsidR="0086614E" w:rsidRPr="0086614E">
        <w:t>UNFCCC).</w:t>
      </w:r>
      <w:r w:rsidR="00C44884">
        <w:rPr>
          <w:rStyle w:val="FootnoteReference"/>
        </w:rPr>
        <w:footnoteReference w:id="85"/>
      </w:r>
      <w:r w:rsidR="0086614E" w:rsidRPr="0086614E">
        <w:t xml:space="preserve"> </w:t>
      </w:r>
    </w:p>
    <w:p w14:paraId="1416B6D0" w14:textId="2F3E212A" w:rsidR="008E2C94" w:rsidRDefault="008E2C94" w:rsidP="00BF7788">
      <w:pPr>
        <w:pStyle w:val="ListParagraph"/>
        <w:numPr>
          <w:ilvl w:val="2"/>
          <w:numId w:val="47"/>
        </w:numPr>
        <w:jc w:val="both"/>
        <w:rPr>
          <w:color w:val="2E75B6" w:themeColor="accent5"/>
        </w:rPr>
      </w:pPr>
      <w:r w:rsidRPr="008E2C94">
        <w:rPr>
          <w:color w:val="2E75B6" w:themeColor="accent5"/>
        </w:rPr>
        <w:t>Gender</w:t>
      </w:r>
      <w:r w:rsidR="00BF7788">
        <w:rPr>
          <w:color w:val="2E75B6" w:themeColor="accent5"/>
        </w:rPr>
        <w:t xml:space="preserve"> </w:t>
      </w:r>
      <w:r w:rsidR="00BF7788" w:rsidRPr="00BF7788">
        <w:rPr>
          <w:color w:val="2E75B6" w:themeColor="accent5"/>
        </w:rPr>
        <w:t>equality and women’s empowerment</w:t>
      </w:r>
    </w:p>
    <w:p w14:paraId="78177158" w14:textId="71F85ADB" w:rsidR="00BF7788" w:rsidRPr="00B33C19" w:rsidRDefault="00B33C19" w:rsidP="00BF7788">
      <w:pPr>
        <w:jc w:val="both"/>
      </w:pPr>
      <w:r w:rsidRPr="00B33C19">
        <w:t xml:space="preserve">The </w:t>
      </w:r>
      <w:r>
        <w:t xml:space="preserve">project did not have a strong focus on gender </w:t>
      </w:r>
      <w:r w:rsidR="00BE41FC">
        <w:t>equality</w:t>
      </w:r>
      <w:r>
        <w:t xml:space="preserve">. The ProDoc only </w:t>
      </w:r>
      <w:r w:rsidR="00BE41FC">
        <w:t>referred</w:t>
      </w:r>
      <w:r>
        <w:t xml:space="preserve"> to gender issues when discussing environmental and social safeguards. Project reports discussed </w:t>
      </w:r>
      <w:r w:rsidR="00F07A04">
        <w:t xml:space="preserve">tangentially </w:t>
      </w:r>
      <w:r>
        <w:t>gender equality, with no specific actions to promote the participation of women in project activities, especially in training activities</w:t>
      </w:r>
      <w:r w:rsidR="00F809FC">
        <w:t xml:space="preserve"> (reports on training activities do not present information on the gender distribution of participants). </w:t>
      </w:r>
      <w:r>
        <w:t xml:space="preserve">As discussed in </w:t>
      </w:r>
      <w:r>
        <w:fldChar w:fldCharType="begin"/>
      </w:r>
      <w:r>
        <w:instrText xml:space="preserve"> REF _Ref61440717 \h </w:instrText>
      </w:r>
      <w:r>
        <w:fldChar w:fldCharType="separate"/>
      </w:r>
      <w:r w:rsidR="00BE41FC">
        <w:t xml:space="preserve">Table </w:t>
      </w:r>
      <w:r w:rsidR="00BE41FC">
        <w:rPr>
          <w:noProof/>
        </w:rPr>
        <w:t>8</w:t>
      </w:r>
      <w:r>
        <w:fldChar w:fldCharType="end"/>
      </w:r>
      <w:r>
        <w:t xml:space="preserve"> </w:t>
      </w:r>
      <w:r w:rsidR="00F809FC">
        <w:t xml:space="preserve">(section </w:t>
      </w:r>
      <w:r>
        <w:fldChar w:fldCharType="begin"/>
      </w:r>
      <w:r>
        <w:instrText xml:space="preserve"> REF _Ref62049983 \r \h </w:instrText>
      </w:r>
      <w:r>
        <w:fldChar w:fldCharType="separate"/>
      </w:r>
      <w:r w:rsidR="00BE41FC">
        <w:t>4.2.1</w:t>
      </w:r>
      <w:r>
        <w:fldChar w:fldCharType="end"/>
      </w:r>
      <w:r w:rsidR="00F809FC">
        <w:t xml:space="preserve"> on adaptive management), the issue of the role of </w:t>
      </w:r>
      <w:r w:rsidR="00F809FC">
        <w:lastRenderedPageBreak/>
        <w:t>women in the logistics industry was raised by the MTR, however, as it was presented in the MTR report, the recommendation was not conducive to corrective actions by the project within the available time frame.</w:t>
      </w:r>
    </w:p>
    <w:p w14:paraId="4670073A" w14:textId="73C5AC62" w:rsidR="008E2C94" w:rsidRDefault="008E2C94" w:rsidP="00DE67CF">
      <w:pPr>
        <w:pStyle w:val="ListParagraph"/>
        <w:numPr>
          <w:ilvl w:val="2"/>
          <w:numId w:val="47"/>
        </w:numPr>
        <w:jc w:val="both"/>
        <w:rPr>
          <w:color w:val="2E75B6" w:themeColor="accent5"/>
        </w:rPr>
      </w:pPr>
      <w:r w:rsidRPr="008E2C94">
        <w:rPr>
          <w:color w:val="2E75B6" w:themeColor="accent5"/>
        </w:rPr>
        <w:t>Cross-cutting issues</w:t>
      </w:r>
    </w:p>
    <w:p w14:paraId="78A02407" w14:textId="602F2346" w:rsidR="00DD12A1" w:rsidRDefault="00DD12A1" w:rsidP="00771ECF">
      <w:pPr>
        <w:jc w:val="both"/>
      </w:pPr>
      <w:r>
        <w:t xml:space="preserve">As discussed in section </w:t>
      </w:r>
      <w:r>
        <w:fldChar w:fldCharType="begin"/>
      </w:r>
      <w:r>
        <w:instrText xml:space="preserve"> REF _Ref62116413 \r \h </w:instrText>
      </w:r>
      <w:r>
        <w:fldChar w:fldCharType="separate"/>
      </w:r>
      <w:r w:rsidR="00907161">
        <w:t>4.3.1</w:t>
      </w:r>
      <w:r>
        <w:fldChar w:fldCharType="end"/>
      </w:r>
      <w:r>
        <w:t xml:space="preserve">, the project made direct contributions to outcome 2., output 2.1. and indicator 2.1. of UNDP´s CPD for China (2016 – 2020) on environmental protection and green growth, climate change action, and GHG emissions, respectively. </w:t>
      </w:r>
      <w:r w:rsidR="00412C45">
        <w:t>The project was not necessarily aligned with o</w:t>
      </w:r>
      <w:r>
        <w:t xml:space="preserve">ther priorities in the CPD, </w:t>
      </w:r>
      <w:r w:rsidR="00412C45">
        <w:t xml:space="preserve">especially those under outcome 1 (i.e. </w:t>
      </w:r>
      <w:r>
        <w:t xml:space="preserve">poverty eradication, inequality reduction, </w:t>
      </w:r>
      <w:r w:rsidR="00412C45">
        <w:t>disadvantage and vulnerable groups).</w:t>
      </w:r>
      <w:r w:rsidR="00D57092">
        <w:t xml:space="preserve"> The project did, however, took advantage of the opportunity to contribute to international and </w:t>
      </w:r>
      <w:r>
        <w:t>South-South cooperation</w:t>
      </w:r>
      <w:r w:rsidR="00D57092">
        <w:t xml:space="preserve"> (outcome 3 of the CPD). The project’s results on the demonstration of green logistics are applicable to other countries, and the project team made efforts to disseminate best practices on green logistics in the context of activities for the promotion of the </w:t>
      </w:r>
      <w:r w:rsidR="00D57092" w:rsidRPr="00D57092">
        <w:t>Belt and Road</w:t>
      </w:r>
      <w:r w:rsidR="00D57092">
        <w:t xml:space="preserve"> Initiative (see discussion in </w:t>
      </w:r>
      <w:r w:rsidR="00D57092">
        <w:fldChar w:fldCharType="begin"/>
      </w:r>
      <w:r w:rsidR="00D57092">
        <w:instrText xml:space="preserve"> REF _Ref61440717 \h </w:instrText>
      </w:r>
      <w:r w:rsidR="00D57092">
        <w:fldChar w:fldCharType="separate"/>
      </w:r>
      <w:r w:rsidR="00907161">
        <w:t xml:space="preserve">Table </w:t>
      </w:r>
      <w:r w:rsidR="00907161">
        <w:rPr>
          <w:noProof/>
        </w:rPr>
        <w:t>8</w:t>
      </w:r>
      <w:r w:rsidR="00D57092">
        <w:fldChar w:fldCharType="end"/>
      </w:r>
      <w:r w:rsidR="00D57092">
        <w:t xml:space="preserve"> on MTR recommendations and management responses).</w:t>
      </w:r>
    </w:p>
    <w:p w14:paraId="72C07C5A" w14:textId="1C2BCB0B" w:rsidR="00A91F3B" w:rsidRDefault="00A91F3B" w:rsidP="00A91F3B">
      <w:pPr>
        <w:jc w:val="both"/>
      </w:pPr>
      <w:r>
        <w:t xml:space="preserve">As discussed in section </w:t>
      </w:r>
      <w:r>
        <w:fldChar w:fldCharType="begin"/>
      </w:r>
      <w:r>
        <w:instrText xml:space="preserve"> REF _Ref62116413 \r \h  \* MERGEFORMAT </w:instrText>
      </w:r>
      <w:r>
        <w:fldChar w:fldCharType="separate"/>
      </w:r>
      <w:r>
        <w:t>4.3.1</w:t>
      </w:r>
      <w:r>
        <w:fldChar w:fldCharType="end"/>
      </w:r>
      <w:r>
        <w:t>., th</w:t>
      </w:r>
      <w:r w:rsidR="00D57092">
        <w:t xml:space="preserve">e project contributed to </w:t>
      </w:r>
      <w:r w:rsidR="00F75D72">
        <w:t>five SDG</w:t>
      </w:r>
      <w:r>
        <w:t xml:space="preserve">: SDG 7. </w:t>
      </w:r>
      <w:r w:rsidRPr="00472D7C">
        <w:t>Affordable and clean energy</w:t>
      </w:r>
      <w:r>
        <w:t xml:space="preserve">, </w:t>
      </w:r>
      <w:r w:rsidRPr="00A91F3B">
        <w:t>SDG 9. Industry, innovation and infrastructure</w:t>
      </w:r>
      <w:r>
        <w:t xml:space="preserve">, SDG 11. </w:t>
      </w:r>
      <w:r w:rsidRPr="00472D7C">
        <w:t>Sustainable cities and communities</w:t>
      </w:r>
      <w:r>
        <w:t xml:space="preserve">, </w:t>
      </w:r>
      <w:r w:rsidRPr="00A91F3B">
        <w:t>SDG 12. Responsible consumption and production</w:t>
      </w:r>
      <w:r>
        <w:t>, and SDG 13. Climate action</w:t>
      </w:r>
    </w:p>
    <w:p w14:paraId="6516FFC7" w14:textId="39A5B08B" w:rsidR="00A91F3B" w:rsidRDefault="00A91F3B" w:rsidP="00771ECF">
      <w:pPr>
        <w:jc w:val="both"/>
      </w:pPr>
      <w:r>
        <w:t>Since there were no risks from safeguards identified, the project had little opportunity to mainstream social and environmental priorities in the context of managing safeguards’ risks.</w:t>
      </w:r>
    </w:p>
    <w:p w14:paraId="52D228B7" w14:textId="71293401" w:rsidR="008E2C94" w:rsidRDefault="008E2C94" w:rsidP="00DE67CF">
      <w:pPr>
        <w:pStyle w:val="ListParagraph"/>
        <w:numPr>
          <w:ilvl w:val="2"/>
          <w:numId w:val="47"/>
        </w:numPr>
        <w:jc w:val="both"/>
        <w:rPr>
          <w:color w:val="2E75B6" w:themeColor="accent5"/>
        </w:rPr>
      </w:pPr>
      <w:r w:rsidRPr="008E2C94">
        <w:rPr>
          <w:color w:val="2E75B6" w:themeColor="accent5"/>
        </w:rPr>
        <w:t>GEF additionality</w:t>
      </w:r>
    </w:p>
    <w:p w14:paraId="54BCEDCB" w14:textId="3A484F29" w:rsidR="007C4DB5" w:rsidRPr="007C4DB5" w:rsidRDefault="007C4DB5" w:rsidP="007C4DB5">
      <w:pPr>
        <w:jc w:val="both"/>
      </w:pPr>
      <w:r>
        <w:t>GEF additionally was not assessed since the project was approved before December 2018.</w:t>
      </w:r>
    </w:p>
    <w:p w14:paraId="6370DCDB" w14:textId="3941197A" w:rsidR="008E2C94" w:rsidRDefault="008E2C94" w:rsidP="00DE67CF">
      <w:pPr>
        <w:pStyle w:val="ListParagraph"/>
        <w:numPr>
          <w:ilvl w:val="2"/>
          <w:numId w:val="47"/>
        </w:numPr>
        <w:jc w:val="both"/>
        <w:rPr>
          <w:color w:val="2E75B6" w:themeColor="accent5"/>
        </w:rPr>
      </w:pPr>
      <w:r w:rsidRPr="008E2C94">
        <w:rPr>
          <w:color w:val="2E75B6" w:themeColor="accent5"/>
        </w:rPr>
        <w:t xml:space="preserve">Catalytic role / replication effect </w:t>
      </w:r>
    </w:p>
    <w:p w14:paraId="117B3A29" w14:textId="1DD4516A" w:rsidR="0064419C" w:rsidRDefault="00C226C5" w:rsidP="0064419C">
      <w:pPr>
        <w:jc w:val="both"/>
      </w:pPr>
      <w:r w:rsidRPr="00C226C5">
        <w:t xml:space="preserve">The </w:t>
      </w:r>
      <w:r>
        <w:t xml:space="preserve">project’s approach to replication was based on two complementary strategies: mainstreaming green logistics in development </w:t>
      </w:r>
      <w:r w:rsidR="00574B33">
        <w:t>plans and</w:t>
      </w:r>
      <w:r>
        <w:t xml:space="preserve"> generating and disseminating knowledge on green logistics technologies and practices. The first strategy successfully incorporated concepts of green logistics in planning at the national and provincial level, including the 14</w:t>
      </w:r>
      <w:r w:rsidRPr="008E43F6">
        <w:rPr>
          <w:vertAlign w:val="superscript"/>
        </w:rPr>
        <w:t>th</w:t>
      </w:r>
      <w:r>
        <w:t xml:space="preserve"> Five-Year Plan by the Government of Zhejiang Province</w:t>
      </w:r>
      <w:r>
        <w:rPr>
          <w:rStyle w:val="FootnoteReference"/>
        </w:rPr>
        <w:footnoteReference w:id="86"/>
      </w:r>
      <w:r>
        <w:t xml:space="preserve"> During project preparation and early implementation, a number of policies and plans were adopted by the national and provincial government to enable the adoption of green logistics and practices. </w:t>
      </w:r>
      <w:r>
        <w:fldChar w:fldCharType="begin"/>
      </w:r>
      <w:r>
        <w:instrText xml:space="preserve"> REF _Ref61262703 \h </w:instrText>
      </w:r>
      <w:r>
        <w:fldChar w:fldCharType="separate"/>
      </w:r>
      <w:r w:rsidR="00574B33" w:rsidRPr="00A64EE1">
        <w:t xml:space="preserve">Table </w:t>
      </w:r>
      <w:r w:rsidR="00574B33">
        <w:rPr>
          <w:noProof/>
        </w:rPr>
        <w:t>14</w:t>
      </w:r>
      <w:r>
        <w:fldChar w:fldCharType="end"/>
      </w:r>
      <w:r>
        <w:t xml:space="preserve"> summarizes these policies and plans and the provisions that are relevant </w:t>
      </w:r>
      <w:r w:rsidR="00574B33">
        <w:t xml:space="preserve">to </w:t>
      </w:r>
      <w:r>
        <w:t xml:space="preserve">the widespread adoption of green logistics. </w:t>
      </w:r>
    </w:p>
    <w:p w14:paraId="2C32A453" w14:textId="16FD695B" w:rsidR="00C226C5" w:rsidRDefault="00C226C5" w:rsidP="0064419C">
      <w:pPr>
        <w:jc w:val="both"/>
      </w:pPr>
      <w:r>
        <w:t>The second strategy, on knowledge transfer, produced standards, guidelines, and evidence from demonstration projects.</w:t>
      </w:r>
      <w:r w:rsidR="00EC333D">
        <w:t xml:space="preserve"> Examples of key knowledge products delivered by the project include:</w:t>
      </w:r>
    </w:p>
    <w:p w14:paraId="32D6F446" w14:textId="77777777" w:rsidR="00EC333D" w:rsidRDefault="00EC333D" w:rsidP="001F0D97">
      <w:pPr>
        <w:pStyle w:val="ListParagraph"/>
        <w:numPr>
          <w:ilvl w:val="0"/>
          <w:numId w:val="62"/>
        </w:numPr>
        <w:jc w:val="both"/>
      </w:pPr>
      <w:r w:rsidRPr="00822D33">
        <w:t>Evaluation Standards for Energy Saving and Carbon Reduction of Green Logistics in Zhejiang Province</w:t>
      </w:r>
      <w:r>
        <w:t>;</w:t>
      </w:r>
    </w:p>
    <w:p w14:paraId="07065FBD" w14:textId="144E090E" w:rsidR="00EC333D" w:rsidRDefault="00EC333D" w:rsidP="001F0D97">
      <w:pPr>
        <w:pStyle w:val="ListParagraph"/>
        <w:numPr>
          <w:ilvl w:val="0"/>
          <w:numId w:val="62"/>
        </w:numPr>
        <w:jc w:val="both"/>
      </w:pPr>
      <w:r w:rsidRPr="00822D33">
        <w:t>Green Integrated Storage Carbon Dioxide Emission Accounting Method</w:t>
      </w:r>
      <w:r>
        <w:t>;</w:t>
      </w:r>
    </w:p>
    <w:p w14:paraId="10BE1875" w14:textId="6866E203" w:rsidR="00EC333D" w:rsidRDefault="00EC333D" w:rsidP="001F0D97">
      <w:pPr>
        <w:pStyle w:val="ListParagraph"/>
        <w:numPr>
          <w:ilvl w:val="0"/>
          <w:numId w:val="62"/>
        </w:numPr>
        <w:jc w:val="both"/>
      </w:pPr>
      <w:r>
        <w:t>G</w:t>
      </w:r>
      <w:r w:rsidRPr="007A3772">
        <w:t xml:space="preserve">reen </w:t>
      </w:r>
      <w:r>
        <w:t>L</w:t>
      </w:r>
      <w:r w:rsidRPr="007A3772">
        <w:t xml:space="preserve">ogistics </w:t>
      </w:r>
      <w:r>
        <w:t>T</w:t>
      </w:r>
      <w:r w:rsidRPr="007A3772">
        <w:t xml:space="preserve">echnology </w:t>
      </w:r>
      <w:r>
        <w:t xml:space="preserve">Application Guide for </w:t>
      </w:r>
      <w:r w:rsidRPr="007A3772">
        <w:t xml:space="preserve">Zhejiang </w:t>
      </w:r>
      <w:r>
        <w:t>L</w:t>
      </w:r>
      <w:r w:rsidRPr="007A3772">
        <w:t xml:space="preserve">ogistics </w:t>
      </w:r>
      <w:r>
        <w:t>E</w:t>
      </w:r>
      <w:r w:rsidRPr="007A3772">
        <w:t>nterprises</w:t>
      </w:r>
      <w:r>
        <w:t>; and,</w:t>
      </w:r>
    </w:p>
    <w:p w14:paraId="20DAC543" w14:textId="6784EDD6" w:rsidR="00EC333D" w:rsidRDefault="00EC333D" w:rsidP="001F0D97">
      <w:pPr>
        <w:pStyle w:val="ListParagraph"/>
        <w:numPr>
          <w:ilvl w:val="0"/>
          <w:numId w:val="62"/>
        </w:numPr>
        <w:jc w:val="both"/>
      </w:pPr>
      <w:r>
        <w:t xml:space="preserve">Zhejiang </w:t>
      </w:r>
      <w:r w:rsidRPr="00696EE1">
        <w:t>Green Logistics Development Index</w:t>
      </w:r>
      <w:r>
        <w:t>.</w:t>
      </w:r>
    </w:p>
    <w:p w14:paraId="71A52120" w14:textId="77777777" w:rsidR="002F3F32" w:rsidRDefault="002F3F32" w:rsidP="002F3F32">
      <w:pPr>
        <w:pStyle w:val="ListParagraph"/>
        <w:jc w:val="both"/>
      </w:pPr>
    </w:p>
    <w:p w14:paraId="32BE753A" w14:textId="77777777" w:rsidR="00EC333D" w:rsidRDefault="00EC333D" w:rsidP="00EC333D">
      <w:pPr>
        <w:pStyle w:val="ListParagraph"/>
        <w:jc w:val="both"/>
      </w:pPr>
    </w:p>
    <w:p w14:paraId="76008FF4" w14:textId="452F5714" w:rsidR="008E2C94" w:rsidRDefault="008E2C94" w:rsidP="00DE67CF">
      <w:pPr>
        <w:pStyle w:val="ListParagraph"/>
        <w:numPr>
          <w:ilvl w:val="2"/>
          <w:numId w:val="47"/>
        </w:numPr>
        <w:jc w:val="both"/>
        <w:rPr>
          <w:color w:val="2E75B6" w:themeColor="accent5"/>
        </w:rPr>
      </w:pPr>
      <w:r w:rsidRPr="008E2C94">
        <w:rPr>
          <w:color w:val="2E75B6" w:themeColor="accent5"/>
        </w:rPr>
        <w:lastRenderedPageBreak/>
        <w:t>Progress to impact</w:t>
      </w:r>
    </w:p>
    <w:p w14:paraId="369FACAB" w14:textId="58F21F34" w:rsidR="00BF353D" w:rsidRDefault="00BF353D" w:rsidP="00FD1574">
      <w:pPr>
        <w:jc w:val="both"/>
      </w:pPr>
      <w:r>
        <w:t xml:space="preserve">The evaluation found evidence that the project had a strong positive impact on the adoption of green technologies and practices in Zhejiang Province. Considerations on green logistics have been mainstreamed in planning process, including the </w:t>
      </w:r>
      <w:r w:rsidRPr="00FF24C5">
        <w:t>14</w:t>
      </w:r>
      <w:r w:rsidRPr="00FF24C5">
        <w:rPr>
          <w:vertAlign w:val="superscript"/>
        </w:rPr>
        <w:t xml:space="preserve">th </w:t>
      </w:r>
      <w:r w:rsidRPr="00FF24C5">
        <w:t>Five-Year Plan by the Government of Zhejiang Province</w:t>
      </w:r>
      <w:r>
        <w:t xml:space="preserve">, evidencing political support </w:t>
      </w:r>
      <w:r w:rsidR="00574B33">
        <w:t>for</w:t>
      </w:r>
      <w:r>
        <w:t xml:space="preserve"> these technologies, and providing a signal to stakeholders about the relevance of accelerating the transition to green logistics. </w:t>
      </w:r>
    </w:p>
    <w:p w14:paraId="442C6C76" w14:textId="164E56D6" w:rsidR="00FD1574" w:rsidRDefault="003652CF" w:rsidP="00FD1574">
      <w:pPr>
        <w:jc w:val="both"/>
      </w:pPr>
      <w:r>
        <w:t xml:space="preserve">Stakeholders interviewed by the evaluation team described some aspects of the transformation process of the logistics industry in Zhejiang Province in recent years. This transformation has improved operational efficiency, resulting in lower energy consumption and GHG emissions. </w:t>
      </w:r>
      <w:r w:rsidR="00EF5D31">
        <w:t>Most notably, s</w:t>
      </w:r>
      <w:r>
        <w:t>takeholders noted the industry’s increasing reliance on information systems for the planning and monitoring of distribution operations.</w:t>
      </w:r>
      <w:r w:rsidR="00BF353D">
        <w:t xml:space="preserve"> </w:t>
      </w:r>
      <w:r w:rsidR="00FD1574">
        <w:t>During i</w:t>
      </w:r>
      <w:r w:rsidR="00FD1574" w:rsidRPr="00FD1574">
        <w:t>n</w:t>
      </w:r>
      <w:r w:rsidR="00FD1574">
        <w:t xml:space="preserve">terviews, members of the project team and stakeholders </w:t>
      </w:r>
      <w:r>
        <w:t xml:space="preserve">also </w:t>
      </w:r>
      <w:r w:rsidR="00FD1574">
        <w:t xml:space="preserve">indicated that they have already observed the changes in behaviors and attitudes towards green logistics that are required for the widespread adoption of green technologies and practices. For instance, interviewees cited increased awareness about green logistics among employees of pilot companies and the fact that these employees now routinely identify and implement </w:t>
      </w:r>
      <w:r w:rsidR="007025E9">
        <w:t xml:space="preserve">measures to reduce energy consumption and GHG emissions. </w:t>
      </w:r>
      <w:r w:rsidR="004C032B">
        <w:t xml:space="preserve">Interviewees had also observed that </w:t>
      </w:r>
      <w:r w:rsidR="007025E9">
        <w:t>employees take pride in their own capacities to contribute to energy efficiency and climate change mitigation in their places of work.</w:t>
      </w:r>
    </w:p>
    <w:p w14:paraId="4D0163AB" w14:textId="5985A61D" w:rsidR="00BF353D" w:rsidRDefault="00BF353D" w:rsidP="00FD1574">
      <w:pPr>
        <w:jc w:val="both"/>
      </w:pPr>
      <w:r>
        <w:t xml:space="preserve">As described in section </w:t>
      </w:r>
      <w:r>
        <w:fldChar w:fldCharType="begin"/>
      </w:r>
      <w:r>
        <w:instrText xml:space="preserve"> REF _Ref62802015 \r \h </w:instrText>
      </w:r>
      <w:r>
        <w:fldChar w:fldCharType="separate"/>
      </w:r>
      <w:r w:rsidR="00574B33">
        <w:t>4.3.2</w:t>
      </w:r>
      <w:r>
        <w:fldChar w:fldCharType="end"/>
      </w:r>
      <w:r>
        <w:t xml:space="preserve">, the evaluation could not verify the project’s </w:t>
      </w:r>
      <w:r w:rsidR="009D5C84">
        <w:t>overall i</w:t>
      </w:r>
      <w:r>
        <w:t xml:space="preserve">mpact on GHG emissions reductions. However, the evaluation could verify </w:t>
      </w:r>
      <w:r w:rsidR="00574B33">
        <w:t xml:space="preserve">a contribution to GHG emissions reductions </w:t>
      </w:r>
      <w:r>
        <w:t xml:space="preserve">at the output level, </w:t>
      </w:r>
      <w:r w:rsidR="009D5C84">
        <w:t xml:space="preserve">from the implementation of the two pilot projects on efficient materials management and physical distribution. While the impact from the pilot projects fell short of the estimates in the ProDoc, the evaluation did find evidence that green technologies and practices had been replicated by other LSPs </w:t>
      </w:r>
      <w:r w:rsidR="00574B33">
        <w:t>in</w:t>
      </w:r>
      <w:r w:rsidR="009D5C84">
        <w:t xml:space="preserve"> Zhejiang Province. The adoption of green technologies and practices by LSPs most likely contributed to GHG emissions reductions, even if </w:t>
      </w:r>
      <w:r w:rsidR="00574B33">
        <w:t>a</w:t>
      </w:r>
      <w:r w:rsidR="009D5C84">
        <w:t xml:space="preserve"> reliable, quantified estimation was </w:t>
      </w:r>
      <w:r w:rsidR="00574B33">
        <w:t xml:space="preserve">not </w:t>
      </w:r>
      <w:r w:rsidR="009D5C84">
        <w:t>produced.</w:t>
      </w:r>
      <w:r w:rsidR="00EF5D31">
        <w:t xml:space="preserve"> As </w:t>
      </w:r>
      <w:r w:rsidR="00574B33">
        <w:t xml:space="preserve">the </w:t>
      </w:r>
      <w:r w:rsidR="00DF192A">
        <w:t xml:space="preserve">transformation of </w:t>
      </w:r>
      <w:r w:rsidR="00EF5D31">
        <w:t xml:space="preserve">the industry in Zhejiang Province </w:t>
      </w:r>
      <w:r w:rsidR="00DF192A">
        <w:t>towards green logistics continues, it is expected t</w:t>
      </w:r>
      <w:r w:rsidR="00574B33">
        <w:t xml:space="preserve">hat </w:t>
      </w:r>
      <w:r w:rsidR="0000396B">
        <w:t>it</w:t>
      </w:r>
      <w:r w:rsidR="00574B33">
        <w:t xml:space="preserve"> will </w:t>
      </w:r>
      <w:r w:rsidR="00DF192A">
        <w:t xml:space="preserve">have </w:t>
      </w:r>
      <w:r w:rsidR="00574B33">
        <w:t xml:space="preserve">a </w:t>
      </w:r>
      <w:r w:rsidR="00DF192A">
        <w:t xml:space="preserve">positive </w:t>
      </w:r>
      <w:r w:rsidR="00EF5D31">
        <w:t xml:space="preserve">effect </w:t>
      </w:r>
      <w:r w:rsidR="00DF192A">
        <w:t xml:space="preserve">on the trajectory of </w:t>
      </w:r>
      <w:r w:rsidR="00EF5D31">
        <w:t>GHG emissions from</w:t>
      </w:r>
      <w:r w:rsidR="00DF192A">
        <w:t xml:space="preserve"> the industry.</w:t>
      </w:r>
    </w:p>
    <w:p w14:paraId="0D601DAF" w14:textId="6E69D207" w:rsidR="008E2C94" w:rsidRDefault="00FC4144" w:rsidP="00DE67CF">
      <w:pPr>
        <w:pStyle w:val="Heading1"/>
        <w:numPr>
          <w:ilvl w:val="0"/>
          <w:numId w:val="47"/>
        </w:numPr>
      </w:pPr>
      <w:bookmarkStart w:id="62" w:name="_Toc64632057"/>
      <w:r>
        <w:t>C</w:t>
      </w:r>
      <w:r w:rsidR="008E2C94" w:rsidRPr="004C1CE4">
        <w:t xml:space="preserve">onclusions, </w:t>
      </w:r>
      <w:r w:rsidR="008E2C94">
        <w:t>r</w:t>
      </w:r>
      <w:r w:rsidR="008E2C94" w:rsidRPr="004C1CE4">
        <w:t xml:space="preserve">ecommendations </w:t>
      </w:r>
      <w:r w:rsidR="008E2C94">
        <w:t>and</w:t>
      </w:r>
      <w:r w:rsidR="008E2C94" w:rsidRPr="004C1CE4">
        <w:t xml:space="preserve"> </w:t>
      </w:r>
      <w:r w:rsidR="008E2C94">
        <w:t>l</w:t>
      </w:r>
      <w:r w:rsidR="008E2C94" w:rsidRPr="004C1CE4">
        <w:t>essons</w:t>
      </w:r>
      <w:bookmarkEnd w:id="62"/>
    </w:p>
    <w:p w14:paraId="53974A32" w14:textId="441C69BC" w:rsidR="008E2C94" w:rsidRDefault="008E2C94" w:rsidP="00B616FC">
      <w:pPr>
        <w:pStyle w:val="Heading2"/>
        <w:numPr>
          <w:ilvl w:val="1"/>
          <w:numId w:val="47"/>
        </w:numPr>
      </w:pPr>
      <w:bookmarkStart w:id="63" w:name="_Toc64632058"/>
      <w:r w:rsidRPr="00DE67CF">
        <w:t>Conclusions</w:t>
      </w:r>
      <w:bookmarkEnd w:id="63"/>
    </w:p>
    <w:p w14:paraId="532A0E1C" w14:textId="3EEC385B" w:rsidR="005C6BCE" w:rsidRDefault="00522E49" w:rsidP="00FC4144">
      <w:pPr>
        <w:jc w:val="both"/>
      </w:pPr>
      <w:r w:rsidRPr="00522E49">
        <w:t>Th</w:t>
      </w:r>
      <w:r>
        <w:t xml:space="preserve">e </w:t>
      </w:r>
      <w:r w:rsidRPr="00522E49">
        <w:t>GLIZP</w:t>
      </w:r>
      <w:r>
        <w:t xml:space="preserve"> project was conceived to accelerate the adoption of green logistics technologies and practices by the logistics industry in Zhejiang Province. </w:t>
      </w:r>
      <w:r w:rsidR="005C6BCE">
        <w:t>This evaluation found evidence of the relevance of this objective to China’s development and climate change priorities, to UNDP’s strategic priorities in the country, and to GEF</w:t>
      </w:r>
      <w:r w:rsidR="0000396B">
        <w:t>´s</w:t>
      </w:r>
      <w:r w:rsidR="005C6BCE">
        <w:t xml:space="preserve"> strategy under the facility’s climate change focal area. The </w:t>
      </w:r>
      <w:r w:rsidR="00403F30">
        <w:t xml:space="preserve">project was found to be aligned to and having contributed to the objectives of development plans at the national and provincial level. Moreover, the project was able to have a positive influence on development planning processes, as it contributed to mainstreaming concepts on green logistics into policies and development plans, most notably the </w:t>
      </w:r>
      <w:r w:rsidR="00403F30" w:rsidRPr="00FF24C5">
        <w:t>14</w:t>
      </w:r>
      <w:r w:rsidR="00403F30" w:rsidRPr="00FF24C5">
        <w:rPr>
          <w:vertAlign w:val="superscript"/>
        </w:rPr>
        <w:t xml:space="preserve">th </w:t>
      </w:r>
      <w:r w:rsidR="00403F30" w:rsidRPr="00FF24C5">
        <w:t>Five-Year Plan by the Government of Zhejiang Province</w:t>
      </w:r>
      <w:r w:rsidR="00403F30">
        <w:t>.</w:t>
      </w:r>
    </w:p>
    <w:p w14:paraId="0084AB6D" w14:textId="7C520A84" w:rsidR="00522E49" w:rsidRDefault="00522E49" w:rsidP="00FC4144">
      <w:pPr>
        <w:jc w:val="both"/>
      </w:pPr>
      <w:r>
        <w:t xml:space="preserve">The </w:t>
      </w:r>
      <w:r w:rsidR="00AB6E07">
        <w:t>project design chose a barriers removal approach that was implemented along three pathways: (i) removing policy and regulatory barriers, (ii) increasing the level of confidence about</w:t>
      </w:r>
      <w:r w:rsidR="00487584">
        <w:t xml:space="preserve"> green logistic by, inter alia, on-the-ground piloting and evaluating the performance of green logistics technologies and practices, (iii) building the capacities of LSPs and improving access to knowledge related to green logistics. This evaluation concluded that the approach chosen by the project was sound and appropriate, and that the </w:t>
      </w:r>
      <w:r w:rsidR="00D03C02">
        <w:t xml:space="preserve">proposed </w:t>
      </w:r>
      <w:r w:rsidR="00487584">
        <w:t xml:space="preserve">outputs and activities </w:t>
      </w:r>
      <w:r w:rsidR="00D03C02">
        <w:t xml:space="preserve">were coherent and adequate to implement it. </w:t>
      </w:r>
    </w:p>
    <w:p w14:paraId="721E8989" w14:textId="20F0F12C" w:rsidR="00AB6E07" w:rsidRDefault="002F5643" w:rsidP="00FC4144">
      <w:pPr>
        <w:jc w:val="both"/>
      </w:pPr>
      <w:r>
        <w:lastRenderedPageBreak/>
        <w:t>This evaluation concluded that the project was implemented efficiently, adhering to AWPs, achieving satisfactory disbursement</w:t>
      </w:r>
      <w:r w:rsidRPr="002F5643">
        <w:t xml:space="preserve"> </w:t>
      </w:r>
      <w:r>
        <w:t xml:space="preserve">rates, and without suffering major time delays. Interviews with project stakeholders indicated that the project team was skilled and effective at implementing the project activities and resolving </w:t>
      </w:r>
      <w:r w:rsidR="001E6EB7">
        <w:t>emerging issues.</w:t>
      </w:r>
    </w:p>
    <w:p w14:paraId="2A9C79EF" w14:textId="7B30F689" w:rsidR="00796425" w:rsidRDefault="003B328E" w:rsidP="00796425">
      <w:pPr>
        <w:jc w:val="both"/>
      </w:pPr>
      <w:r>
        <w:t>Effective partnerships with stakeholders were deemed central factors to the project’s results and success. Both companies participating in demonstration projects under component two, F</w:t>
      </w:r>
      <w:r w:rsidRPr="0092074E">
        <w:t>uyang Hangzhou Transfar Logistics Base Co., Ltd.</w:t>
      </w:r>
      <w:r>
        <w:t xml:space="preserve"> and </w:t>
      </w:r>
      <w:r w:rsidRPr="0092074E">
        <w:t>Zhejiang Fuyang Port International Co. Ltd.</w:t>
      </w:r>
      <w:r>
        <w:t>, showed diligence in the implementation of the pilot projects in their facilities, and openness to measuring and reporting the performance of their investments. The financial contribution</w:t>
      </w:r>
      <w:r w:rsidR="0000396B">
        <w:t>s</w:t>
      </w:r>
      <w:r>
        <w:t xml:space="preserve"> to these demonstration projects by the </w:t>
      </w:r>
      <w:r w:rsidR="0000396B">
        <w:t xml:space="preserve">Governments of </w:t>
      </w:r>
      <w:r w:rsidRPr="003B328E">
        <w:t>Zhejiang Provinc</w:t>
      </w:r>
      <w:r w:rsidR="0000396B">
        <w:t>e</w:t>
      </w:r>
      <w:r w:rsidRPr="003B328E">
        <w:t xml:space="preserve"> </w:t>
      </w:r>
      <w:r w:rsidR="0000396B">
        <w:t xml:space="preserve">and </w:t>
      </w:r>
      <w:r w:rsidRPr="003B328E">
        <w:t>Fuyang City</w:t>
      </w:r>
      <w:r w:rsidR="0000396B">
        <w:t xml:space="preserve"> </w:t>
      </w:r>
      <w:r>
        <w:t>w</w:t>
      </w:r>
      <w:r w:rsidR="0000396B">
        <w:t>ere</w:t>
      </w:r>
      <w:r>
        <w:t xml:space="preserve"> materialized as planned</w:t>
      </w:r>
      <w:r w:rsidR="00796425">
        <w:t xml:space="preserve">. The partnership with </w:t>
      </w:r>
      <w:r w:rsidR="00796425" w:rsidRPr="00EA0F34">
        <w:t>Zhejiang Logistics Association</w:t>
      </w:r>
      <w:r w:rsidR="00796425">
        <w:t xml:space="preserve"> was also fruitful, enabling the project’s outreach to LSPs in Zhejiang Province and contributing to the strengthening of the capacities of LSPs to adopt green logistics technologies and practices.</w:t>
      </w:r>
      <w:r w:rsidR="00BF2C9B">
        <w:t xml:space="preserve"> </w:t>
      </w:r>
      <w:r w:rsidR="005940A9">
        <w:t xml:space="preserve">The collaboration with the </w:t>
      </w:r>
      <w:r w:rsidR="005940A9" w:rsidRPr="005940A9">
        <w:t>Zhejiang Standardization Research Institute</w:t>
      </w:r>
      <w:r w:rsidR="005940A9">
        <w:t xml:space="preserve"> produced relevant technical standards, which turned out to be the key result under the project’s component on removing policy and regulatory barriers. </w:t>
      </w:r>
    </w:p>
    <w:p w14:paraId="0F022FC6" w14:textId="4068F635" w:rsidR="0022195D" w:rsidRPr="00A81AB1" w:rsidRDefault="00794930" w:rsidP="00796425">
      <w:pPr>
        <w:jc w:val="both"/>
      </w:pPr>
      <w:r>
        <w:t>Throughout the evaluation, it was observed that monitoring and reporting were the most significant weakness of the project design and implementation. The project’s monitoring framework was found to have shortcomings that were not adequately identified and addressed during project implementation. The</w:t>
      </w:r>
      <w:r w:rsidR="00000007">
        <w:t xml:space="preserve"> project did not include a detailed methodology for the estimation of GHG emissions reductions as part of the ProDoc and an </w:t>
      </w:r>
      <w:r w:rsidR="000D23B2">
        <w:t>robust</w:t>
      </w:r>
      <w:r w:rsidR="00000007">
        <w:t xml:space="preserve"> methodology was not developed during project implementation. In the absence of such a methodology, the project did not adopt the necessary processes to capture information on GHG emissions from the logistics sector in Zhejiang </w:t>
      </w:r>
      <w:r w:rsidR="003828FA">
        <w:t>P</w:t>
      </w:r>
      <w:r w:rsidR="00000007">
        <w:t xml:space="preserve">rovince. The shortcomings of the project’s </w:t>
      </w:r>
      <w:r w:rsidR="000D23B2">
        <w:t>approach</w:t>
      </w:r>
      <w:r w:rsidR="00000007">
        <w:t xml:space="preserve"> to assess GHG emissions and emissions reductions did, unfortunately, obscure the real positive impacts from the project activities on the GHG emissions trend of the logistics </w:t>
      </w:r>
      <w:r w:rsidR="003828FA">
        <w:t>industry in Zhejiang Province</w:t>
      </w:r>
      <w:r w:rsidR="00000007">
        <w:t xml:space="preserve">. </w:t>
      </w:r>
      <w:r w:rsidR="003828FA">
        <w:t xml:space="preserve">The project’s framework for measuring and reporting progress under component three was also found to have shortcoming. The project’s </w:t>
      </w:r>
      <w:r w:rsidR="00045089">
        <w:t xml:space="preserve">proposed approach of </w:t>
      </w:r>
      <w:r w:rsidR="003828FA">
        <w:t>tallying LSPs that h</w:t>
      </w:r>
      <w:r w:rsidR="00045089">
        <w:t>ad adopted green logistics technologies and practices should have been adjusted during project implementation as it became evident, through project surveys, that the baseline of companies having adopted these technologies was not zero as originally proposed in the ProDoc. Confronted with this evidence, the approach to measuring results under component three should have been revised to prevent the causal attribution issue that was identified during this evaluation.</w:t>
      </w:r>
      <w:r w:rsidR="0022195D">
        <w:t xml:space="preserve"> Lastly, reporting processes</w:t>
      </w:r>
      <w:r w:rsidR="00833E71">
        <w:t>, including the preparation by the project team of QPRs, APRs, and PIRs and their review by UNDP, produced reports with substantial weaknesses. QPRs and APRs reported against indicators that did not relate directly to indicators, outputs or activities that were contained in the ProDoc and especially not in the PRF. Reports were also repetitive and in several cases were missing relevant information or provided information without adequate conte</w:t>
      </w:r>
      <w:r w:rsidR="00761FB6">
        <w:t>xt.</w:t>
      </w:r>
    </w:p>
    <w:p w14:paraId="77AC51D8" w14:textId="08AB70CB" w:rsidR="003B328E" w:rsidRDefault="0022195D" w:rsidP="00FC4144">
      <w:pPr>
        <w:jc w:val="both"/>
      </w:pPr>
      <w:r>
        <w:t xml:space="preserve">The sustainability of the project outcomes was deemed as likely by this evaluation. </w:t>
      </w:r>
      <w:r w:rsidR="00761FB6">
        <w:t xml:space="preserve">The evaluation found evidence, including through interviews with various stakeholders, that the transformation of the logistics industry in Zhejiang Province </w:t>
      </w:r>
      <w:r w:rsidR="00E35184">
        <w:t>towards green technologies and practices is well underway and expected to persist. The project made meaningful contributions to this transformation and, through partnerships with stakeholders, these contributions are likely to have lasting effects. To ensure that this is the case, this evaluation recommends that the project team and stakeholders formulate and agree on a written exit strategy for the project that lays out the tasks and responsibilities of project partners following project closure.</w:t>
      </w:r>
    </w:p>
    <w:p w14:paraId="3412CACD" w14:textId="77777777" w:rsidR="007B6387" w:rsidRDefault="007B6387" w:rsidP="00FC4144">
      <w:pPr>
        <w:jc w:val="both"/>
      </w:pPr>
    </w:p>
    <w:p w14:paraId="66700447" w14:textId="28CFEEAC" w:rsidR="008E2C94" w:rsidRPr="000D23B2" w:rsidRDefault="008E2C94" w:rsidP="00B616FC">
      <w:pPr>
        <w:pStyle w:val="Heading2"/>
        <w:numPr>
          <w:ilvl w:val="1"/>
          <w:numId w:val="47"/>
        </w:numPr>
        <w:rPr>
          <w:rFonts w:cs="Times New Roman"/>
        </w:rPr>
      </w:pPr>
      <w:bookmarkStart w:id="64" w:name="_Toc64632059"/>
      <w:r w:rsidRPr="00C034B6">
        <w:lastRenderedPageBreak/>
        <w:t>Recommendations</w:t>
      </w:r>
      <w:bookmarkEnd w:id="64"/>
      <w:r w:rsidR="00C034B6" w:rsidRPr="00C034B6">
        <w:rPr>
          <w:rFonts w:ascii="Gill Sans MT" w:hAnsi="Gill Sans MT" w:cs="Gill Sans MT"/>
          <w:color w:val="000000"/>
        </w:rPr>
        <w:t xml:space="preserve"> </w:t>
      </w:r>
    </w:p>
    <w:p w14:paraId="4C041187" w14:textId="7D593E77" w:rsidR="000D23B2" w:rsidRDefault="000D23B2" w:rsidP="000D23B2">
      <w:pPr>
        <w:autoSpaceDE w:val="0"/>
        <w:autoSpaceDN w:val="0"/>
        <w:adjustRightInd w:val="0"/>
        <w:spacing w:after="0" w:line="240" w:lineRule="auto"/>
        <w:jc w:val="both"/>
        <w:rPr>
          <w:color w:val="2E75B6" w:themeColor="accent5"/>
        </w:rPr>
      </w:pPr>
    </w:p>
    <w:p w14:paraId="7804CE06" w14:textId="4D4E3ADA" w:rsidR="000D23B2" w:rsidRPr="000D23B2" w:rsidRDefault="000D23B2" w:rsidP="000D23B2">
      <w:pPr>
        <w:jc w:val="both"/>
        <w:rPr>
          <w:color w:val="2E75B6" w:themeColor="accent5"/>
        </w:rPr>
      </w:pPr>
      <w:r w:rsidRPr="000D23B2">
        <w:fldChar w:fldCharType="begin"/>
      </w:r>
      <w:r w:rsidRPr="000D23B2">
        <w:instrText xml:space="preserve"> REF _Ref64390140 \h </w:instrText>
      </w:r>
      <w:r>
        <w:instrText xml:space="preserve"> \* MERGEFORMAT </w:instrText>
      </w:r>
      <w:r w:rsidRPr="000D23B2">
        <w:fldChar w:fldCharType="separate"/>
      </w:r>
      <w:r>
        <w:t>Table 22</w:t>
      </w:r>
      <w:r w:rsidRPr="000D23B2">
        <w:fldChar w:fldCharType="end"/>
      </w:r>
      <w:r w:rsidRPr="000D23B2">
        <w:t xml:space="preserve"> summarizes the recommendation</w:t>
      </w:r>
      <w:r>
        <w:t>s that the evaluation team would like to put forward for the consideration of the project team and UNDP.</w:t>
      </w:r>
      <w:r w:rsidRPr="000D23B2">
        <w:t xml:space="preserve"> </w:t>
      </w:r>
    </w:p>
    <w:p w14:paraId="53C77DC6" w14:textId="21432ADC" w:rsidR="000D23B2" w:rsidRDefault="000D23B2" w:rsidP="000D23B2">
      <w:pPr>
        <w:pStyle w:val="Caption"/>
      </w:pPr>
      <w:bookmarkStart w:id="65" w:name="_Ref64390140"/>
      <w:r>
        <w:t xml:space="preserve">Table </w:t>
      </w:r>
      <w:r>
        <w:fldChar w:fldCharType="begin"/>
      </w:r>
      <w:r>
        <w:instrText xml:space="preserve"> SEQ Table \* ARABIC </w:instrText>
      </w:r>
      <w:r>
        <w:fldChar w:fldCharType="separate"/>
      </w:r>
      <w:r>
        <w:rPr>
          <w:noProof/>
        </w:rPr>
        <w:t>22</w:t>
      </w:r>
      <w:r>
        <w:fldChar w:fldCharType="end"/>
      </w:r>
      <w:bookmarkEnd w:id="65"/>
      <w:r>
        <w:t xml:space="preserve">. </w:t>
      </w:r>
      <w:r w:rsidRPr="00DD7A73">
        <w:t>Recommendations summary table</w:t>
      </w:r>
    </w:p>
    <w:tbl>
      <w:tblPr>
        <w:tblStyle w:val="TableGrid"/>
        <w:tblW w:w="0" w:type="auto"/>
        <w:tblLook w:val="04A0" w:firstRow="1" w:lastRow="0" w:firstColumn="1" w:lastColumn="0" w:noHBand="0" w:noVBand="1"/>
      </w:tblPr>
      <w:tblGrid>
        <w:gridCol w:w="540"/>
        <w:gridCol w:w="5976"/>
        <w:gridCol w:w="1567"/>
        <w:gridCol w:w="1267"/>
      </w:tblGrid>
      <w:tr w:rsidR="000D23B2" w:rsidRPr="002C0985" w14:paraId="6072B4E1" w14:textId="77777777" w:rsidTr="007B6387">
        <w:tc>
          <w:tcPr>
            <w:tcW w:w="540" w:type="dxa"/>
            <w:shd w:val="clear" w:color="auto" w:fill="2E75B6" w:themeFill="accent5"/>
          </w:tcPr>
          <w:p w14:paraId="2730E5B4" w14:textId="77777777" w:rsidR="000D23B2" w:rsidRPr="002C0985" w:rsidRDefault="000D23B2" w:rsidP="007B6387">
            <w:pPr>
              <w:spacing w:before="120" w:after="120"/>
              <w:rPr>
                <w:b/>
                <w:bCs/>
                <w:color w:val="FFFFFF" w:themeColor="background1"/>
              </w:rPr>
            </w:pPr>
            <w:r w:rsidRPr="002C0985">
              <w:rPr>
                <w:b/>
                <w:bCs/>
                <w:color w:val="FFFFFF" w:themeColor="background1"/>
              </w:rPr>
              <w:t>No.</w:t>
            </w:r>
          </w:p>
        </w:tc>
        <w:tc>
          <w:tcPr>
            <w:tcW w:w="6045" w:type="dxa"/>
            <w:shd w:val="clear" w:color="auto" w:fill="2E75B6" w:themeFill="accent5"/>
          </w:tcPr>
          <w:p w14:paraId="19E8FCE4" w14:textId="77777777" w:rsidR="000D23B2" w:rsidRPr="002C0985" w:rsidRDefault="000D23B2" w:rsidP="007B6387">
            <w:pPr>
              <w:spacing w:before="120" w:after="120"/>
              <w:rPr>
                <w:b/>
                <w:bCs/>
                <w:color w:val="FFFFFF" w:themeColor="background1"/>
              </w:rPr>
            </w:pPr>
            <w:r w:rsidRPr="002C0985">
              <w:rPr>
                <w:b/>
                <w:bCs/>
                <w:color w:val="FFFFFF" w:themeColor="background1"/>
              </w:rPr>
              <w:t>Recommendation</w:t>
            </w:r>
          </w:p>
        </w:tc>
        <w:tc>
          <w:tcPr>
            <w:tcW w:w="1571" w:type="dxa"/>
            <w:shd w:val="clear" w:color="auto" w:fill="2E75B6" w:themeFill="accent5"/>
          </w:tcPr>
          <w:p w14:paraId="1A3A69C8" w14:textId="77777777" w:rsidR="000D23B2" w:rsidRPr="002C0985" w:rsidRDefault="000D23B2" w:rsidP="007B6387">
            <w:pPr>
              <w:spacing w:before="120" w:after="120"/>
              <w:rPr>
                <w:b/>
                <w:bCs/>
                <w:color w:val="FFFFFF" w:themeColor="background1"/>
              </w:rPr>
            </w:pPr>
            <w:r w:rsidRPr="002C0985">
              <w:rPr>
                <w:b/>
                <w:bCs/>
                <w:color w:val="FFFFFF" w:themeColor="background1"/>
              </w:rPr>
              <w:t>Entity Responsible</w:t>
            </w:r>
          </w:p>
        </w:tc>
        <w:tc>
          <w:tcPr>
            <w:tcW w:w="1194" w:type="dxa"/>
            <w:shd w:val="clear" w:color="auto" w:fill="2E75B6" w:themeFill="accent5"/>
          </w:tcPr>
          <w:p w14:paraId="4DF8E4EA" w14:textId="77777777" w:rsidR="000D23B2" w:rsidRPr="002C0985" w:rsidRDefault="000D23B2" w:rsidP="007B6387">
            <w:pPr>
              <w:spacing w:before="120" w:after="120"/>
              <w:rPr>
                <w:b/>
                <w:bCs/>
                <w:color w:val="FFFFFF" w:themeColor="background1"/>
              </w:rPr>
            </w:pPr>
            <w:r w:rsidRPr="002C0985">
              <w:rPr>
                <w:b/>
                <w:bCs/>
                <w:color w:val="FFFFFF" w:themeColor="background1"/>
              </w:rPr>
              <w:t>Timeframe</w:t>
            </w:r>
          </w:p>
        </w:tc>
      </w:tr>
      <w:tr w:rsidR="000D23B2" w14:paraId="730D26E4" w14:textId="77777777" w:rsidTr="007B6387">
        <w:tc>
          <w:tcPr>
            <w:tcW w:w="540" w:type="dxa"/>
          </w:tcPr>
          <w:p w14:paraId="2B920DB5" w14:textId="77777777" w:rsidR="000D23B2" w:rsidRDefault="000D23B2" w:rsidP="007B6387">
            <w:pPr>
              <w:jc w:val="center"/>
            </w:pPr>
            <w:r>
              <w:t>1</w:t>
            </w:r>
          </w:p>
        </w:tc>
        <w:tc>
          <w:tcPr>
            <w:tcW w:w="6045" w:type="dxa"/>
          </w:tcPr>
          <w:p w14:paraId="1D2496CC" w14:textId="77777777" w:rsidR="000D23B2" w:rsidRDefault="000D23B2" w:rsidP="007B6387">
            <w:pPr>
              <w:jc w:val="both"/>
            </w:pPr>
            <w:r w:rsidRPr="00102033">
              <w:rPr>
                <w:u w:val="single"/>
              </w:rPr>
              <w:t>Finalize project completion report</w:t>
            </w:r>
          </w:p>
          <w:p w14:paraId="1FB9D2DF" w14:textId="77777777" w:rsidR="000D23B2" w:rsidRDefault="000D23B2" w:rsidP="007B6387">
            <w:pPr>
              <w:jc w:val="both"/>
            </w:pPr>
            <w:r>
              <w:t>The experiences by the project have a remarkable potential for replication within China and abroad. The approaches to the promotion of green logistics pioneered by the project could be readily upscaled with support from national governments, national or multilateral development banks, and sources of international climate finance such as the Green Climate Fund. The evaluation team recommends that, to contribute to the achievement of this potential, the project team finalizes a comprehensive and well-written project completion report. The report should provide a critical review of the project experiences, emphasizing on lessons learned, and opportunities for improvement by subsequent replication initiatives. The completion report should be professionally translated and be widely disseminated, with support from UNDP.</w:t>
            </w:r>
          </w:p>
        </w:tc>
        <w:tc>
          <w:tcPr>
            <w:tcW w:w="1571" w:type="dxa"/>
          </w:tcPr>
          <w:p w14:paraId="36DB88C8" w14:textId="77777777" w:rsidR="000D23B2" w:rsidRDefault="000D23B2" w:rsidP="007B6387">
            <w:r>
              <w:t>Project team, supported by UNDP</w:t>
            </w:r>
          </w:p>
        </w:tc>
        <w:tc>
          <w:tcPr>
            <w:tcW w:w="1194" w:type="dxa"/>
          </w:tcPr>
          <w:p w14:paraId="1F1B3D58" w14:textId="77777777" w:rsidR="000D23B2" w:rsidRDefault="000D23B2" w:rsidP="007B6387">
            <w:r>
              <w:t>Before project closure</w:t>
            </w:r>
          </w:p>
        </w:tc>
      </w:tr>
      <w:tr w:rsidR="000D23B2" w14:paraId="0FB08D25" w14:textId="77777777" w:rsidTr="007B6387">
        <w:tc>
          <w:tcPr>
            <w:tcW w:w="540" w:type="dxa"/>
          </w:tcPr>
          <w:p w14:paraId="5A99F56F" w14:textId="77777777" w:rsidR="000D23B2" w:rsidRDefault="000D23B2" w:rsidP="007B6387">
            <w:pPr>
              <w:jc w:val="center"/>
            </w:pPr>
            <w:r>
              <w:t>2</w:t>
            </w:r>
          </w:p>
        </w:tc>
        <w:tc>
          <w:tcPr>
            <w:tcW w:w="6045" w:type="dxa"/>
          </w:tcPr>
          <w:p w14:paraId="5F697FDC" w14:textId="77777777" w:rsidR="000D23B2" w:rsidRDefault="000D23B2" w:rsidP="007B6387">
            <w:pPr>
              <w:jc w:val="both"/>
              <w:rPr>
                <w:u w:val="single"/>
              </w:rPr>
            </w:pPr>
            <w:r w:rsidRPr="00102033">
              <w:rPr>
                <w:u w:val="single"/>
              </w:rPr>
              <w:t>Formulate exit strategy</w:t>
            </w:r>
          </w:p>
          <w:p w14:paraId="6D5B0145" w14:textId="77777777" w:rsidR="000D23B2" w:rsidRDefault="000D23B2" w:rsidP="007B6387">
            <w:pPr>
              <w:jc w:val="both"/>
            </w:pPr>
            <w:r>
              <w:t xml:space="preserve">The terminal evaluation concluded that it is likely that project results will remain after project’s end. However, there is no formal plan to secure that this will be the case. Also, the sustainability of some specific elements of the project’s strategy is more uncertain – for example, the provision of technical assistance to small- and medium-sized logistics services providers –. The evaluation team recommends that the project team convenes project stakeholders to discuss and adopt an exit strategy that clarifies the objectives and roles for the continuous support to the adoption of green logistics technologies and practices after project closure. </w:t>
            </w:r>
          </w:p>
        </w:tc>
        <w:tc>
          <w:tcPr>
            <w:tcW w:w="1571" w:type="dxa"/>
          </w:tcPr>
          <w:p w14:paraId="574CB8EA" w14:textId="77777777" w:rsidR="000D23B2" w:rsidRDefault="000D23B2" w:rsidP="007B6387">
            <w:r>
              <w:t>Project team, supported by UNDP</w:t>
            </w:r>
          </w:p>
        </w:tc>
        <w:tc>
          <w:tcPr>
            <w:tcW w:w="1194" w:type="dxa"/>
          </w:tcPr>
          <w:p w14:paraId="355EC4CC" w14:textId="77777777" w:rsidR="000D23B2" w:rsidRDefault="000D23B2" w:rsidP="007B6387">
            <w:r>
              <w:t>Before project closure</w:t>
            </w:r>
          </w:p>
        </w:tc>
      </w:tr>
      <w:tr w:rsidR="000D23B2" w14:paraId="76973B6C" w14:textId="77777777" w:rsidTr="007B6387">
        <w:tc>
          <w:tcPr>
            <w:tcW w:w="540" w:type="dxa"/>
          </w:tcPr>
          <w:p w14:paraId="03237F6A" w14:textId="77777777" w:rsidR="000D23B2" w:rsidRDefault="000D23B2" w:rsidP="007B6387">
            <w:pPr>
              <w:jc w:val="center"/>
            </w:pPr>
            <w:r>
              <w:t>3</w:t>
            </w:r>
          </w:p>
        </w:tc>
        <w:tc>
          <w:tcPr>
            <w:tcW w:w="6045" w:type="dxa"/>
          </w:tcPr>
          <w:p w14:paraId="03DBB71D" w14:textId="77777777" w:rsidR="000D23B2" w:rsidRPr="009B06AF" w:rsidRDefault="000D23B2" w:rsidP="007B6387">
            <w:pPr>
              <w:jc w:val="both"/>
              <w:rPr>
                <w:u w:val="single"/>
              </w:rPr>
            </w:pPr>
            <w:r w:rsidRPr="009B06AF">
              <w:rPr>
                <w:u w:val="single"/>
              </w:rPr>
              <w:t xml:space="preserve">Strengthen reporting </w:t>
            </w:r>
            <w:r>
              <w:rPr>
                <w:u w:val="single"/>
              </w:rPr>
              <w:t xml:space="preserve">processes </w:t>
            </w:r>
          </w:p>
          <w:p w14:paraId="1F0C9075" w14:textId="77777777" w:rsidR="000D23B2" w:rsidRDefault="000D23B2" w:rsidP="007B6387">
            <w:pPr>
              <w:jc w:val="both"/>
            </w:pPr>
            <w:r>
              <w:t xml:space="preserve">UNDP has an opportunity to review and strengthen their role supporting project teams monitoring and reporting project progress. The evaluation team suggests that, as part of the proposed review, UNDP discuss procedures to improve, inter alia, (i) the validation of monitoring and evaluation frameworks, including baselines, at project inception; (ii) the periodic monitoring and reporting of the contribution of cofinancing resources, including the recording of appropriate evidence; and (iii) the preparation and communication of high-quality quarterly and annual progress reports that effectively support project management and oversight.  </w:t>
            </w:r>
          </w:p>
        </w:tc>
        <w:tc>
          <w:tcPr>
            <w:tcW w:w="1571" w:type="dxa"/>
          </w:tcPr>
          <w:p w14:paraId="400E9676" w14:textId="77777777" w:rsidR="000D23B2" w:rsidRDefault="000D23B2" w:rsidP="007B6387">
            <w:r>
              <w:t>UNDP</w:t>
            </w:r>
          </w:p>
        </w:tc>
        <w:tc>
          <w:tcPr>
            <w:tcW w:w="1194" w:type="dxa"/>
          </w:tcPr>
          <w:p w14:paraId="0AAEFFC7" w14:textId="77777777" w:rsidR="000D23B2" w:rsidRDefault="000D23B2" w:rsidP="007B6387">
            <w:r>
              <w:t>2021</w:t>
            </w:r>
          </w:p>
        </w:tc>
      </w:tr>
    </w:tbl>
    <w:p w14:paraId="033B5AF0" w14:textId="7CAFB67B" w:rsidR="00C034B6" w:rsidRPr="000D23B2" w:rsidRDefault="00C034B6" w:rsidP="00C034B6">
      <w:pPr>
        <w:jc w:val="both"/>
        <w:rPr>
          <w:b/>
          <w:bCs/>
        </w:rPr>
      </w:pPr>
    </w:p>
    <w:p w14:paraId="0FAEFCA9" w14:textId="10C2816C" w:rsidR="008E2C94" w:rsidRDefault="008E2C94" w:rsidP="00B616FC">
      <w:pPr>
        <w:pStyle w:val="Heading2"/>
        <w:numPr>
          <w:ilvl w:val="1"/>
          <w:numId w:val="47"/>
        </w:numPr>
      </w:pPr>
      <w:bookmarkStart w:id="66" w:name="_Toc64632060"/>
      <w:r w:rsidRPr="00DE67CF">
        <w:lastRenderedPageBreak/>
        <w:t>Lessons learned</w:t>
      </w:r>
      <w:bookmarkEnd w:id="66"/>
    </w:p>
    <w:p w14:paraId="10EBC8A1" w14:textId="6785A230" w:rsidR="00930EF2" w:rsidRDefault="00706218" w:rsidP="00930EF2">
      <w:pPr>
        <w:jc w:val="both"/>
      </w:pPr>
      <w:r w:rsidRPr="00A65EA3">
        <w:t xml:space="preserve">The project on </w:t>
      </w:r>
      <w:r w:rsidR="00A65EA3">
        <w:t>“</w:t>
      </w:r>
      <w:r w:rsidRPr="00A65EA3">
        <w:t>Greening the Logistics Industry in Zhejiang Province”</w:t>
      </w:r>
      <w:r w:rsidR="00A65EA3">
        <w:t xml:space="preserve"> generated experience</w:t>
      </w:r>
      <w:r w:rsidR="00A711DB">
        <w:t>s</w:t>
      </w:r>
      <w:r w:rsidR="00A65EA3">
        <w:t xml:space="preserve"> and lessons that are relevant for future project</w:t>
      </w:r>
      <w:r w:rsidR="00A711DB">
        <w:t>s</w:t>
      </w:r>
      <w:r w:rsidR="00A65EA3">
        <w:t xml:space="preserve"> on green logistics and other emerging fields for the deployment of low-carbon technologies. Some of the lessons learned from the project include the following:</w:t>
      </w:r>
    </w:p>
    <w:p w14:paraId="67CD811C" w14:textId="3C0B897F" w:rsidR="00A65EA3" w:rsidRDefault="00656F13" w:rsidP="00A65EA3">
      <w:pPr>
        <w:pStyle w:val="ListParagraph"/>
        <w:numPr>
          <w:ilvl w:val="0"/>
          <w:numId w:val="67"/>
        </w:numPr>
        <w:jc w:val="both"/>
      </w:pPr>
      <w:r>
        <w:t>Partnerships with strong champions within the industry were a key success factor for the project in Zhejiang Province. These partnerships enabled the efficient implementation of the demonstration projects, which were seen by stakeholders as the main result from the project. The demonstration project</w:t>
      </w:r>
      <w:r w:rsidR="007C5116">
        <w:t>s</w:t>
      </w:r>
      <w:r>
        <w:t xml:space="preserve"> contributed to improving the understanding of green logistics technologies and practices in a novel context </w:t>
      </w:r>
      <w:r w:rsidR="00A711DB">
        <w:t>and</w:t>
      </w:r>
      <w:r w:rsidR="007C5116">
        <w:t xml:space="preserve"> </w:t>
      </w:r>
      <w:r>
        <w:t>served as an example to other early adopters. Securing these partnerships during project preparation prevented delays during implementation and is an approach to be followed by other projects demonstrating new technologies under time constraints.</w:t>
      </w:r>
    </w:p>
    <w:p w14:paraId="44568BAA" w14:textId="10F35B69" w:rsidR="00656F13" w:rsidRDefault="00656F13" w:rsidP="00656F13">
      <w:pPr>
        <w:pStyle w:val="ListParagraph"/>
        <w:jc w:val="both"/>
      </w:pPr>
    </w:p>
    <w:p w14:paraId="0B9BE6C8" w14:textId="77777777" w:rsidR="00A711DB" w:rsidRDefault="00A711DB" w:rsidP="00A711DB">
      <w:pPr>
        <w:pStyle w:val="ListParagraph"/>
        <w:numPr>
          <w:ilvl w:val="0"/>
          <w:numId w:val="67"/>
        </w:numPr>
        <w:jc w:val="both"/>
      </w:pPr>
      <w:r w:rsidRPr="004B1971">
        <w:t>Stakeholders noted that the project focused on a limited number of different types of LSPs, therefore only a fraction of all possible applications of green technologies and practices could be evaluated and promoted. Future initiatives on the promotion of green logistics would benefit from completing during project design</w:t>
      </w:r>
      <w:r>
        <w:t xml:space="preserve"> </w:t>
      </w:r>
      <w:r w:rsidRPr="004B1971">
        <w:t xml:space="preserve">an overview of green technologies and practices </w:t>
      </w:r>
      <w:r>
        <w:t>that maps</w:t>
      </w:r>
      <w:r w:rsidRPr="004B1971">
        <w:t xml:space="preserve"> </w:t>
      </w:r>
      <w:r>
        <w:t xml:space="preserve">existing </w:t>
      </w:r>
      <w:r w:rsidRPr="004B1971">
        <w:t>experience</w:t>
      </w:r>
      <w:r>
        <w:t>s and</w:t>
      </w:r>
      <w:r w:rsidRPr="004B1971">
        <w:t xml:space="preserve"> identif</w:t>
      </w:r>
      <w:r>
        <w:t>ies</w:t>
      </w:r>
      <w:r w:rsidRPr="004B1971">
        <w:t xml:space="preserve"> </w:t>
      </w:r>
      <w:r>
        <w:t>candidate technologies for demonstration with the best potentials for success and replication</w:t>
      </w:r>
      <w:r w:rsidRPr="004B1971">
        <w:t>.</w:t>
      </w:r>
    </w:p>
    <w:p w14:paraId="63068151" w14:textId="77777777" w:rsidR="00A711DB" w:rsidRDefault="00A711DB" w:rsidP="00656F13">
      <w:pPr>
        <w:pStyle w:val="ListParagraph"/>
        <w:jc w:val="both"/>
      </w:pPr>
    </w:p>
    <w:p w14:paraId="7B2C1B42" w14:textId="306A85EB" w:rsidR="00656F13" w:rsidRDefault="007769AA" w:rsidP="00A65EA3">
      <w:pPr>
        <w:pStyle w:val="ListParagraph"/>
        <w:numPr>
          <w:ilvl w:val="0"/>
          <w:numId w:val="67"/>
        </w:numPr>
        <w:jc w:val="both"/>
      </w:pPr>
      <w:r>
        <w:t xml:space="preserve">International </w:t>
      </w:r>
      <w:r w:rsidR="00D51D3B">
        <w:t>c</w:t>
      </w:r>
      <w:r w:rsidRPr="007769AA">
        <w:t xml:space="preserve">hief </w:t>
      </w:r>
      <w:r w:rsidR="00D51D3B">
        <w:t>t</w:t>
      </w:r>
      <w:r w:rsidRPr="007769AA">
        <w:t xml:space="preserve">echnical </w:t>
      </w:r>
      <w:r w:rsidR="00D51D3B">
        <w:t>a</w:t>
      </w:r>
      <w:r w:rsidRPr="007769AA">
        <w:t>dvisor</w:t>
      </w:r>
      <w:r>
        <w:t>s</w:t>
      </w:r>
      <w:r w:rsidRPr="007769AA">
        <w:t xml:space="preserve"> </w:t>
      </w:r>
      <w:r>
        <w:t>(CTAs) advise</w:t>
      </w:r>
      <w:r w:rsidRPr="007769AA">
        <w:t xml:space="preserve"> </w:t>
      </w:r>
      <w:r w:rsidR="00D51D3B">
        <w:t>p</w:t>
      </w:r>
      <w:r>
        <w:t xml:space="preserve">roject </w:t>
      </w:r>
      <w:r w:rsidR="00D51D3B">
        <w:t>m</w:t>
      </w:r>
      <w:r>
        <w:t xml:space="preserve">anagement </w:t>
      </w:r>
      <w:r w:rsidR="00D51D3B">
        <w:t>u</w:t>
      </w:r>
      <w:r>
        <w:t>nits and provide</w:t>
      </w:r>
      <w:r w:rsidRPr="007769AA">
        <w:t xml:space="preserve"> technical </w:t>
      </w:r>
      <w:r>
        <w:t xml:space="preserve">expertise to ensure high-quality project activities and results. CTAs can also recommend </w:t>
      </w:r>
      <w:r w:rsidRPr="007769AA">
        <w:t>international best practices</w:t>
      </w:r>
      <w:r>
        <w:t>,</w:t>
      </w:r>
      <w:r w:rsidRPr="007769AA">
        <w:t xml:space="preserve"> </w:t>
      </w:r>
      <w:r w:rsidR="00D51D3B">
        <w:t xml:space="preserve">facilitate partnerships to exchange knowledge and experience, and </w:t>
      </w:r>
      <w:r>
        <w:t>support</w:t>
      </w:r>
      <w:r w:rsidR="00D51D3B">
        <w:t xml:space="preserve"> the</w:t>
      </w:r>
      <w:r>
        <w:t xml:space="preserve"> monitoring and reporting functions</w:t>
      </w:r>
      <w:r w:rsidR="00D51D3B">
        <w:t xml:space="preserve"> of a project. </w:t>
      </w:r>
      <w:r w:rsidR="00A711DB">
        <w:t xml:space="preserve">CTAs can support monitoring functions, including the development of robust methodologies for measuring key project </w:t>
      </w:r>
      <w:r w:rsidR="00E87478">
        <w:t>indicators</w:t>
      </w:r>
      <w:r w:rsidR="00A711DB">
        <w:t xml:space="preserve"> (incl. GHG emissions). </w:t>
      </w:r>
      <w:r w:rsidR="00D51D3B">
        <w:t xml:space="preserve">The evaluation team recommends that projects implementing activities in innovative areas, such as the </w:t>
      </w:r>
      <w:r w:rsidR="00D51D3B" w:rsidRPr="00A65EA3">
        <w:t>GLIZP</w:t>
      </w:r>
      <w:r w:rsidR="00D51D3B">
        <w:t xml:space="preserve"> project, consider the option of includ</w:t>
      </w:r>
      <w:r w:rsidR="00A711DB">
        <w:t>ing</w:t>
      </w:r>
      <w:r w:rsidR="00D51D3B">
        <w:t xml:space="preserve"> the role of </w:t>
      </w:r>
      <w:r w:rsidR="00A711DB">
        <w:t xml:space="preserve">international </w:t>
      </w:r>
      <w:r w:rsidR="00D51D3B">
        <w:t>CTAs as part of their implementation arrangements.</w:t>
      </w:r>
    </w:p>
    <w:p w14:paraId="7180D6C1" w14:textId="77777777" w:rsidR="00D51D3B" w:rsidRDefault="00D51D3B" w:rsidP="00D51D3B">
      <w:pPr>
        <w:pStyle w:val="ListParagraph"/>
      </w:pPr>
    </w:p>
    <w:p w14:paraId="36A19FEB" w14:textId="5B3ED41E" w:rsidR="00D51D3B" w:rsidRPr="004B1971" w:rsidRDefault="007216E3" w:rsidP="00A65EA3">
      <w:pPr>
        <w:pStyle w:val="ListParagraph"/>
        <w:numPr>
          <w:ilvl w:val="0"/>
          <w:numId w:val="67"/>
        </w:numPr>
        <w:jc w:val="both"/>
      </w:pPr>
      <w:r>
        <w:t xml:space="preserve">Indicators in the project results framework of the </w:t>
      </w:r>
      <w:r w:rsidRPr="00A65EA3">
        <w:t>GLIZP</w:t>
      </w:r>
      <w:r>
        <w:t xml:space="preserve"> project had a strong focus on higher level results in terms on fuel savings and GHG emissions reductions. While these are critically important parameters to evaluate the cost-effectiveness of climate change mitigation projects and to track their progress towards results, the evaluation team considers that these indicators should also be accompanied </w:t>
      </w:r>
      <w:r w:rsidR="00A711DB">
        <w:t>by</w:t>
      </w:r>
      <w:r>
        <w:t xml:space="preserve"> other indicator</w:t>
      </w:r>
      <w:r w:rsidR="00A711DB">
        <w:t>s</w:t>
      </w:r>
      <w:r>
        <w:t xml:space="preserve"> at lower levels to track the delivery of key outputs and to measure shorter-term results. Such a balanced set of indicators support project teams during implementation as they provide a better structured framework for planning and implementing activities. A balanced set of indicators also facilitates the oversight function by implementing </w:t>
      </w:r>
      <w:r w:rsidRPr="004B1971">
        <w:t xml:space="preserve">agencies. </w:t>
      </w:r>
    </w:p>
    <w:p w14:paraId="70ED11FA" w14:textId="77777777" w:rsidR="0065004B" w:rsidRDefault="0065004B" w:rsidP="0065004B">
      <w:pPr>
        <w:pStyle w:val="ListParagraph"/>
      </w:pPr>
    </w:p>
    <w:p w14:paraId="65A22538" w14:textId="77777777" w:rsidR="00C034B6" w:rsidRPr="0065004B" w:rsidRDefault="00C034B6" w:rsidP="0065004B">
      <w:pPr>
        <w:autoSpaceDE w:val="0"/>
        <w:autoSpaceDN w:val="0"/>
        <w:adjustRightInd w:val="0"/>
        <w:spacing w:after="0" w:line="240" w:lineRule="auto"/>
        <w:rPr>
          <w:rFonts w:ascii="Gill Sans MT" w:hAnsi="Gill Sans MT" w:cs="Gill Sans MT"/>
          <w:color w:val="000000"/>
          <w:sz w:val="24"/>
          <w:szCs w:val="24"/>
        </w:rPr>
      </w:pPr>
    </w:p>
    <w:p w14:paraId="08AB2FCB" w14:textId="77777777" w:rsidR="004C032B" w:rsidRDefault="004C032B" w:rsidP="004C032B">
      <w:pPr>
        <w:pStyle w:val="ListParagraph"/>
      </w:pPr>
    </w:p>
    <w:p w14:paraId="3014817A" w14:textId="77777777" w:rsidR="00E82201" w:rsidRDefault="00E82201" w:rsidP="008E2C94">
      <w:pPr>
        <w:jc w:val="both"/>
        <w:rPr>
          <w:color w:val="2E75B6" w:themeColor="accent5"/>
        </w:rPr>
      </w:pPr>
    </w:p>
    <w:p w14:paraId="3731D4A7" w14:textId="77777777" w:rsidR="00E82201" w:rsidRDefault="00E82201" w:rsidP="008E2C94">
      <w:pPr>
        <w:jc w:val="both"/>
        <w:rPr>
          <w:color w:val="2E75B6" w:themeColor="accent5"/>
        </w:rPr>
      </w:pPr>
    </w:p>
    <w:p w14:paraId="399480A9" w14:textId="1DB80202" w:rsidR="00E82201" w:rsidRDefault="00E82201" w:rsidP="008E2C94">
      <w:pPr>
        <w:jc w:val="both"/>
        <w:rPr>
          <w:color w:val="2E75B6" w:themeColor="accent5"/>
        </w:rPr>
        <w:sectPr w:rsidR="00E82201">
          <w:pgSz w:w="12240" w:h="15840"/>
          <w:pgMar w:top="1440" w:right="1440" w:bottom="1440" w:left="1440" w:header="720" w:footer="720" w:gutter="0"/>
          <w:cols w:space="720"/>
          <w:docGrid w:linePitch="360"/>
        </w:sectPr>
      </w:pPr>
    </w:p>
    <w:p w14:paraId="20F06BF0" w14:textId="21E29EB5" w:rsidR="008E2C94" w:rsidRDefault="008E2C94" w:rsidP="00AC0D02">
      <w:pPr>
        <w:pStyle w:val="Heading1"/>
        <w:numPr>
          <w:ilvl w:val="0"/>
          <w:numId w:val="5"/>
        </w:numPr>
      </w:pPr>
      <w:bookmarkStart w:id="67" w:name="_Toc64632061"/>
      <w:r>
        <w:lastRenderedPageBreak/>
        <w:t xml:space="preserve">Terminal </w:t>
      </w:r>
      <w:r w:rsidR="005E1E85">
        <w:t>e</w:t>
      </w:r>
      <w:r>
        <w:t xml:space="preserve">valuation </w:t>
      </w:r>
      <w:r w:rsidR="005E1E85">
        <w:t>t</w:t>
      </w:r>
      <w:r>
        <w:t xml:space="preserve">erms of </w:t>
      </w:r>
      <w:r w:rsidR="005E1E85">
        <w:t>r</w:t>
      </w:r>
      <w:r>
        <w:t>eference</w:t>
      </w:r>
      <w:bookmarkEnd w:id="67"/>
      <w:r>
        <w:t xml:space="preserve"> </w:t>
      </w:r>
    </w:p>
    <w:p w14:paraId="3C2B9653" w14:textId="6AF7B4FD" w:rsidR="00EF6294" w:rsidRPr="00845B64" w:rsidRDefault="00EF6294" w:rsidP="00845B64">
      <w:pPr>
        <w:rPr>
          <w:b/>
          <w:bCs/>
          <w:lang w:eastAsia="zh-CN"/>
        </w:rPr>
      </w:pPr>
      <w:bookmarkStart w:id="68" w:name="_Hlk530379495"/>
      <w:r w:rsidRPr="00845B64">
        <w:rPr>
          <w:b/>
          <w:bCs/>
          <w:lang w:eastAsia="zh-CN"/>
        </w:rPr>
        <w:t xml:space="preserve">Terms of Reference for the Terminal Evaluation </w:t>
      </w:r>
    </w:p>
    <w:p w14:paraId="0AEFC449" w14:textId="77777777" w:rsidR="00EF6294" w:rsidRPr="00845B64" w:rsidRDefault="00EF6294" w:rsidP="00AC0D02">
      <w:pPr>
        <w:widowControl w:val="0"/>
        <w:numPr>
          <w:ilvl w:val="0"/>
          <w:numId w:val="6"/>
        </w:numPr>
        <w:spacing w:after="0" w:line="240" w:lineRule="auto"/>
        <w:jc w:val="both"/>
        <w:rPr>
          <w:rFonts w:eastAsia="SimSun" w:cs="Times New Roman"/>
          <w:smallCaps/>
          <w:kern w:val="2"/>
          <w:lang w:eastAsia="zh-CN"/>
        </w:rPr>
      </w:pPr>
      <w:r w:rsidRPr="00845B64">
        <w:rPr>
          <w:rFonts w:eastAsia="SimSun" w:cs="Times New Roman"/>
          <w:b/>
          <w:kern w:val="2"/>
          <w:lang w:eastAsia="zh-CN"/>
        </w:rPr>
        <w:t>Introduction</w:t>
      </w:r>
    </w:p>
    <w:p w14:paraId="2B49D00E" w14:textId="412F6EA3" w:rsidR="00EF6294" w:rsidRPr="00845B64" w:rsidRDefault="00EF6294" w:rsidP="00EF6294">
      <w:pPr>
        <w:spacing w:after="0" w:line="240" w:lineRule="auto"/>
        <w:contextualSpacing/>
        <w:jc w:val="both"/>
        <w:rPr>
          <w:rFonts w:eastAsia="Times New Roman" w:cs="Times New Roman"/>
        </w:rPr>
      </w:pPr>
      <w:r w:rsidRPr="00845B64">
        <w:rPr>
          <w:rFonts w:eastAsia="Times New Roman" w:cs="Times New Roman"/>
        </w:rPr>
        <w:t xml:space="preserve">In accordance with UNDP and GEF M&amp;E policies and procedures, all full- and medium-sized UNDP-supported GEF-financed projects are required to undergo a Terminal Evaluation (TE) at the end of the project. This Terms of Reference (ToR) sets out the expectations for the TE of the Greening the Logistics Industry in Zhejiang Province (GLIZP) (PIMS #5238) implemented through the </w:t>
      </w:r>
      <w:r w:rsidRPr="00C80BAF">
        <w:rPr>
          <w:rFonts w:eastAsia="Times New Roman" w:cs="Times New Roman"/>
        </w:rPr>
        <w:t>Zhejiang Economic Information Center (Zhejiang Project Office).</w:t>
      </w:r>
      <w:r w:rsidRPr="00845B64">
        <w:rPr>
          <w:rFonts w:eastAsia="Times New Roman" w:cs="Times New Roman"/>
        </w:rPr>
        <w:t xml:space="preserve"> The project started on the 3</w:t>
      </w:r>
      <w:r w:rsidRPr="00C80BAF">
        <w:rPr>
          <w:rFonts w:eastAsia="Times New Roman" w:cs="Times New Roman"/>
        </w:rPr>
        <w:t>rd</w:t>
      </w:r>
      <w:r w:rsidRPr="00845B64">
        <w:rPr>
          <w:rFonts w:eastAsia="Times New Roman" w:cs="Times New Roman"/>
        </w:rPr>
        <w:t xml:space="preserve"> Jan 2017 and is in its fourth year of implementation. The TE process must follow the guidance outlined in the document ‘</w:t>
      </w:r>
      <w:hyperlink r:id="rId14" w:history="1">
        <w:r w:rsidRPr="00C80BAF">
          <w:rPr>
            <w:rFonts w:eastAsia="Times New Roman" w:cs="Times New Roman"/>
          </w:rPr>
          <w:t>Guidance for Terminal Evaluations of UNDP-supported GEF-financed Projects</w:t>
        </w:r>
      </w:hyperlink>
      <w:r w:rsidRPr="00C80BAF">
        <w:rPr>
          <w:rFonts w:eastAsia="Times New Roman" w:cs="Times New Roman"/>
        </w:rPr>
        <w:t>’</w:t>
      </w:r>
      <w:r w:rsidRPr="00845B64">
        <w:rPr>
          <w:rFonts w:eastAsia="Times New Roman" w:cs="Times New Roman"/>
        </w:rPr>
        <w:t>.</w:t>
      </w:r>
    </w:p>
    <w:p w14:paraId="49BF7104" w14:textId="77777777" w:rsidR="00EF6294" w:rsidRPr="00845B64" w:rsidRDefault="00EF6294" w:rsidP="00EF6294">
      <w:pPr>
        <w:spacing w:after="0" w:line="240" w:lineRule="auto"/>
        <w:contextualSpacing/>
        <w:rPr>
          <w:rFonts w:eastAsia="Times New Roman" w:cs="Times New Roman"/>
        </w:rPr>
      </w:pPr>
    </w:p>
    <w:p w14:paraId="505F8EAD" w14:textId="77777777" w:rsidR="00EF6294" w:rsidRPr="00845B64" w:rsidRDefault="00EF6294" w:rsidP="00AC0D02">
      <w:pPr>
        <w:widowControl w:val="0"/>
        <w:numPr>
          <w:ilvl w:val="0"/>
          <w:numId w:val="6"/>
        </w:numPr>
        <w:spacing w:after="0" w:line="240" w:lineRule="auto"/>
        <w:contextualSpacing/>
        <w:jc w:val="both"/>
        <w:rPr>
          <w:rFonts w:eastAsia="SimSun" w:cs="Times New Roman"/>
          <w:b/>
          <w:bCs/>
          <w:spacing w:val="4"/>
        </w:rPr>
      </w:pPr>
      <w:r w:rsidRPr="00845B64">
        <w:rPr>
          <w:rFonts w:eastAsia="Calibri" w:cs="Times New Roman"/>
          <w:b/>
          <w:bCs/>
          <w:spacing w:val="4"/>
        </w:rPr>
        <w:t>Project Background and Context</w:t>
      </w:r>
    </w:p>
    <w:p w14:paraId="7CF17615" w14:textId="77777777" w:rsidR="00EF6294" w:rsidRPr="00845B64" w:rsidRDefault="00EF6294" w:rsidP="00EF6294">
      <w:pPr>
        <w:spacing w:after="0" w:line="240" w:lineRule="auto"/>
        <w:contextualSpacing/>
        <w:jc w:val="both"/>
        <w:rPr>
          <w:rFonts w:eastAsia="Times New Roman" w:cs="Times New Roman"/>
        </w:rPr>
      </w:pPr>
      <w:r w:rsidRPr="00845B64">
        <w:rPr>
          <w:rFonts w:eastAsia="Times New Roman" w:cs="Times New Roman"/>
        </w:rPr>
        <w:t>For a country like China, which for the past 2 decades has been experiencing rapid economic growth, activities such as the production, handling, storage, and physical delivery of products/goods (including raw materials) have increased significantly. Trucking, the most common, yet the most energy inefficient form of freight/cargo transport, accounts for 75% of the annual total volume of freight transport in China (compared to 75% by rail in the USA). Currently, the logistics industry in China faces lots of problems, including non-standard supply chain equipment, low truck availability, low quality of diesel fuel due to the difference between China’s crude oil standards and international standard and long loading time. As a result, operational expenses (mainly on energy consumption for physical distribution, i.e., freight transport; and materials management, i.e., inventory carrying) in China’s logistics industry account for 18.3% of the GDP, compared with 6% in Germany and 5% in France.</w:t>
      </w:r>
    </w:p>
    <w:p w14:paraId="564C11C4" w14:textId="77777777" w:rsidR="00EF6294" w:rsidRPr="00845B64" w:rsidRDefault="00EF6294" w:rsidP="00EF6294">
      <w:pPr>
        <w:spacing w:after="0" w:line="240" w:lineRule="auto"/>
        <w:ind w:left="630"/>
        <w:contextualSpacing/>
        <w:jc w:val="both"/>
        <w:rPr>
          <w:rFonts w:eastAsia="Times New Roman" w:cs="Times New Roman"/>
        </w:rPr>
      </w:pPr>
    </w:p>
    <w:p w14:paraId="3F527C12" w14:textId="77777777" w:rsidR="00EF6294" w:rsidRPr="00845B64" w:rsidRDefault="00EF6294" w:rsidP="00EF6294">
      <w:pPr>
        <w:spacing w:after="0" w:line="240" w:lineRule="auto"/>
        <w:contextualSpacing/>
        <w:jc w:val="both"/>
        <w:rPr>
          <w:rFonts w:eastAsia="Times New Roman" w:cs="Times New Roman"/>
        </w:rPr>
      </w:pPr>
      <w:r w:rsidRPr="00845B64">
        <w:rPr>
          <w:rFonts w:eastAsia="Times New Roman" w:cs="Times New Roman"/>
        </w:rPr>
        <w:t>To cope up with the rapid economic growth, logistics infrastructure investments have been spectacular; in the last five years. China has spent more than about US$1.5 trillion on 639,000 km of new roads, 33,000 km of new freeways and 15,500 km of new railway lines. It has created 1,700 deep water ports and 170 airports. But all of these are not integrated. As a result, despite of these huge investments, the logistics efficiency in China is very low compared to that in other countries. National average empty truck load is 50% to 60%. Also, average fuel consumption per distance by trucks is about 30% higher than those in the developed countries. The logistics across China cost a massive 18% of GDP in Q1 2012, about double that of developed countries. China’s higher logistics cost is related to the capacity and skills of its logistics services providers (LSPs). The country’s LSPs are yet to progress further towards added value and more sophisticated services. The logistics industry is fragmented, with more than 1,000 “unskilled providers”.</w:t>
      </w:r>
    </w:p>
    <w:p w14:paraId="5A6E9FA5" w14:textId="77777777" w:rsidR="00EF6294" w:rsidRPr="00845B64" w:rsidRDefault="00EF6294" w:rsidP="00EF6294">
      <w:pPr>
        <w:spacing w:after="0" w:line="240" w:lineRule="auto"/>
        <w:ind w:left="450"/>
        <w:contextualSpacing/>
        <w:rPr>
          <w:rFonts w:eastAsia="Times New Roman" w:cs="Times New Roman"/>
        </w:rPr>
      </w:pPr>
    </w:p>
    <w:p w14:paraId="60EF665D" w14:textId="77777777" w:rsidR="00EF6294" w:rsidRPr="00845B64" w:rsidRDefault="00EF6294" w:rsidP="00EF6294">
      <w:pPr>
        <w:spacing w:after="0" w:line="240" w:lineRule="auto"/>
        <w:contextualSpacing/>
        <w:jc w:val="both"/>
        <w:rPr>
          <w:rFonts w:eastAsia="Times New Roman" w:cs="Times New Roman"/>
        </w:rPr>
      </w:pPr>
      <w:r w:rsidRPr="00845B64">
        <w:rPr>
          <w:rFonts w:eastAsia="Times New Roman" w:cs="Times New Roman"/>
        </w:rPr>
        <w:t>China’s total social logistics cost exceeded 10 trillion RMB in 2013, making up 18% of GDP. Logistics energy consumption remained high, amounting to 272.3 million tce to 311.2 million tce (ton of coal equivalent) in the same year. In general, energy takes up 27% - 31% of operating cost of the China’s logistics industry. According to rough estimates, energy consumption cost has climbed to 40% or even 80% of total cost for transport LSPs. With the dawning of rapid-development phase for modern logistics in China, reliance by the logistics industry in petroleum has become irreversible. The high petroleum price contributes to the rising transportation cost, which significantly adds to logistics cost. As energy price fluctuates, this certainly exerts certain impacts on logistics enterprises and industry in terms of rising of operating cost, shrinking of profit and capital shortage of domestic LSPs.</w:t>
      </w:r>
    </w:p>
    <w:p w14:paraId="5B36ED6D" w14:textId="77777777" w:rsidR="00EF6294" w:rsidRPr="00845B64" w:rsidRDefault="00EF6294" w:rsidP="00EF6294">
      <w:pPr>
        <w:spacing w:after="0" w:line="240" w:lineRule="auto"/>
        <w:contextualSpacing/>
        <w:jc w:val="both"/>
        <w:rPr>
          <w:rFonts w:eastAsia="Times New Roman" w:cs="Times New Roman"/>
        </w:rPr>
      </w:pPr>
    </w:p>
    <w:p w14:paraId="653F6129" w14:textId="77777777" w:rsidR="00EF6294" w:rsidRPr="00845B64" w:rsidRDefault="00EF6294" w:rsidP="00EF6294">
      <w:pPr>
        <w:spacing w:after="0" w:line="240" w:lineRule="auto"/>
        <w:contextualSpacing/>
        <w:jc w:val="both"/>
        <w:rPr>
          <w:rFonts w:eastAsia="Times New Roman" w:cs="Times New Roman"/>
        </w:rPr>
      </w:pPr>
      <w:r w:rsidRPr="00845B64">
        <w:rPr>
          <w:rFonts w:eastAsia="Times New Roman" w:cs="Times New Roman"/>
        </w:rPr>
        <w:t xml:space="preserve">Out of the China’s total energy consumption reaching 3.89 billion tce in 2013, the logistics industry share was 7% to 8%, which is equivalent to 272.3 million to 311.2 million tce. The estimated overall energy consumption of China’s logistics industry is 4.79 to 5.47 tce/10,000 RMB GDP, with reference to the </w:t>
      </w:r>
      <w:r w:rsidRPr="00845B64">
        <w:rPr>
          <w:rFonts w:eastAsia="Times New Roman" w:cs="Times New Roman"/>
        </w:rPr>
        <w:lastRenderedPageBreak/>
        <w:t xml:space="preserve">corresponding total GDP of 56.9 trillion RMB of China. Based on the data from National Bureau of Statistics, China’s transportation, warehousing, and post sectors consume 10% of overall energy. </w:t>
      </w:r>
    </w:p>
    <w:p w14:paraId="4B7F57AE" w14:textId="77777777" w:rsidR="00EF6294" w:rsidRPr="00845B64" w:rsidRDefault="00EF6294" w:rsidP="00EF6294">
      <w:pPr>
        <w:spacing w:after="0" w:line="240" w:lineRule="auto"/>
        <w:contextualSpacing/>
        <w:rPr>
          <w:rFonts w:eastAsia="Calibri" w:cs="Times New Roman"/>
        </w:rPr>
      </w:pPr>
    </w:p>
    <w:p w14:paraId="6F539CBA" w14:textId="77777777" w:rsidR="00EF6294" w:rsidRPr="00845B64" w:rsidRDefault="00EF6294" w:rsidP="00EF6294">
      <w:pPr>
        <w:spacing w:after="0" w:line="240" w:lineRule="auto"/>
        <w:contextualSpacing/>
        <w:jc w:val="both"/>
        <w:rPr>
          <w:rFonts w:eastAsia="Times New Roman" w:cs="Times New Roman"/>
        </w:rPr>
      </w:pPr>
      <w:r w:rsidRPr="00845B64">
        <w:rPr>
          <w:rFonts w:eastAsia="Times New Roman" w:cs="Times New Roman"/>
        </w:rPr>
        <w:t>Effective logistics provision is among the most critical factors for China’s economic development, and in some particular circumstances, it could be the very important consideration. Modernization of logistics operations can effectively enhance a country’s industrial structure and improve quality of economic operation. As a result of the shift in global energy supply forms and the enhanced green energy awareness in recent years, energy supply has become a key element that can potentially affect the development of the country’s logistics industry</w:t>
      </w:r>
    </w:p>
    <w:p w14:paraId="75B088B3" w14:textId="77777777" w:rsidR="00EF6294" w:rsidRPr="00845B64" w:rsidRDefault="00EF6294" w:rsidP="00EF6294">
      <w:pPr>
        <w:widowControl w:val="0"/>
        <w:spacing w:after="0" w:line="240" w:lineRule="auto"/>
        <w:jc w:val="both"/>
        <w:rPr>
          <w:rFonts w:eastAsia="SimSun" w:cs="Times New Roman"/>
          <w:smallCaps/>
          <w:kern w:val="2"/>
          <w:lang w:eastAsia="zh-CN"/>
        </w:rPr>
      </w:pPr>
    </w:p>
    <w:p w14:paraId="1079220F" w14:textId="77777777" w:rsidR="00EF6294" w:rsidRPr="00845B64" w:rsidRDefault="00EF6294" w:rsidP="00EF6294">
      <w:pPr>
        <w:widowControl w:val="0"/>
        <w:spacing w:after="0" w:line="240" w:lineRule="auto"/>
        <w:jc w:val="both"/>
        <w:rPr>
          <w:rFonts w:eastAsia="SimSun" w:cs="Times New Roman"/>
          <w:b/>
          <w:bCs/>
          <w:spacing w:val="4"/>
          <w:kern w:val="2"/>
          <w:lang w:eastAsia="zh-CN"/>
        </w:rPr>
      </w:pPr>
      <w:r w:rsidRPr="00845B64">
        <w:rPr>
          <w:rFonts w:eastAsia="SimSun" w:cs="Times New Roman"/>
          <w:b/>
          <w:bCs/>
          <w:spacing w:val="4"/>
          <w:kern w:val="2"/>
          <w:lang w:eastAsia="zh-CN"/>
        </w:rPr>
        <w:t>Project Summary</w:t>
      </w:r>
    </w:p>
    <w:p w14:paraId="121C43A3" w14:textId="77777777" w:rsidR="00EF6294" w:rsidRPr="00845B64" w:rsidRDefault="00EF6294" w:rsidP="00EF6294">
      <w:pPr>
        <w:widowControl w:val="0"/>
        <w:tabs>
          <w:tab w:val="left" w:pos="5278"/>
        </w:tabs>
        <w:spacing w:after="0" w:line="240" w:lineRule="auto"/>
        <w:jc w:val="both"/>
        <w:rPr>
          <w:rFonts w:eastAsia="SimSun" w:cs="Times New Roman"/>
          <w:kern w:val="2"/>
          <w:lang w:eastAsia="zh-CN"/>
        </w:rPr>
      </w:pPr>
    </w:p>
    <w:p w14:paraId="615B81CE" w14:textId="77777777" w:rsidR="00EF6294" w:rsidRPr="00845B64" w:rsidRDefault="00EF6294" w:rsidP="00EF6294">
      <w:pPr>
        <w:widowControl w:val="0"/>
        <w:tabs>
          <w:tab w:val="left" w:pos="5278"/>
        </w:tabs>
        <w:spacing w:after="0" w:line="240" w:lineRule="auto"/>
        <w:jc w:val="both"/>
        <w:rPr>
          <w:rFonts w:eastAsia="SimSun" w:cs="Times New Roman"/>
          <w:b/>
          <w:color w:val="000000"/>
          <w:kern w:val="2"/>
          <w:lang w:eastAsia="zh-CN"/>
        </w:rPr>
      </w:pPr>
      <w:r w:rsidRPr="00845B64">
        <w:rPr>
          <w:rFonts w:eastAsia="SimSun" w:cs="Times New Roman"/>
          <w:kern w:val="2"/>
          <w:lang w:eastAsia="zh-CN"/>
        </w:rPr>
        <w:t>GLIZP is aimed at widespread application of energy efficient green logistics technology (techniques and practices) in the logistics industry in Zhejiang Province. A barrier removal approach will be applied to achieve effective and extensive application of green logistics concepts in the province’s logistics industry. The project is expected to transform the logistics industry in Zhejiang Province into one where the interplay of operational efficiency, environmental friendliness and energy efficiency/conservation ensures sustainable operation and development of the logistics industry in serving the commercial and manufacturing sectors in the province in the collection, storage and delivery of goods in an efficient, energy conserving, waste-reducing manner. This will be achieved through the implementation of activities grouped into three project components: (1) Policy and Regulatory Support for Green Logistics, (2) Green Logistics Systems Demonstration, and (3) Capacity Building and Promotion of, Green Logistics Systems.</w:t>
      </w:r>
    </w:p>
    <w:p w14:paraId="0E8FA184" w14:textId="77777777" w:rsidR="00EF6294" w:rsidRPr="00845B64" w:rsidRDefault="00EF6294" w:rsidP="00EF6294">
      <w:pPr>
        <w:widowControl w:val="0"/>
        <w:autoSpaceDE w:val="0"/>
        <w:autoSpaceDN w:val="0"/>
        <w:adjustRightInd w:val="0"/>
        <w:spacing w:after="0" w:line="240" w:lineRule="auto"/>
        <w:jc w:val="both"/>
        <w:rPr>
          <w:rFonts w:eastAsia="SimSun" w:cs="Times New Roman"/>
          <w:b/>
          <w:kern w:val="2"/>
          <w:lang w:eastAsia="zh-CN"/>
        </w:rPr>
      </w:pPr>
    </w:p>
    <w:p w14:paraId="37340B16" w14:textId="77777777" w:rsidR="00EF6294" w:rsidRPr="00845B64" w:rsidRDefault="00EF6294" w:rsidP="00EF6294">
      <w:pPr>
        <w:widowControl w:val="0"/>
        <w:spacing w:after="0" w:line="240" w:lineRule="auto"/>
        <w:jc w:val="both"/>
        <w:rPr>
          <w:rFonts w:eastAsia="SimSun" w:cs="Times New Roman"/>
          <w:b/>
          <w:kern w:val="2"/>
          <w:lang w:eastAsia="zh-CN"/>
        </w:rPr>
      </w:pPr>
      <w:r w:rsidRPr="00845B64">
        <w:rPr>
          <w:rFonts w:eastAsia="SimSun" w:cs="Times New Roman"/>
          <w:b/>
          <w:kern w:val="2"/>
          <w:lang w:eastAsia="zh-CN"/>
        </w:rPr>
        <w:t>Expected outcomes:</w:t>
      </w:r>
    </w:p>
    <w:p w14:paraId="629A256E" w14:textId="77777777" w:rsidR="00EF6294" w:rsidRPr="00845B64" w:rsidRDefault="00EF6294" w:rsidP="00EF6294">
      <w:pPr>
        <w:widowControl w:val="0"/>
        <w:spacing w:after="0" w:line="240" w:lineRule="auto"/>
        <w:ind w:left="360"/>
        <w:jc w:val="both"/>
        <w:rPr>
          <w:rFonts w:eastAsia="SimSun" w:cs="Times New Roman"/>
          <w:kern w:val="2"/>
          <w:lang w:eastAsia="zh-CN"/>
        </w:rPr>
      </w:pPr>
    </w:p>
    <w:p w14:paraId="4E9AD004" w14:textId="77777777" w:rsidR="00EF6294" w:rsidRPr="00845B64" w:rsidRDefault="00EF6294" w:rsidP="00AC0D02">
      <w:pPr>
        <w:widowControl w:val="0"/>
        <w:numPr>
          <w:ilvl w:val="0"/>
          <w:numId w:val="7"/>
        </w:numPr>
        <w:spacing w:after="0" w:line="240" w:lineRule="auto"/>
        <w:jc w:val="both"/>
        <w:rPr>
          <w:rFonts w:eastAsia="SimSun" w:cs="Times New Roman"/>
          <w:kern w:val="2"/>
          <w:lang w:eastAsia="zh-CN"/>
        </w:rPr>
      </w:pPr>
      <w:r w:rsidRPr="00845B64">
        <w:rPr>
          <w:rFonts w:eastAsia="SimSun" w:cs="Times New Roman"/>
          <w:kern w:val="2"/>
          <w:lang w:eastAsia="zh-CN"/>
        </w:rPr>
        <w:t xml:space="preserve">Established and enforced policy and regulations on the application and operation of green logistics systems in the logistics industry in Zhejiang Province. 1) Completed analysis of: (1) the energy use trends and GHG emissions from the operation of the logistics industry (materials management and physical distribution) in Zhejiang Province as basis for formulating policies; and, (2) green logistics systems developed and implemented in other countries and their utilization performances;2) Formulated, recommended and implemented standards, policies, incentive schemes and implementing rules and regulations on the promotion and adoption of green logistics in Zhejiang Province; 3) Published and disseminated guides and reference documents for the application of energy conserving and energy efficient practices in the logistics industry; 4) Approved follow-up plan for the replication of the applications of the piloted green logistics policies in Zhejiang Province in other provinces and cities; </w:t>
      </w:r>
    </w:p>
    <w:p w14:paraId="242B083D" w14:textId="77777777" w:rsidR="00EF6294" w:rsidRPr="00845B64" w:rsidRDefault="00EF6294" w:rsidP="00AC0D02">
      <w:pPr>
        <w:widowControl w:val="0"/>
        <w:numPr>
          <w:ilvl w:val="0"/>
          <w:numId w:val="7"/>
        </w:numPr>
        <w:spacing w:after="0" w:line="240" w:lineRule="auto"/>
        <w:jc w:val="both"/>
        <w:rPr>
          <w:rFonts w:eastAsia="SimSun" w:cs="Times New Roman"/>
          <w:kern w:val="2"/>
          <w:lang w:eastAsia="zh-CN"/>
        </w:rPr>
      </w:pPr>
      <w:r w:rsidRPr="00845B64">
        <w:rPr>
          <w:rFonts w:eastAsia="SimSun" w:cs="Times New Roman"/>
          <w:kern w:val="2"/>
          <w:lang w:eastAsia="zh-CN"/>
        </w:rPr>
        <w:t>Improved energy efficiency in the materials management and physical distribution activities in the logistics industry in Zhejiang Province. 1)Completed designs of energy efficient materials management demonstrations focusing on using energy efficient materials management systems in packaging, warehousing, cold storage, etc., in the logistics industry in Zhejiang Province; 2) Completed designs of energy efficient physical distribution demonstrations focusing on integrated multi-modal transport systems and reduction of empty load rates in the freight transport operations of the logistics industry in Zhejiang Province; 3) Installed and fully operational green logistics-based centralized logistic platform in Fuyang City, Zhejiang Province; 4) Operational green logistics-based physical distribution system demonstration project in Zhejiang Province; 5) Documented annual evaluation reports on the energy performance and environmental impacts of each demo project in materials management and physical distribution, and documented and disseminated demo project results; 6) Developed action plan for scaling-up and sustainability of the green logistics system demonstration program;</w:t>
      </w:r>
    </w:p>
    <w:p w14:paraId="21E7DD62" w14:textId="77777777" w:rsidR="00EF6294" w:rsidRPr="00845B64" w:rsidRDefault="00EF6294" w:rsidP="00AC0D02">
      <w:pPr>
        <w:widowControl w:val="0"/>
        <w:numPr>
          <w:ilvl w:val="0"/>
          <w:numId w:val="7"/>
        </w:numPr>
        <w:spacing w:after="0" w:line="240" w:lineRule="auto"/>
        <w:jc w:val="both"/>
        <w:rPr>
          <w:rFonts w:eastAsia="SimSun" w:cs="Times New Roman"/>
          <w:kern w:val="2"/>
          <w:lang w:eastAsia="zh-CN"/>
        </w:rPr>
      </w:pPr>
      <w:r w:rsidRPr="00845B64">
        <w:rPr>
          <w:rFonts w:eastAsia="SimSun" w:cs="Times New Roman"/>
          <w:kern w:val="2"/>
          <w:lang w:eastAsia="zh-CN"/>
        </w:rPr>
        <w:t xml:space="preserve">Increased application and utilization of energy efficient materials management and physical distribution techniques, technologies and practices in the logistics and manufacturing industries in Zhejiang Province. 1) Completed assessment report on capacity development needs in the area of green logistics </w:t>
      </w:r>
      <w:r w:rsidRPr="00845B64">
        <w:rPr>
          <w:rFonts w:eastAsia="SimSun" w:cs="Times New Roman"/>
          <w:kern w:val="2"/>
          <w:lang w:eastAsia="zh-CN"/>
        </w:rPr>
        <w:lastRenderedPageBreak/>
        <w:t xml:space="preserve">and developed green logistics capacity building program; 2) Completed green logistics training courses for government authorities and relevant stakeholders in the logistics and manufacturing industries in Zhejiang Province (e.g., concepts, practices, methodologies; 3) Completed technical assistance program for assisting small-to-medium size LSPs on the application of green logistics systems; 4) Completed promotional workshops and activities for enhancing awareness and knowledge in green logistics systems; 5) Completed and fully evaluated program for the promotion and capacity building of green logistics systems; 6) Designed, endorsed and implemented an energy performance rating program and green logistics information sharing system for LSPs in Zhejiang Province; </w:t>
      </w:r>
    </w:p>
    <w:p w14:paraId="5724CE8B" w14:textId="77777777" w:rsidR="00EF6294" w:rsidRPr="00845B64" w:rsidRDefault="00EF6294" w:rsidP="00EF6294">
      <w:pPr>
        <w:spacing w:after="0" w:line="240" w:lineRule="auto"/>
        <w:ind w:left="360"/>
        <w:jc w:val="both"/>
        <w:rPr>
          <w:rFonts w:eastAsia="SimSun" w:cs="Times New Roman"/>
          <w:kern w:val="2"/>
          <w:lang w:eastAsia="zh-CN"/>
        </w:rPr>
      </w:pPr>
      <w:r w:rsidRPr="00845B64">
        <w:rPr>
          <w:rFonts w:eastAsia="SimSun" w:cs="Times New Roman"/>
          <w:kern w:val="2"/>
          <w:lang w:eastAsia="zh-CN"/>
        </w:rPr>
        <w:t xml:space="preserve">                                                                                                                                                                                                                                                                                                                                                                                                                                                                                                                                                                                                                                                                                                                                                                                                                                                                                                                                                                                                                                                                                                                                                                                                                                                                                                                                                                                                                                                                                                                                                                                                                                                                                                                                                                                                                                                                                                                                                                                                                                                                                                                                                                                                                                                                                                                                                                                                                                                                                                                                                                                                                                                                                                                                                                                                                                                                                                                                                                                                                                                                                                                                                                                                                                                                                                                                                                                                                                                                                                                                                                                                                                                                                                                                                                                                                                                                                                                                                                                                                                                                                                                                                                                                                                                                                                                                                                                               </w:t>
      </w:r>
    </w:p>
    <w:p w14:paraId="421CB248" w14:textId="77777777" w:rsidR="00EF6294" w:rsidRPr="00845B64" w:rsidRDefault="00EF6294" w:rsidP="00EF6294">
      <w:pPr>
        <w:widowControl w:val="0"/>
        <w:spacing w:after="0" w:line="240" w:lineRule="auto"/>
        <w:jc w:val="both"/>
        <w:rPr>
          <w:rFonts w:eastAsia="SimSun" w:cs="Times New Roman"/>
          <w:kern w:val="2"/>
          <w:lang w:eastAsia="zh-CN"/>
        </w:rPr>
      </w:pPr>
      <w:r w:rsidRPr="00845B64">
        <w:rPr>
          <w:rFonts w:eastAsia="SimSun" w:cs="Times New Roman"/>
          <w:kern w:val="2"/>
          <w:lang w:eastAsia="zh-CN"/>
        </w:rPr>
        <w:t>Implementation Period: 2017-2020</w:t>
      </w:r>
    </w:p>
    <w:p w14:paraId="61F05543" w14:textId="77777777" w:rsidR="00EF6294" w:rsidRPr="00845B64" w:rsidRDefault="00EF6294" w:rsidP="00EF6294">
      <w:pPr>
        <w:widowControl w:val="0"/>
        <w:spacing w:after="0" w:line="240" w:lineRule="auto"/>
        <w:jc w:val="both"/>
        <w:rPr>
          <w:rFonts w:eastAsia="SimSun" w:cs="Times New Roman"/>
          <w:kern w:val="2"/>
          <w:lang w:eastAsia="zh-CN"/>
        </w:rPr>
      </w:pPr>
    </w:p>
    <w:p w14:paraId="5C03D4C3" w14:textId="77777777" w:rsidR="00EF6294" w:rsidRPr="00845B64" w:rsidRDefault="00EF6294" w:rsidP="00EF6294">
      <w:pPr>
        <w:widowControl w:val="0"/>
        <w:spacing w:after="0" w:line="240" w:lineRule="auto"/>
        <w:jc w:val="both"/>
        <w:rPr>
          <w:rFonts w:eastAsia="SimSun" w:cs="Times New Roman"/>
          <w:i/>
          <w:iCs/>
          <w:color w:val="000000"/>
          <w:kern w:val="2"/>
          <w:lang w:eastAsia="zh-CN"/>
        </w:rPr>
      </w:pPr>
      <w:r w:rsidRPr="00845B64">
        <w:rPr>
          <w:rFonts w:eastAsia="SimSun" w:cs="Times New Roman"/>
          <w:i/>
          <w:iCs/>
          <w:color w:val="000000"/>
          <w:kern w:val="2"/>
          <w:lang w:eastAsia="zh-CN"/>
        </w:rPr>
        <w:t xml:space="preserve">NOTE: Include details (a paragraph) on the impact of COVID-19 both on the country as a whole (number of cases, deaths, lockdown dates etc.) as well as the impact on the implementation of the project/ program/ outcome being evaluated, if any. </w:t>
      </w:r>
    </w:p>
    <w:p w14:paraId="1A062C7C" w14:textId="77777777" w:rsidR="00EF6294" w:rsidRPr="00845B64" w:rsidRDefault="00EF6294" w:rsidP="00EF6294">
      <w:pPr>
        <w:widowControl w:val="0"/>
        <w:spacing w:after="0" w:line="240" w:lineRule="auto"/>
        <w:jc w:val="both"/>
        <w:rPr>
          <w:rFonts w:eastAsia="SimSun" w:cs="Times New Roman"/>
          <w:kern w:val="2"/>
          <w:lang w:eastAsia="zh-CN"/>
        </w:rPr>
      </w:pPr>
    </w:p>
    <w:p w14:paraId="79E55D3F" w14:textId="77777777" w:rsidR="00EF6294" w:rsidRPr="00845B64" w:rsidRDefault="00EF6294" w:rsidP="00AC0D02">
      <w:pPr>
        <w:widowControl w:val="0"/>
        <w:numPr>
          <w:ilvl w:val="0"/>
          <w:numId w:val="6"/>
        </w:numPr>
        <w:spacing w:after="0" w:line="240" w:lineRule="auto"/>
        <w:jc w:val="both"/>
        <w:rPr>
          <w:rFonts w:eastAsia="SimSun" w:cs="Times New Roman"/>
          <w:kern w:val="2"/>
          <w:lang w:eastAsia="zh-CN"/>
        </w:rPr>
      </w:pPr>
      <w:r w:rsidRPr="00845B64">
        <w:rPr>
          <w:rFonts w:eastAsia="SimSun" w:cs="Times New Roman"/>
          <w:kern w:val="2"/>
          <w:lang w:eastAsia="zh-CN"/>
        </w:rPr>
        <w:t>Terminal Evaluation Purpose</w:t>
      </w:r>
    </w:p>
    <w:p w14:paraId="6F372FAC" w14:textId="77777777" w:rsidR="00EF6294" w:rsidRPr="00845B64" w:rsidRDefault="00EF6294" w:rsidP="00EF6294">
      <w:pPr>
        <w:widowControl w:val="0"/>
        <w:spacing w:after="0" w:line="240" w:lineRule="auto"/>
        <w:jc w:val="both"/>
        <w:rPr>
          <w:rFonts w:eastAsia="SimSun" w:cs="Times New Roman"/>
          <w:kern w:val="2"/>
          <w:lang w:eastAsia="zh-CN"/>
        </w:rPr>
      </w:pPr>
    </w:p>
    <w:p w14:paraId="332CC801" w14:textId="77777777" w:rsidR="00EF6294" w:rsidRPr="00845B6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kern w:val="2"/>
          <w:lang w:eastAsia="zh-CN"/>
        </w:rPr>
        <w:t xml:space="preserve">The objective of the TE is to assess the achievement of project results against what was expected to be achieved and draw lessons that can both improve the </w:t>
      </w:r>
      <w:r w:rsidRPr="00845B64">
        <w:rPr>
          <w:rFonts w:eastAsia="SimSun" w:cs="Times New Roman"/>
          <w:color w:val="000000"/>
          <w:kern w:val="2"/>
          <w:lang w:eastAsia="zh-CN"/>
        </w:rPr>
        <w:t>sustainability of benefits from this project, and aid in the overall enhancement of UNDP programming. The TE report promotes accountability and transparency and assesses the extent of project accomplishments. The TE report promotes accountability and transparency and assesses the extent of project accomplishments.</w:t>
      </w:r>
    </w:p>
    <w:p w14:paraId="5801A534" w14:textId="77777777" w:rsidR="00EF6294" w:rsidRPr="00845B64" w:rsidRDefault="00EF6294" w:rsidP="00EF6294">
      <w:pPr>
        <w:widowControl w:val="0"/>
        <w:spacing w:after="0" w:line="240" w:lineRule="auto"/>
        <w:jc w:val="both"/>
        <w:rPr>
          <w:rFonts w:eastAsia="SimSun" w:cs="Times New Roman"/>
          <w:kern w:val="2"/>
          <w:lang w:eastAsia="zh-CN"/>
        </w:rPr>
      </w:pPr>
    </w:p>
    <w:p w14:paraId="522BA9BC" w14:textId="77777777" w:rsidR="00EF6294" w:rsidRPr="00845B6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kern w:val="2"/>
          <w:lang w:eastAsia="zh-CN"/>
        </w:rPr>
        <w:t>The TE will identify potential project design problems, assess progress towards the achievement of the project objective, identify and document lessons learned (including lessons that might improve design and implementation of other UNDP-GEF projects), and make recommendations regarding specific actions that should be taken to improve the project. The TE will assess early signs of project success or failure and identify the necessary changes to be made. The project performance will be measured based on the indicators of the project’s logical framework and various Tracking Tools.</w:t>
      </w:r>
    </w:p>
    <w:p w14:paraId="701B7613" w14:textId="77777777" w:rsidR="00EF6294" w:rsidRPr="00845B64" w:rsidRDefault="00EF6294" w:rsidP="00EF6294">
      <w:pPr>
        <w:widowControl w:val="0"/>
        <w:tabs>
          <w:tab w:val="left" w:pos="0"/>
        </w:tabs>
        <w:spacing w:after="0" w:line="240" w:lineRule="auto"/>
        <w:jc w:val="both"/>
        <w:rPr>
          <w:rFonts w:eastAsia="SimSun" w:cs="Times New Roman"/>
          <w:kern w:val="2"/>
          <w:lang w:eastAsia="zh-CN"/>
        </w:rPr>
      </w:pPr>
    </w:p>
    <w:p w14:paraId="688D9C81" w14:textId="77777777" w:rsidR="00EF6294" w:rsidRPr="00845B64" w:rsidRDefault="00EF6294" w:rsidP="00EF6294">
      <w:pPr>
        <w:widowControl w:val="0"/>
        <w:spacing w:after="0" w:line="240" w:lineRule="auto"/>
        <w:jc w:val="both"/>
        <w:rPr>
          <w:rFonts w:eastAsia="SimSun" w:cs="Times New Roman"/>
          <w:kern w:val="2"/>
          <w:lang w:eastAsia="zh-CN"/>
        </w:rPr>
      </w:pPr>
      <w:r w:rsidRPr="00845B64">
        <w:rPr>
          <w:rFonts w:eastAsia="SimSun" w:cs="Times New Roman"/>
          <w:kern w:val="2"/>
          <w:lang w:eastAsia="zh-CN"/>
        </w:rPr>
        <w:t xml:space="preserve">The TE must provide evidence based information that is credible, reliable, and useful. The review team is expected to follow a participatory and consultative approach ensuring close engagement with government counterparts, in particular the GEF operational focal point, UNDP Country Office, project team, UNDP GEF Technical Adviser based in the region and key stakeholders. Interviews will be held with the following organizations and individuals at a minimum: </w:t>
      </w:r>
    </w:p>
    <w:p w14:paraId="1BB9E665" w14:textId="77777777" w:rsidR="00EF6294" w:rsidRPr="00845B64" w:rsidRDefault="00EF6294" w:rsidP="00EF6294">
      <w:pPr>
        <w:spacing w:after="0" w:line="240" w:lineRule="auto"/>
        <w:ind w:left="720"/>
        <w:jc w:val="both"/>
        <w:rPr>
          <w:rFonts w:eastAsia="Times New Roman" w:cs="Times New Roman"/>
        </w:rPr>
      </w:pPr>
    </w:p>
    <w:p w14:paraId="45C868E3" w14:textId="77777777" w:rsidR="00EF6294" w:rsidRPr="00845B64" w:rsidRDefault="00EF6294" w:rsidP="00AC0D02">
      <w:pPr>
        <w:widowControl w:val="0"/>
        <w:numPr>
          <w:ilvl w:val="0"/>
          <w:numId w:val="8"/>
        </w:numPr>
        <w:spacing w:after="0" w:line="240" w:lineRule="auto"/>
        <w:jc w:val="both"/>
        <w:rPr>
          <w:rFonts w:eastAsia="Times New Roman" w:cs="Times New Roman"/>
        </w:rPr>
      </w:pPr>
      <w:r w:rsidRPr="00845B64">
        <w:rPr>
          <w:rFonts w:eastAsia="Times New Roman" w:cs="Times New Roman"/>
        </w:rPr>
        <w:t>UNDP staff who have project responsibilities;</w:t>
      </w:r>
    </w:p>
    <w:p w14:paraId="346CAF25" w14:textId="77777777" w:rsidR="00EF6294" w:rsidRPr="00845B64" w:rsidRDefault="00EF6294" w:rsidP="00AC0D02">
      <w:pPr>
        <w:widowControl w:val="0"/>
        <w:numPr>
          <w:ilvl w:val="0"/>
          <w:numId w:val="8"/>
        </w:numPr>
        <w:spacing w:after="0" w:line="240" w:lineRule="auto"/>
        <w:jc w:val="both"/>
        <w:rPr>
          <w:rFonts w:eastAsia="Times New Roman" w:cs="Times New Roman"/>
        </w:rPr>
      </w:pPr>
      <w:r w:rsidRPr="00845B64">
        <w:rPr>
          <w:rFonts w:eastAsia="Times New Roman" w:cs="Times New Roman"/>
        </w:rPr>
        <w:t>Executing agencies (including but not limited to senior officials and task team/ component leaders: ZDRC, key experts and consultants in the demonstration areas, PSC members;</w:t>
      </w:r>
    </w:p>
    <w:p w14:paraId="488800BF" w14:textId="77777777" w:rsidR="00EF6294" w:rsidRPr="00845B64" w:rsidRDefault="00EF6294" w:rsidP="00AC0D02">
      <w:pPr>
        <w:widowControl w:val="0"/>
        <w:numPr>
          <w:ilvl w:val="0"/>
          <w:numId w:val="8"/>
        </w:numPr>
        <w:spacing w:after="0" w:line="240" w:lineRule="auto"/>
        <w:jc w:val="both"/>
        <w:rPr>
          <w:rFonts w:eastAsia="Times New Roman" w:cs="Times New Roman"/>
        </w:rPr>
      </w:pPr>
      <w:r w:rsidRPr="00845B64">
        <w:rPr>
          <w:rFonts w:eastAsia="Times New Roman" w:cs="Times New Roman"/>
        </w:rPr>
        <w:t xml:space="preserve">The Chair of Project Steering Committee  </w:t>
      </w:r>
    </w:p>
    <w:p w14:paraId="24918537" w14:textId="77777777" w:rsidR="00EF6294" w:rsidRPr="00845B64" w:rsidRDefault="00EF6294" w:rsidP="00AC0D02">
      <w:pPr>
        <w:widowControl w:val="0"/>
        <w:numPr>
          <w:ilvl w:val="0"/>
          <w:numId w:val="8"/>
        </w:numPr>
        <w:spacing w:after="0" w:line="240" w:lineRule="auto"/>
        <w:jc w:val="both"/>
        <w:rPr>
          <w:rFonts w:eastAsia="Times New Roman" w:cs="Times New Roman"/>
        </w:rPr>
      </w:pPr>
      <w:r w:rsidRPr="00845B64">
        <w:rPr>
          <w:rFonts w:eastAsia="Times New Roman" w:cs="Times New Roman"/>
        </w:rPr>
        <w:t>Project stakeholders, to be determined at the TE inception meeting; including academia, local government, and CBOs</w:t>
      </w:r>
    </w:p>
    <w:p w14:paraId="7DB0630C" w14:textId="77777777" w:rsidR="00EF6294" w:rsidRPr="00845B64" w:rsidRDefault="00EF6294" w:rsidP="00EF6294">
      <w:pPr>
        <w:widowControl w:val="0"/>
        <w:spacing w:after="0" w:line="240" w:lineRule="auto"/>
        <w:jc w:val="both"/>
        <w:rPr>
          <w:rFonts w:eastAsia="SimSun" w:cs="Times New Roman"/>
          <w:kern w:val="2"/>
          <w:lang w:eastAsia="zh-CN"/>
        </w:rPr>
      </w:pPr>
    </w:p>
    <w:p w14:paraId="72D4BBEB" w14:textId="77777777" w:rsidR="00EF6294" w:rsidRPr="00845B64" w:rsidRDefault="00EF6294" w:rsidP="00EF6294">
      <w:pPr>
        <w:widowControl w:val="0"/>
        <w:spacing w:after="0" w:line="240" w:lineRule="auto"/>
        <w:jc w:val="both"/>
        <w:rPr>
          <w:rFonts w:eastAsia="SimSun" w:cs="Times New Roman"/>
          <w:kern w:val="2"/>
          <w:lang w:eastAsia="zh-CN"/>
        </w:rPr>
      </w:pPr>
      <w:r w:rsidRPr="00845B64">
        <w:rPr>
          <w:rFonts w:eastAsia="SimSun" w:cs="Times New Roman"/>
          <w:kern w:val="2"/>
          <w:lang w:eastAsia="zh-CN"/>
        </w:rPr>
        <w:t xml:space="preserve">The team will review all relevant sources of information, such as the project document, project reports – including Annual APR/PIR, project budget revisions, progress reports, GEF focal area tracking tools, project files, national strategic and legal documents, and any other materials that the team considers useful for this evidence-based review. </w:t>
      </w:r>
    </w:p>
    <w:p w14:paraId="663A0A40" w14:textId="77777777" w:rsidR="00EF6294" w:rsidRPr="00845B64" w:rsidRDefault="00EF6294" w:rsidP="00EF6294">
      <w:pPr>
        <w:widowControl w:val="0"/>
        <w:spacing w:after="0" w:line="240" w:lineRule="auto"/>
        <w:jc w:val="both"/>
        <w:rPr>
          <w:rFonts w:eastAsia="SimSun" w:cs="Times New Roman"/>
          <w:i/>
          <w:iCs/>
          <w:color w:val="000000"/>
          <w:kern w:val="2"/>
          <w:highlight w:val="green"/>
          <w:lang w:eastAsia="zh-CN"/>
        </w:rPr>
      </w:pPr>
    </w:p>
    <w:p w14:paraId="5BA81808" w14:textId="77777777" w:rsidR="00EF6294" w:rsidRPr="00845B64" w:rsidRDefault="00EF6294" w:rsidP="00AC0D02">
      <w:pPr>
        <w:widowControl w:val="0"/>
        <w:numPr>
          <w:ilvl w:val="0"/>
          <w:numId w:val="6"/>
        </w:numPr>
        <w:spacing w:after="0" w:line="240" w:lineRule="auto"/>
        <w:jc w:val="both"/>
        <w:rPr>
          <w:rFonts w:eastAsia="SimSun" w:cs="Times New Roman"/>
          <w:b/>
          <w:kern w:val="2"/>
          <w:lang w:eastAsia="zh-CN"/>
        </w:rPr>
      </w:pPr>
      <w:r w:rsidRPr="00845B64">
        <w:rPr>
          <w:rFonts w:eastAsia="SimSun" w:cs="Times New Roman"/>
          <w:b/>
          <w:kern w:val="2"/>
          <w:lang w:eastAsia="zh-CN"/>
        </w:rPr>
        <w:t>TE Approach &amp; Methodology</w:t>
      </w:r>
    </w:p>
    <w:p w14:paraId="5AAEE27E" w14:textId="77777777" w:rsidR="00EF6294" w:rsidRPr="00845B64" w:rsidRDefault="00EF6294" w:rsidP="00EF6294">
      <w:pPr>
        <w:widowControl w:val="0"/>
        <w:spacing w:after="0" w:line="240" w:lineRule="auto"/>
        <w:jc w:val="both"/>
        <w:rPr>
          <w:rFonts w:eastAsia="SimSun" w:cs="Times New Roman"/>
          <w:kern w:val="2"/>
          <w:lang w:eastAsia="zh-CN"/>
        </w:rPr>
      </w:pPr>
    </w:p>
    <w:p w14:paraId="0233D1B8" w14:textId="77777777" w:rsidR="00EF6294" w:rsidRPr="00845B6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TE report must provide evidence-based information that is credible, reliable, and useful.</w:t>
      </w:r>
    </w:p>
    <w:p w14:paraId="1901406F" w14:textId="77777777" w:rsidR="00EF6294" w:rsidRPr="00845B64" w:rsidRDefault="00EF6294" w:rsidP="00EF6294">
      <w:pPr>
        <w:spacing w:after="0" w:line="240" w:lineRule="auto"/>
        <w:jc w:val="both"/>
        <w:rPr>
          <w:rFonts w:eastAsia="Calibri" w:cs="Times New Roman"/>
          <w:spacing w:val="4"/>
          <w:lang w:eastAsia="zh-CN"/>
        </w:rPr>
      </w:pPr>
    </w:p>
    <w:p w14:paraId="6011ABD4" w14:textId="77777777" w:rsidR="00EF6294" w:rsidRPr="00845B64" w:rsidRDefault="00EF6294" w:rsidP="00845B64">
      <w:pPr>
        <w:spacing w:after="0" w:line="240" w:lineRule="auto"/>
        <w:jc w:val="both"/>
        <w:rPr>
          <w:rFonts w:eastAsia="Calibri" w:cs="Times New Roman"/>
          <w:spacing w:val="4"/>
          <w:lang w:eastAsia="zh-CN"/>
        </w:rPr>
      </w:pPr>
      <w:r w:rsidRPr="00845B64">
        <w:rPr>
          <w:rFonts w:eastAsia="Calibri" w:cs="Times New Roman"/>
          <w:spacing w:val="4"/>
          <w:lang w:eastAsia="zh-CN"/>
        </w:rPr>
        <w:t xml:space="preserve">The TE team will review all relevant sources of information including documents prepared during the preparation phase (i.e. PIF, UNDP Initiation Plan, UNDP Social and Environmental Screening Procedure/SESP) the Project Document, project reports including annual PIRs, project budget revisions, lesson learned reports, national strategic and legal documents, and any other materials that the team considers useful for this evidence-based evaluation. The TE team will review the baseline and midterm GEF focal area Core Indicators/Tracking Tools submitted to the GEF at the CEO endorsement and midterm stages and the terminal Core Indicators/Tracking Tools that must be completed before the TE field mission begins.  </w:t>
      </w:r>
    </w:p>
    <w:p w14:paraId="20F9DC21" w14:textId="77777777" w:rsidR="00EF6294" w:rsidRPr="00845B64" w:rsidRDefault="00EF6294" w:rsidP="00845B64">
      <w:pPr>
        <w:spacing w:after="0" w:line="240" w:lineRule="auto"/>
        <w:ind w:left="360"/>
        <w:jc w:val="both"/>
        <w:rPr>
          <w:rFonts w:eastAsia="Calibri" w:cs="Times New Roman"/>
          <w:spacing w:val="4"/>
          <w:lang w:eastAsia="zh-CN"/>
        </w:rPr>
      </w:pPr>
    </w:p>
    <w:p w14:paraId="2C7E97FC" w14:textId="77777777" w:rsidR="00EF6294" w:rsidRPr="00845B64" w:rsidRDefault="00EF6294" w:rsidP="00845B64">
      <w:pPr>
        <w:spacing w:after="0" w:line="240" w:lineRule="auto"/>
        <w:jc w:val="both"/>
        <w:rPr>
          <w:rFonts w:eastAsia="Calibri" w:cs="Times New Roman"/>
          <w:spacing w:val="4"/>
          <w:lang w:eastAsia="zh-CN"/>
        </w:rPr>
      </w:pPr>
      <w:r w:rsidRPr="00845B64">
        <w:rPr>
          <w:rFonts w:eastAsia="Calibri" w:cs="Times New Roman"/>
          <w:spacing w:val="4"/>
        </w:rPr>
        <w:t>The TE team is expected to follow a participatory and consultative approach ensuring close engagement with the Project Team, government counterparts (the GEF Operational Focal Point), Implementing Partners, the UNDP Country Office(s), the Regional Technical Advisor, direct beneficiaries and other stakeholders.</w:t>
      </w:r>
    </w:p>
    <w:p w14:paraId="0F9968A7" w14:textId="77777777" w:rsidR="00EF6294" w:rsidRPr="00845B64" w:rsidRDefault="00EF6294" w:rsidP="00845B64">
      <w:pPr>
        <w:widowControl w:val="0"/>
        <w:spacing w:after="0" w:line="240" w:lineRule="auto"/>
        <w:jc w:val="both"/>
        <w:rPr>
          <w:rFonts w:eastAsia="SimSun" w:cs="Times New Roman"/>
          <w:spacing w:val="4"/>
          <w:kern w:val="2"/>
          <w:lang w:eastAsia="zh-CN"/>
        </w:rPr>
      </w:pPr>
    </w:p>
    <w:p w14:paraId="0B509ACC" w14:textId="77777777" w:rsidR="00EF6294" w:rsidRPr="00845B64" w:rsidRDefault="00EF6294" w:rsidP="00845B64">
      <w:pPr>
        <w:spacing w:after="0" w:line="240" w:lineRule="auto"/>
        <w:jc w:val="both"/>
        <w:rPr>
          <w:rFonts w:eastAsia="Calibri" w:cs="Times New Roman"/>
          <w:color w:val="000000"/>
        </w:rPr>
      </w:pPr>
      <w:r w:rsidRPr="00845B64">
        <w:rPr>
          <w:rFonts w:eastAsia="Calibri" w:cs="Times New Roman"/>
          <w:color w:val="000000"/>
        </w:rPr>
        <w:t xml:space="preserve">Engagement of stakeholders is vital to a successful TE. Stakeholder involvement should include interviews with stakeholders who have project responsibilities, including but not limited to; executing agencies, senior officials and task team/component leaders, key experts and consultants in the subject area, Project Board, project beneficiaries, academia, local government and CSOs, etc. </w:t>
      </w:r>
    </w:p>
    <w:p w14:paraId="2E4F4C91" w14:textId="77777777" w:rsidR="00EF6294" w:rsidRPr="00845B64" w:rsidRDefault="00EF6294" w:rsidP="00845B64">
      <w:pPr>
        <w:spacing w:after="0" w:line="240" w:lineRule="auto"/>
        <w:jc w:val="both"/>
        <w:rPr>
          <w:rFonts w:eastAsia="Calibri" w:cs="Times New Roman"/>
          <w:color w:val="000000"/>
        </w:rPr>
      </w:pPr>
    </w:p>
    <w:p w14:paraId="333922F4" w14:textId="77777777" w:rsidR="00EF6294" w:rsidRPr="00845B64" w:rsidRDefault="00EF6294" w:rsidP="00845B64">
      <w:pPr>
        <w:spacing w:after="0" w:line="240" w:lineRule="auto"/>
        <w:jc w:val="both"/>
        <w:rPr>
          <w:rFonts w:eastAsia="Calibri" w:cs="Times New Roman"/>
          <w:spacing w:val="4"/>
          <w:lang w:eastAsia="zh-CN"/>
        </w:rPr>
      </w:pPr>
      <w:r w:rsidRPr="00845B64">
        <w:rPr>
          <w:rFonts w:eastAsia="Calibri" w:cs="Times New Roman"/>
          <w:spacing w:val="4"/>
          <w:lang w:eastAsia="zh-CN"/>
        </w:rPr>
        <w:t xml:space="preserve">The TE Team will conduct an online meeting with UNDP, National Project Director (NPD), Project Management Office (PMO). An “exit” interview will also be held to discuss the findings of the assessment prior to the submission of the draft Final Report.  </w:t>
      </w:r>
    </w:p>
    <w:p w14:paraId="31FEC109" w14:textId="77777777" w:rsidR="00EF6294" w:rsidRPr="00845B64" w:rsidRDefault="00EF6294" w:rsidP="00845B64">
      <w:pPr>
        <w:widowControl w:val="0"/>
        <w:spacing w:after="0" w:line="240" w:lineRule="auto"/>
        <w:jc w:val="both"/>
        <w:rPr>
          <w:rFonts w:eastAsia="SimSun" w:cs="Times New Roman"/>
          <w:spacing w:val="4"/>
          <w:kern w:val="2"/>
          <w:lang w:eastAsia="zh-CN"/>
        </w:rPr>
      </w:pPr>
    </w:p>
    <w:p w14:paraId="15403A4F" w14:textId="77777777" w:rsidR="00EF6294" w:rsidRPr="00845B64" w:rsidRDefault="00EF6294" w:rsidP="00845B64">
      <w:pPr>
        <w:spacing w:after="0" w:line="240" w:lineRule="auto"/>
        <w:jc w:val="both"/>
        <w:rPr>
          <w:rFonts w:eastAsia="Calibri" w:cs="Times New Roman"/>
          <w:spacing w:val="4"/>
          <w:lang w:eastAsia="zh-CN"/>
        </w:rPr>
      </w:pPr>
      <w:r w:rsidRPr="00845B64">
        <w:rPr>
          <w:rFonts w:eastAsia="Calibri" w:cs="Times New Roman"/>
          <w:spacing w:val="4"/>
          <w:lang w:eastAsia="zh-CN"/>
        </w:rPr>
        <w:t>Prior to engagement and visiting the PMO, the TE Team shall receive all the relevant documents including at least:</w:t>
      </w:r>
    </w:p>
    <w:p w14:paraId="5C09997A" w14:textId="77777777" w:rsidR="00EF6294" w:rsidRPr="00845B64" w:rsidRDefault="00EF6294" w:rsidP="00845B64">
      <w:pPr>
        <w:widowControl w:val="0"/>
        <w:numPr>
          <w:ilvl w:val="0"/>
          <w:numId w:val="9"/>
        </w:numPr>
        <w:tabs>
          <w:tab w:val="left" w:pos="360"/>
        </w:tabs>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The Project Document and Project Brief</w:t>
      </w:r>
    </w:p>
    <w:p w14:paraId="7751C0AC" w14:textId="77777777" w:rsidR="00EF6294" w:rsidRPr="00845B64" w:rsidRDefault="00EF6294" w:rsidP="00845B64">
      <w:pPr>
        <w:widowControl w:val="0"/>
        <w:numPr>
          <w:ilvl w:val="0"/>
          <w:numId w:val="9"/>
        </w:numPr>
        <w:tabs>
          <w:tab w:val="left" w:pos="360"/>
        </w:tabs>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Inception Report</w:t>
      </w:r>
    </w:p>
    <w:p w14:paraId="16598125" w14:textId="77777777" w:rsidR="00EF6294" w:rsidRPr="00845B64" w:rsidRDefault="00EF6294" w:rsidP="00845B64">
      <w:pPr>
        <w:widowControl w:val="0"/>
        <w:numPr>
          <w:ilvl w:val="0"/>
          <w:numId w:val="9"/>
        </w:numPr>
        <w:tabs>
          <w:tab w:val="left" w:pos="360"/>
        </w:tabs>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Annual Work and Financial Plans</w:t>
      </w:r>
    </w:p>
    <w:p w14:paraId="02BC2942" w14:textId="77777777" w:rsidR="00EF6294" w:rsidRPr="00845B64" w:rsidRDefault="00EF6294" w:rsidP="00845B64">
      <w:pPr>
        <w:widowControl w:val="0"/>
        <w:numPr>
          <w:ilvl w:val="0"/>
          <w:numId w:val="9"/>
        </w:numPr>
        <w:tabs>
          <w:tab w:val="left" w:pos="360"/>
        </w:tabs>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 xml:space="preserve">Annual Project Report/Project Implementation Review (APR/PIR) for 2017,2018 and 2019 </w:t>
      </w:r>
    </w:p>
    <w:p w14:paraId="07878107" w14:textId="77777777" w:rsidR="00EF6294" w:rsidRPr="00845B64" w:rsidRDefault="00EF6294" w:rsidP="00845B64">
      <w:pPr>
        <w:widowControl w:val="0"/>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To provide more details, as may be needed, the following will be made available for access by the TE Team:</w:t>
      </w:r>
    </w:p>
    <w:p w14:paraId="746D97EC" w14:textId="77777777" w:rsidR="00EF6294" w:rsidRPr="00845B64" w:rsidRDefault="00EF6294" w:rsidP="00EF6294">
      <w:pPr>
        <w:widowControl w:val="0"/>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 xml:space="preserve">  </w:t>
      </w:r>
    </w:p>
    <w:p w14:paraId="2B6A3A47" w14:textId="77777777" w:rsidR="00EF6294" w:rsidRPr="00845B64" w:rsidRDefault="00EF6294" w:rsidP="00AC0D02">
      <w:pPr>
        <w:widowControl w:val="0"/>
        <w:numPr>
          <w:ilvl w:val="0"/>
          <w:numId w:val="10"/>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 xml:space="preserve">Executive summary of all quarterly reports </w:t>
      </w:r>
    </w:p>
    <w:p w14:paraId="254A8299" w14:textId="77777777" w:rsidR="00EF6294" w:rsidRPr="00845B64" w:rsidRDefault="00EF6294" w:rsidP="00AC0D02">
      <w:pPr>
        <w:widowControl w:val="0"/>
        <w:numPr>
          <w:ilvl w:val="0"/>
          <w:numId w:val="10"/>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Internal monitoring results</w:t>
      </w:r>
    </w:p>
    <w:p w14:paraId="3680E207" w14:textId="77777777" w:rsidR="00EF6294" w:rsidRPr="00845B64" w:rsidRDefault="00EF6294" w:rsidP="00AC0D02">
      <w:pPr>
        <w:widowControl w:val="0"/>
        <w:numPr>
          <w:ilvl w:val="0"/>
          <w:numId w:val="10"/>
        </w:numPr>
        <w:tabs>
          <w:tab w:val="left" w:pos="360"/>
        </w:tabs>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Terms of Reference for past consultants’ assignments and summary of the results</w:t>
      </w:r>
    </w:p>
    <w:p w14:paraId="096BF419" w14:textId="77777777" w:rsidR="00EF6294" w:rsidRPr="00845B64" w:rsidRDefault="00EF6294" w:rsidP="00AC0D02">
      <w:pPr>
        <w:widowControl w:val="0"/>
        <w:numPr>
          <w:ilvl w:val="0"/>
          <w:numId w:val="10"/>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Past audit reports</w:t>
      </w:r>
    </w:p>
    <w:p w14:paraId="0D80167C" w14:textId="77777777" w:rsidR="00EF6294" w:rsidRPr="00845B64" w:rsidRDefault="00EF6294" w:rsidP="00EF6294">
      <w:pPr>
        <w:widowControl w:val="0"/>
        <w:spacing w:after="0" w:line="240" w:lineRule="auto"/>
        <w:jc w:val="both"/>
        <w:rPr>
          <w:rFonts w:eastAsia="SimSun" w:cs="Times New Roman"/>
          <w:spacing w:val="4"/>
          <w:kern w:val="2"/>
          <w:lang w:eastAsia="zh-CN"/>
        </w:rPr>
      </w:pPr>
    </w:p>
    <w:p w14:paraId="05EB5DC1" w14:textId="77777777" w:rsidR="00EF6294" w:rsidRPr="00845B64" w:rsidRDefault="00EF6294" w:rsidP="00EF6294">
      <w:pPr>
        <w:widowControl w:val="0"/>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All additional material related to the project management and implementation and held by the PMO and their subcontracts will be available for review at the discretion of the Evaluation Team.</w:t>
      </w:r>
    </w:p>
    <w:p w14:paraId="31786C43" w14:textId="77777777" w:rsidR="00EF6294" w:rsidRPr="00845B64" w:rsidRDefault="00EF6294" w:rsidP="00EF6294">
      <w:pPr>
        <w:widowControl w:val="0"/>
        <w:spacing w:after="0" w:line="240" w:lineRule="auto"/>
        <w:jc w:val="both"/>
        <w:rPr>
          <w:rFonts w:eastAsia="SimSun" w:cs="Times New Roman"/>
          <w:spacing w:val="4"/>
          <w:kern w:val="2"/>
          <w:lang w:eastAsia="zh-CN"/>
        </w:rPr>
      </w:pPr>
    </w:p>
    <w:p w14:paraId="73DE1430" w14:textId="77777777" w:rsidR="00EF6294" w:rsidRPr="00845B64" w:rsidRDefault="00EF6294" w:rsidP="00EF6294">
      <w:pPr>
        <w:widowControl w:val="0"/>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The TE Evaluation Team should at least interview (online) the following people:</w:t>
      </w:r>
    </w:p>
    <w:p w14:paraId="29B96B14" w14:textId="77777777" w:rsidR="00EF6294" w:rsidRPr="00845B64" w:rsidRDefault="00EF6294" w:rsidP="00EF6294">
      <w:pPr>
        <w:widowControl w:val="0"/>
        <w:spacing w:after="0" w:line="240" w:lineRule="auto"/>
        <w:ind w:left="360"/>
        <w:jc w:val="both"/>
        <w:rPr>
          <w:rFonts w:eastAsia="SimSun" w:cs="Times New Roman"/>
          <w:spacing w:val="4"/>
          <w:kern w:val="2"/>
          <w:lang w:eastAsia="zh-CN"/>
        </w:rPr>
      </w:pPr>
    </w:p>
    <w:p w14:paraId="494D98A2" w14:textId="77777777" w:rsidR="00EF6294" w:rsidRPr="00845B64" w:rsidRDefault="00EF6294" w:rsidP="00AC0D02">
      <w:pPr>
        <w:widowControl w:val="0"/>
        <w:numPr>
          <w:ilvl w:val="0"/>
          <w:numId w:val="11"/>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National Project Director</w:t>
      </w:r>
    </w:p>
    <w:p w14:paraId="40E56BCC" w14:textId="77777777" w:rsidR="00EF6294" w:rsidRPr="00845B64" w:rsidRDefault="00EF6294" w:rsidP="00AC0D02">
      <w:pPr>
        <w:widowControl w:val="0"/>
        <w:numPr>
          <w:ilvl w:val="0"/>
          <w:numId w:val="11"/>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National Project Coordinator</w:t>
      </w:r>
    </w:p>
    <w:p w14:paraId="3C654EFF" w14:textId="77777777" w:rsidR="00EF6294" w:rsidRPr="00845B64" w:rsidRDefault="00EF6294" w:rsidP="00AC0D02">
      <w:pPr>
        <w:widowControl w:val="0"/>
        <w:numPr>
          <w:ilvl w:val="0"/>
          <w:numId w:val="11"/>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PMO Director</w:t>
      </w:r>
    </w:p>
    <w:p w14:paraId="159456F8" w14:textId="77777777" w:rsidR="00EF6294" w:rsidRPr="00845B64" w:rsidRDefault="00EF6294" w:rsidP="00AC0D02">
      <w:pPr>
        <w:widowControl w:val="0"/>
        <w:numPr>
          <w:ilvl w:val="0"/>
          <w:numId w:val="11"/>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International Chief Technical Advisor</w:t>
      </w:r>
    </w:p>
    <w:p w14:paraId="76D922C2" w14:textId="77777777" w:rsidR="00EF6294" w:rsidRPr="00845B64" w:rsidRDefault="00EF6294" w:rsidP="00AC0D02">
      <w:pPr>
        <w:widowControl w:val="0"/>
        <w:numPr>
          <w:ilvl w:val="0"/>
          <w:numId w:val="11"/>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 xml:space="preserve">Project Financial Officer </w:t>
      </w:r>
    </w:p>
    <w:p w14:paraId="0317754D" w14:textId="77777777" w:rsidR="00EF6294" w:rsidRPr="00845B64" w:rsidRDefault="00EF6294" w:rsidP="00AC0D02">
      <w:pPr>
        <w:widowControl w:val="0"/>
        <w:numPr>
          <w:ilvl w:val="0"/>
          <w:numId w:val="11"/>
        </w:numPr>
        <w:tabs>
          <w:tab w:val="left" w:pos="360"/>
        </w:tabs>
        <w:spacing w:after="0" w:line="240" w:lineRule="auto"/>
        <w:ind w:left="365" w:hangingChars="163" w:hanging="365"/>
        <w:jc w:val="both"/>
        <w:rPr>
          <w:rFonts w:eastAsia="SimSun" w:cs="Times New Roman"/>
          <w:spacing w:val="4"/>
          <w:kern w:val="2"/>
          <w:lang w:eastAsia="zh-CN"/>
        </w:rPr>
      </w:pPr>
      <w:r w:rsidRPr="00845B64">
        <w:rPr>
          <w:rFonts w:eastAsia="SimSun" w:cs="Times New Roman"/>
          <w:spacing w:val="4"/>
          <w:kern w:val="2"/>
          <w:lang w:eastAsia="zh-CN"/>
        </w:rPr>
        <w:t>A representative of the Project Steering Committee</w:t>
      </w:r>
    </w:p>
    <w:p w14:paraId="35FBB229" w14:textId="77777777" w:rsidR="00EF6294" w:rsidRPr="00845B64" w:rsidRDefault="00EF6294" w:rsidP="00AC0D02">
      <w:pPr>
        <w:widowControl w:val="0"/>
        <w:numPr>
          <w:ilvl w:val="0"/>
          <w:numId w:val="11"/>
        </w:numPr>
        <w:tabs>
          <w:tab w:val="left" w:pos="360"/>
        </w:tabs>
        <w:spacing w:after="0" w:line="240" w:lineRule="auto"/>
        <w:ind w:left="0"/>
        <w:jc w:val="both"/>
        <w:rPr>
          <w:rFonts w:eastAsia="SimSun" w:cs="Times New Roman"/>
          <w:spacing w:val="4"/>
          <w:kern w:val="2"/>
          <w:lang w:eastAsia="zh-CN"/>
        </w:rPr>
      </w:pPr>
      <w:r w:rsidRPr="00845B64">
        <w:rPr>
          <w:rFonts w:eastAsia="SimSun" w:cs="Times New Roman"/>
          <w:spacing w:val="4"/>
          <w:kern w:val="2"/>
          <w:lang w:eastAsia="zh-CN"/>
        </w:rPr>
        <w:t xml:space="preserve">UNDP Country Office in China in-charge of the Project </w:t>
      </w:r>
    </w:p>
    <w:p w14:paraId="13EEA8AA" w14:textId="77777777" w:rsidR="00EF6294" w:rsidRPr="00845B64" w:rsidRDefault="00EF6294" w:rsidP="00EF6294">
      <w:pPr>
        <w:widowControl w:val="0"/>
        <w:spacing w:after="0" w:line="240" w:lineRule="auto"/>
        <w:jc w:val="both"/>
        <w:rPr>
          <w:rFonts w:eastAsia="SimSun" w:cs="Times New Roman"/>
          <w:spacing w:val="4"/>
          <w:kern w:val="2"/>
          <w:lang w:eastAsia="zh-CN"/>
        </w:rPr>
      </w:pPr>
    </w:p>
    <w:p w14:paraId="45C93D1A" w14:textId="77777777" w:rsidR="00EF6294" w:rsidRPr="00845B64" w:rsidRDefault="00EF6294" w:rsidP="00EF6294">
      <w:pPr>
        <w:widowControl w:val="0"/>
        <w:spacing w:after="0" w:line="240" w:lineRule="auto"/>
        <w:jc w:val="both"/>
        <w:rPr>
          <w:rFonts w:eastAsia="SimSun" w:cs="Times New Roman"/>
          <w:spacing w:val="4"/>
          <w:kern w:val="2"/>
          <w:lang w:eastAsia="zh-CN"/>
        </w:rPr>
      </w:pPr>
      <w:r w:rsidRPr="00845B64">
        <w:rPr>
          <w:rFonts w:eastAsia="SimSun" w:cs="Times New Roman"/>
          <w:spacing w:val="4"/>
          <w:kern w:val="2"/>
          <w:lang w:eastAsia="zh-CN"/>
        </w:rPr>
        <w:t>It is also anticipated that the TE will interview a number of sub-contractors and recipients of services and make site visits to implementation areas. However, the degree to which such interactions are required will be at the discretion of the Evaluation Team.</w:t>
      </w:r>
    </w:p>
    <w:p w14:paraId="5439E2E3" w14:textId="77777777" w:rsidR="00EF6294" w:rsidRPr="00845B64" w:rsidRDefault="00EF6294" w:rsidP="00EF6294">
      <w:pPr>
        <w:widowControl w:val="0"/>
        <w:spacing w:after="0" w:line="240" w:lineRule="auto"/>
        <w:jc w:val="both"/>
        <w:rPr>
          <w:rFonts w:eastAsia="SimSun" w:cs="Times New Roman"/>
          <w:spacing w:val="4"/>
          <w:kern w:val="2"/>
          <w:lang w:eastAsia="zh-CN"/>
        </w:rPr>
      </w:pPr>
    </w:p>
    <w:p w14:paraId="4BC21381" w14:textId="77777777" w:rsidR="00EF6294" w:rsidRPr="00845B6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The TE team must, however, use gender-responsive methodologies and tools and ensure that gender equality and women’s empowerment, as well as other cross-cutting issues and SDGs are incorporated into the TE report. </w:t>
      </w:r>
    </w:p>
    <w:p w14:paraId="6F730B0F" w14:textId="77777777" w:rsidR="00EF6294" w:rsidRPr="00845B64" w:rsidRDefault="00EF6294" w:rsidP="00EF6294">
      <w:pPr>
        <w:widowControl w:val="0"/>
        <w:spacing w:after="0" w:line="240" w:lineRule="auto"/>
        <w:jc w:val="both"/>
        <w:rPr>
          <w:rFonts w:eastAsia="SimSun" w:cs="Times New Roman"/>
          <w:color w:val="000000"/>
          <w:kern w:val="2"/>
          <w:lang w:eastAsia="zh-CN"/>
        </w:rPr>
      </w:pPr>
    </w:p>
    <w:p w14:paraId="2B7C3E6E" w14:textId="77777777" w:rsidR="00EF6294" w:rsidRPr="00845B6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final methodological approach including interview schedule, field visits and data to be used in the evaluation must be clearly outlined in the TE Inception Report and be fully discussed and agreed between UNDP, stakeholders and the TE team.</w:t>
      </w:r>
    </w:p>
    <w:p w14:paraId="5873BEBA" w14:textId="77777777" w:rsidR="00EF6294" w:rsidRPr="00845B64" w:rsidRDefault="00EF6294" w:rsidP="00EF6294">
      <w:pPr>
        <w:spacing w:after="0" w:line="240" w:lineRule="auto"/>
        <w:rPr>
          <w:rFonts w:eastAsia="SimSun" w:cs="Times New Roman"/>
          <w:spacing w:val="4"/>
          <w:kern w:val="2"/>
          <w:lang w:eastAsia="zh-CN"/>
        </w:rPr>
      </w:pPr>
    </w:p>
    <w:p w14:paraId="6B68CB52" w14:textId="77777777" w:rsidR="00EF6294" w:rsidRPr="00845B6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 xml:space="preserve">The final report must describe the full TE approach taken and the rationale for the approach making explicit the underlying assumptions, challenges, strengths and weaknesses about the methods and approach of the evaluation. </w:t>
      </w:r>
    </w:p>
    <w:p w14:paraId="2E4CFC41" w14:textId="77777777" w:rsidR="00EF6294" w:rsidRPr="00845B64" w:rsidRDefault="00EF6294" w:rsidP="00EF6294">
      <w:pPr>
        <w:widowControl w:val="0"/>
        <w:spacing w:after="0" w:line="240" w:lineRule="auto"/>
        <w:jc w:val="both"/>
        <w:rPr>
          <w:rFonts w:eastAsia="SimSun" w:cs="Times New Roman"/>
          <w:spacing w:val="4"/>
          <w:kern w:val="2"/>
          <w:lang w:eastAsia="zh-CN"/>
        </w:rPr>
      </w:pPr>
    </w:p>
    <w:bookmarkEnd w:id="68"/>
    <w:p w14:paraId="5A762001" w14:textId="77777777" w:rsidR="00EF6294" w:rsidRPr="00845B64" w:rsidRDefault="00EF6294" w:rsidP="00AC0D02">
      <w:pPr>
        <w:widowControl w:val="0"/>
        <w:numPr>
          <w:ilvl w:val="0"/>
          <w:numId w:val="12"/>
        </w:numPr>
        <w:spacing w:after="0" w:line="240" w:lineRule="auto"/>
        <w:ind w:left="274" w:hanging="283"/>
        <w:contextualSpacing/>
        <w:jc w:val="both"/>
        <w:rPr>
          <w:rFonts w:eastAsia="Calibri" w:cs="Times New Roman"/>
          <w:i/>
          <w:iCs/>
          <w:color w:val="000000"/>
        </w:rPr>
      </w:pPr>
      <w:r w:rsidRPr="00845B64">
        <w:rPr>
          <w:rFonts w:eastAsia="Calibri" w:cs="Times New Roman"/>
          <w:i/>
          <w:iCs/>
          <w:color w:val="000000"/>
        </w:rPr>
        <w:t xml:space="preserve">Additional Text to incorporate into this section, as relevant (please adjust as needed): </w:t>
      </w:r>
    </w:p>
    <w:p w14:paraId="00B6B0C4" w14:textId="77777777" w:rsidR="00EF6294" w:rsidRPr="00845B64" w:rsidRDefault="00EF6294" w:rsidP="00EF6294">
      <w:pPr>
        <w:widowControl w:val="0"/>
        <w:spacing w:after="0" w:line="240" w:lineRule="auto"/>
        <w:jc w:val="both"/>
        <w:rPr>
          <w:rFonts w:eastAsia="SimSun" w:cs="Times New Roman"/>
          <w:i/>
          <w:iCs/>
          <w:color w:val="000000"/>
          <w:kern w:val="2"/>
          <w:lang w:eastAsia="zh-CN"/>
        </w:rPr>
      </w:pPr>
    </w:p>
    <w:p w14:paraId="7BA7FFFA" w14:textId="77777777" w:rsidR="00EF6294" w:rsidRPr="00845B64" w:rsidRDefault="00EF6294" w:rsidP="00EF6294">
      <w:pPr>
        <w:widowControl w:val="0"/>
        <w:spacing w:after="0" w:line="240" w:lineRule="auto"/>
        <w:ind w:left="274"/>
        <w:jc w:val="both"/>
        <w:rPr>
          <w:rFonts w:eastAsia="SimSun" w:cs="Times New Roman"/>
          <w:i/>
          <w:iCs/>
          <w:color w:val="000000"/>
          <w:kern w:val="2"/>
          <w:lang w:eastAsia="zh-CN"/>
        </w:rPr>
      </w:pPr>
      <w:r w:rsidRPr="00845B64">
        <w:rPr>
          <w:rFonts w:eastAsia="SimSun" w:cs="Times New Roman"/>
          <w:i/>
          <w:iCs/>
          <w:color w:val="000000"/>
          <w:kern w:val="2"/>
          <w:lang w:eastAsia="zh-CN"/>
        </w:rPr>
        <w:t xml:space="preserve">As of 11 March 2020, the World Health Organization (WHO) declared COVID-19 a global pandemic as the new coronavirus rapidly spread to all regions of the world. Travel to the country has been restricted since XX/XXXX and travel in the country is also restricted. If it is not possible to travel to or within the country for the TE mission then the TE team should develop a methodology that takes this into account the conduct of the TE virtually and remotely, including the use of remote interview methods and extended desk reviews, data analysis, surveys and evaluation questionnaires. This should be detailed in the TE Inception Report and agreed with the Commissioning Unit.  </w:t>
      </w:r>
    </w:p>
    <w:p w14:paraId="77142389" w14:textId="77777777" w:rsidR="00EF6294" w:rsidRPr="00845B64" w:rsidRDefault="00EF6294" w:rsidP="00EF6294">
      <w:pPr>
        <w:widowControl w:val="0"/>
        <w:spacing w:after="0" w:line="240" w:lineRule="auto"/>
        <w:ind w:left="274"/>
        <w:jc w:val="both"/>
        <w:rPr>
          <w:rFonts w:eastAsia="SimSun" w:cs="Times New Roman"/>
          <w:i/>
          <w:iCs/>
          <w:color w:val="000000"/>
          <w:kern w:val="2"/>
          <w:lang w:eastAsia="zh-CN"/>
        </w:rPr>
      </w:pPr>
    </w:p>
    <w:p w14:paraId="5AA444F7" w14:textId="77777777" w:rsidR="00EF6294" w:rsidRPr="00845B64" w:rsidRDefault="00EF6294" w:rsidP="00EF6294">
      <w:pPr>
        <w:widowControl w:val="0"/>
        <w:spacing w:after="0" w:line="240" w:lineRule="auto"/>
        <w:ind w:left="274"/>
        <w:jc w:val="both"/>
        <w:rPr>
          <w:rFonts w:eastAsia="SimSun" w:cs="Times New Roman"/>
          <w:i/>
          <w:iCs/>
          <w:color w:val="000000"/>
          <w:kern w:val="2"/>
          <w:lang w:eastAsia="zh-CN"/>
        </w:rPr>
      </w:pPr>
      <w:r w:rsidRPr="00845B64">
        <w:rPr>
          <w:rFonts w:eastAsia="SimSun" w:cs="Times New Roman"/>
          <w:i/>
          <w:iCs/>
          <w:color w:val="000000"/>
          <w:kern w:val="2"/>
          <w:lang w:eastAsia="zh-CN"/>
        </w:rPr>
        <w:t xml:space="preserve">If all or part of the TE is to be carried out virtually then consideration should be taken for stakeholder availability, ability, or willingness to be interviewed remotely. In addition, their accessibility to the internet/computer may be an issue as many government and national counterparts may be working from home. These limitations must be reflected in the final TE report.  </w:t>
      </w:r>
    </w:p>
    <w:p w14:paraId="6AF69DDB" w14:textId="77777777" w:rsidR="00EF6294" w:rsidRPr="00845B64" w:rsidRDefault="00EF6294" w:rsidP="00EF6294">
      <w:pPr>
        <w:widowControl w:val="0"/>
        <w:spacing w:after="0" w:line="240" w:lineRule="auto"/>
        <w:ind w:left="274"/>
        <w:jc w:val="both"/>
        <w:rPr>
          <w:rFonts w:eastAsia="SimSun" w:cs="Times New Roman"/>
          <w:i/>
          <w:iCs/>
          <w:color w:val="000000"/>
          <w:kern w:val="2"/>
          <w:lang w:eastAsia="zh-CN"/>
        </w:rPr>
      </w:pPr>
    </w:p>
    <w:p w14:paraId="1212CA81" w14:textId="77777777" w:rsidR="00EF6294" w:rsidRPr="00845B64" w:rsidRDefault="00EF6294" w:rsidP="00EF6294">
      <w:pPr>
        <w:widowControl w:val="0"/>
        <w:spacing w:after="0" w:line="240" w:lineRule="auto"/>
        <w:ind w:left="274"/>
        <w:jc w:val="both"/>
        <w:rPr>
          <w:rFonts w:eastAsia="SimSun" w:cs="Times New Roman"/>
          <w:i/>
          <w:iCs/>
          <w:color w:val="000000"/>
          <w:kern w:val="2"/>
          <w:lang w:eastAsia="zh-CN"/>
        </w:rPr>
      </w:pPr>
      <w:r w:rsidRPr="00845B64">
        <w:rPr>
          <w:rFonts w:eastAsia="SimSun" w:cs="Times New Roman"/>
          <w:i/>
          <w:iCs/>
          <w:color w:val="000000"/>
          <w:kern w:val="2"/>
          <w:lang w:eastAsia="zh-CN"/>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75EF78B9" w14:textId="77777777" w:rsidR="00EF6294" w:rsidRPr="00845B64" w:rsidRDefault="00EF6294" w:rsidP="00EF6294">
      <w:pPr>
        <w:widowControl w:val="0"/>
        <w:spacing w:after="0" w:line="240" w:lineRule="auto"/>
        <w:ind w:left="274"/>
        <w:jc w:val="both"/>
        <w:rPr>
          <w:rFonts w:eastAsia="SimSun" w:cs="Times New Roman"/>
          <w:i/>
          <w:iCs/>
          <w:color w:val="000000"/>
          <w:kern w:val="2"/>
          <w:lang w:eastAsia="zh-CN"/>
        </w:rPr>
      </w:pPr>
    </w:p>
    <w:p w14:paraId="7EF74471" w14:textId="77777777" w:rsidR="00EF6294" w:rsidRPr="00845B64" w:rsidRDefault="00EF6294" w:rsidP="00EF6294">
      <w:pPr>
        <w:widowControl w:val="0"/>
        <w:spacing w:after="0" w:line="240" w:lineRule="auto"/>
        <w:ind w:left="274"/>
        <w:jc w:val="both"/>
        <w:rPr>
          <w:rFonts w:eastAsia="SimSun" w:cs="Times New Roman"/>
          <w:i/>
          <w:iCs/>
          <w:color w:val="000000"/>
          <w:kern w:val="2"/>
          <w:lang w:eastAsia="zh-CN"/>
        </w:rPr>
      </w:pPr>
      <w:r w:rsidRPr="00845B64">
        <w:rPr>
          <w:rFonts w:eastAsia="SimSun" w:cs="Times New Roman"/>
          <w:i/>
          <w:iCs/>
          <w:color w:val="000000"/>
          <w:kern w:val="2"/>
          <w:lang w:eastAsia="zh-CN"/>
        </w:rPr>
        <w:t xml:space="preserve">A short validation mission may be considered if it is confirmed to be safe for staff, consultants, stakeholders and if such a mission is possible within the TE schedule. Equally, qualified, and independent national consultants can be hired to undertake the TE and interviews in country as long as it is safe to do so. </w:t>
      </w:r>
    </w:p>
    <w:p w14:paraId="6F09B156" w14:textId="77777777" w:rsidR="00EF6294" w:rsidRPr="00845B64" w:rsidRDefault="00EF6294" w:rsidP="00EF6294">
      <w:pPr>
        <w:spacing w:after="0" w:line="240" w:lineRule="auto"/>
        <w:ind w:left="360"/>
        <w:jc w:val="both"/>
        <w:rPr>
          <w:rFonts w:eastAsia="SimSun" w:cs="Times New Roman"/>
          <w:kern w:val="2"/>
          <w:lang w:eastAsia="zh-CN"/>
        </w:rPr>
      </w:pPr>
    </w:p>
    <w:p w14:paraId="61E52E0C" w14:textId="77777777" w:rsidR="00EF6294" w:rsidRPr="00845B64" w:rsidRDefault="00EF6294" w:rsidP="00AC0D02">
      <w:pPr>
        <w:widowControl w:val="0"/>
        <w:numPr>
          <w:ilvl w:val="0"/>
          <w:numId w:val="6"/>
        </w:numPr>
        <w:spacing w:after="0" w:line="240" w:lineRule="auto"/>
        <w:jc w:val="both"/>
        <w:rPr>
          <w:rFonts w:eastAsia="SimSun" w:cs="Times New Roman"/>
          <w:kern w:val="2"/>
          <w:lang w:eastAsia="zh-CN"/>
        </w:rPr>
      </w:pPr>
      <w:r w:rsidRPr="00845B64">
        <w:rPr>
          <w:rFonts w:eastAsia="SimSun" w:cs="Times New Roman"/>
          <w:kern w:val="2"/>
          <w:lang w:eastAsia="zh-CN"/>
        </w:rPr>
        <w:t>Detailed Scope of the Evaluation</w:t>
      </w:r>
    </w:p>
    <w:p w14:paraId="30245B4D" w14:textId="77777777" w:rsidR="00EF6294" w:rsidRPr="00845B64" w:rsidRDefault="00EF6294" w:rsidP="00EF6294">
      <w:pPr>
        <w:widowControl w:val="0"/>
        <w:spacing w:after="0" w:line="240" w:lineRule="auto"/>
        <w:jc w:val="both"/>
        <w:rPr>
          <w:rFonts w:eastAsia="SimSun" w:cs="Times New Roman"/>
          <w:kern w:val="2"/>
          <w:lang w:eastAsia="zh-CN"/>
        </w:rPr>
      </w:pPr>
    </w:p>
    <w:p w14:paraId="7DCF63BF" w14:textId="77777777" w:rsidR="00EF6294" w:rsidRPr="00845B64" w:rsidRDefault="00EF6294" w:rsidP="00845B64">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TE will assess project performance against expectations set out in the project’s Logical Framework/Results Framework (see ToR Annex A). The TE will assess results according to the criteria outlined in the Guidance for TEs of UNDP-supported GEF-financed Projects (http://web.undp.org/evaluation/guideline/documents/GEF/TE_GuidanceforUNDP-supportedGEF-financedProjects.pdf). The Findings section of the TE report will cover the topics listed below.</w:t>
      </w:r>
    </w:p>
    <w:p w14:paraId="1832A13B" w14:textId="77777777" w:rsidR="00EF6294" w:rsidRPr="00845B64" w:rsidRDefault="00EF6294" w:rsidP="00845B64">
      <w:pPr>
        <w:widowControl w:val="0"/>
        <w:spacing w:after="0" w:line="240" w:lineRule="auto"/>
        <w:jc w:val="both"/>
        <w:rPr>
          <w:rFonts w:eastAsia="SimSun" w:cs="Times New Roman"/>
          <w:color w:val="000000"/>
          <w:kern w:val="2"/>
          <w:lang w:eastAsia="zh-CN"/>
        </w:rPr>
      </w:pPr>
    </w:p>
    <w:p w14:paraId="69601E3C" w14:textId="77777777" w:rsidR="00EF6294" w:rsidRPr="00845B64" w:rsidRDefault="00EF6294" w:rsidP="00845B64">
      <w:pPr>
        <w:widowControl w:val="0"/>
        <w:spacing w:after="0" w:line="240" w:lineRule="auto"/>
        <w:jc w:val="both"/>
        <w:rPr>
          <w:rFonts w:eastAsia="SimSun" w:cs="Times New Roman"/>
          <w:color w:val="000000"/>
          <w:kern w:val="2"/>
          <w:highlight w:val="cyan"/>
          <w:lang w:eastAsia="zh-CN"/>
        </w:rPr>
      </w:pPr>
      <w:r w:rsidRPr="00845B64">
        <w:rPr>
          <w:rFonts w:eastAsia="SimSun" w:cs="Times New Roman"/>
          <w:color w:val="000000"/>
          <w:kern w:val="2"/>
          <w:lang w:eastAsia="zh-CN"/>
        </w:rPr>
        <w:t xml:space="preserve">A full outline of the TE report’s content is provided in </w:t>
      </w:r>
      <w:r w:rsidRPr="00E87478">
        <w:rPr>
          <w:rFonts w:eastAsia="SimSun" w:cs="Times New Roman"/>
          <w:color w:val="000000"/>
          <w:kern w:val="2"/>
          <w:lang w:eastAsia="zh-CN"/>
        </w:rPr>
        <w:t>ToR Annex C.</w:t>
      </w:r>
    </w:p>
    <w:p w14:paraId="2774E0C7" w14:textId="77777777" w:rsidR="00EF6294" w:rsidRPr="00845B64" w:rsidRDefault="00EF6294" w:rsidP="00845B64">
      <w:pPr>
        <w:widowControl w:val="0"/>
        <w:spacing w:after="0" w:line="240" w:lineRule="auto"/>
        <w:jc w:val="both"/>
        <w:rPr>
          <w:rFonts w:eastAsia="SimSun" w:cs="Times New Roman"/>
          <w:color w:val="000000"/>
          <w:kern w:val="2"/>
          <w:highlight w:val="cyan"/>
          <w:lang w:eastAsia="zh-CN"/>
        </w:rPr>
      </w:pPr>
    </w:p>
    <w:p w14:paraId="49E00B3C" w14:textId="77777777" w:rsidR="00EF6294" w:rsidRPr="00845B64" w:rsidRDefault="00EF6294" w:rsidP="00845B64">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asterisk “(*)” indicates criteria for which a rating is required.</w:t>
      </w:r>
    </w:p>
    <w:p w14:paraId="331BC794" w14:textId="77777777" w:rsidR="00EF6294" w:rsidRPr="00845B64" w:rsidRDefault="00EF6294" w:rsidP="00845B64">
      <w:pPr>
        <w:widowControl w:val="0"/>
        <w:spacing w:after="0" w:line="240" w:lineRule="auto"/>
        <w:jc w:val="both"/>
        <w:rPr>
          <w:rFonts w:eastAsia="SimSun" w:cs="Times New Roman"/>
          <w:kern w:val="2"/>
          <w:lang w:eastAsia="zh-CN"/>
        </w:rPr>
      </w:pPr>
      <w:r w:rsidRPr="00845B64">
        <w:rPr>
          <w:rFonts w:eastAsia="SimSun" w:cs="Times New Roman"/>
          <w:color w:val="000000"/>
          <w:kern w:val="2"/>
          <w:lang w:eastAsia="zh-CN"/>
        </w:rPr>
        <w:t>Findings</w:t>
      </w:r>
    </w:p>
    <w:p w14:paraId="4BC436E1" w14:textId="77777777" w:rsidR="00EF6294" w:rsidRPr="00845B64" w:rsidRDefault="00EF6294" w:rsidP="00845B64">
      <w:pPr>
        <w:widowControl w:val="0"/>
        <w:numPr>
          <w:ilvl w:val="0"/>
          <w:numId w:val="13"/>
        </w:numPr>
        <w:spacing w:after="0" w:line="240" w:lineRule="auto"/>
        <w:ind w:left="360"/>
        <w:contextualSpacing/>
        <w:jc w:val="both"/>
        <w:rPr>
          <w:rFonts w:eastAsia="Calibri" w:cs="Times New Roman"/>
          <w:color w:val="000000"/>
          <w:u w:val="single"/>
        </w:rPr>
      </w:pPr>
      <w:r w:rsidRPr="00845B64">
        <w:rPr>
          <w:rFonts w:eastAsia="Calibri" w:cs="Times New Roman"/>
          <w:color w:val="000000"/>
          <w:u w:val="single"/>
        </w:rPr>
        <w:t>Project Design/Formulation</w:t>
      </w:r>
    </w:p>
    <w:p w14:paraId="417A45D5" w14:textId="77777777" w:rsidR="00EF6294" w:rsidRPr="00845B64" w:rsidRDefault="00EF6294" w:rsidP="00845B64">
      <w:pPr>
        <w:widowControl w:val="0"/>
        <w:numPr>
          <w:ilvl w:val="0"/>
          <w:numId w:val="14"/>
        </w:numPr>
        <w:tabs>
          <w:tab w:val="left" w:pos="540"/>
        </w:tabs>
        <w:spacing w:after="0" w:line="240" w:lineRule="auto"/>
        <w:jc w:val="both"/>
        <w:rPr>
          <w:rFonts w:eastAsia="Calibri" w:cs="Times New Roman"/>
          <w:color w:val="000000"/>
        </w:rPr>
      </w:pPr>
      <w:r w:rsidRPr="00845B64">
        <w:rPr>
          <w:rFonts w:eastAsia="Calibri" w:cs="Times New Roman"/>
          <w:color w:val="000000"/>
        </w:rPr>
        <w:t>National priorities and country driven-ness</w:t>
      </w:r>
    </w:p>
    <w:p w14:paraId="0AD5CC08" w14:textId="77777777" w:rsidR="00EF6294" w:rsidRPr="00845B64" w:rsidRDefault="00EF6294" w:rsidP="00845B64">
      <w:pPr>
        <w:widowControl w:val="0"/>
        <w:numPr>
          <w:ilvl w:val="0"/>
          <w:numId w:val="14"/>
        </w:numPr>
        <w:spacing w:after="0" w:line="240" w:lineRule="auto"/>
        <w:jc w:val="both"/>
        <w:rPr>
          <w:rFonts w:eastAsia="Times New Roman" w:cs="Times New Roman"/>
          <w:lang w:bidi="en-US"/>
        </w:rPr>
      </w:pPr>
      <w:r w:rsidRPr="00845B64">
        <w:rPr>
          <w:rFonts w:eastAsia="Calibri" w:cs="Times New Roman"/>
          <w:color w:val="000000"/>
        </w:rPr>
        <w:t>Theory of Change</w:t>
      </w:r>
    </w:p>
    <w:p w14:paraId="4701059B" w14:textId="77777777" w:rsidR="00EF6294" w:rsidRPr="00845B64" w:rsidRDefault="00EF6294" w:rsidP="00845B64">
      <w:pPr>
        <w:widowControl w:val="0"/>
        <w:numPr>
          <w:ilvl w:val="0"/>
          <w:numId w:val="14"/>
        </w:numPr>
        <w:spacing w:after="0" w:line="240" w:lineRule="auto"/>
        <w:jc w:val="both"/>
        <w:rPr>
          <w:rFonts w:eastAsia="Calibri" w:cs="Times New Roman"/>
          <w:color w:val="000000"/>
        </w:rPr>
      </w:pPr>
      <w:r w:rsidRPr="00845B64">
        <w:rPr>
          <w:rFonts w:eastAsia="Calibri" w:cs="Times New Roman"/>
          <w:color w:val="000000"/>
        </w:rPr>
        <w:t>Gender equality and women’s empowerment</w:t>
      </w:r>
    </w:p>
    <w:p w14:paraId="0D40D5B7" w14:textId="77777777" w:rsidR="00EF6294" w:rsidRPr="00845B64" w:rsidRDefault="00EF6294" w:rsidP="00845B64">
      <w:pPr>
        <w:widowControl w:val="0"/>
        <w:numPr>
          <w:ilvl w:val="0"/>
          <w:numId w:val="14"/>
        </w:numPr>
        <w:spacing w:after="0" w:line="240" w:lineRule="auto"/>
        <w:jc w:val="both"/>
        <w:rPr>
          <w:rFonts w:eastAsia="Times New Roman" w:cs="Times New Roman"/>
          <w:bCs/>
          <w:lang w:bidi="en-US"/>
        </w:rPr>
      </w:pPr>
      <w:r w:rsidRPr="00845B64">
        <w:rPr>
          <w:rFonts w:eastAsia="Calibri" w:cs="Times New Roman"/>
          <w:color w:val="000000"/>
        </w:rPr>
        <w:t>Social and Environmental Safeguards</w:t>
      </w:r>
    </w:p>
    <w:p w14:paraId="0B538F1F" w14:textId="77777777" w:rsidR="00EF6294" w:rsidRPr="00845B64" w:rsidRDefault="00EF6294" w:rsidP="00845B64">
      <w:pPr>
        <w:widowControl w:val="0"/>
        <w:numPr>
          <w:ilvl w:val="0"/>
          <w:numId w:val="14"/>
        </w:numPr>
        <w:spacing w:after="0" w:line="240" w:lineRule="auto"/>
        <w:jc w:val="both"/>
        <w:rPr>
          <w:rFonts w:eastAsia="Calibri" w:cs="Times New Roman"/>
          <w:color w:val="000000"/>
        </w:rPr>
      </w:pPr>
      <w:r w:rsidRPr="00845B64">
        <w:rPr>
          <w:rFonts w:eastAsia="Calibri" w:cs="Times New Roman"/>
          <w:color w:val="000000"/>
        </w:rPr>
        <w:t>Analysis of Results Framework: project logic and strategy, indicators</w:t>
      </w:r>
    </w:p>
    <w:p w14:paraId="1FA6503C" w14:textId="77777777" w:rsidR="00EF6294" w:rsidRPr="00845B64" w:rsidRDefault="00EF6294" w:rsidP="00845B64">
      <w:pPr>
        <w:widowControl w:val="0"/>
        <w:numPr>
          <w:ilvl w:val="0"/>
          <w:numId w:val="14"/>
        </w:numPr>
        <w:spacing w:after="0" w:line="240" w:lineRule="auto"/>
        <w:jc w:val="both"/>
        <w:rPr>
          <w:rFonts w:eastAsia="Calibri" w:cs="Times New Roman"/>
          <w:color w:val="000000"/>
        </w:rPr>
      </w:pPr>
      <w:r w:rsidRPr="00845B64">
        <w:rPr>
          <w:rFonts w:eastAsia="Calibri" w:cs="Times New Roman"/>
          <w:color w:val="000000"/>
        </w:rPr>
        <w:t>Assumptions and Risks</w:t>
      </w:r>
    </w:p>
    <w:p w14:paraId="4A60DB92" w14:textId="77777777" w:rsidR="00EF6294" w:rsidRPr="00845B64" w:rsidRDefault="00EF6294" w:rsidP="00845B64">
      <w:pPr>
        <w:widowControl w:val="0"/>
        <w:numPr>
          <w:ilvl w:val="0"/>
          <w:numId w:val="15"/>
        </w:numPr>
        <w:tabs>
          <w:tab w:val="left" w:pos="1620"/>
        </w:tabs>
        <w:spacing w:after="0" w:line="240" w:lineRule="auto"/>
        <w:ind w:left="360"/>
        <w:contextualSpacing/>
        <w:jc w:val="both"/>
        <w:rPr>
          <w:rFonts w:eastAsia="SimSun" w:cs="Times New Roman"/>
          <w:color w:val="000000"/>
        </w:rPr>
      </w:pPr>
      <w:r w:rsidRPr="00845B64">
        <w:rPr>
          <w:rFonts w:eastAsia="Calibri" w:cs="Times New Roman"/>
          <w:color w:val="000000"/>
        </w:rPr>
        <w:t>Lessons from other relevant projects (e.g. same focal area) incorporated into project design</w:t>
      </w:r>
    </w:p>
    <w:p w14:paraId="00D45EB6" w14:textId="77777777" w:rsidR="00EF6294" w:rsidRPr="00845B64" w:rsidRDefault="00EF6294" w:rsidP="00845B64">
      <w:pPr>
        <w:widowControl w:val="0"/>
        <w:numPr>
          <w:ilvl w:val="0"/>
          <w:numId w:val="15"/>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Planned stakeholder participation</w:t>
      </w:r>
    </w:p>
    <w:p w14:paraId="6E422A74" w14:textId="77777777" w:rsidR="00EF6294" w:rsidRPr="00845B64" w:rsidRDefault="00EF6294" w:rsidP="00845B64">
      <w:pPr>
        <w:widowControl w:val="0"/>
        <w:numPr>
          <w:ilvl w:val="0"/>
          <w:numId w:val="15"/>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Linkages between project and other interventions within the sector</w:t>
      </w:r>
    </w:p>
    <w:p w14:paraId="7B63A923" w14:textId="77777777" w:rsidR="00EF6294" w:rsidRPr="00845B64" w:rsidRDefault="00EF6294" w:rsidP="00845B64">
      <w:pPr>
        <w:widowControl w:val="0"/>
        <w:numPr>
          <w:ilvl w:val="0"/>
          <w:numId w:val="15"/>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Management arrangements</w:t>
      </w:r>
    </w:p>
    <w:p w14:paraId="395C98FA" w14:textId="77777777" w:rsidR="00EF6294" w:rsidRPr="00845B64" w:rsidRDefault="00EF6294" w:rsidP="00845B64">
      <w:pPr>
        <w:tabs>
          <w:tab w:val="left" w:pos="1620"/>
        </w:tabs>
        <w:spacing w:after="0" w:line="240" w:lineRule="auto"/>
        <w:ind w:left="720"/>
        <w:contextualSpacing/>
        <w:jc w:val="both"/>
        <w:rPr>
          <w:rFonts w:eastAsia="Calibri" w:cs="Times New Roman"/>
        </w:rPr>
      </w:pPr>
    </w:p>
    <w:p w14:paraId="30659300" w14:textId="77777777" w:rsidR="00EF6294" w:rsidRPr="00845B64" w:rsidRDefault="00EF6294" w:rsidP="00845B64">
      <w:pPr>
        <w:widowControl w:val="0"/>
        <w:numPr>
          <w:ilvl w:val="0"/>
          <w:numId w:val="13"/>
        </w:numPr>
        <w:spacing w:after="0" w:line="240" w:lineRule="auto"/>
        <w:ind w:left="360"/>
        <w:contextualSpacing/>
        <w:jc w:val="both"/>
        <w:rPr>
          <w:rFonts w:eastAsia="Calibri" w:cs="Times New Roman"/>
          <w:color w:val="000000"/>
          <w:u w:val="single"/>
        </w:rPr>
      </w:pPr>
      <w:r w:rsidRPr="00845B64">
        <w:rPr>
          <w:rFonts w:eastAsia="Calibri" w:cs="Times New Roman"/>
          <w:color w:val="000000"/>
          <w:u w:val="single"/>
        </w:rPr>
        <w:t>Project Implementation</w:t>
      </w:r>
    </w:p>
    <w:p w14:paraId="43C53B38" w14:textId="77777777" w:rsidR="00EF6294" w:rsidRPr="00845B64" w:rsidRDefault="00EF6294" w:rsidP="00845B64">
      <w:pPr>
        <w:spacing w:after="0" w:line="240" w:lineRule="auto"/>
        <w:ind w:left="360"/>
        <w:contextualSpacing/>
        <w:jc w:val="both"/>
        <w:rPr>
          <w:rFonts w:eastAsia="Calibri" w:cs="Times New Roman"/>
          <w:color w:val="000000"/>
        </w:rPr>
      </w:pPr>
    </w:p>
    <w:p w14:paraId="007DB37B" w14:textId="77777777" w:rsidR="00EF6294" w:rsidRPr="00845B64" w:rsidRDefault="00EF6294" w:rsidP="00845B64">
      <w:pPr>
        <w:widowControl w:val="0"/>
        <w:numPr>
          <w:ilvl w:val="0"/>
          <w:numId w:val="16"/>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Adaptive management (changes to the project design and project outputs during implementation)</w:t>
      </w:r>
    </w:p>
    <w:p w14:paraId="715B2AE1" w14:textId="77777777" w:rsidR="00EF6294" w:rsidRPr="00845B64" w:rsidRDefault="00EF6294" w:rsidP="00AC0D02">
      <w:pPr>
        <w:widowControl w:val="0"/>
        <w:numPr>
          <w:ilvl w:val="0"/>
          <w:numId w:val="16"/>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Actual stakeholder participation and partnership arrangements</w:t>
      </w:r>
    </w:p>
    <w:p w14:paraId="5188F898" w14:textId="77777777" w:rsidR="00EF6294" w:rsidRPr="00845B64" w:rsidRDefault="00EF6294" w:rsidP="00AC0D02">
      <w:pPr>
        <w:widowControl w:val="0"/>
        <w:numPr>
          <w:ilvl w:val="0"/>
          <w:numId w:val="16"/>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Project Finance and Co-finance</w:t>
      </w:r>
    </w:p>
    <w:p w14:paraId="0EB5B22B" w14:textId="77777777" w:rsidR="00EF6294" w:rsidRPr="00845B64" w:rsidRDefault="00EF6294" w:rsidP="00AC0D02">
      <w:pPr>
        <w:widowControl w:val="0"/>
        <w:numPr>
          <w:ilvl w:val="0"/>
          <w:numId w:val="16"/>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Monitoring &amp; Evaluation: design at entry (*), implementation (*), and overall assessment of M&amp;E (*)</w:t>
      </w:r>
    </w:p>
    <w:p w14:paraId="6B80D204" w14:textId="77777777" w:rsidR="00EF6294" w:rsidRPr="00845B64" w:rsidRDefault="00EF6294" w:rsidP="00AC0D02">
      <w:pPr>
        <w:widowControl w:val="0"/>
        <w:numPr>
          <w:ilvl w:val="0"/>
          <w:numId w:val="16"/>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Implementing Agency (UNDP) (*) and Executing Agency (*), overall project oversight/implementation and execution (*)</w:t>
      </w:r>
    </w:p>
    <w:p w14:paraId="4805DEB6" w14:textId="77777777" w:rsidR="00EF6294" w:rsidRPr="00845B64" w:rsidRDefault="00EF6294" w:rsidP="00AC0D02">
      <w:pPr>
        <w:widowControl w:val="0"/>
        <w:numPr>
          <w:ilvl w:val="0"/>
          <w:numId w:val="16"/>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Risk Management, including Social and Environmental Standards</w:t>
      </w:r>
    </w:p>
    <w:p w14:paraId="243DBE51" w14:textId="77777777" w:rsidR="00EF6294" w:rsidRPr="00845B64" w:rsidRDefault="00EF6294" w:rsidP="00EF6294">
      <w:pPr>
        <w:tabs>
          <w:tab w:val="left" w:pos="1620"/>
        </w:tabs>
        <w:spacing w:after="0" w:line="240" w:lineRule="auto"/>
        <w:ind w:left="360"/>
        <w:contextualSpacing/>
        <w:rPr>
          <w:rFonts w:eastAsia="Calibri" w:cs="Times New Roman"/>
          <w:color w:val="000000"/>
        </w:rPr>
      </w:pPr>
    </w:p>
    <w:p w14:paraId="6FBAE6DD" w14:textId="77777777" w:rsidR="00EF6294" w:rsidRPr="00845B64" w:rsidRDefault="00EF6294" w:rsidP="00AC0D02">
      <w:pPr>
        <w:widowControl w:val="0"/>
        <w:numPr>
          <w:ilvl w:val="0"/>
          <w:numId w:val="13"/>
        </w:numPr>
        <w:spacing w:after="0" w:line="240" w:lineRule="auto"/>
        <w:ind w:left="360"/>
        <w:contextualSpacing/>
        <w:jc w:val="both"/>
        <w:rPr>
          <w:rFonts w:eastAsia="Calibri" w:cs="Times New Roman"/>
          <w:color w:val="000000"/>
          <w:u w:val="single"/>
        </w:rPr>
      </w:pPr>
      <w:r w:rsidRPr="00845B64">
        <w:rPr>
          <w:rFonts w:eastAsia="Calibri" w:cs="Times New Roman"/>
          <w:color w:val="000000"/>
          <w:u w:val="single"/>
        </w:rPr>
        <w:t>Project Results</w:t>
      </w:r>
    </w:p>
    <w:p w14:paraId="7037AA63" w14:textId="77777777" w:rsidR="00EF6294" w:rsidRPr="00845B64" w:rsidRDefault="00EF6294" w:rsidP="00EF6294">
      <w:pPr>
        <w:spacing w:after="0" w:line="240" w:lineRule="auto"/>
        <w:ind w:left="360"/>
        <w:contextualSpacing/>
        <w:jc w:val="both"/>
        <w:rPr>
          <w:rFonts w:eastAsia="Calibri" w:cs="Times New Roman"/>
          <w:u w:val="single"/>
        </w:rPr>
      </w:pPr>
    </w:p>
    <w:p w14:paraId="22908CC8" w14:textId="77777777" w:rsidR="00EF6294" w:rsidRPr="00845B64" w:rsidRDefault="00EF6294" w:rsidP="00AC0D02">
      <w:pPr>
        <w:widowControl w:val="0"/>
        <w:numPr>
          <w:ilvl w:val="0"/>
          <w:numId w:val="17"/>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Assess the achievement of outcomes against indicators by reporting on the level of progress for each objective and outcome indicator at the time of the TE and noting final achievements</w:t>
      </w:r>
    </w:p>
    <w:p w14:paraId="1E758F07" w14:textId="77777777" w:rsidR="00EF6294" w:rsidRPr="00845B64" w:rsidRDefault="00EF6294" w:rsidP="00AC0D02">
      <w:pPr>
        <w:widowControl w:val="0"/>
        <w:numPr>
          <w:ilvl w:val="0"/>
          <w:numId w:val="17"/>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Relevance (*), Effectiveness (*), Efficiency (*) and overall project outcome (*)</w:t>
      </w:r>
    </w:p>
    <w:p w14:paraId="1EFCC621" w14:textId="77777777" w:rsidR="00EF6294" w:rsidRPr="00845B64" w:rsidRDefault="00EF6294" w:rsidP="00AC0D02">
      <w:pPr>
        <w:widowControl w:val="0"/>
        <w:numPr>
          <w:ilvl w:val="0"/>
          <w:numId w:val="17"/>
        </w:numPr>
        <w:tabs>
          <w:tab w:val="left" w:pos="1620"/>
        </w:tabs>
        <w:spacing w:after="0" w:line="240" w:lineRule="auto"/>
        <w:ind w:left="360"/>
        <w:contextualSpacing/>
        <w:jc w:val="both"/>
        <w:rPr>
          <w:rFonts w:eastAsia="Calibri" w:cs="Times New Roman"/>
        </w:rPr>
      </w:pPr>
      <w:r w:rsidRPr="00845B64">
        <w:rPr>
          <w:rFonts w:eastAsia="Calibri" w:cs="Times New Roman"/>
          <w:color w:val="000000"/>
        </w:rPr>
        <w:t>Sustainability: financial (*)</w:t>
      </w:r>
      <w:r w:rsidRPr="00845B64">
        <w:rPr>
          <w:rFonts w:eastAsia="Calibri" w:cs="Times New Roman"/>
        </w:rPr>
        <w:tab/>
        <w:t xml:space="preserve">, </w:t>
      </w:r>
      <w:r w:rsidRPr="00845B64">
        <w:rPr>
          <w:rFonts w:eastAsia="Calibri" w:cs="Times New Roman"/>
          <w:color w:val="000000"/>
        </w:rPr>
        <w:t>socio-political (*), institutional framework and governance (*), environmental (*), overall likelihood of sustainability (*)</w:t>
      </w:r>
    </w:p>
    <w:p w14:paraId="62499782" w14:textId="77777777" w:rsidR="00EF6294" w:rsidRPr="00845B64" w:rsidRDefault="00EF6294" w:rsidP="00AC0D02">
      <w:pPr>
        <w:widowControl w:val="0"/>
        <w:numPr>
          <w:ilvl w:val="0"/>
          <w:numId w:val="17"/>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Country ownership</w:t>
      </w:r>
    </w:p>
    <w:p w14:paraId="3C4646EB" w14:textId="77777777" w:rsidR="00EF6294" w:rsidRPr="00845B64" w:rsidRDefault="00EF6294" w:rsidP="00AC0D02">
      <w:pPr>
        <w:widowControl w:val="0"/>
        <w:numPr>
          <w:ilvl w:val="0"/>
          <w:numId w:val="17"/>
        </w:numPr>
        <w:tabs>
          <w:tab w:val="left" w:pos="1620"/>
        </w:tabs>
        <w:spacing w:after="0" w:line="240" w:lineRule="auto"/>
        <w:ind w:left="360"/>
        <w:contextualSpacing/>
        <w:jc w:val="both"/>
        <w:rPr>
          <w:rFonts w:eastAsia="Calibri" w:cs="Times New Roman"/>
        </w:rPr>
      </w:pPr>
      <w:r w:rsidRPr="00845B64">
        <w:rPr>
          <w:rFonts w:eastAsia="Calibri" w:cs="Times New Roman"/>
          <w:color w:val="000000"/>
        </w:rPr>
        <w:t>Gender equality and women’s empowerment</w:t>
      </w:r>
    </w:p>
    <w:p w14:paraId="6F1B8667" w14:textId="77777777" w:rsidR="00EF6294" w:rsidRPr="00845B64" w:rsidRDefault="00EF6294" w:rsidP="00AC0D02">
      <w:pPr>
        <w:widowControl w:val="0"/>
        <w:numPr>
          <w:ilvl w:val="0"/>
          <w:numId w:val="17"/>
        </w:numPr>
        <w:tabs>
          <w:tab w:val="left" w:pos="1620"/>
        </w:tabs>
        <w:spacing w:after="0" w:line="240" w:lineRule="auto"/>
        <w:ind w:left="360"/>
        <w:contextualSpacing/>
        <w:jc w:val="both"/>
        <w:rPr>
          <w:rFonts w:eastAsia="Calibri" w:cs="Times New Roman"/>
        </w:rPr>
      </w:pPr>
      <w:r w:rsidRPr="00845B64">
        <w:rPr>
          <w:rFonts w:eastAsia="Calibri" w:cs="Times New Roman"/>
          <w:color w:val="000000"/>
        </w:rPr>
        <w:t>Cross-cutting issues (poverty alleviation, improved governance, climate change mitigation and adaptation, disaster prevention and recovery, human rights, capacity development, South-South cooperation, knowledge management, volunteerism, etc., as relevant)</w:t>
      </w:r>
    </w:p>
    <w:p w14:paraId="0DFFFFE1" w14:textId="77777777" w:rsidR="00EF6294" w:rsidRPr="00845B64" w:rsidRDefault="00EF6294" w:rsidP="00AC0D02">
      <w:pPr>
        <w:widowControl w:val="0"/>
        <w:numPr>
          <w:ilvl w:val="0"/>
          <w:numId w:val="17"/>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GEF Additionality</w:t>
      </w:r>
    </w:p>
    <w:p w14:paraId="310801ED" w14:textId="77777777" w:rsidR="00EF6294" w:rsidRPr="00845B64" w:rsidRDefault="00EF6294" w:rsidP="00AC0D02">
      <w:pPr>
        <w:widowControl w:val="0"/>
        <w:numPr>
          <w:ilvl w:val="0"/>
          <w:numId w:val="17"/>
        </w:numPr>
        <w:tabs>
          <w:tab w:val="left" w:pos="1620"/>
        </w:tabs>
        <w:spacing w:after="0" w:line="240" w:lineRule="auto"/>
        <w:ind w:left="360"/>
        <w:contextualSpacing/>
        <w:jc w:val="both"/>
        <w:rPr>
          <w:rFonts w:eastAsia="Calibri" w:cs="Times New Roman"/>
        </w:rPr>
      </w:pPr>
      <w:r w:rsidRPr="00845B64">
        <w:rPr>
          <w:rFonts w:eastAsia="Calibri" w:cs="Times New Roman"/>
          <w:color w:val="000000"/>
        </w:rPr>
        <w:t xml:space="preserve">Catalytic Role / Replication Effect </w:t>
      </w:r>
    </w:p>
    <w:p w14:paraId="1B3EBADD" w14:textId="77777777" w:rsidR="00EF6294" w:rsidRPr="00845B64" w:rsidRDefault="00EF6294" w:rsidP="00AC0D02">
      <w:pPr>
        <w:widowControl w:val="0"/>
        <w:numPr>
          <w:ilvl w:val="0"/>
          <w:numId w:val="17"/>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Progress to impact</w:t>
      </w:r>
    </w:p>
    <w:p w14:paraId="50937AFD" w14:textId="77777777" w:rsidR="00EF6294" w:rsidRPr="00845B64" w:rsidRDefault="00EF6294" w:rsidP="00EF6294">
      <w:pPr>
        <w:tabs>
          <w:tab w:val="left" w:pos="1620"/>
        </w:tabs>
        <w:spacing w:after="0" w:line="240" w:lineRule="auto"/>
        <w:ind w:left="1080"/>
        <w:contextualSpacing/>
        <w:rPr>
          <w:rFonts w:eastAsia="Calibri" w:cs="Times New Roman"/>
        </w:rPr>
      </w:pPr>
    </w:p>
    <w:p w14:paraId="44E2196C" w14:textId="77777777" w:rsidR="00EF6294" w:rsidRPr="00845B64" w:rsidRDefault="00EF6294" w:rsidP="00EF6294">
      <w:pPr>
        <w:widowControl w:val="0"/>
        <w:spacing w:after="0" w:line="240" w:lineRule="auto"/>
        <w:jc w:val="both"/>
        <w:rPr>
          <w:rFonts w:eastAsia="SimSun" w:cs="Times New Roman"/>
          <w:kern w:val="2"/>
          <w:u w:val="single"/>
          <w:lang w:eastAsia="zh-CN"/>
        </w:rPr>
      </w:pPr>
      <w:r w:rsidRPr="00845B64">
        <w:rPr>
          <w:rFonts w:eastAsia="SimSun" w:cs="Times New Roman"/>
          <w:color w:val="000000"/>
          <w:kern w:val="2"/>
          <w:u w:val="single"/>
          <w:lang w:eastAsia="zh-CN"/>
        </w:rPr>
        <w:t>Main Findings, Conclusions, Recommendations and Lessons Learned</w:t>
      </w:r>
    </w:p>
    <w:p w14:paraId="30F61216" w14:textId="77777777" w:rsidR="00EF6294" w:rsidRPr="00845B64" w:rsidRDefault="00EF6294" w:rsidP="00EF6294">
      <w:pPr>
        <w:spacing w:after="0" w:line="240" w:lineRule="auto"/>
        <w:ind w:left="360"/>
        <w:contextualSpacing/>
        <w:jc w:val="both"/>
        <w:rPr>
          <w:rFonts w:eastAsia="Calibri" w:cs="Times New Roman"/>
          <w:u w:val="single"/>
        </w:rPr>
      </w:pPr>
    </w:p>
    <w:p w14:paraId="6B20A544" w14:textId="77777777" w:rsidR="00EF6294" w:rsidRPr="00845B64" w:rsidRDefault="00EF6294" w:rsidP="00AC0D02">
      <w:pPr>
        <w:widowControl w:val="0"/>
        <w:numPr>
          <w:ilvl w:val="0"/>
          <w:numId w:val="17"/>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The TE team will include a summary of the main findings of the TE report. Findings should be presented as statements of fact that are based on analysis of the data.</w:t>
      </w:r>
    </w:p>
    <w:p w14:paraId="5E710249" w14:textId="77777777" w:rsidR="00EF6294" w:rsidRPr="00845B64" w:rsidRDefault="00EF6294" w:rsidP="00AC0D02">
      <w:pPr>
        <w:widowControl w:val="0"/>
        <w:numPr>
          <w:ilvl w:val="0"/>
          <w:numId w:val="17"/>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 xml:space="preserve"> The section on conclusions will be written in light of the findings. Conclusions should be comprehensive and balanced statements that are well substantiated by evidence and logically connected </w:t>
      </w:r>
      <w:r w:rsidRPr="00845B64">
        <w:rPr>
          <w:rFonts w:eastAsia="Calibri" w:cs="Times New Roman"/>
          <w:color w:val="000000"/>
        </w:rPr>
        <w:lastRenderedPageBreak/>
        <w:t xml:space="preserve">to the TE findings. They should highlight the strengths, weaknesses, and results of the project, respond to key evaluation questions, and provide insights into the identification of and/or solutions to important problems or issues pertinent to project beneficiaries, UNDP and the GEF, including issues in relation to gender equality and women’s empowerment. </w:t>
      </w:r>
    </w:p>
    <w:p w14:paraId="3071899B" w14:textId="77777777" w:rsidR="00EF6294" w:rsidRPr="00845B64" w:rsidRDefault="00EF6294" w:rsidP="00AC0D02">
      <w:pPr>
        <w:widowControl w:val="0"/>
        <w:numPr>
          <w:ilvl w:val="0"/>
          <w:numId w:val="17"/>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0EB8C60B" w14:textId="77777777" w:rsidR="00EF6294" w:rsidRPr="00845B64" w:rsidRDefault="00EF6294" w:rsidP="00AC0D02">
      <w:pPr>
        <w:widowControl w:val="0"/>
        <w:numPr>
          <w:ilvl w:val="0"/>
          <w:numId w:val="17"/>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The TE report should also include lessons that can be taken from the evaluation, including best and worst practices in addressing issues relating to relevance, performance and success that can provide knowledge gained from the particular circumstance (programmatic and evaluation methods used, partnerships, financial leveraging, etc.) that are applicable to other GEF and UNDP interventions. When possible, the TE team should include examples of good practices in project design and implementation.</w:t>
      </w:r>
    </w:p>
    <w:p w14:paraId="61925974" w14:textId="77777777" w:rsidR="00EF6294" w:rsidRPr="00845B64" w:rsidRDefault="00EF6294" w:rsidP="00AC0D02">
      <w:pPr>
        <w:widowControl w:val="0"/>
        <w:numPr>
          <w:ilvl w:val="0"/>
          <w:numId w:val="17"/>
        </w:numPr>
        <w:tabs>
          <w:tab w:val="left" w:pos="1620"/>
        </w:tabs>
        <w:spacing w:after="0" w:line="240" w:lineRule="auto"/>
        <w:ind w:left="360"/>
        <w:contextualSpacing/>
        <w:jc w:val="both"/>
        <w:rPr>
          <w:rFonts w:eastAsia="Calibri" w:cs="Times New Roman"/>
          <w:color w:val="000000"/>
        </w:rPr>
      </w:pPr>
      <w:r w:rsidRPr="00845B64">
        <w:rPr>
          <w:rFonts w:eastAsia="Calibri" w:cs="Times New Roman"/>
          <w:color w:val="000000"/>
        </w:rPr>
        <w:t>It is important for the conclusions, recommendations and lessons learned of the TE report to include results related to gender equality and empowerment of women.</w:t>
      </w:r>
    </w:p>
    <w:p w14:paraId="467E9F97" w14:textId="77777777" w:rsidR="00EF6294" w:rsidRPr="00845B6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TE report will include an Evaluation Ratings Table, as shown below:</w:t>
      </w:r>
    </w:p>
    <w:p w14:paraId="65C0EDEB" w14:textId="77777777" w:rsidR="00EF6294" w:rsidRPr="00845B64" w:rsidRDefault="00EF6294" w:rsidP="00EF6294">
      <w:pPr>
        <w:widowControl w:val="0"/>
        <w:spacing w:after="0" w:line="240" w:lineRule="auto"/>
        <w:jc w:val="both"/>
        <w:rPr>
          <w:rFonts w:eastAsia="SimSun" w:cs="Times New Roman"/>
          <w:color w:val="000000"/>
          <w:kern w:val="2"/>
          <w:lang w:eastAsia="zh-CN"/>
        </w:rPr>
      </w:pPr>
    </w:p>
    <w:p w14:paraId="322559A1" w14:textId="77777777" w:rsidR="00EF6294" w:rsidRPr="00845B64" w:rsidRDefault="00EF6294" w:rsidP="00EF6294">
      <w:pPr>
        <w:widowControl w:val="0"/>
        <w:spacing w:after="0" w:line="240" w:lineRule="auto"/>
        <w:ind w:left="360"/>
        <w:jc w:val="center"/>
        <w:rPr>
          <w:rFonts w:eastAsia="SimSun" w:cs="Times New Roman"/>
          <w:b/>
          <w:color w:val="000000"/>
          <w:kern w:val="2"/>
          <w:lang w:eastAsia="zh-CN"/>
        </w:rPr>
      </w:pPr>
      <w:r w:rsidRPr="00845B64">
        <w:rPr>
          <w:rFonts w:eastAsia="SimSun" w:cs="Times New Roman"/>
          <w:b/>
          <w:color w:val="000000"/>
          <w:kern w:val="2"/>
          <w:lang w:eastAsia="zh-CN"/>
        </w:rPr>
        <w:t xml:space="preserve">ToR Table 2: Evaluation Ratings Table for </w:t>
      </w:r>
      <w:r w:rsidRPr="00845B64">
        <w:rPr>
          <w:rFonts w:eastAsia="SimSun" w:cs="Times New Roman"/>
          <w:b/>
          <w:i/>
          <w:color w:val="000000"/>
          <w:kern w:val="2"/>
          <w:lang w:eastAsia="zh-CN"/>
        </w:rPr>
        <w:t>(project title)</w:t>
      </w:r>
    </w:p>
    <w:tbl>
      <w:tblPr>
        <w:tblStyle w:val="TableGrid1"/>
        <w:tblW w:w="0" w:type="auto"/>
        <w:jc w:val="center"/>
        <w:tblInd w:w="0" w:type="dxa"/>
        <w:tblLook w:val="04A0" w:firstRow="1" w:lastRow="0" w:firstColumn="1" w:lastColumn="0" w:noHBand="0" w:noVBand="1"/>
      </w:tblPr>
      <w:tblGrid>
        <w:gridCol w:w="7555"/>
        <w:gridCol w:w="1795"/>
      </w:tblGrid>
      <w:tr w:rsidR="00EF6294" w:rsidRPr="00845B64" w14:paraId="01F1F06F"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5DEC400B" w14:textId="77777777" w:rsidR="00EF6294" w:rsidRPr="00845B64" w:rsidRDefault="00EF6294" w:rsidP="00EF6294">
            <w:pPr>
              <w:ind w:left="340"/>
              <w:contextualSpacing/>
              <w:jc w:val="both"/>
              <w:rPr>
                <w:rFonts w:eastAsia="Calibri"/>
                <w:color w:val="FFFFFF"/>
              </w:rPr>
            </w:pPr>
            <w:r w:rsidRPr="00845B64">
              <w:rPr>
                <w:rFonts w:eastAsia="Calibri"/>
                <w:color w:val="FFFFFF"/>
              </w:rPr>
              <w:t>Monitoring &amp; Evaluation (M&amp;E)</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4B61CC93" w14:textId="77777777" w:rsidR="00EF6294" w:rsidRPr="00845B64" w:rsidRDefault="00EF6294" w:rsidP="00EF6294">
            <w:pPr>
              <w:widowControl w:val="0"/>
              <w:jc w:val="both"/>
              <w:rPr>
                <w:color w:val="FFFFFF"/>
              </w:rPr>
            </w:pPr>
            <w:r w:rsidRPr="00845B64">
              <w:rPr>
                <w:color w:val="FFFFFF"/>
              </w:rPr>
              <w:t>Rating</w:t>
            </w:r>
            <w:r w:rsidRPr="00845B64">
              <w:rPr>
                <w:color w:val="FFFFFF"/>
                <w:vertAlign w:val="superscript"/>
              </w:rPr>
              <w:footnoteReference w:id="87"/>
            </w:r>
          </w:p>
        </w:tc>
      </w:tr>
      <w:tr w:rsidR="00EF6294" w:rsidRPr="00845B64" w14:paraId="5BE02224"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hideMark/>
          </w:tcPr>
          <w:p w14:paraId="39A17B50" w14:textId="77777777" w:rsidR="00EF6294" w:rsidRPr="00845B64" w:rsidRDefault="00EF6294" w:rsidP="00EF6294">
            <w:pPr>
              <w:widowControl w:val="0"/>
              <w:ind w:left="340"/>
              <w:jc w:val="both"/>
              <w:rPr>
                <w:color w:val="000000"/>
              </w:rPr>
            </w:pPr>
            <w:r w:rsidRPr="00845B64">
              <w:rPr>
                <w:color w:val="000000"/>
              </w:rPr>
              <w:t>M&amp;E design at entry</w:t>
            </w:r>
          </w:p>
        </w:tc>
        <w:tc>
          <w:tcPr>
            <w:tcW w:w="1795" w:type="dxa"/>
            <w:tcBorders>
              <w:top w:val="single" w:sz="4" w:space="0" w:color="auto"/>
              <w:left w:val="single" w:sz="4" w:space="0" w:color="auto"/>
              <w:bottom w:val="single" w:sz="4" w:space="0" w:color="auto"/>
              <w:right w:val="single" w:sz="4" w:space="0" w:color="auto"/>
            </w:tcBorders>
          </w:tcPr>
          <w:p w14:paraId="03046D42" w14:textId="77777777" w:rsidR="00EF6294" w:rsidRPr="00845B64" w:rsidRDefault="00EF6294" w:rsidP="00EF6294">
            <w:pPr>
              <w:widowControl w:val="0"/>
              <w:jc w:val="both"/>
              <w:rPr>
                <w:color w:val="000000"/>
              </w:rPr>
            </w:pPr>
          </w:p>
        </w:tc>
      </w:tr>
      <w:tr w:rsidR="00EF6294" w:rsidRPr="00845B64" w14:paraId="34876F6F"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hideMark/>
          </w:tcPr>
          <w:p w14:paraId="408A9C84" w14:textId="77777777" w:rsidR="00EF6294" w:rsidRPr="00845B64" w:rsidRDefault="00EF6294" w:rsidP="00EF6294">
            <w:pPr>
              <w:widowControl w:val="0"/>
              <w:ind w:left="340"/>
              <w:jc w:val="both"/>
              <w:rPr>
                <w:color w:val="000000"/>
              </w:rPr>
            </w:pPr>
            <w:r w:rsidRPr="00845B64">
              <w:rPr>
                <w:color w:val="000000"/>
              </w:rPr>
              <w:t>M&amp;E Plan Implementation</w:t>
            </w:r>
          </w:p>
        </w:tc>
        <w:tc>
          <w:tcPr>
            <w:tcW w:w="1795" w:type="dxa"/>
            <w:tcBorders>
              <w:top w:val="single" w:sz="4" w:space="0" w:color="auto"/>
              <w:left w:val="single" w:sz="4" w:space="0" w:color="auto"/>
              <w:bottom w:val="single" w:sz="4" w:space="0" w:color="auto"/>
              <w:right w:val="single" w:sz="4" w:space="0" w:color="auto"/>
            </w:tcBorders>
          </w:tcPr>
          <w:p w14:paraId="20A351D7" w14:textId="77777777" w:rsidR="00EF6294" w:rsidRPr="00845B64" w:rsidRDefault="00EF6294" w:rsidP="00EF6294">
            <w:pPr>
              <w:widowControl w:val="0"/>
              <w:jc w:val="both"/>
              <w:rPr>
                <w:color w:val="000000"/>
              </w:rPr>
            </w:pPr>
          </w:p>
        </w:tc>
      </w:tr>
      <w:tr w:rsidR="00EF6294" w:rsidRPr="00845B64" w14:paraId="06C0EC5C"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shd w:val="clear" w:color="auto" w:fill="DDD9C3"/>
            <w:hideMark/>
          </w:tcPr>
          <w:p w14:paraId="4ACAD65B" w14:textId="77777777" w:rsidR="00EF6294" w:rsidRPr="00845B64" w:rsidRDefault="00EF6294" w:rsidP="00EF6294">
            <w:pPr>
              <w:widowControl w:val="0"/>
              <w:ind w:left="340"/>
              <w:jc w:val="both"/>
              <w:rPr>
                <w:color w:val="000000"/>
              </w:rPr>
            </w:pPr>
            <w:r w:rsidRPr="00845B64">
              <w:rPr>
                <w:color w:val="000000"/>
              </w:rPr>
              <w:t>Overall Quality of M&amp;E</w:t>
            </w:r>
          </w:p>
        </w:tc>
        <w:tc>
          <w:tcPr>
            <w:tcW w:w="1795" w:type="dxa"/>
            <w:tcBorders>
              <w:top w:val="single" w:sz="4" w:space="0" w:color="auto"/>
              <w:left w:val="single" w:sz="4" w:space="0" w:color="auto"/>
              <w:bottom w:val="single" w:sz="4" w:space="0" w:color="auto"/>
              <w:right w:val="single" w:sz="4" w:space="0" w:color="auto"/>
            </w:tcBorders>
            <w:shd w:val="clear" w:color="auto" w:fill="DDD9C3"/>
          </w:tcPr>
          <w:p w14:paraId="628E4383" w14:textId="77777777" w:rsidR="00EF6294" w:rsidRPr="00845B64" w:rsidRDefault="00EF6294" w:rsidP="00EF6294">
            <w:pPr>
              <w:widowControl w:val="0"/>
              <w:jc w:val="both"/>
              <w:rPr>
                <w:color w:val="000000"/>
              </w:rPr>
            </w:pPr>
          </w:p>
        </w:tc>
      </w:tr>
      <w:tr w:rsidR="00EF6294" w:rsidRPr="00845B64" w14:paraId="2A25ADE8"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32382AE3" w14:textId="77777777" w:rsidR="00EF6294" w:rsidRPr="00845B64" w:rsidRDefault="00EF6294" w:rsidP="00EF6294">
            <w:pPr>
              <w:ind w:left="340"/>
              <w:contextualSpacing/>
              <w:jc w:val="both"/>
              <w:rPr>
                <w:rFonts w:eastAsia="Calibri"/>
                <w:color w:val="FFFFFF"/>
              </w:rPr>
            </w:pPr>
            <w:r w:rsidRPr="00845B64">
              <w:rPr>
                <w:rFonts w:eastAsia="Calibri"/>
                <w:color w:val="FFFFFF"/>
              </w:rPr>
              <w:t>Implementation &amp; Execution</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2FD21969" w14:textId="77777777" w:rsidR="00EF6294" w:rsidRPr="00845B64" w:rsidRDefault="00EF6294" w:rsidP="00EF6294">
            <w:pPr>
              <w:widowControl w:val="0"/>
              <w:jc w:val="both"/>
              <w:rPr>
                <w:color w:val="FFFFFF"/>
              </w:rPr>
            </w:pPr>
            <w:r w:rsidRPr="00845B64">
              <w:rPr>
                <w:color w:val="FFFFFF"/>
              </w:rPr>
              <w:t>Rating</w:t>
            </w:r>
          </w:p>
        </w:tc>
      </w:tr>
      <w:tr w:rsidR="00EF6294" w:rsidRPr="00845B64" w14:paraId="54D2AA6E"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hideMark/>
          </w:tcPr>
          <w:p w14:paraId="028D722E" w14:textId="77777777" w:rsidR="00EF6294" w:rsidRPr="00845B64" w:rsidRDefault="00EF6294" w:rsidP="00EF6294">
            <w:pPr>
              <w:widowControl w:val="0"/>
              <w:ind w:left="970" w:hanging="610"/>
              <w:jc w:val="both"/>
              <w:rPr>
                <w:color w:val="000000"/>
              </w:rPr>
            </w:pPr>
            <w:r w:rsidRPr="00845B64">
              <w:rPr>
                <w:color w:val="000000"/>
              </w:rPr>
              <w:t xml:space="preserve">Quality of UNDP Implementation/Oversight </w:t>
            </w:r>
          </w:p>
        </w:tc>
        <w:tc>
          <w:tcPr>
            <w:tcW w:w="1795" w:type="dxa"/>
            <w:tcBorders>
              <w:top w:val="single" w:sz="4" w:space="0" w:color="auto"/>
              <w:left w:val="single" w:sz="4" w:space="0" w:color="auto"/>
              <w:bottom w:val="single" w:sz="4" w:space="0" w:color="auto"/>
              <w:right w:val="single" w:sz="4" w:space="0" w:color="auto"/>
            </w:tcBorders>
          </w:tcPr>
          <w:p w14:paraId="0761FA79" w14:textId="77777777" w:rsidR="00EF6294" w:rsidRPr="00845B64" w:rsidRDefault="00EF6294" w:rsidP="00EF6294">
            <w:pPr>
              <w:widowControl w:val="0"/>
              <w:jc w:val="both"/>
              <w:rPr>
                <w:color w:val="000000"/>
              </w:rPr>
            </w:pPr>
          </w:p>
        </w:tc>
      </w:tr>
      <w:tr w:rsidR="00EF6294" w:rsidRPr="00845B64" w14:paraId="7A29DC1F"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hideMark/>
          </w:tcPr>
          <w:p w14:paraId="30E130D1" w14:textId="77777777" w:rsidR="00EF6294" w:rsidRPr="00845B64" w:rsidRDefault="00EF6294" w:rsidP="00EF6294">
            <w:pPr>
              <w:widowControl w:val="0"/>
              <w:ind w:left="970" w:hanging="610"/>
              <w:jc w:val="both"/>
              <w:rPr>
                <w:color w:val="000000"/>
              </w:rPr>
            </w:pPr>
            <w:r w:rsidRPr="00845B64">
              <w:rPr>
                <w:color w:val="000000"/>
              </w:rPr>
              <w:t>Quality of Implementing Partner Execution</w:t>
            </w:r>
          </w:p>
        </w:tc>
        <w:tc>
          <w:tcPr>
            <w:tcW w:w="1795" w:type="dxa"/>
            <w:tcBorders>
              <w:top w:val="single" w:sz="4" w:space="0" w:color="auto"/>
              <w:left w:val="single" w:sz="4" w:space="0" w:color="auto"/>
              <w:bottom w:val="single" w:sz="4" w:space="0" w:color="auto"/>
              <w:right w:val="single" w:sz="4" w:space="0" w:color="auto"/>
            </w:tcBorders>
          </w:tcPr>
          <w:p w14:paraId="4A1A9DF0" w14:textId="77777777" w:rsidR="00EF6294" w:rsidRPr="00845B64" w:rsidRDefault="00EF6294" w:rsidP="00EF6294">
            <w:pPr>
              <w:widowControl w:val="0"/>
              <w:jc w:val="both"/>
              <w:rPr>
                <w:color w:val="000000"/>
              </w:rPr>
            </w:pPr>
          </w:p>
        </w:tc>
      </w:tr>
      <w:tr w:rsidR="00EF6294" w:rsidRPr="00845B64" w14:paraId="4F777B28"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shd w:val="clear" w:color="auto" w:fill="DDD9C3"/>
            <w:hideMark/>
          </w:tcPr>
          <w:p w14:paraId="32EE8C98" w14:textId="77777777" w:rsidR="00EF6294" w:rsidRPr="00845B64" w:rsidRDefault="00EF6294" w:rsidP="00EF6294">
            <w:pPr>
              <w:widowControl w:val="0"/>
              <w:ind w:left="970" w:hanging="610"/>
              <w:jc w:val="both"/>
              <w:rPr>
                <w:color w:val="000000"/>
              </w:rPr>
            </w:pPr>
            <w:r w:rsidRPr="00845B64">
              <w:rPr>
                <w:color w:val="000000"/>
              </w:rPr>
              <w:t>Overall quality of Implementation/Execution</w:t>
            </w:r>
          </w:p>
        </w:tc>
        <w:tc>
          <w:tcPr>
            <w:tcW w:w="1795" w:type="dxa"/>
            <w:tcBorders>
              <w:top w:val="single" w:sz="4" w:space="0" w:color="auto"/>
              <w:left w:val="single" w:sz="4" w:space="0" w:color="auto"/>
              <w:bottom w:val="single" w:sz="4" w:space="0" w:color="auto"/>
              <w:right w:val="single" w:sz="4" w:space="0" w:color="auto"/>
            </w:tcBorders>
            <w:shd w:val="clear" w:color="auto" w:fill="DDD9C3"/>
          </w:tcPr>
          <w:p w14:paraId="04947C76" w14:textId="77777777" w:rsidR="00EF6294" w:rsidRPr="00845B64" w:rsidRDefault="00EF6294" w:rsidP="00EF6294">
            <w:pPr>
              <w:widowControl w:val="0"/>
              <w:jc w:val="both"/>
              <w:rPr>
                <w:color w:val="000000"/>
              </w:rPr>
            </w:pPr>
          </w:p>
        </w:tc>
      </w:tr>
      <w:tr w:rsidR="00EF6294" w:rsidRPr="00845B64" w14:paraId="7838B5FD"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35BC8187" w14:textId="77777777" w:rsidR="00EF6294" w:rsidRPr="00845B64" w:rsidRDefault="00EF6294" w:rsidP="00EF6294">
            <w:pPr>
              <w:ind w:left="340"/>
              <w:contextualSpacing/>
              <w:jc w:val="both"/>
              <w:rPr>
                <w:rFonts w:eastAsia="Calibri"/>
                <w:color w:val="FFFFFF"/>
              </w:rPr>
            </w:pPr>
            <w:r w:rsidRPr="00845B64">
              <w:rPr>
                <w:rFonts w:eastAsia="Calibri"/>
                <w:color w:val="FFFFFF"/>
              </w:rPr>
              <w:t>Assessment of Outcomes</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1BC1E346" w14:textId="77777777" w:rsidR="00EF6294" w:rsidRPr="00845B64" w:rsidRDefault="00EF6294" w:rsidP="00EF6294">
            <w:pPr>
              <w:widowControl w:val="0"/>
              <w:jc w:val="both"/>
              <w:rPr>
                <w:color w:val="FFFFFF"/>
              </w:rPr>
            </w:pPr>
            <w:r w:rsidRPr="00845B64">
              <w:rPr>
                <w:color w:val="FFFFFF"/>
              </w:rPr>
              <w:t>Rating</w:t>
            </w:r>
          </w:p>
        </w:tc>
      </w:tr>
      <w:tr w:rsidR="00EF6294" w:rsidRPr="00845B64" w14:paraId="22BE68FF"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hideMark/>
          </w:tcPr>
          <w:p w14:paraId="32AAA8A4" w14:textId="77777777" w:rsidR="00EF6294" w:rsidRPr="00845B64" w:rsidRDefault="00EF6294" w:rsidP="00EF6294">
            <w:pPr>
              <w:widowControl w:val="0"/>
              <w:ind w:left="340"/>
              <w:jc w:val="both"/>
              <w:rPr>
                <w:color w:val="000000"/>
              </w:rPr>
            </w:pPr>
            <w:r w:rsidRPr="00845B64">
              <w:rPr>
                <w:color w:val="000000"/>
              </w:rPr>
              <w:t>Relevance</w:t>
            </w:r>
          </w:p>
        </w:tc>
        <w:tc>
          <w:tcPr>
            <w:tcW w:w="1795" w:type="dxa"/>
            <w:tcBorders>
              <w:top w:val="single" w:sz="4" w:space="0" w:color="auto"/>
              <w:left w:val="single" w:sz="4" w:space="0" w:color="auto"/>
              <w:bottom w:val="single" w:sz="4" w:space="0" w:color="auto"/>
              <w:right w:val="single" w:sz="4" w:space="0" w:color="auto"/>
            </w:tcBorders>
          </w:tcPr>
          <w:p w14:paraId="58146DA0" w14:textId="77777777" w:rsidR="00EF6294" w:rsidRPr="00845B64" w:rsidRDefault="00EF6294" w:rsidP="00EF6294">
            <w:pPr>
              <w:widowControl w:val="0"/>
              <w:jc w:val="both"/>
              <w:rPr>
                <w:color w:val="000000"/>
              </w:rPr>
            </w:pPr>
          </w:p>
        </w:tc>
      </w:tr>
      <w:tr w:rsidR="00EF6294" w:rsidRPr="00845B64" w14:paraId="7DCEB9AD"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hideMark/>
          </w:tcPr>
          <w:p w14:paraId="7DCEB841" w14:textId="77777777" w:rsidR="00EF6294" w:rsidRPr="00845B64" w:rsidRDefault="00EF6294" w:rsidP="00EF6294">
            <w:pPr>
              <w:widowControl w:val="0"/>
              <w:ind w:left="340"/>
              <w:jc w:val="both"/>
              <w:rPr>
                <w:color w:val="000000"/>
              </w:rPr>
            </w:pPr>
            <w:r w:rsidRPr="00845B64">
              <w:rPr>
                <w:color w:val="000000"/>
              </w:rPr>
              <w:t>Effectiveness</w:t>
            </w:r>
          </w:p>
        </w:tc>
        <w:tc>
          <w:tcPr>
            <w:tcW w:w="1795" w:type="dxa"/>
            <w:tcBorders>
              <w:top w:val="single" w:sz="4" w:space="0" w:color="auto"/>
              <w:left w:val="single" w:sz="4" w:space="0" w:color="auto"/>
              <w:bottom w:val="single" w:sz="4" w:space="0" w:color="auto"/>
              <w:right w:val="single" w:sz="4" w:space="0" w:color="auto"/>
            </w:tcBorders>
          </w:tcPr>
          <w:p w14:paraId="7E7F8999" w14:textId="77777777" w:rsidR="00EF6294" w:rsidRPr="00845B64" w:rsidRDefault="00EF6294" w:rsidP="00EF6294">
            <w:pPr>
              <w:widowControl w:val="0"/>
              <w:jc w:val="both"/>
              <w:rPr>
                <w:color w:val="000000"/>
              </w:rPr>
            </w:pPr>
          </w:p>
        </w:tc>
      </w:tr>
      <w:tr w:rsidR="00EF6294" w:rsidRPr="00845B64" w14:paraId="2C44DE05"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hideMark/>
          </w:tcPr>
          <w:p w14:paraId="7EB60EDD" w14:textId="77777777" w:rsidR="00EF6294" w:rsidRPr="00845B64" w:rsidRDefault="00EF6294" w:rsidP="00EF6294">
            <w:pPr>
              <w:widowControl w:val="0"/>
              <w:ind w:left="340"/>
              <w:jc w:val="both"/>
              <w:rPr>
                <w:color w:val="000000"/>
              </w:rPr>
            </w:pPr>
            <w:r w:rsidRPr="00845B64">
              <w:rPr>
                <w:color w:val="000000"/>
              </w:rPr>
              <w:t>Efficiency</w:t>
            </w:r>
          </w:p>
        </w:tc>
        <w:tc>
          <w:tcPr>
            <w:tcW w:w="1795" w:type="dxa"/>
            <w:tcBorders>
              <w:top w:val="single" w:sz="4" w:space="0" w:color="auto"/>
              <w:left w:val="single" w:sz="4" w:space="0" w:color="auto"/>
              <w:bottom w:val="single" w:sz="4" w:space="0" w:color="auto"/>
              <w:right w:val="single" w:sz="4" w:space="0" w:color="auto"/>
            </w:tcBorders>
          </w:tcPr>
          <w:p w14:paraId="29653F94" w14:textId="77777777" w:rsidR="00EF6294" w:rsidRPr="00845B64" w:rsidRDefault="00EF6294" w:rsidP="00EF6294">
            <w:pPr>
              <w:widowControl w:val="0"/>
              <w:jc w:val="both"/>
              <w:rPr>
                <w:color w:val="000000"/>
              </w:rPr>
            </w:pPr>
          </w:p>
        </w:tc>
      </w:tr>
      <w:tr w:rsidR="00EF6294" w:rsidRPr="00845B64" w14:paraId="027B4691"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shd w:val="clear" w:color="auto" w:fill="DDD9C3"/>
            <w:hideMark/>
          </w:tcPr>
          <w:p w14:paraId="690623B4" w14:textId="77777777" w:rsidR="00EF6294" w:rsidRPr="00845B64" w:rsidRDefault="00EF6294" w:rsidP="00EF6294">
            <w:pPr>
              <w:widowControl w:val="0"/>
              <w:ind w:left="340"/>
              <w:jc w:val="both"/>
              <w:rPr>
                <w:color w:val="000000"/>
              </w:rPr>
            </w:pPr>
            <w:r w:rsidRPr="00845B64">
              <w:rPr>
                <w:color w:val="000000"/>
              </w:rPr>
              <w:t>Overall Project Outcome Rating</w:t>
            </w:r>
          </w:p>
        </w:tc>
        <w:tc>
          <w:tcPr>
            <w:tcW w:w="1795" w:type="dxa"/>
            <w:tcBorders>
              <w:top w:val="single" w:sz="4" w:space="0" w:color="auto"/>
              <w:left w:val="single" w:sz="4" w:space="0" w:color="auto"/>
              <w:bottom w:val="single" w:sz="4" w:space="0" w:color="auto"/>
              <w:right w:val="single" w:sz="4" w:space="0" w:color="auto"/>
            </w:tcBorders>
            <w:shd w:val="clear" w:color="auto" w:fill="DDD9C3"/>
          </w:tcPr>
          <w:p w14:paraId="2B94B1F1" w14:textId="77777777" w:rsidR="00EF6294" w:rsidRPr="00845B64" w:rsidRDefault="00EF6294" w:rsidP="00EF6294">
            <w:pPr>
              <w:widowControl w:val="0"/>
              <w:jc w:val="both"/>
              <w:rPr>
                <w:color w:val="000000"/>
              </w:rPr>
            </w:pPr>
          </w:p>
        </w:tc>
      </w:tr>
      <w:tr w:rsidR="00EF6294" w:rsidRPr="00845B64" w14:paraId="1E14DE70"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shd w:val="clear" w:color="auto" w:fill="404040"/>
            <w:hideMark/>
          </w:tcPr>
          <w:p w14:paraId="4E4EDE40" w14:textId="77777777" w:rsidR="00EF6294" w:rsidRPr="00845B64" w:rsidRDefault="00EF6294" w:rsidP="00EF6294">
            <w:pPr>
              <w:ind w:left="340"/>
              <w:contextualSpacing/>
              <w:jc w:val="both"/>
              <w:rPr>
                <w:rFonts w:eastAsia="Calibri"/>
                <w:color w:val="FFFFFF"/>
              </w:rPr>
            </w:pPr>
            <w:r w:rsidRPr="00845B64">
              <w:rPr>
                <w:rFonts w:eastAsia="Calibri"/>
                <w:color w:val="FFFFFF"/>
              </w:rPr>
              <w:t>Sustainability</w:t>
            </w:r>
          </w:p>
        </w:tc>
        <w:tc>
          <w:tcPr>
            <w:tcW w:w="1795" w:type="dxa"/>
            <w:tcBorders>
              <w:top w:val="single" w:sz="4" w:space="0" w:color="auto"/>
              <w:left w:val="single" w:sz="4" w:space="0" w:color="auto"/>
              <w:bottom w:val="single" w:sz="4" w:space="0" w:color="auto"/>
              <w:right w:val="single" w:sz="4" w:space="0" w:color="auto"/>
            </w:tcBorders>
            <w:shd w:val="clear" w:color="auto" w:fill="404040"/>
            <w:hideMark/>
          </w:tcPr>
          <w:p w14:paraId="42B11239" w14:textId="77777777" w:rsidR="00EF6294" w:rsidRPr="00845B64" w:rsidRDefault="00EF6294" w:rsidP="00EF6294">
            <w:pPr>
              <w:widowControl w:val="0"/>
              <w:jc w:val="both"/>
              <w:rPr>
                <w:color w:val="FFFFFF"/>
              </w:rPr>
            </w:pPr>
            <w:r w:rsidRPr="00845B64">
              <w:rPr>
                <w:color w:val="FFFFFF"/>
              </w:rPr>
              <w:t>Rating</w:t>
            </w:r>
          </w:p>
        </w:tc>
      </w:tr>
      <w:tr w:rsidR="00EF6294" w:rsidRPr="00845B64" w14:paraId="2F3FE8BE"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hideMark/>
          </w:tcPr>
          <w:p w14:paraId="21A63E57" w14:textId="77777777" w:rsidR="00EF6294" w:rsidRPr="00845B64" w:rsidRDefault="00EF6294" w:rsidP="00EF6294">
            <w:pPr>
              <w:widowControl w:val="0"/>
              <w:ind w:left="340"/>
              <w:jc w:val="both"/>
              <w:rPr>
                <w:color w:val="000000"/>
              </w:rPr>
            </w:pPr>
            <w:r w:rsidRPr="00845B64">
              <w:rPr>
                <w:color w:val="000000"/>
              </w:rPr>
              <w:t>Financial resources</w:t>
            </w:r>
          </w:p>
        </w:tc>
        <w:tc>
          <w:tcPr>
            <w:tcW w:w="1795" w:type="dxa"/>
            <w:tcBorders>
              <w:top w:val="single" w:sz="4" w:space="0" w:color="auto"/>
              <w:left w:val="single" w:sz="4" w:space="0" w:color="auto"/>
              <w:bottom w:val="single" w:sz="4" w:space="0" w:color="auto"/>
              <w:right w:val="single" w:sz="4" w:space="0" w:color="auto"/>
            </w:tcBorders>
          </w:tcPr>
          <w:p w14:paraId="01B2464F" w14:textId="77777777" w:rsidR="00EF6294" w:rsidRPr="00845B64" w:rsidRDefault="00EF6294" w:rsidP="00EF6294">
            <w:pPr>
              <w:widowControl w:val="0"/>
              <w:jc w:val="both"/>
              <w:rPr>
                <w:color w:val="000000"/>
              </w:rPr>
            </w:pPr>
          </w:p>
        </w:tc>
      </w:tr>
      <w:tr w:rsidR="00EF6294" w:rsidRPr="00845B64" w14:paraId="41712B02"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hideMark/>
          </w:tcPr>
          <w:p w14:paraId="41D082AA" w14:textId="77777777" w:rsidR="00EF6294" w:rsidRPr="00845B64" w:rsidRDefault="00EF6294" w:rsidP="00EF6294">
            <w:pPr>
              <w:widowControl w:val="0"/>
              <w:ind w:left="340"/>
              <w:jc w:val="both"/>
              <w:rPr>
                <w:color w:val="000000"/>
              </w:rPr>
            </w:pPr>
            <w:r w:rsidRPr="00845B64">
              <w:rPr>
                <w:color w:val="000000"/>
              </w:rPr>
              <w:t>Socio-political/economic</w:t>
            </w:r>
          </w:p>
        </w:tc>
        <w:tc>
          <w:tcPr>
            <w:tcW w:w="1795" w:type="dxa"/>
            <w:tcBorders>
              <w:top w:val="single" w:sz="4" w:space="0" w:color="auto"/>
              <w:left w:val="single" w:sz="4" w:space="0" w:color="auto"/>
              <w:bottom w:val="single" w:sz="4" w:space="0" w:color="auto"/>
              <w:right w:val="single" w:sz="4" w:space="0" w:color="auto"/>
            </w:tcBorders>
          </w:tcPr>
          <w:p w14:paraId="773182BB" w14:textId="77777777" w:rsidR="00EF6294" w:rsidRPr="00845B64" w:rsidRDefault="00EF6294" w:rsidP="00EF6294">
            <w:pPr>
              <w:widowControl w:val="0"/>
              <w:jc w:val="both"/>
              <w:rPr>
                <w:color w:val="000000"/>
                <w:highlight w:val="cyan"/>
              </w:rPr>
            </w:pPr>
          </w:p>
        </w:tc>
      </w:tr>
      <w:tr w:rsidR="00EF6294" w:rsidRPr="00845B64" w14:paraId="648DE4FE"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hideMark/>
          </w:tcPr>
          <w:p w14:paraId="2D8BB4EF" w14:textId="77777777" w:rsidR="00EF6294" w:rsidRPr="00845B64" w:rsidRDefault="00EF6294" w:rsidP="00EF6294">
            <w:pPr>
              <w:widowControl w:val="0"/>
              <w:ind w:left="340"/>
              <w:jc w:val="both"/>
              <w:rPr>
                <w:color w:val="000000"/>
              </w:rPr>
            </w:pPr>
            <w:r w:rsidRPr="00845B64">
              <w:rPr>
                <w:color w:val="000000"/>
              </w:rPr>
              <w:t>Institutional framework and governance</w:t>
            </w:r>
          </w:p>
        </w:tc>
        <w:tc>
          <w:tcPr>
            <w:tcW w:w="1795" w:type="dxa"/>
            <w:tcBorders>
              <w:top w:val="single" w:sz="4" w:space="0" w:color="auto"/>
              <w:left w:val="single" w:sz="4" w:space="0" w:color="auto"/>
              <w:bottom w:val="single" w:sz="4" w:space="0" w:color="auto"/>
              <w:right w:val="single" w:sz="4" w:space="0" w:color="auto"/>
            </w:tcBorders>
          </w:tcPr>
          <w:p w14:paraId="63A8FA0E" w14:textId="77777777" w:rsidR="00EF6294" w:rsidRPr="00845B64" w:rsidRDefault="00EF6294" w:rsidP="00EF6294">
            <w:pPr>
              <w:widowControl w:val="0"/>
              <w:jc w:val="both"/>
              <w:rPr>
                <w:color w:val="000000"/>
                <w:highlight w:val="cyan"/>
              </w:rPr>
            </w:pPr>
          </w:p>
        </w:tc>
      </w:tr>
      <w:tr w:rsidR="00EF6294" w:rsidRPr="00845B64" w14:paraId="7DB85302"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hideMark/>
          </w:tcPr>
          <w:p w14:paraId="3296D26B" w14:textId="77777777" w:rsidR="00EF6294" w:rsidRPr="00845B64" w:rsidRDefault="00EF6294" w:rsidP="00EF6294">
            <w:pPr>
              <w:widowControl w:val="0"/>
              <w:ind w:left="340"/>
              <w:jc w:val="both"/>
              <w:rPr>
                <w:color w:val="000000"/>
              </w:rPr>
            </w:pPr>
            <w:r w:rsidRPr="00845B64">
              <w:rPr>
                <w:color w:val="000000"/>
              </w:rPr>
              <w:t>Environmental</w:t>
            </w:r>
          </w:p>
        </w:tc>
        <w:tc>
          <w:tcPr>
            <w:tcW w:w="1795" w:type="dxa"/>
            <w:tcBorders>
              <w:top w:val="single" w:sz="4" w:space="0" w:color="auto"/>
              <w:left w:val="single" w:sz="4" w:space="0" w:color="auto"/>
              <w:bottom w:val="single" w:sz="4" w:space="0" w:color="auto"/>
              <w:right w:val="single" w:sz="4" w:space="0" w:color="auto"/>
            </w:tcBorders>
          </w:tcPr>
          <w:p w14:paraId="5F132D28" w14:textId="77777777" w:rsidR="00EF6294" w:rsidRPr="00845B64" w:rsidRDefault="00EF6294" w:rsidP="00EF6294">
            <w:pPr>
              <w:widowControl w:val="0"/>
              <w:jc w:val="both"/>
              <w:rPr>
                <w:color w:val="000000"/>
                <w:highlight w:val="cyan"/>
              </w:rPr>
            </w:pPr>
          </w:p>
        </w:tc>
      </w:tr>
      <w:tr w:rsidR="00EF6294" w:rsidRPr="00845B64" w14:paraId="1F80F55F" w14:textId="77777777" w:rsidTr="00EF6294">
        <w:trPr>
          <w:jc w:val="center"/>
        </w:trPr>
        <w:tc>
          <w:tcPr>
            <w:tcW w:w="7555" w:type="dxa"/>
            <w:tcBorders>
              <w:top w:val="single" w:sz="4" w:space="0" w:color="auto"/>
              <w:left w:val="single" w:sz="4" w:space="0" w:color="auto"/>
              <w:bottom w:val="single" w:sz="4" w:space="0" w:color="auto"/>
              <w:right w:val="single" w:sz="4" w:space="0" w:color="auto"/>
            </w:tcBorders>
            <w:shd w:val="clear" w:color="auto" w:fill="DDD9C3"/>
            <w:hideMark/>
          </w:tcPr>
          <w:p w14:paraId="2355811E" w14:textId="77777777" w:rsidR="00EF6294" w:rsidRPr="00845B64" w:rsidRDefault="00EF6294" w:rsidP="00EF6294">
            <w:pPr>
              <w:widowControl w:val="0"/>
              <w:ind w:left="340"/>
              <w:jc w:val="both"/>
              <w:rPr>
                <w:color w:val="000000"/>
              </w:rPr>
            </w:pPr>
            <w:r w:rsidRPr="00845B64">
              <w:rPr>
                <w:color w:val="000000"/>
              </w:rPr>
              <w:t>Overall Likelihood of Sustainability</w:t>
            </w:r>
          </w:p>
        </w:tc>
        <w:tc>
          <w:tcPr>
            <w:tcW w:w="1795" w:type="dxa"/>
            <w:tcBorders>
              <w:top w:val="single" w:sz="4" w:space="0" w:color="auto"/>
              <w:left w:val="single" w:sz="4" w:space="0" w:color="auto"/>
              <w:bottom w:val="single" w:sz="4" w:space="0" w:color="auto"/>
              <w:right w:val="single" w:sz="4" w:space="0" w:color="auto"/>
            </w:tcBorders>
            <w:shd w:val="clear" w:color="auto" w:fill="DDD9C3"/>
          </w:tcPr>
          <w:p w14:paraId="22472C73" w14:textId="77777777" w:rsidR="00EF6294" w:rsidRPr="00845B64" w:rsidRDefault="00EF6294" w:rsidP="00EF6294">
            <w:pPr>
              <w:widowControl w:val="0"/>
              <w:jc w:val="both"/>
              <w:rPr>
                <w:color w:val="000000"/>
              </w:rPr>
            </w:pPr>
          </w:p>
        </w:tc>
      </w:tr>
    </w:tbl>
    <w:p w14:paraId="3151FCD4" w14:textId="77777777" w:rsidR="00EF6294" w:rsidRPr="00845B64" w:rsidRDefault="00EF6294" w:rsidP="00EF6294">
      <w:pPr>
        <w:widowControl w:val="0"/>
        <w:spacing w:after="0" w:line="240" w:lineRule="auto"/>
        <w:jc w:val="both"/>
        <w:rPr>
          <w:rFonts w:eastAsia="SimSun" w:cs="Times New Roman"/>
          <w:kern w:val="2"/>
          <w:lang w:eastAsia="zh-CN"/>
        </w:rPr>
      </w:pPr>
    </w:p>
    <w:p w14:paraId="315D1726" w14:textId="77777777" w:rsidR="00EF6294" w:rsidRPr="00845B64" w:rsidRDefault="00EF6294" w:rsidP="00EF6294">
      <w:pPr>
        <w:widowControl w:val="0"/>
        <w:spacing w:after="0" w:line="240" w:lineRule="auto"/>
        <w:jc w:val="both"/>
        <w:rPr>
          <w:rFonts w:eastAsia="SimSun" w:cs="Times New Roman"/>
          <w:kern w:val="2"/>
          <w:lang w:eastAsia="zh-CN"/>
        </w:rPr>
      </w:pPr>
    </w:p>
    <w:p w14:paraId="5B4DE73E" w14:textId="77777777" w:rsidR="00EF6294" w:rsidRPr="00327CCB" w:rsidRDefault="00EF6294" w:rsidP="00EF6294">
      <w:pPr>
        <w:widowControl w:val="0"/>
        <w:spacing w:after="0" w:line="240" w:lineRule="auto"/>
        <w:jc w:val="both"/>
        <w:rPr>
          <w:rFonts w:eastAsia="SimSun" w:cs="Times New Roman"/>
          <w:spacing w:val="4"/>
          <w:kern w:val="2"/>
          <w:lang w:eastAsia="zh-CN"/>
        </w:rPr>
      </w:pPr>
      <w:r w:rsidRPr="00327CCB">
        <w:rPr>
          <w:rFonts w:eastAsia="SimSun" w:cs="Times New Roman"/>
          <w:kern w:val="2"/>
          <w:lang w:eastAsia="zh-CN"/>
        </w:rPr>
        <w:t>The TE will assess the Project implementation taking into account the status of the project</w:t>
      </w:r>
      <w:r w:rsidRPr="00327CCB">
        <w:rPr>
          <w:rFonts w:eastAsia="SimSun" w:cs="Times New Roman"/>
          <w:spacing w:val="4"/>
          <w:kern w:val="2"/>
          <w:lang w:eastAsia="zh-CN"/>
        </w:rPr>
        <w:t xml:space="preserve"> activities and outputs and the resource disbursements made up to the point of the start of the review </w:t>
      </w:r>
    </w:p>
    <w:p w14:paraId="56AD1894" w14:textId="77777777" w:rsidR="00EF6294" w:rsidRPr="00327CCB" w:rsidRDefault="00EF6294" w:rsidP="00EF6294">
      <w:pPr>
        <w:widowControl w:val="0"/>
        <w:spacing w:after="0" w:line="240" w:lineRule="auto"/>
        <w:jc w:val="both"/>
        <w:rPr>
          <w:rFonts w:eastAsia="SimSun" w:cs="Times New Roman"/>
          <w:spacing w:val="4"/>
          <w:kern w:val="2"/>
          <w:lang w:eastAsia="zh-CN"/>
        </w:rPr>
      </w:pPr>
    </w:p>
    <w:p w14:paraId="4994C48D" w14:textId="77777777" w:rsidR="00EF6294" w:rsidRPr="00327CCB" w:rsidRDefault="00EF6294" w:rsidP="00EF6294">
      <w:pPr>
        <w:widowControl w:val="0"/>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The evaluation will involve analysis at two levels: component level and project level. On the component level, the following shall be assessed:</w:t>
      </w:r>
    </w:p>
    <w:p w14:paraId="6B452671" w14:textId="77777777" w:rsidR="00EF6294" w:rsidRPr="00327CCB" w:rsidRDefault="00EF6294" w:rsidP="00EF6294">
      <w:pPr>
        <w:widowControl w:val="0"/>
        <w:spacing w:after="0" w:line="240" w:lineRule="auto"/>
        <w:jc w:val="both"/>
        <w:rPr>
          <w:rFonts w:eastAsia="SimSun" w:cs="Times New Roman"/>
          <w:spacing w:val="4"/>
          <w:kern w:val="2"/>
          <w:lang w:eastAsia="zh-CN"/>
        </w:rPr>
      </w:pPr>
    </w:p>
    <w:p w14:paraId="56E0B95B" w14:textId="77777777" w:rsidR="00EF6294" w:rsidRPr="00327CCB" w:rsidRDefault="00EF6294" w:rsidP="00AC0D02">
      <w:pPr>
        <w:widowControl w:val="0"/>
        <w:numPr>
          <w:ilvl w:val="0"/>
          <w:numId w:val="18"/>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 xml:space="preserve">Whether there is effective relationship and communication between/among components so that </w:t>
      </w:r>
      <w:r w:rsidRPr="00327CCB">
        <w:rPr>
          <w:rFonts w:eastAsia="SimSun" w:cs="Times New Roman"/>
          <w:spacing w:val="4"/>
          <w:kern w:val="2"/>
          <w:lang w:eastAsia="zh-CN"/>
        </w:rPr>
        <w:lastRenderedPageBreak/>
        <w:t>data, information, lessons learned, best practices and outputs are shared efficiently, including cross-cutting issues during project implementation.</w:t>
      </w:r>
    </w:p>
    <w:p w14:paraId="0633BF17" w14:textId="77777777" w:rsidR="00EF6294" w:rsidRPr="00327CCB" w:rsidRDefault="00EF6294" w:rsidP="00AC0D02">
      <w:pPr>
        <w:widowControl w:val="0"/>
        <w:numPr>
          <w:ilvl w:val="0"/>
          <w:numId w:val="18"/>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Whether the performance measurement indicators and targets used in the project monitoring system were adequately used in monitoring and gauging the achievement of the project outputs and outcomes.</w:t>
      </w:r>
    </w:p>
    <w:p w14:paraId="0A367F78" w14:textId="77777777" w:rsidR="00EF6294" w:rsidRPr="00327CCB" w:rsidRDefault="00EF6294" w:rsidP="00AC0D02">
      <w:pPr>
        <w:widowControl w:val="0"/>
        <w:numPr>
          <w:ilvl w:val="0"/>
          <w:numId w:val="18"/>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Whether the end-of-project targets for each objectively verifiable indicator of the project objective and each project outcome were achieved.</w:t>
      </w:r>
    </w:p>
    <w:p w14:paraId="67C4D537" w14:textId="77777777" w:rsidR="00EF6294" w:rsidRPr="00327CCB" w:rsidRDefault="00EF6294" w:rsidP="00AC0D02">
      <w:pPr>
        <w:widowControl w:val="0"/>
        <w:numPr>
          <w:ilvl w:val="0"/>
          <w:numId w:val="18"/>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Estimated % removal of the barriers that are intended to be removed in each project component.</w:t>
      </w:r>
    </w:p>
    <w:p w14:paraId="053488C8" w14:textId="77777777" w:rsidR="00EF6294" w:rsidRPr="00327CCB" w:rsidRDefault="00EF6294" w:rsidP="00AC0D02">
      <w:pPr>
        <w:widowControl w:val="0"/>
        <w:numPr>
          <w:ilvl w:val="0"/>
          <w:numId w:val="18"/>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Whether the use of consultants has been successful in achieving component outputs.</w:t>
      </w:r>
    </w:p>
    <w:p w14:paraId="4B70266A" w14:textId="77777777" w:rsidR="00EF6294" w:rsidRPr="00327CCB" w:rsidRDefault="00EF6294" w:rsidP="00AC0D02">
      <w:pPr>
        <w:widowControl w:val="0"/>
        <w:numPr>
          <w:ilvl w:val="0"/>
          <w:numId w:val="18"/>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Whether the quality of the outputs of consultants whose services were engaged by the project is of the required quality, were useful to the realization of the project outcomes, and were delivered in a timely manner.</w:t>
      </w:r>
    </w:p>
    <w:p w14:paraId="287E8E78" w14:textId="77777777" w:rsidR="00EF6294" w:rsidRPr="00327CCB" w:rsidRDefault="00EF6294" w:rsidP="00AC0D02">
      <w:pPr>
        <w:widowControl w:val="0"/>
        <w:numPr>
          <w:ilvl w:val="0"/>
          <w:numId w:val="18"/>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 xml:space="preserve">Whether the appropriate resource inputs to deliver the outputs were adequately provided.  </w:t>
      </w:r>
    </w:p>
    <w:p w14:paraId="1A2C62E5" w14:textId="77777777" w:rsidR="00EF6294" w:rsidRPr="00327CCB" w:rsidRDefault="00EF6294" w:rsidP="00EF6294">
      <w:pPr>
        <w:widowControl w:val="0"/>
        <w:spacing w:after="0" w:line="240" w:lineRule="auto"/>
        <w:jc w:val="both"/>
        <w:rPr>
          <w:rFonts w:eastAsia="SimSun" w:cs="Times New Roman"/>
          <w:spacing w:val="4"/>
          <w:kern w:val="2"/>
          <w:lang w:eastAsia="zh-CN"/>
        </w:rPr>
      </w:pPr>
    </w:p>
    <w:p w14:paraId="33DAA1BE" w14:textId="77777777" w:rsidR="00EF6294" w:rsidRPr="00327CCB" w:rsidRDefault="00EF6294" w:rsidP="00EF6294">
      <w:pPr>
        <w:widowControl w:val="0"/>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 xml:space="preserve">The evaluation will include such aspects as appropriateness and relevance of work plan, compliance with the work and financial plan with budget allocation, timeliness of disbursements, procurement, coordination among project team members and committees.  Any issue or factor that has impeded or accelerated the implementation of the project or any of its components, including actions taken and resolutions made should be highlighted. </w:t>
      </w:r>
    </w:p>
    <w:p w14:paraId="657BB27D" w14:textId="77777777" w:rsidR="00EF6294" w:rsidRPr="00327CCB" w:rsidRDefault="00EF6294" w:rsidP="00EF6294">
      <w:pPr>
        <w:widowControl w:val="0"/>
        <w:spacing w:after="0" w:line="240" w:lineRule="auto"/>
        <w:jc w:val="both"/>
        <w:rPr>
          <w:rFonts w:eastAsia="SimSun" w:cs="Times New Roman"/>
          <w:kern w:val="2"/>
          <w:lang w:eastAsia="zh-CN"/>
        </w:rPr>
      </w:pPr>
    </w:p>
    <w:p w14:paraId="557B55A7" w14:textId="77777777" w:rsidR="00EF6294" w:rsidRPr="00327CCB" w:rsidRDefault="00EF6294" w:rsidP="00EF6294">
      <w:pPr>
        <w:widowControl w:val="0"/>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On the project level, it will assess the project performance in terms of: (a.) Progress towards achievement of results, (b.) Factors affecting successful implementation and achievement of results, (c.) Project Management framework, and (d.) Strategic partnerships.</w:t>
      </w:r>
    </w:p>
    <w:p w14:paraId="7791C540" w14:textId="77777777" w:rsidR="00EF6294" w:rsidRPr="00327CCB" w:rsidRDefault="00EF6294" w:rsidP="00EF6294">
      <w:pPr>
        <w:widowControl w:val="0"/>
        <w:spacing w:after="0" w:line="240" w:lineRule="auto"/>
        <w:jc w:val="both"/>
        <w:rPr>
          <w:rFonts w:eastAsia="SimSun" w:cs="Times New Roman"/>
          <w:spacing w:val="4"/>
          <w:kern w:val="2"/>
          <w:lang w:eastAsia="zh-CN"/>
        </w:rPr>
      </w:pPr>
    </w:p>
    <w:p w14:paraId="2E49236F" w14:textId="77777777" w:rsidR="00EF6294" w:rsidRPr="00327CCB" w:rsidRDefault="00EF6294" w:rsidP="00EF6294">
      <w:p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Progress towards achievement of results (internal and within project’s control)</w:t>
      </w:r>
    </w:p>
    <w:p w14:paraId="46E1247A" w14:textId="77777777" w:rsidR="00EF6294" w:rsidRPr="00327CCB" w:rsidRDefault="00EF6294" w:rsidP="00EF6294">
      <w:pPr>
        <w:widowControl w:val="0"/>
        <w:spacing w:after="0" w:line="240" w:lineRule="auto"/>
        <w:jc w:val="both"/>
        <w:rPr>
          <w:rFonts w:eastAsia="SimSun" w:cs="Times New Roman"/>
          <w:spacing w:val="4"/>
          <w:kern w:val="2"/>
          <w:lang w:eastAsia="zh-CN"/>
        </w:rPr>
      </w:pPr>
    </w:p>
    <w:p w14:paraId="46413D47" w14:textId="77777777" w:rsidR="00EF6294" w:rsidRPr="00327CCB" w:rsidRDefault="00EF6294" w:rsidP="00AC0D02">
      <w:pPr>
        <w:widowControl w:val="0"/>
        <w:numPr>
          <w:ilvl w:val="0"/>
          <w:numId w:val="19"/>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Has the Project made satisfactory progress in achieving project outputs vis-à-vis the targets and related delivery of inputs and activities?</w:t>
      </w:r>
    </w:p>
    <w:p w14:paraId="4FD8A848" w14:textId="77777777" w:rsidR="00EF6294" w:rsidRPr="00327CCB" w:rsidRDefault="00EF6294" w:rsidP="00AC0D02">
      <w:pPr>
        <w:widowControl w:val="0"/>
        <w:numPr>
          <w:ilvl w:val="0"/>
          <w:numId w:val="19"/>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Were the direct partners and project consultants able to provide necessary inputs or achieve results?</w:t>
      </w:r>
    </w:p>
    <w:p w14:paraId="45BCA3AE" w14:textId="77777777" w:rsidR="00EF6294" w:rsidRPr="00327CCB" w:rsidRDefault="00EF6294" w:rsidP="00AC0D02">
      <w:pPr>
        <w:widowControl w:val="0"/>
        <w:numPr>
          <w:ilvl w:val="0"/>
          <w:numId w:val="19"/>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Given the level of achievement of outputs and related inputs and activities, is the Project likely to achieve its expected outcomes and  objective? Is the project contributing to the achievement of its goal?</w:t>
      </w:r>
    </w:p>
    <w:p w14:paraId="70E015A9" w14:textId="77777777" w:rsidR="00EF6294" w:rsidRPr="00327CCB" w:rsidRDefault="00EF6294" w:rsidP="00AC0D02">
      <w:pPr>
        <w:widowControl w:val="0"/>
        <w:numPr>
          <w:ilvl w:val="0"/>
          <w:numId w:val="19"/>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Are there critical issues relating to achievement of project results that have been pending and are not resolved? What are the impacts of such pending or unresolved issues?</w:t>
      </w:r>
    </w:p>
    <w:p w14:paraId="5FABF139" w14:textId="77777777" w:rsidR="00EF6294" w:rsidRPr="00327CCB" w:rsidRDefault="00EF6294" w:rsidP="00AC0D02">
      <w:pPr>
        <w:widowControl w:val="0"/>
        <w:numPr>
          <w:ilvl w:val="0"/>
          <w:numId w:val="19"/>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 xml:space="preserve">What is the planned exit strategy for the project? What is the plan for sustaining and maintaining the implementation of the various frameworks (policy/regulatory and institutional) and systems, best practices that the project has established and operationalized after the project completion? </w:t>
      </w:r>
    </w:p>
    <w:p w14:paraId="62520939" w14:textId="77777777" w:rsidR="00EF6294" w:rsidRPr="00327CCB" w:rsidRDefault="00EF6294" w:rsidP="00EF6294">
      <w:pPr>
        <w:widowControl w:val="0"/>
        <w:spacing w:after="0" w:line="240" w:lineRule="auto"/>
        <w:ind w:left="360"/>
        <w:jc w:val="both"/>
        <w:rPr>
          <w:rFonts w:eastAsia="SimSun" w:cs="Times New Roman"/>
          <w:spacing w:val="4"/>
          <w:kern w:val="2"/>
          <w:lang w:eastAsia="zh-CN"/>
        </w:rPr>
      </w:pPr>
      <w:r w:rsidRPr="00327CCB">
        <w:rPr>
          <w:rFonts w:eastAsia="SimSun" w:cs="Times New Roman"/>
          <w:spacing w:val="4"/>
          <w:kern w:val="2"/>
          <w:lang w:eastAsia="zh-CN"/>
        </w:rPr>
        <w:t xml:space="preserve"> </w:t>
      </w:r>
    </w:p>
    <w:p w14:paraId="0038B0AB" w14:textId="77777777" w:rsidR="00EF6294" w:rsidRPr="00327CCB" w:rsidRDefault="00EF6294" w:rsidP="00EF6294">
      <w:p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Factors affecting successful implementation and achievement of results (beyond the Project’s immediate control or project-design factors that influence outcomes and results)</w:t>
      </w:r>
    </w:p>
    <w:p w14:paraId="19DE453F" w14:textId="77777777" w:rsidR="00EF6294" w:rsidRPr="00327CCB" w:rsidRDefault="00EF6294" w:rsidP="00EF6294">
      <w:pPr>
        <w:widowControl w:val="0"/>
        <w:spacing w:after="0" w:line="240" w:lineRule="auto"/>
        <w:jc w:val="both"/>
        <w:rPr>
          <w:rFonts w:eastAsia="SimSun" w:cs="Times New Roman"/>
          <w:spacing w:val="4"/>
          <w:kern w:val="2"/>
          <w:lang w:eastAsia="zh-CN"/>
        </w:rPr>
      </w:pPr>
    </w:p>
    <w:p w14:paraId="7F135368" w14:textId="77777777" w:rsidR="00EF6294" w:rsidRPr="00327CCB" w:rsidRDefault="00EF6294" w:rsidP="00AC0D02">
      <w:pPr>
        <w:widowControl w:val="0"/>
        <w:numPr>
          <w:ilvl w:val="0"/>
          <w:numId w:val="20"/>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Has the project implementation and achievement of results proceeding well and according to plan, or are there any outstanding issues, obstacles, bottlenecks, etc. on the consumer, government or private sector or other organizations that are affecting the successful implementation and achievement of project results?</w:t>
      </w:r>
    </w:p>
    <w:p w14:paraId="2373BCF8" w14:textId="77777777" w:rsidR="00EF6294" w:rsidRPr="00327CCB" w:rsidRDefault="00EF6294" w:rsidP="00AC0D02">
      <w:pPr>
        <w:widowControl w:val="0"/>
        <w:numPr>
          <w:ilvl w:val="0"/>
          <w:numId w:val="20"/>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To what extent does the broader policy environment remain conducive to achieving expected project results, including existing and planned legislations, rules, regulations, policy guidelines and government priorities?</w:t>
      </w:r>
    </w:p>
    <w:p w14:paraId="2A252945" w14:textId="77777777" w:rsidR="00EF6294" w:rsidRPr="00327CCB" w:rsidRDefault="00EF6294" w:rsidP="00AC0D02">
      <w:pPr>
        <w:widowControl w:val="0"/>
        <w:numPr>
          <w:ilvl w:val="0"/>
          <w:numId w:val="20"/>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lastRenderedPageBreak/>
        <w:t>Has the project logical framework and design been relevant in the light of the project experience to date? Has the project logical framework and design adjusted to adapt to changing conditions and circumstances?</w:t>
      </w:r>
    </w:p>
    <w:p w14:paraId="6EAD183A" w14:textId="77777777" w:rsidR="00EF6294" w:rsidRPr="00327CCB" w:rsidRDefault="00EF6294" w:rsidP="00AC0D02">
      <w:pPr>
        <w:widowControl w:val="0"/>
        <w:numPr>
          <w:ilvl w:val="0"/>
          <w:numId w:val="20"/>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To what extent do critical assumptions/risks in project design held true under the circumstances the project implementation has been through? Validate these assumptions as presently viewed by the project management and determine whether there are critical assumptions that should have been raised?</w:t>
      </w:r>
    </w:p>
    <w:p w14:paraId="018752F3" w14:textId="77777777" w:rsidR="00EF6294" w:rsidRPr="00327CCB" w:rsidRDefault="00EF6294" w:rsidP="00AC0D02">
      <w:pPr>
        <w:widowControl w:val="0"/>
        <w:numPr>
          <w:ilvl w:val="0"/>
          <w:numId w:val="20"/>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Does the project remain well-placed and integrated within the national government development strategies, such as community development, poverty reduction, etc., and related global development programs to which the project implementation should align?</w:t>
      </w:r>
    </w:p>
    <w:p w14:paraId="3F85DAB7" w14:textId="77777777" w:rsidR="00EF6294" w:rsidRPr="00327CCB" w:rsidRDefault="00EF6294" w:rsidP="00AC0D02">
      <w:pPr>
        <w:widowControl w:val="0"/>
        <w:numPr>
          <w:ilvl w:val="0"/>
          <w:numId w:val="20"/>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 xml:space="preserve">Are the Project’s institutional and implementation arrangements still relevant and helpful in the achievement of the Project’s objective and outcomes or are there any institutional concerns that hinder the Project’s implementation and progress. </w:t>
      </w:r>
    </w:p>
    <w:p w14:paraId="0D247F4B" w14:textId="77777777" w:rsidR="00EF6294" w:rsidRPr="00327CCB" w:rsidRDefault="00EF6294" w:rsidP="00EF6294">
      <w:pPr>
        <w:widowControl w:val="0"/>
        <w:spacing w:after="0" w:line="240" w:lineRule="auto"/>
        <w:ind w:left="360"/>
        <w:jc w:val="both"/>
        <w:rPr>
          <w:rFonts w:eastAsia="SimSun" w:cs="Times New Roman"/>
          <w:spacing w:val="4"/>
          <w:kern w:val="2"/>
          <w:lang w:eastAsia="zh-CN"/>
        </w:rPr>
      </w:pPr>
    </w:p>
    <w:p w14:paraId="4C3412E6" w14:textId="77777777" w:rsidR="00EF6294" w:rsidRPr="00327CCB" w:rsidRDefault="00EF6294" w:rsidP="00EF6294">
      <w:p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Project management (adaptive management framework)</w:t>
      </w:r>
    </w:p>
    <w:p w14:paraId="04C5D34E" w14:textId="77777777" w:rsidR="00EF6294" w:rsidRPr="00327CCB" w:rsidRDefault="00EF6294" w:rsidP="00EF6294">
      <w:pPr>
        <w:widowControl w:val="0"/>
        <w:spacing w:after="0" w:line="240" w:lineRule="auto"/>
        <w:jc w:val="both"/>
        <w:rPr>
          <w:rFonts w:eastAsia="SimSun" w:cs="Times New Roman"/>
          <w:spacing w:val="4"/>
          <w:kern w:val="2"/>
          <w:lang w:eastAsia="zh-CN"/>
        </w:rPr>
      </w:pPr>
    </w:p>
    <w:p w14:paraId="34481155" w14:textId="77777777" w:rsidR="00EF6294" w:rsidRPr="00327CCB" w:rsidRDefault="00EF6294" w:rsidP="00AC0D02">
      <w:pPr>
        <w:widowControl w:val="0"/>
        <w:numPr>
          <w:ilvl w:val="0"/>
          <w:numId w:val="21"/>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Are the project management arrangements adequate and appropriate?</w:t>
      </w:r>
    </w:p>
    <w:p w14:paraId="4BCDB3FC" w14:textId="77777777" w:rsidR="00EF6294" w:rsidRPr="00327CCB" w:rsidRDefault="00EF6294" w:rsidP="00AC0D02">
      <w:pPr>
        <w:widowControl w:val="0"/>
        <w:numPr>
          <w:ilvl w:val="0"/>
          <w:numId w:val="21"/>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How effectively is the project managed at all levels? Is it results-based and innovative?</w:t>
      </w:r>
    </w:p>
    <w:p w14:paraId="2D7E96AD" w14:textId="77777777" w:rsidR="00EF6294" w:rsidRPr="00327CCB" w:rsidRDefault="00EF6294" w:rsidP="00AC0D02">
      <w:pPr>
        <w:widowControl w:val="0"/>
        <w:numPr>
          <w:ilvl w:val="0"/>
          <w:numId w:val="21"/>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Do the project management systems, including progress reporting, administrative and financial systems and monitoring and evaluation system, operate as effective management tools, aid in effective implementation and provide sufficient basis for evaluating performance and decision making?</w:t>
      </w:r>
    </w:p>
    <w:p w14:paraId="6C67334D" w14:textId="77777777" w:rsidR="00EF6294" w:rsidRPr="00327CCB" w:rsidRDefault="00EF6294" w:rsidP="00AC0D02">
      <w:pPr>
        <w:widowControl w:val="0"/>
        <w:numPr>
          <w:ilvl w:val="0"/>
          <w:numId w:val="21"/>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Has the technical assistance and support from project partners and stakeholders been appropriate, adequate, and timely?</w:t>
      </w:r>
    </w:p>
    <w:p w14:paraId="4E28039D" w14:textId="77777777" w:rsidR="00EF6294" w:rsidRPr="00327CCB" w:rsidRDefault="00EF6294" w:rsidP="00AC0D02">
      <w:pPr>
        <w:widowControl w:val="0"/>
        <w:numPr>
          <w:ilvl w:val="0"/>
          <w:numId w:val="21"/>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Validate whether the risks originally identified in the project document and, currently in the APR/PIRs, are the most critical and the assessments and risk ratings placed are reasonable.</w:t>
      </w:r>
    </w:p>
    <w:p w14:paraId="701F7493" w14:textId="77777777" w:rsidR="00EF6294" w:rsidRPr="00327CCB" w:rsidRDefault="00EF6294" w:rsidP="00AC0D02">
      <w:pPr>
        <w:widowControl w:val="0"/>
        <w:numPr>
          <w:ilvl w:val="0"/>
          <w:numId w:val="21"/>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State the initial risks that were identified during project design and start that have been removed during the project implementation period and described how each of these were removed, i.e., the risk mitigation measures that were applied. Identify those that were not removed or have persisted, as well as any additional risks that may have arose during the project implementation (if any).</w:t>
      </w:r>
    </w:p>
    <w:p w14:paraId="01C823BE" w14:textId="77777777" w:rsidR="00EF6294" w:rsidRPr="00327CCB" w:rsidRDefault="00EF6294" w:rsidP="00AC0D02">
      <w:pPr>
        <w:widowControl w:val="0"/>
        <w:numPr>
          <w:ilvl w:val="0"/>
          <w:numId w:val="21"/>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Assess the use of the project logical framework and work plans as management tools and in meeting with UNDP-GEF requirements in planning and reporting.</w:t>
      </w:r>
    </w:p>
    <w:p w14:paraId="760FD8B5" w14:textId="77777777" w:rsidR="00EF6294" w:rsidRPr="00327CCB" w:rsidRDefault="00EF6294" w:rsidP="00AC0D02">
      <w:pPr>
        <w:widowControl w:val="0"/>
        <w:numPr>
          <w:ilvl w:val="0"/>
          <w:numId w:val="21"/>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Assess the use of electronic information and communication technologies in the implementation and management of the project.</w:t>
      </w:r>
    </w:p>
    <w:p w14:paraId="58F989CC" w14:textId="77777777" w:rsidR="00EF6294" w:rsidRPr="00327CCB" w:rsidRDefault="00EF6294" w:rsidP="00AC0D02">
      <w:pPr>
        <w:widowControl w:val="0"/>
        <w:numPr>
          <w:ilvl w:val="0"/>
          <w:numId w:val="21"/>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 xml:space="preserve">Are the project outputs (e.g., reports on studies and research conducted, capacity development activities conducted and evaluated, implemented demonstration activities, etc.) properly documented and are available with the Implementing Partner and UNDP-China? Are the physical assets particularly those involved in the project demonstration activities properly accounted for? </w:t>
      </w:r>
    </w:p>
    <w:p w14:paraId="78283331" w14:textId="77777777" w:rsidR="00EF6294" w:rsidRPr="00327CCB" w:rsidRDefault="00EF6294" w:rsidP="00AC0D02">
      <w:pPr>
        <w:widowControl w:val="0"/>
        <w:numPr>
          <w:ilvl w:val="0"/>
          <w:numId w:val="21"/>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 xml:space="preserve">On the financial management side, assess the cost effectiveness of the resource inputs to each activity, or set of activities, and note any irregularities. </w:t>
      </w:r>
    </w:p>
    <w:p w14:paraId="3940E812" w14:textId="77777777" w:rsidR="00EF6294" w:rsidRPr="00327CCB" w:rsidRDefault="00EF6294" w:rsidP="00AC0D02">
      <w:pPr>
        <w:widowControl w:val="0"/>
        <w:numPr>
          <w:ilvl w:val="0"/>
          <w:numId w:val="21"/>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Assess how the applied process for the procurement/supply of required resource inputs, covering the RFP and TOR preparation, bidding, bid selection and awarding, and note any irregularities.</w:t>
      </w:r>
    </w:p>
    <w:p w14:paraId="0A13CB64" w14:textId="77777777" w:rsidR="00EF6294" w:rsidRPr="00327CCB" w:rsidRDefault="00EF6294" w:rsidP="00AC0D02">
      <w:pPr>
        <w:widowControl w:val="0"/>
        <w:numPr>
          <w:ilvl w:val="0"/>
          <w:numId w:val="21"/>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 xml:space="preserve">How have the APR/PIR process helped in monitoring and evaluating the project implementation and achievement of results?  </w:t>
      </w:r>
    </w:p>
    <w:p w14:paraId="346E6E6E" w14:textId="77777777" w:rsidR="00EF6294" w:rsidRPr="00327CCB" w:rsidRDefault="00EF6294" w:rsidP="00EF6294">
      <w:pPr>
        <w:spacing w:after="0" w:line="240" w:lineRule="auto"/>
        <w:jc w:val="both"/>
        <w:rPr>
          <w:rFonts w:eastAsia="SimSun" w:cs="Times New Roman"/>
          <w:spacing w:val="4"/>
          <w:kern w:val="2"/>
          <w:lang w:eastAsia="zh-CN"/>
        </w:rPr>
      </w:pPr>
    </w:p>
    <w:p w14:paraId="0B8F4728" w14:textId="77777777" w:rsidR="00EF6294" w:rsidRPr="00327CCB" w:rsidRDefault="00EF6294" w:rsidP="00AC0D02">
      <w:pPr>
        <w:widowControl w:val="0"/>
        <w:numPr>
          <w:ilvl w:val="1"/>
          <w:numId w:val="22"/>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Strategic partnerships (project positioning and leveraging)</w:t>
      </w:r>
    </w:p>
    <w:p w14:paraId="12A9912A" w14:textId="77777777" w:rsidR="00EF6294" w:rsidRPr="00327CCB" w:rsidRDefault="00EF6294" w:rsidP="00EF6294">
      <w:pPr>
        <w:widowControl w:val="0"/>
        <w:spacing w:after="0" w:line="240" w:lineRule="auto"/>
        <w:jc w:val="both"/>
        <w:rPr>
          <w:rFonts w:eastAsia="SimSun" w:cs="Times New Roman"/>
          <w:spacing w:val="4"/>
          <w:kern w:val="2"/>
          <w:lang w:eastAsia="zh-CN"/>
        </w:rPr>
      </w:pPr>
    </w:p>
    <w:p w14:paraId="0E32C49D" w14:textId="77777777" w:rsidR="00EF6294" w:rsidRPr="00327CCB" w:rsidRDefault="00EF6294" w:rsidP="00AC0D02">
      <w:pPr>
        <w:widowControl w:val="0"/>
        <w:numPr>
          <w:ilvl w:val="0"/>
          <w:numId w:val="23"/>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lastRenderedPageBreak/>
        <w:t>Asses how project partners, stakeholders and co-financing institutions are involved in the implementation of project activities.</w:t>
      </w:r>
    </w:p>
    <w:p w14:paraId="4CAD7208" w14:textId="77777777" w:rsidR="00EF6294" w:rsidRPr="00327CCB" w:rsidRDefault="00EF6294" w:rsidP="00AC0D02">
      <w:pPr>
        <w:widowControl w:val="0"/>
        <w:numPr>
          <w:ilvl w:val="0"/>
          <w:numId w:val="23"/>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Assess the realization of the committed co-financing for the project.</w:t>
      </w:r>
    </w:p>
    <w:p w14:paraId="34FC832F" w14:textId="77777777" w:rsidR="00EF6294" w:rsidRPr="00327CCB" w:rsidRDefault="00EF6294" w:rsidP="00AC0D02">
      <w:pPr>
        <w:widowControl w:val="0"/>
        <w:numPr>
          <w:ilvl w:val="0"/>
          <w:numId w:val="23"/>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Assess how the results of co-financed and subsumed baseline activities are reported to the project management office. Note that the project is comprised of baseline (co-financed) and incremental (GEF-funded) activities.</w:t>
      </w:r>
    </w:p>
    <w:p w14:paraId="56417997" w14:textId="77777777" w:rsidR="00EF6294" w:rsidRPr="00327CCB" w:rsidRDefault="00EF6294" w:rsidP="00AC0D02">
      <w:pPr>
        <w:widowControl w:val="0"/>
        <w:numPr>
          <w:ilvl w:val="0"/>
          <w:numId w:val="23"/>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Assess how project partners, stakeholders and co-financiers are involved in the Project’s adaptive management framework.</w:t>
      </w:r>
    </w:p>
    <w:p w14:paraId="28E275B1" w14:textId="77777777" w:rsidR="00EF6294" w:rsidRPr="00327CCB" w:rsidRDefault="00EF6294" w:rsidP="00AC0D02">
      <w:pPr>
        <w:widowControl w:val="0"/>
        <w:numPr>
          <w:ilvl w:val="0"/>
          <w:numId w:val="23"/>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Identify opportunities for stronger collaboration and substantive partnerships for future projects to ensure successful achievement of the results and outcomes of such projects.</w:t>
      </w:r>
    </w:p>
    <w:p w14:paraId="12C9C6FE" w14:textId="77777777" w:rsidR="00EF6294" w:rsidRPr="00327CCB" w:rsidRDefault="00EF6294" w:rsidP="00AC0D02">
      <w:pPr>
        <w:widowControl w:val="0"/>
        <w:numPr>
          <w:ilvl w:val="0"/>
          <w:numId w:val="23"/>
        </w:numPr>
        <w:spacing w:after="0" w:line="240" w:lineRule="auto"/>
        <w:jc w:val="both"/>
        <w:rPr>
          <w:rFonts w:eastAsia="SimSun" w:cs="Times New Roman"/>
          <w:spacing w:val="4"/>
          <w:kern w:val="2"/>
          <w:lang w:eastAsia="zh-CN"/>
        </w:rPr>
      </w:pPr>
      <w:r w:rsidRPr="00327CCB">
        <w:rPr>
          <w:rFonts w:eastAsia="SimSun" w:cs="Times New Roman"/>
          <w:spacing w:val="4"/>
          <w:kern w:val="2"/>
          <w:lang w:eastAsia="zh-CN"/>
        </w:rPr>
        <w:t>Are the project information and progress of activities disseminated to project partners and stakeholders? Are there areas to improve in the collaboration and partnership mechanisms?</w:t>
      </w:r>
    </w:p>
    <w:p w14:paraId="61E3C0E2" w14:textId="77777777" w:rsidR="00EF6294" w:rsidRPr="00845B64" w:rsidRDefault="00EF6294" w:rsidP="00EF6294">
      <w:pPr>
        <w:widowControl w:val="0"/>
        <w:spacing w:after="0" w:line="240" w:lineRule="auto"/>
        <w:jc w:val="thaiDistribute"/>
        <w:rPr>
          <w:rFonts w:eastAsia="SimSun" w:cs="Times New Roman"/>
          <w:i/>
          <w:iCs/>
          <w:color w:val="000000"/>
          <w:kern w:val="2"/>
          <w:lang w:eastAsia="zh-CN"/>
        </w:rPr>
      </w:pPr>
      <w:r w:rsidRPr="00845B64">
        <w:rPr>
          <w:rFonts w:eastAsia="SimSun" w:cs="Times New Roman"/>
          <w:i/>
          <w:iCs/>
          <w:color w:val="000000"/>
          <w:kern w:val="2"/>
          <w:lang w:eastAsia="zh-CN"/>
        </w:rPr>
        <w:t>NOTE: Detail any COVID-19 project interventions that should be included in the scope of the evaluation.</w:t>
      </w:r>
    </w:p>
    <w:p w14:paraId="796B8A4B" w14:textId="77777777" w:rsidR="00EF6294" w:rsidRPr="00845B64" w:rsidRDefault="00EF6294" w:rsidP="00EF6294">
      <w:pPr>
        <w:widowControl w:val="0"/>
        <w:spacing w:after="0" w:line="240" w:lineRule="auto"/>
        <w:jc w:val="thaiDistribute"/>
        <w:rPr>
          <w:rFonts w:eastAsia="SimSun" w:cs="Times New Roman"/>
          <w:i/>
          <w:iCs/>
          <w:color w:val="000000"/>
          <w:kern w:val="2"/>
          <w:highlight w:val="green"/>
          <w:lang w:eastAsia="zh-CN"/>
        </w:rPr>
      </w:pPr>
    </w:p>
    <w:p w14:paraId="2DA56A8A" w14:textId="77777777" w:rsidR="00EF6294" w:rsidRPr="00845B64" w:rsidRDefault="00EF6294" w:rsidP="00AC0D02">
      <w:pPr>
        <w:widowControl w:val="0"/>
        <w:numPr>
          <w:ilvl w:val="0"/>
          <w:numId w:val="6"/>
        </w:numPr>
        <w:spacing w:after="0" w:line="240" w:lineRule="auto"/>
        <w:jc w:val="both"/>
        <w:rPr>
          <w:rFonts w:eastAsia="SimSun" w:cs="Times New Roman"/>
          <w:kern w:val="2"/>
          <w:lang w:eastAsia="zh-CN"/>
        </w:rPr>
      </w:pPr>
      <w:r w:rsidRPr="00845B64">
        <w:rPr>
          <w:rFonts w:eastAsia="SimSun" w:cs="Times New Roman"/>
          <w:kern w:val="2"/>
          <w:lang w:eastAsia="zh-CN"/>
        </w:rPr>
        <w:t>TIMEFRAME</w:t>
      </w:r>
    </w:p>
    <w:p w14:paraId="0CB55F61" w14:textId="77777777" w:rsidR="00327CCB" w:rsidRPr="00327CCB" w:rsidRDefault="00327CCB" w:rsidP="00327CCB">
      <w:pPr>
        <w:pStyle w:val="ListParagraph"/>
        <w:spacing w:after="0" w:line="240" w:lineRule="auto"/>
        <w:ind w:left="360"/>
        <w:jc w:val="both"/>
        <w:rPr>
          <w:kern w:val="2"/>
          <w:lang w:eastAsia="zh-CN"/>
        </w:rPr>
      </w:pPr>
    </w:p>
    <w:p w14:paraId="2518CD02" w14:textId="77777777" w:rsidR="00327CCB" w:rsidRPr="00327CCB" w:rsidRDefault="00327CCB" w:rsidP="00327CCB">
      <w:pPr>
        <w:pStyle w:val="ListParagraph"/>
        <w:widowControl w:val="0"/>
        <w:spacing w:after="0" w:line="240" w:lineRule="auto"/>
        <w:ind w:left="360"/>
        <w:jc w:val="both"/>
        <w:rPr>
          <w:i/>
          <w:iCs/>
          <w:color w:val="000000"/>
          <w:kern w:val="2"/>
          <w:lang w:eastAsia="zh-CN"/>
        </w:rPr>
      </w:pPr>
      <w:r w:rsidRPr="00327CCB">
        <w:rPr>
          <w:i/>
          <w:iCs/>
          <w:color w:val="000000"/>
          <w:kern w:val="2"/>
          <w:lang w:eastAsia="zh-CN"/>
        </w:rPr>
        <w:t>NOTE: Flexibility and delays should be included in the timeframe for the TE, with additional time for implementing the TE virtually recognizing possible delays in accessing stakeholder groups due to COVID-19. Consideration may be given to a time contingency should the evaluation be delayed in any way due to COVID-19.</w:t>
      </w:r>
    </w:p>
    <w:p w14:paraId="437D8C0C" w14:textId="77777777" w:rsidR="00327CCB" w:rsidRPr="00327CCB" w:rsidRDefault="00327CCB" w:rsidP="00327CCB">
      <w:pPr>
        <w:pStyle w:val="ListParagraph"/>
        <w:widowControl w:val="0"/>
        <w:spacing w:after="0" w:line="240" w:lineRule="auto"/>
        <w:ind w:left="360"/>
        <w:jc w:val="both"/>
        <w:rPr>
          <w:color w:val="000000"/>
          <w:kern w:val="2"/>
          <w:lang w:eastAsia="zh-CN"/>
        </w:rPr>
      </w:pPr>
      <w:r w:rsidRPr="00327CCB">
        <w:rPr>
          <w:color w:val="000000"/>
          <w:kern w:val="2"/>
          <w:lang w:eastAsia="zh-CN"/>
        </w:rPr>
        <w:t xml:space="preserve">The total duration of the TE will be approximately </w:t>
      </w:r>
      <w:r w:rsidRPr="00327CCB">
        <w:rPr>
          <w:i/>
          <w:iCs/>
          <w:color w:val="000000"/>
          <w:kern w:val="2"/>
          <w:lang w:eastAsia="zh-CN"/>
        </w:rPr>
        <w:t xml:space="preserve">25 working days </w:t>
      </w:r>
      <w:r w:rsidRPr="00327CCB">
        <w:rPr>
          <w:color w:val="000000"/>
          <w:kern w:val="2"/>
          <w:lang w:eastAsia="zh-CN"/>
        </w:rPr>
        <w:t xml:space="preserve">over </w:t>
      </w:r>
      <w:proofErr w:type="gramStart"/>
      <w:r w:rsidRPr="00327CCB">
        <w:rPr>
          <w:color w:val="000000"/>
          <w:kern w:val="2"/>
          <w:lang w:eastAsia="zh-CN"/>
        </w:rPr>
        <w:t>a time period</w:t>
      </w:r>
      <w:proofErr w:type="gramEnd"/>
      <w:r w:rsidRPr="00327CCB">
        <w:rPr>
          <w:color w:val="000000"/>
          <w:kern w:val="2"/>
          <w:lang w:eastAsia="zh-CN"/>
        </w:rPr>
        <w:t xml:space="preserve"> of approximately 15 weeks. The tentative TE timeframe is as follows:</w:t>
      </w:r>
    </w:p>
    <w:p w14:paraId="4272810A" w14:textId="05F749D4" w:rsidR="00327CCB" w:rsidRPr="00327CCB" w:rsidRDefault="00327CCB" w:rsidP="00327CCB">
      <w:pPr>
        <w:pStyle w:val="ListParagraph"/>
        <w:widowControl w:val="0"/>
        <w:spacing w:after="0" w:line="240" w:lineRule="auto"/>
        <w:ind w:left="360"/>
        <w:jc w:val="both"/>
        <w:rPr>
          <w:bCs/>
          <w:kern w:val="2"/>
          <w:lang w:eastAsia="zh-CN"/>
        </w:rPr>
      </w:pPr>
    </w:p>
    <w:tbl>
      <w:tblPr>
        <w:tblStyle w:val="TableGrid1"/>
        <w:tblW w:w="9355" w:type="dxa"/>
        <w:tblInd w:w="0" w:type="dxa"/>
        <w:tblLook w:val="04A0" w:firstRow="1" w:lastRow="0" w:firstColumn="1" w:lastColumn="0" w:noHBand="0" w:noVBand="1"/>
      </w:tblPr>
      <w:tblGrid>
        <w:gridCol w:w="2515"/>
        <w:gridCol w:w="6840"/>
      </w:tblGrid>
      <w:tr w:rsidR="00327CCB" w:rsidRPr="00845B64" w14:paraId="21E88E83" w14:textId="77777777" w:rsidTr="0043015B">
        <w:tc>
          <w:tcPr>
            <w:tcW w:w="2515" w:type="dxa"/>
            <w:tcBorders>
              <w:top w:val="single" w:sz="4" w:space="0" w:color="auto"/>
              <w:left w:val="single" w:sz="4" w:space="0" w:color="auto"/>
              <w:bottom w:val="single" w:sz="4" w:space="0" w:color="auto"/>
              <w:right w:val="single" w:sz="4" w:space="0" w:color="auto"/>
            </w:tcBorders>
            <w:shd w:val="clear" w:color="auto" w:fill="404040"/>
            <w:hideMark/>
          </w:tcPr>
          <w:p w14:paraId="3DCD222B" w14:textId="77777777" w:rsidR="00327CCB" w:rsidRPr="00845B64" w:rsidRDefault="00327CCB" w:rsidP="0043015B">
            <w:pPr>
              <w:widowControl w:val="0"/>
              <w:jc w:val="both"/>
              <w:rPr>
                <w:color w:val="FFFFFF"/>
              </w:rPr>
            </w:pPr>
            <w:r>
              <w:rPr>
                <w:color w:val="FFFFFF"/>
              </w:rPr>
              <w:t xml:space="preserve">Tentative </w:t>
            </w:r>
            <w:r w:rsidRPr="00845B64">
              <w:rPr>
                <w:color w:val="FFFFFF"/>
              </w:rPr>
              <w:t>Timeframe</w:t>
            </w:r>
          </w:p>
        </w:tc>
        <w:tc>
          <w:tcPr>
            <w:tcW w:w="6840" w:type="dxa"/>
            <w:tcBorders>
              <w:top w:val="single" w:sz="4" w:space="0" w:color="auto"/>
              <w:left w:val="single" w:sz="4" w:space="0" w:color="auto"/>
              <w:bottom w:val="single" w:sz="4" w:space="0" w:color="auto"/>
              <w:right w:val="single" w:sz="4" w:space="0" w:color="auto"/>
            </w:tcBorders>
            <w:shd w:val="clear" w:color="auto" w:fill="404040"/>
            <w:hideMark/>
          </w:tcPr>
          <w:p w14:paraId="01A494AE" w14:textId="77777777" w:rsidR="00327CCB" w:rsidRPr="00845B64" w:rsidRDefault="00327CCB" w:rsidP="0043015B">
            <w:pPr>
              <w:widowControl w:val="0"/>
              <w:jc w:val="both"/>
              <w:rPr>
                <w:color w:val="FFFFFF"/>
              </w:rPr>
            </w:pPr>
            <w:r w:rsidRPr="00845B64">
              <w:rPr>
                <w:color w:val="FFFFFF"/>
              </w:rPr>
              <w:t>Activity</w:t>
            </w:r>
          </w:p>
        </w:tc>
      </w:tr>
      <w:tr w:rsidR="00327CCB" w:rsidRPr="00845B64" w14:paraId="650EA790" w14:textId="77777777" w:rsidTr="0043015B">
        <w:tc>
          <w:tcPr>
            <w:tcW w:w="2515" w:type="dxa"/>
            <w:tcBorders>
              <w:top w:val="single" w:sz="4" w:space="0" w:color="auto"/>
              <w:left w:val="single" w:sz="4" w:space="0" w:color="auto"/>
              <w:bottom w:val="single" w:sz="4" w:space="0" w:color="auto"/>
              <w:right w:val="single" w:sz="4" w:space="0" w:color="auto"/>
            </w:tcBorders>
            <w:hideMark/>
          </w:tcPr>
          <w:p w14:paraId="71AFED03" w14:textId="77777777" w:rsidR="00327CCB" w:rsidRPr="00073E15" w:rsidRDefault="00327CCB" w:rsidP="0043015B">
            <w:pPr>
              <w:widowControl w:val="0"/>
              <w:jc w:val="both"/>
              <w:rPr>
                <w:i/>
                <w:color w:val="000000"/>
              </w:rPr>
            </w:pPr>
            <w:r w:rsidRPr="00073E15">
              <w:rPr>
                <w:i/>
                <w:color w:val="000000"/>
              </w:rPr>
              <w:t>6-Nov-2020</w:t>
            </w:r>
          </w:p>
        </w:tc>
        <w:tc>
          <w:tcPr>
            <w:tcW w:w="6840" w:type="dxa"/>
            <w:tcBorders>
              <w:top w:val="single" w:sz="4" w:space="0" w:color="auto"/>
              <w:left w:val="single" w:sz="4" w:space="0" w:color="auto"/>
              <w:bottom w:val="single" w:sz="4" w:space="0" w:color="auto"/>
              <w:right w:val="single" w:sz="4" w:space="0" w:color="auto"/>
            </w:tcBorders>
            <w:hideMark/>
          </w:tcPr>
          <w:p w14:paraId="052484FE" w14:textId="77777777" w:rsidR="00327CCB" w:rsidRPr="00845B64" w:rsidRDefault="00327CCB" w:rsidP="0043015B">
            <w:pPr>
              <w:widowControl w:val="0"/>
              <w:jc w:val="both"/>
              <w:rPr>
                <w:color w:val="000000"/>
              </w:rPr>
            </w:pPr>
            <w:r w:rsidRPr="00845B64">
              <w:rPr>
                <w:color w:val="000000"/>
              </w:rPr>
              <w:t>Application closes</w:t>
            </w:r>
          </w:p>
        </w:tc>
      </w:tr>
      <w:tr w:rsidR="00327CCB" w:rsidRPr="00845B64" w14:paraId="79E126A0" w14:textId="77777777" w:rsidTr="0043015B">
        <w:tc>
          <w:tcPr>
            <w:tcW w:w="2515" w:type="dxa"/>
            <w:tcBorders>
              <w:top w:val="single" w:sz="4" w:space="0" w:color="auto"/>
              <w:left w:val="single" w:sz="4" w:space="0" w:color="auto"/>
              <w:bottom w:val="single" w:sz="4" w:space="0" w:color="auto"/>
              <w:right w:val="single" w:sz="4" w:space="0" w:color="auto"/>
            </w:tcBorders>
            <w:hideMark/>
          </w:tcPr>
          <w:p w14:paraId="7E3F2E5A" w14:textId="77777777" w:rsidR="00327CCB" w:rsidRPr="00073E15" w:rsidRDefault="00327CCB" w:rsidP="0043015B">
            <w:pPr>
              <w:widowControl w:val="0"/>
              <w:jc w:val="both"/>
              <w:rPr>
                <w:i/>
                <w:color w:val="000000"/>
              </w:rPr>
            </w:pPr>
            <w:r w:rsidRPr="00073E15">
              <w:rPr>
                <w:i/>
                <w:color w:val="000000"/>
              </w:rPr>
              <w:t>30-Nov-2020</w:t>
            </w:r>
          </w:p>
        </w:tc>
        <w:tc>
          <w:tcPr>
            <w:tcW w:w="6840" w:type="dxa"/>
            <w:tcBorders>
              <w:top w:val="single" w:sz="4" w:space="0" w:color="auto"/>
              <w:left w:val="single" w:sz="4" w:space="0" w:color="auto"/>
              <w:bottom w:val="single" w:sz="4" w:space="0" w:color="auto"/>
              <w:right w:val="single" w:sz="4" w:space="0" w:color="auto"/>
            </w:tcBorders>
            <w:hideMark/>
          </w:tcPr>
          <w:p w14:paraId="58E23A3D" w14:textId="77777777" w:rsidR="00327CCB" w:rsidRPr="00845B64" w:rsidRDefault="00327CCB" w:rsidP="0043015B">
            <w:pPr>
              <w:widowControl w:val="0"/>
              <w:jc w:val="both"/>
              <w:rPr>
                <w:color w:val="000000"/>
              </w:rPr>
            </w:pPr>
            <w:r w:rsidRPr="00845B64">
              <w:rPr>
                <w:color w:val="000000"/>
              </w:rPr>
              <w:t>Selection of TE team</w:t>
            </w:r>
          </w:p>
        </w:tc>
      </w:tr>
      <w:tr w:rsidR="00327CCB" w:rsidRPr="00845B64" w14:paraId="201928D6" w14:textId="77777777" w:rsidTr="0043015B">
        <w:tc>
          <w:tcPr>
            <w:tcW w:w="2515" w:type="dxa"/>
            <w:tcBorders>
              <w:top w:val="single" w:sz="4" w:space="0" w:color="auto"/>
              <w:left w:val="single" w:sz="4" w:space="0" w:color="auto"/>
              <w:bottom w:val="single" w:sz="4" w:space="0" w:color="auto"/>
              <w:right w:val="single" w:sz="4" w:space="0" w:color="auto"/>
            </w:tcBorders>
            <w:hideMark/>
          </w:tcPr>
          <w:p w14:paraId="4D93BA9D" w14:textId="77777777" w:rsidR="00327CCB" w:rsidRPr="00073E15" w:rsidRDefault="00327CCB" w:rsidP="0043015B">
            <w:pPr>
              <w:widowControl w:val="0"/>
              <w:jc w:val="both"/>
              <w:rPr>
                <w:i/>
                <w:color w:val="000000"/>
              </w:rPr>
            </w:pPr>
            <w:r w:rsidRPr="00073E15">
              <w:rPr>
                <w:i/>
                <w:color w:val="000000"/>
              </w:rPr>
              <w:t>8-Dec-2020 (1 day)</w:t>
            </w:r>
          </w:p>
        </w:tc>
        <w:tc>
          <w:tcPr>
            <w:tcW w:w="6840" w:type="dxa"/>
            <w:tcBorders>
              <w:top w:val="single" w:sz="4" w:space="0" w:color="auto"/>
              <w:left w:val="single" w:sz="4" w:space="0" w:color="auto"/>
              <w:bottom w:val="single" w:sz="4" w:space="0" w:color="auto"/>
              <w:right w:val="single" w:sz="4" w:space="0" w:color="auto"/>
            </w:tcBorders>
            <w:hideMark/>
          </w:tcPr>
          <w:p w14:paraId="376B07DB" w14:textId="77777777" w:rsidR="00327CCB" w:rsidRPr="00845B64" w:rsidRDefault="00327CCB" w:rsidP="0043015B">
            <w:pPr>
              <w:widowControl w:val="0"/>
              <w:jc w:val="both"/>
              <w:rPr>
                <w:color w:val="000000"/>
              </w:rPr>
            </w:pPr>
            <w:r w:rsidRPr="00845B64">
              <w:rPr>
                <w:color w:val="000000"/>
              </w:rPr>
              <w:t>Preparation period for TE team (handover of documentation)</w:t>
            </w:r>
          </w:p>
        </w:tc>
      </w:tr>
      <w:tr w:rsidR="00327CCB" w:rsidRPr="00845B64" w14:paraId="724846E4" w14:textId="77777777" w:rsidTr="0043015B">
        <w:tc>
          <w:tcPr>
            <w:tcW w:w="2515" w:type="dxa"/>
            <w:tcBorders>
              <w:top w:val="single" w:sz="4" w:space="0" w:color="auto"/>
              <w:left w:val="single" w:sz="4" w:space="0" w:color="auto"/>
              <w:bottom w:val="single" w:sz="4" w:space="0" w:color="auto"/>
              <w:right w:val="single" w:sz="4" w:space="0" w:color="auto"/>
            </w:tcBorders>
            <w:hideMark/>
          </w:tcPr>
          <w:p w14:paraId="00407024" w14:textId="77777777" w:rsidR="00327CCB" w:rsidRPr="00073E15" w:rsidRDefault="00327CCB" w:rsidP="0043015B">
            <w:pPr>
              <w:widowControl w:val="0"/>
              <w:jc w:val="both"/>
              <w:rPr>
                <w:i/>
                <w:color w:val="000000"/>
              </w:rPr>
            </w:pPr>
            <w:r w:rsidRPr="00073E15">
              <w:rPr>
                <w:i/>
                <w:color w:val="000000"/>
              </w:rPr>
              <w:t>9 to 10-Dec-2020 (2 days)</w:t>
            </w:r>
          </w:p>
        </w:tc>
        <w:tc>
          <w:tcPr>
            <w:tcW w:w="6840" w:type="dxa"/>
            <w:tcBorders>
              <w:top w:val="single" w:sz="4" w:space="0" w:color="auto"/>
              <w:left w:val="single" w:sz="4" w:space="0" w:color="auto"/>
              <w:bottom w:val="single" w:sz="4" w:space="0" w:color="auto"/>
              <w:right w:val="single" w:sz="4" w:space="0" w:color="auto"/>
            </w:tcBorders>
            <w:hideMark/>
          </w:tcPr>
          <w:p w14:paraId="431AB2C0" w14:textId="77777777" w:rsidR="00327CCB" w:rsidRPr="00845B64" w:rsidRDefault="00327CCB" w:rsidP="0043015B">
            <w:pPr>
              <w:widowControl w:val="0"/>
              <w:jc w:val="both"/>
              <w:rPr>
                <w:color w:val="000000"/>
              </w:rPr>
            </w:pPr>
            <w:r w:rsidRPr="00845B64">
              <w:rPr>
                <w:color w:val="000000"/>
              </w:rPr>
              <w:t>Document review and preparation of TE Inception Report</w:t>
            </w:r>
          </w:p>
        </w:tc>
      </w:tr>
      <w:tr w:rsidR="00327CCB" w:rsidRPr="00845B64" w14:paraId="04A38701" w14:textId="77777777" w:rsidTr="0043015B">
        <w:tc>
          <w:tcPr>
            <w:tcW w:w="2515" w:type="dxa"/>
            <w:tcBorders>
              <w:top w:val="single" w:sz="4" w:space="0" w:color="auto"/>
              <w:left w:val="single" w:sz="4" w:space="0" w:color="auto"/>
              <w:bottom w:val="single" w:sz="4" w:space="0" w:color="auto"/>
              <w:right w:val="single" w:sz="4" w:space="0" w:color="auto"/>
            </w:tcBorders>
            <w:hideMark/>
          </w:tcPr>
          <w:p w14:paraId="59D48A91" w14:textId="77777777" w:rsidR="00327CCB" w:rsidRPr="00073E15" w:rsidRDefault="00327CCB" w:rsidP="0043015B">
            <w:pPr>
              <w:widowControl w:val="0"/>
              <w:jc w:val="both"/>
              <w:rPr>
                <w:i/>
                <w:color w:val="000000"/>
              </w:rPr>
            </w:pPr>
            <w:r w:rsidRPr="00073E15">
              <w:rPr>
                <w:i/>
                <w:color w:val="000000"/>
              </w:rPr>
              <w:t>11 &amp; 14-Dec-2020 (2 days)</w:t>
            </w:r>
          </w:p>
        </w:tc>
        <w:tc>
          <w:tcPr>
            <w:tcW w:w="6840" w:type="dxa"/>
            <w:tcBorders>
              <w:top w:val="single" w:sz="4" w:space="0" w:color="auto"/>
              <w:left w:val="single" w:sz="4" w:space="0" w:color="auto"/>
              <w:bottom w:val="single" w:sz="4" w:space="0" w:color="auto"/>
              <w:right w:val="single" w:sz="4" w:space="0" w:color="auto"/>
            </w:tcBorders>
            <w:hideMark/>
          </w:tcPr>
          <w:p w14:paraId="49D4D2B0" w14:textId="77777777" w:rsidR="00327CCB" w:rsidRPr="00845B64" w:rsidRDefault="00327CCB" w:rsidP="0043015B">
            <w:pPr>
              <w:widowControl w:val="0"/>
              <w:jc w:val="both"/>
              <w:rPr>
                <w:color w:val="000000"/>
              </w:rPr>
            </w:pPr>
            <w:r w:rsidRPr="00845B64">
              <w:rPr>
                <w:color w:val="000000"/>
              </w:rPr>
              <w:t>Finalization and Validation of TE Inception Report; latest start of TE mission</w:t>
            </w:r>
          </w:p>
        </w:tc>
      </w:tr>
      <w:tr w:rsidR="00327CCB" w:rsidRPr="00845B64" w14:paraId="2B28BF35" w14:textId="77777777" w:rsidTr="0043015B">
        <w:tc>
          <w:tcPr>
            <w:tcW w:w="2515" w:type="dxa"/>
            <w:tcBorders>
              <w:top w:val="single" w:sz="4" w:space="0" w:color="auto"/>
              <w:left w:val="single" w:sz="4" w:space="0" w:color="auto"/>
              <w:bottom w:val="single" w:sz="4" w:space="0" w:color="auto"/>
              <w:right w:val="single" w:sz="4" w:space="0" w:color="auto"/>
            </w:tcBorders>
            <w:hideMark/>
          </w:tcPr>
          <w:p w14:paraId="107ED568" w14:textId="77777777" w:rsidR="00327CCB" w:rsidRPr="00073E15" w:rsidRDefault="00327CCB" w:rsidP="0043015B">
            <w:pPr>
              <w:widowControl w:val="0"/>
              <w:jc w:val="both"/>
              <w:rPr>
                <w:i/>
                <w:color w:val="000000"/>
              </w:rPr>
            </w:pPr>
            <w:r w:rsidRPr="00073E15">
              <w:rPr>
                <w:i/>
                <w:color w:val="000000"/>
              </w:rPr>
              <w:t xml:space="preserve">15-Dec-2020 to 15-Jan-2021 (9 days within </w:t>
            </w:r>
            <w:proofErr w:type="gramStart"/>
            <w:r w:rsidRPr="00073E15">
              <w:rPr>
                <w:i/>
                <w:color w:val="000000"/>
              </w:rPr>
              <w:t>time period</w:t>
            </w:r>
            <w:proofErr w:type="gramEnd"/>
            <w:r w:rsidRPr="00073E15">
              <w:rPr>
                <w:i/>
                <w:color w:val="000000"/>
              </w:rPr>
              <w:t>)</w:t>
            </w:r>
          </w:p>
        </w:tc>
        <w:tc>
          <w:tcPr>
            <w:tcW w:w="6840" w:type="dxa"/>
            <w:tcBorders>
              <w:top w:val="single" w:sz="4" w:space="0" w:color="auto"/>
              <w:left w:val="single" w:sz="4" w:space="0" w:color="auto"/>
              <w:bottom w:val="single" w:sz="4" w:space="0" w:color="auto"/>
              <w:right w:val="single" w:sz="4" w:space="0" w:color="auto"/>
            </w:tcBorders>
            <w:hideMark/>
          </w:tcPr>
          <w:p w14:paraId="6CCDB86B" w14:textId="77777777" w:rsidR="00327CCB" w:rsidRPr="00845B64" w:rsidRDefault="00327CCB" w:rsidP="0043015B">
            <w:pPr>
              <w:widowControl w:val="0"/>
              <w:jc w:val="both"/>
              <w:rPr>
                <w:color w:val="000000"/>
              </w:rPr>
            </w:pPr>
            <w:r w:rsidRPr="00845B64">
              <w:rPr>
                <w:color w:val="000000"/>
              </w:rPr>
              <w:t>TE mission: stakeholder meetings, interviews, field visits, etc.</w:t>
            </w:r>
          </w:p>
        </w:tc>
      </w:tr>
      <w:tr w:rsidR="00327CCB" w:rsidRPr="00845B64" w14:paraId="20024737" w14:textId="77777777" w:rsidTr="0043015B">
        <w:tc>
          <w:tcPr>
            <w:tcW w:w="2515" w:type="dxa"/>
            <w:tcBorders>
              <w:top w:val="single" w:sz="4" w:space="0" w:color="auto"/>
              <w:left w:val="single" w:sz="4" w:space="0" w:color="auto"/>
              <w:bottom w:val="single" w:sz="4" w:space="0" w:color="auto"/>
              <w:right w:val="single" w:sz="4" w:space="0" w:color="auto"/>
            </w:tcBorders>
            <w:hideMark/>
          </w:tcPr>
          <w:p w14:paraId="553C221A" w14:textId="77777777" w:rsidR="00327CCB" w:rsidRPr="00073E15" w:rsidRDefault="00327CCB" w:rsidP="0043015B">
            <w:pPr>
              <w:widowControl w:val="0"/>
              <w:jc w:val="both"/>
              <w:rPr>
                <w:i/>
                <w:color w:val="000000"/>
              </w:rPr>
            </w:pPr>
            <w:r w:rsidRPr="00073E15">
              <w:rPr>
                <w:i/>
                <w:color w:val="000000"/>
              </w:rPr>
              <w:t>15-Jan-2021</w:t>
            </w:r>
          </w:p>
        </w:tc>
        <w:tc>
          <w:tcPr>
            <w:tcW w:w="6840" w:type="dxa"/>
            <w:tcBorders>
              <w:top w:val="single" w:sz="4" w:space="0" w:color="auto"/>
              <w:left w:val="single" w:sz="4" w:space="0" w:color="auto"/>
              <w:bottom w:val="single" w:sz="4" w:space="0" w:color="auto"/>
              <w:right w:val="single" w:sz="4" w:space="0" w:color="auto"/>
            </w:tcBorders>
            <w:hideMark/>
          </w:tcPr>
          <w:p w14:paraId="7EF53514" w14:textId="77777777" w:rsidR="00327CCB" w:rsidRPr="00845B64" w:rsidRDefault="00327CCB" w:rsidP="0043015B">
            <w:pPr>
              <w:widowControl w:val="0"/>
              <w:jc w:val="both"/>
              <w:rPr>
                <w:color w:val="000000"/>
              </w:rPr>
            </w:pPr>
            <w:r w:rsidRPr="00845B64">
              <w:rPr>
                <w:color w:val="000000"/>
              </w:rPr>
              <w:t>Mission wrap-up meeting &amp; presentation of initial findings; earliest end of TE mission</w:t>
            </w:r>
          </w:p>
        </w:tc>
      </w:tr>
      <w:tr w:rsidR="00327CCB" w:rsidRPr="00845B64" w14:paraId="1298DA16" w14:textId="77777777" w:rsidTr="0043015B">
        <w:tc>
          <w:tcPr>
            <w:tcW w:w="2515" w:type="dxa"/>
            <w:tcBorders>
              <w:top w:val="single" w:sz="4" w:space="0" w:color="auto"/>
              <w:left w:val="single" w:sz="4" w:space="0" w:color="auto"/>
              <w:bottom w:val="single" w:sz="4" w:space="0" w:color="auto"/>
              <w:right w:val="single" w:sz="4" w:space="0" w:color="auto"/>
            </w:tcBorders>
            <w:hideMark/>
          </w:tcPr>
          <w:p w14:paraId="1272C1B4" w14:textId="77777777" w:rsidR="00327CCB" w:rsidRPr="00073E15" w:rsidRDefault="00327CCB" w:rsidP="0043015B">
            <w:pPr>
              <w:widowControl w:val="0"/>
              <w:jc w:val="both"/>
              <w:rPr>
                <w:i/>
                <w:color w:val="000000"/>
              </w:rPr>
            </w:pPr>
            <w:r w:rsidRPr="00073E15">
              <w:rPr>
                <w:i/>
                <w:color w:val="000000"/>
              </w:rPr>
              <w:t>16-Jan-2021 to 19-Feb-2021 (5 days)</w:t>
            </w:r>
          </w:p>
        </w:tc>
        <w:tc>
          <w:tcPr>
            <w:tcW w:w="6840" w:type="dxa"/>
            <w:tcBorders>
              <w:top w:val="single" w:sz="4" w:space="0" w:color="auto"/>
              <w:left w:val="single" w:sz="4" w:space="0" w:color="auto"/>
              <w:bottom w:val="single" w:sz="4" w:space="0" w:color="auto"/>
              <w:right w:val="single" w:sz="4" w:space="0" w:color="auto"/>
            </w:tcBorders>
            <w:hideMark/>
          </w:tcPr>
          <w:p w14:paraId="577DDD1F" w14:textId="77777777" w:rsidR="00327CCB" w:rsidRPr="00845B64" w:rsidRDefault="00327CCB" w:rsidP="0043015B">
            <w:pPr>
              <w:widowControl w:val="0"/>
              <w:jc w:val="both"/>
              <w:rPr>
                <w:color w:val="000000"/>
              </w:rPr>
            </w:pPr>
            <w:r w:rsidRPr="00845B64">
              <w:rPr>
                <w:color w:val="000000"/>
              </w:rPr>
              <w:t>Preparation of draft TE report</w:t>
            </w:r>
          </w:p>
        </w:tc>
      </w:tr>
      <w:tr w:rsidR="00327CCB" w:rsidRPr="00845B64" w14:paraId="4C76A4C5" w14:textId="77777777" w:rsidTr="0043015B">
        <w:tc>
          <w:tcPr>
            <w:tcW w:w="2515" w:type="dxa"/>
            <w:tcBorders>
              <w:top w:val="single" w:sz="4" w:space="0" w:color="auto"/>
              <w:left w:val="single" w:sz="4" w:space="0" w:color="auto"/>
              <w:bottom w:val="single" w:sz="4" w:space="0" w:color="auto"/>
              <w:right w:val="single" w:sz="4" w:space="0" w:color="auto"/>
            </w:tcBorders>
            <w:hideMark/>
          </w:tcPr>
          <w:p w14:paraId="0CF34015" w14:textId="77777777" w:rsidR="00327CCB" w:rsidRPr="00073E15" w:rsidRDefault="00327CCB" w:rsidP="0043015B">
            <w:pPr>
              <w:widowControl w:val="0"/>
              <w:jc w:val="both"/>
              <w:rPr>
                <w:i/>
                <w:color w:val="000000"/>
              </w:rPr>
            </w:pPr>
            <w:r w:rsidRPr="00073E15">
              <w:rPr>
                <w:i/>
                <w:color w:val="000000"/>
              </w:rPr>
              <w:t>22 to 26-Feb-2021</w:t>
            </w:r>
          </w:p>
        </w:tc>
        <w:tc>
          <w:tcPr>
            <w:tcW w:w="6840" w:type="dxa"/>
            <w:tcBorders>
              <w:top w:val="single" w:sz="4" w:space="0" w:color="auto"/>
              <w:left w:val="single" w:sz="4" w:space="0" w:color="auto"/>
              <w:bottom w:val="single" w:sz="4" w:space="0" w:color="auto"/>
              <w:right w:val="single" w:sz="4" w:space="0" w:color="auto"/>
            </w:tcBorders>
            <w:hideMark/>
          </w:tcPr>
          <w:p w14:paraId="6AEE210B" w14:textId="77777777" w:rsidR="00327CCB" w:rsidRPr="00845B64" w:rsidRDefault="00327CCB" w:rsidP="0043015B">
            <w:pPr>
              <w:widowControl w:val="0"/>
              <w:jc w:val="both"/>
              <w:rPr>
                <w:color w:val="000000"/>
              </w:rPr>
            </w:pPr>
            <w:r w:rsidRPr="00845B64">
              <w:rPr>
                <w:color w:val="000000"/>
              </w:rPr>
              <w:t>Circulation of draft TE report for comments</w:t>
            </w:r>
          </w:p>
        </w:tc>
      </w:tr>
      <w:tr w:rsidR="00327CCB" w:rsidRPr="00845B64" w14:paraId="3049D801" w14:textId="77777777" w:rsidTr="0043015B">
        <w:tc>
          <w:tcPr>
            <w:tcW w:w="2515" w:type="dxa"/>
            <w:tcBorders>
              <w:top w:val="single" w:sz="4" w:space="0" w:color="auto"/>
              <w:left w:val="single" w:sz="4" w:space="0" w:color="auto"/>
              <w:bottom w:val="single" w:sz="4" w:space="0" w:color="auto"/>
              <w:right w:val="single" w:sz="4" w:space="0" w:color="auto"/>
            </w:tcBorders>
            <w:hideMark/>
          </w:tcPr>
          <w:p w14:paraId="7E9C0A7B" w14:textId="77777777" w:rsidR="00327CCB" w:rsidRPr="00073E15" w:rsidRDefault="00327CCB" w:rsidP="0043015B">
            <w:pPr>
              <w:widowControl w:val="0"/>
              <w:jc w:val="both"/>
              <w:rPr>
                <w:i/>
                <w:color w:val="000000"/>
              </w:rPr>
            </w:pPr>
            <w:r w:rsidRPr="00073E15">
              <w:rPr>
                <w:i/>
                <w:color w:val="000000"/>
              </w:rPr>
              <w:t>17 to 21-Mar-2021 (5 days)</w:t>
            </w:r>
          </w:p>
        </w:tc>
        <w:tc>
          <w:tcPr>
            <w:tcW w:w="6840" w:type="dxa"/>
            <w:tcBorders>
              <w:top w:val="single" w:sz="4" w:space="0" w:color="auto"/>
              <w:left w:val="single" w:sz="4" w:space="0" w:color="auto"/>
              <w:bottom w:val="single" w:sz="4" w:space="0" w:color="auto"/>
              <w:right w:val="single" w:sz="4" w:space="0" w:color="auto"/>
            </w:tcBorders>
            <w:hideMark/>
          </w:tcPr>
          <w:p w14:paraId="434B069F" w14:textId="77777777" w:rsidR="00327CCB" w:rsidRPr="00845B64" w:rsidRDefault="00327CCB" w:rsidP="0043015B">
            <w:pPr>
              <w:widowControl w:val="0"/>
              <w:jc w:val="both"/>
              <w:rPr>
                <w:color w:val="000000"/>
              </w:rPr>
            </w:pPr>
            <w:r w:rsidRPr="00845B64">
              <w:rPr>
                <w:color w:val="000000"/>
              </w:rPr>
              <w:t xml:space="preserve">Incorporation of comments on draft TE report into Audit Trail &amp; finalization of TE report </w:t>
            </w:r>
          </w:p>
        </w:tc>
      </w:tr>
      <w:tr w:rsidR="00327CCB" w:rsidRPr="00845B64" w14:paraId="14CDCBE1" w14:textId="77777777" w:rsidTr="0043015B">
        <w:tc>
          <w:tcPr>
            <w:tcW w:w="2515" w:type="dxa"/>
            <w:tcBorders>
              <w:top w:val="single" w:sz="4" w:space="0" w:color="auto"/>
              <w:left w:val="single" w:sz="4" w:space="0" w:color="auto"/>
              <w:bottom w:val="single" w:sz="4" w:space="0" w:color="auto"/>
              <w:right w:val="single" w:sz="4" w:space="0" w:color="auto"/>
            </w:tcBorders>
            <w:hideMark/>
          </w:tcPr>
          <w:p w14:paraId="1BF07AD4" w14:textId="77777777" w:rsidR="00327CCB" w:rsidRPr="00073E15" w:rsidRDefault="00327CCB" w:rsidP="0043015B">
            <w:pPr>
              <w:widowControl w:val="0"/>
              <w:jc w:val="both"/>
              <w:rPr>
                <w:i/>
                <w:color w:val="000000"/>
              </w:rPr>
            </w:pPr>
            <w:r w:rsidRPr="00073E15">
              <w:rPr>
                <w:i/>
                <w:color w:val="000000"/>
              </w:rPr>
              <w:t>23-31 March 2021</w:t>
            </w:r>
          </w:p>
        </w:tc>
        <w:tc>
          <w:tcPr>
            <w:tcW w:w="6840" w:type="dxa"/>
            <w:tcBorders>
              <w:top w:val="single" w:sz="4" w:space="0" w:color="auto"/>
              <w:left w:val="single" w:sz="4" w:space="0" w:color="auto"/>
              <w:bottom w:val="single" w:sz="4" w:space="0" w:color="auto"/>
              <w:right w:val="single" w:sz="4" w:space="0" w:color="auto"/>
            </w:tcBorders>
            <w:hideMark/>
          </w:tcPr>
          <w:p w14:paraId="73A4D009" w14:textId="77777777" w:rsidR="00327CCB" w:rsidRPr="00845B64" w:rsidRDefault="00327CCB" w:rsidP="0043015B">
            <w:pPr>
              <w:widowControl w:val="0"/>
              <w:jc w:val="both"/>
              <w:rPr>
                <w:color w:val="000000"/>
              </w:rPr>
            </w:pPr>
            <w:r w:rsidRPr="00845B64">
              <w:rPr>
                <w:color w:val="000000"/>
              </w:rPr>
              <w:t>Preparation and Issuance of Management Response</w:t>
            </w:r>
          </w:p>
        </w:tc>
      </w:tr>
      <w:tr w:rsidR="00327CCB" w:rsidRPr="00845B64" w14:paraId="209492DF" w14:textId="77777777" w:rsidTr="0043015B">
        <w:tc>
          <w:tcPr>
            <w:tcW w:w="2515" w:type="dxa"/>
            <w:tcBorders>
              <w:top w:val="single" w:sz="4" w:space="0" w:color="auto"/>
              <w:left w:val="single" w:sz="4" w:space="0" w:color="auto"/>
              <w:bottom w:val="single" w:sz="4" w:space="0" w:color="auto"/>
              <w:right w:val="single" w:sz="4" w:space="0" w:color="auto"/>
            </w:tcBorders>
            <w:hideMark/>
          </w:tcPr>
          <w:p w14:paraId="36132BB7" w14:textId="77777777" w:rsidR="00327CCB" w:rsidRPr="00073E15" w:rsidRDefault="00327CCB" w:rsidP="0043015B">
            <w:pPr>
              <w:widowControl w:val="0"/>
              <w:jc w:val="both"/>
              <w:rPr>
                <w:i/>
                <w:color w:val="000000"/>
              </w:rPr>
            </w:pPr>
            <w:r w:rsidRPr="00073E15">
              <w:rPr>
                <w:i/>
                <w:color w:val="000000"/>
              </w:rPr>
              <w:t>TBD</w:t>
            </w:r>
          </w:p>
        </w:tc>
        <w:tc>
          <w:tcPr>
            <w:tcW w:w="6840" w:type="dxa"/>
            <w:tcBorders>
              <w:top w:val="single" w:sz="4" w:space="0" w:color="auto"/>
              <w:left w:val="single" w:sz="4" w:space="0" w:color="auto"/>
              <w:bottom w:val="single" w:sz="4" w:space="0" w:color="auto"/>
              <w:right w:val="single" w:sz="4" w:space="0" w:color="auto"/>
            </w:tcBorders>
            <w:hideMark/>
          </w:tcPr>
          <w:p w14:paraId="1880CF12" w14:textId="77777777" w:rsidR="00327CCB" w:rsidRPr="00845B64" w:rsidRDefault="00327CCB" w:rsidP="0043015B">
            <w:pPr>
              <w:widowControl w:val="0"/>
              <w:jc w:val="both"/>
              <w:rPr>
                <w:color w:val="000000"/>
              </w:rPr>
            </w:pPr>
            <w:r w:rsidRPr="00845B64">
              <w:rPr>
                <w:color w:val="000000"/>
              </w:rPr>
              <w:t>Concluding Stakeholder Workshop (optional)</w:t>
            </w:r>
          </w:p>
        </w:tc>
      </w:tr>
      <w:tr w:rsidR="00327CCB" w:rsidRPr="00845B64" w14:paraId="5079A820" w14:textId="77777777" w:rsidTr="0043015B">
        <w:tc>
          <w:tcPr>
            <w:tcW w:w="2515" w:type="dxa"/>
            <w:tcBorders>
              <w:top w:val="single" w:sz="4" w:space="0" w:color="auto"/>
              <w:left w:val="single" w:sz="4" w:space="0" w:color="auto"/>
              <w:bottom w:val="single" w:sz="4" w:space="0" w:color="auto"/>
              <w:right w:val="single" w:sz="4" w:space="0" w:color="auto"/>
            </w:tcBorders>
            <w:hideMark/>
          </w:tcPr>
          <w:p w14:paraId="7ED34ABA" w14:textId="77777777" w:rsidR="00327CCB" w:rsidRPr="00073E15" w:rsidRDefault="00327CCB" w:rsidP="0043015B">
            <w:pPr>
              <w:widowControl w:val="0"/>
              <w:jc w:val="both"/>
              <w:rPr>
                <w:i/>
                <w:color w:val="000000"/>
              </w:rPr>
            </w:pPr>
            <w:r w:rsidRPr="00073E15">
              <w:rPr>
                <w:i/>
                <w:color w:val="000000"/>
              </w:rPr>
              <w:t>23 March 2021(1 day)</w:t>
            </w:r>
          </w:p>
        </w:tc>
        <w:tc>
          <w:tcPr>
            <w:tcW w:w="6840" w:type="dxa"/>
            <w:tcBorders>
              <w:top w:val="single" w:sz="4" w:space="0" w:color="auto"/>
              <w:left w:val="single" w:sz="4" w:space="0" w:color="auto"/>
              <w:bottom w:val="single" w:sz="4" w:space="0" w:color="auto"/>
              <w:right w:val="single" w:sz="4" w:space="0" w:color="auto"/>
            </w:tcBorders>
            <w:hideMark/>
          </w:tcPr>
          <w:p w14:paraId="0AE6B9FC" w14:textId="77777777" w:rsidR="00327CCB" w:rsidRPr="00845B64" w:rsidRDefault="00327CCB" w:rsidP="0043015B">
            <w:pPr>
              <w:widowControl w:val="0"/>
              <w:jc w:val="both"/>
              <w:rPr>
                <w:color w:val="000000"/>
              </w:rPr>
            </w:pPr>
            <w:r w:rsidRPr="00845B64">
              <w:rPr>
                <w:color w:val="000000"/>
              </w:rPr>
              <w:t>Expected date of full TE completion</w:t>
            </w:r>
          </w:p>
        </w:tc>
      </w:tr>
    </w:tbl>
    <w:p w14:paraId="7A1463C3" w14:textId="77777777" w:rsidR="00327CCB" w:rsidRPr="00845B64" w:rsidRDefault="00327CCB" w:rsidP="00327CCB">
      <w:pPr>
        <w:spacing w:after="0" w:line="240" w:lineRule="auto"/>
        <w:jc w:val="both"/>
        <w:rPr>
          <w:rFonts w:eastAsia="SimSun" w:cs="Times New Roman"/>
          <w:kern w:val="2"/>
          <w:lang w:eastAsia="zh-CN"/>
        </w:rPr>
      </w:pPr>
    </w:p>
    <w:p w14:paraId="1662EF75" w14:textId="77777777" w:rsidR="00EF6294" w:rsidRPr="00845B6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Options for site visits should be provided in the TE Inception Report.</w:t>
      </w:r>
    </w:p>
    <w:p w14:paraId="22130557" w14:textId="77777777" w:rsidR="00327CCB" w:rsidRDefault="00327CCB" w:rsidP="00327CCB">
      <w:pPr>
        <w:widowControl w:val="0"/>
        <w:spacing w:after="0" w:line="240" w:lineRule="auto"/>
        <w:ind w:left="360"/>
        <w:contextualSpacing/>
        <w:jc w:val="both"/>
        <w:rPr>
          <w:rFonts w:eastAsia="Calibri" w:cs="Times New Roman"/>
          <w:b/>
          <w:bCs/>
        </w:rPr>
      </w:pPr>
    </w:p>
    <w:p w14:paraId="6C8915DF" w14:textId="1F47D715" w:rsidR="00EF6294" w:rsidRPr="00845B64" w:rsidRDefault="00EF6294" w:rsidP="00AC0D02">
      <w:pPr>
        <w:widowControl w:val="0"/>
        <w:numPr>
          <w:ilvl w:val="0"/>
          <w:numId w:val="6"/>
        </w:numPr>
        <w:spacing w:after="0" w:line="240" w:lineRule="auto"/>
        <w:contextualSpacing/>
        <w:jc w:val="both"/>
        <w:rPr>
          <w:rFonts w:eastAsia="Calibri" w:cs="Times New Roman"/>
          <w:b/>
          <w:bCs/>
        </w:rPr>
      </w:pPr>
      <w:r w:rsidRPr="00845B64">
        <w:rPr>
          <w:rFonts w:eastAsia="Calibri" w:cs="Times New Roman"/>
          <w:b/>
          <w:bCs/>
        </w:rPr>
        <w:t>TE DELIVERABLES</w:t>
      </w:r>
    </w:p>
    <w:p w14:paraId="0C02CDD1" w14:textId="77777777" w:rsidR="00327CCB" w:rsidRPr="00845B64" w:rsidRDefault="00327CCB" w:rsidP="00327CCB">
      <w:pPr>
        <w:widowControl w:val="0"/>
        <w:spacing w:after="0" w:line="240" w:lineRule="auto"/>
        <w:ind w:left="360"/>
        <w:contextualSpacing/>
        <w:jc w:val="both"/>
        <w:rPr>
          <w:rFonts w:eastAsia="Calibri" w:cs="Times New Roman"/>
          <w:b/>
          <w:bCs/>
        </w:rPr>
      </w:pPr>
    </w:p>
    <w:tbl>
      <w:tblPr>
        <w:tblStyle w:val="TableGrid1"/>
        <w:tblW w:w="9355" w:type="dxa"/>
        <w:tblInd w:w="0" w:type="dxa"/>
        <w:tblLook w:val="04A0" w:firstRow="1" w:lastRow="0" w:firstColumn="1" w:lastColumn="0" w:noHBand="0" w:noVBand="1"/>
      </w:tblPr>
      <w:tblGrid>
        <w:gridCol w:w="625"/>
        <w:gridCol w:w="1870"/>
        <w:gridCol w:w="2360"/>
        <w:gridCol w:w="1980"/>
        <w:gridCol w:w="2520"/>
      </w:tblGrid>
      <w:tr w:rsidR="00327CCB" w:rsidRPr="00845B64" w14:paraId="4470648F" w14:textId="77777777" w:rsidTr="0043015B">
        <w:tc>
          <w:tcPr>
            <w:tcW w:w="625" w:type="dxa"/>
            <w:tcBorders>
              <w:top w:val="single" w:sz="4" w:space="0" w:color="auto"/>
              <w:left w:val="single" w:sz="4" w:space="0" w:color="auto"/>
              <w:bottom w:val="single" w:sz="4" w:space="0" w:color="auto"/>
              <w:right w:val="single" w:sz="4" w:space="0" w:color="auto"/>
            </w:tcBorders>
            <w:shd w:val="clear" w:color="auto" w:fill="404040"/>
            <w:hideMark/>
          </w:tcPr>
          <w:p w14:paraId="629E9494" w14:textId="77777777" w:rsidR="00327CCB" w:rsidRPr="00845B64" w:rsidRDefault="00327CCB" w:rsidP="0043015B">
            <w:pPr>
              <w:widowControl w:val="0"/>
              <w:jc w:val="both"/>
              <w:rPr>
                <w:color w:val="FFFFFF"/>
              </w:rPr>
            </w:pPr>
            <w:r w:rsidRPr="00845B64">
              <w:rPr>
                <w:color w:val="FFFFFF"/>
              </w:rPr>
              <w:t>#</w:t>
            </w:r>
          </w:p>
        </w:tc>
        <w:tc>
          <w:tcPr>
            <w:tcW w:w="1870" w:type="dxa"/>
            <w:tcBorders>
              <w:top w:val="single" w:sz="4" w:space="0" w:color="auto"/>
              <w:left w:val="single" w:sz="4" w:space="0" w:color="auto"/>
              <w:bottom w:val="single" w:sz="4" w:space="0" w:color="auto"/>
              <w:right w:val="single" w:sz="4" w:space="0" w:color="auto"/>
            </w:tcBorders>
            <w:shd w:val="clear" w:color="auto" w:fill="404040"/>
            <w:hideMark/>
          </w:tcPr>
          <w:p w14:paraId="78B6E0CE" w14:textId="77777777" w:rsidR="00327CCB" w:rsidRPr="00845B64" w:rsidRDefault="00327CCB" w:rsidP="0043015B">
            <w:pPr>
              <w:widowControl w:val="0"/>
              <w:jc w:val="both"/>
              <w:rPr>
                <w:color w:val="FFFFFF"/>
              </w:rPr>
            </w:pPr>
            <w:r w:rsidRPr="00845B64">
              <w:rPr>
                <w:color w:val="FFFFFF"/>
              </w:rPr>
              <w:t>Deliverable</w:t>
            </w:r>
          </w:p>
        </w:tc>
        <w:tc>
          <w:tcPr>
            <w:tcW w:w="2360" w:type="dxa"/>
            <w:tcBorders>
              <w:top w:val="single" w:sz="4" w:space="0" w:color="auto"/>
              <w:left w:val="single" w:sz="4" w:space="0" w:color="auto"/>
              <w:bottom w:val="single" w:sz="4" w:space="0" w:color="auto"/>
              <w:right w:val="single" w:sz="4" w:space="0" w:color="auto"/>
            </w:tcBorders>
            <w:shd w:val="clear" w:color="auto" w:fill="404040"/>
            <w:hideMark/>
          </w:tcPr>
          <w:p w14:paraId="1ADB4662" w14:textId="77777777" w:rsidR="00327CCB" w:rsidRPr="00845B64" w:rsidRDefault="00327CCB" w:rsidP="0043015B">
            <w:pPr>
              <w:widowControl w:val="0"/>
              <w:jc w:val="both"/>
              <w:rPr>
                <w:color w:val="FFFFFF"/>
              </w:rPr>
            </w:pPr>
            <w:r w:rsidRPr="00845B64">
              <w:rPr>
                <w:color w:val="FFFFFF"/>
              </w:rPr>
              <w:t>Description</w:t>
            </w:r>
          </w:p>
        </w:tc>
        <w:tc>
          <w:tcPr>
            <w:tcW w:w="1980" w:type="dxa"/>
            <w:tcBorders>
              <w:top w:val="single" w:sz="4" w:space="0" w:color="auto"/>
              <w:left w:val="single" w:sz="4" w:space="0" w:color="auto"/>
              <w:bottom w:val="single" w:sz="4" w:space="0" w:color="auto"/>
              <w:right w:val="single" w:sz="4" w:space="0" w:color="auto"/>
            </w:tcBorders>
            <w:shd w:val="clear" w:color="auto" w:fill="404040"/>
            <w:hideMark/>
          </w:tcPr>
          <w:p w14:paraId="6927E7B4" w14:textId="77777777" w:rsidR="00327CCB" w:rsidRPr="00845B64" w:rsidRDefault="00327CCB" w:rsidP="0043015B">
            <w:pPr>
              <w:widowControl w:val="0"/>
              <w:jc w:val="both"/>
              <w:rPr>
                <w:color w:val="FFFFFF"/>
              </w:rPr>
            </w:pPr>
            <w:r w:rsidRPr="00845B64">
              <w:rPr>
                <w:color w:val="FFFFFF"/>
              </w:rPr>
              <w:t>Timing</w:t>
            </w:r>
          </w:p>
        </w:tc>
        <w:tc>
          <w:tcPr>
            <w:tcW w:w="2520" w:type="dxa"/>
            <w:tcBorders>
              <w:top w:val="single" w:sz="4" w:space="0" w:color="auto"/>
              <w:left w:val="single" w:sz="4" w:space="0" w:color="auto"/>
              <w:bottom w:val="single" w:sz="4" w:space="0" w:color="auto"/>
              <w:right w:val="single" w:sz="4" w:space="0" w:color="auto"/>
            </w:tcBorders>
            <w:shd w:val="clear" w:color="auto" w:fill="404040"/>
            <w:hideMark/>
          </w:tcPr>
          <w:p w14:paraId="3AF0D6E2" w14:textId="77777777" w:rsidR="00327CCB" w:rsidRPr="00845B64" w:rsidRDefault="00327CCB" w:rsidP="0043015B">
            <w:pPr>
              <w:widowControl w:val="0"/>
              <w:jc w:val="both"/>
              <w:rPr>
                <w:color w:val="FFFFFF"/>
              </w:rPr>
            </w:pPr>
            <w:r w:rsidRPr="00845B64">
              <w:rPr>
                <w:color w:val="FFFFFF"/>
              </w:rPr>
              <w:t>Responsibilities</w:t>
            </w:r>
          </w:p>
        </w:tc>
      </w:tr>
      <w:tr w:rsidR="00327CCB" w:rsidRPr="00845B64" w14:paraId="77E107E5" w14:textId="77777777" w:rsidTr="0043015B">
        <w:tc>
          <w:tcPr>
            <w:tcW w:w="625" w:type="dxa"/>
            <w:tcBorders>
              <w:top w:val="single" w:sz="4" w:space="0" w:color="auto"/>
              <w:left w:val="single" w:sz="4" w:space="0" w:color="auto"/>
              <w:bottom w:val="single" w:sz="4" w:space="0" w:color="auto"/>
              <w:right w:val="single" w:sz="4" w:space="0" w:color="auto"/>
            </w:tcBorders>
            <w:hideMark/>
          </w:tcPr>
          <w:p w14:paraId="26CE8E3A" w14:textId="77777777" w:rsidR="00327CCB" w:rsidRPr="00845B64" w:rsidRDefault="00327CCB" w:rsidP="0043015B">
            <w:pPr>
              <w:widowControl w:val="0"/>
              <w:jc w:val="both"/>
              <w:rPr>
                <w:color w:val="000000"/>
              </w:rPr>
            </w:pPr>
            <w:r w:rsidRPr="00845B64">
              <w:rPr>
                <w:color w:val="000000"/>
              </w:rPr>
              <w:t>1</w:t>
            </w:r>
          </w:p>
        </w:tc>
        <w:tc>
          <w:tcPr>
            <w:tcW w:w="1870" w:type="dxa"/>
            <w:tcBorders>
              <w:top w:val="single" w:sz="4" w:space="0" w:color="auto"/>
              <w:left w:val="single" w:sz="4" w:space="0" w:color="auto"/>
              <w:bottom w:val="single" w:sz="4" w:space="0" w:color="auto"/>
              <w:right w:val="single" w:sz="4" w:space="0" w:color="auto"/>
            </w:tcBorders>
            <w:hideMark/>
          </w:tcPr>
          <w:p w14:paraId="5D331D76" w14:textId="77777777" w:rsidR="00327CCB" w:rsidRPr="00845B64" w:rsidRDefault="00327CCB" w:rsidP="0043015B">
            <w:pPr>
              <w:widowControl w:val="0"/>
              <w:jc w:val="both"/>
              <w:rPr>
                <w:color w:val="000000"/>
              </w:rPr>
            </w:pPr>
            <w:r w:rsidRPr="00845B64">
              <w:rPr>
                <w:color w:val="000000"/>
              </w:rPr>
              <w:t>TE Inception Report</w:t>
            </w:r>
          </w:p>
        </w:tc>
        <w:tc>
          <w:tcPr>
            <w:tcW w:w="2360" w:type="dxa"/>
            <w:tcBorders>
              <w:top w:val="single" w:sz="4" w:space="0" w:color="auto"/>
              <w:left w:val="single" w:sz="4" w:space="0" w:color="auto"/>
              <w:bottom w:val="single" w:sz="4" w:space="0" w:color="auto"/>
              <w:right w:val="single" w:sz="4" w:space="0" w:color="auto"/>
            </w:tcBorders>
            <w:hideMark/>
          </w:tcPr>
          <w:p w14:paraId="0CFE2245" w14:textId="77777777" w:rsidR="00327CCB" w:rsidRPr="00845B64" w:rsidRDefault="00327CCB" w:rsidP="0043015B">
            <w:pPr>
              <w:widowControl w:val="0"/>
              <w:jc w:val="both"/>
              <w:rPr>
                <w:color w:val="000000"/>
              </w:rPr>
            </w:pPr>
            <w:r w:rsidRPr="00845B64">
              <w:rPr>
                <w:color w:val="000000"/>
              </w:rPr>
              <w:t>TE team clarifies objectives, methodology and timing of the TE</w:t>
            </w:r>
          </w:p>
        </w:tc>
        <w:tc>
          <w:tcPr>
            <w:tcW w:w="1980" w:type="dxa"/>
            <w:tcBorders>
              <w:top w:val="single" w:sz="4" w:space="0" w:color="auto"/>
              <w:left w:val="single" w:sz="4" w:space="0" w:color="auto"/>
              <w:bottom w:val="single" w:sz="4" w:space="0" w:color="auto"/>
              <w:right w:val="single" w:sz="4" w:space="0" w:color="auto"/>
            </w:tcBorders>
          </w:tcPr>
          <w:p w14:paraId="0C7561D9" w14:textId="77777777" w:rsidR="00327CCB" w:rsidRPr="00845B64" w:rsidRDefault="00327CCB" w:rsidP="0043015B">
            <w:pPr>
              <w:widowControl w:val="0"/>
              <w:jc w:val="both"/>
              <w:rPr>
                <w:i/>
                <w:color w:val="000000"/>
              </w:rPr>
            </w:pPr>
            <w:r w:rsidRPr="00845B64">
              <w:rPr>
                <w:color w:val="000000"/>
              </w:rPr>
              <w:t>No later than 2 weeks before the TE mission:</w:t>
            </w:r>
            <w:r>
              <w:rPr>
                <w:color w:val="000000"/>
              </w:rPr>
              <w:t xml:space="preserve"> 14-Dec-</w:t>
            </w:r>
            <w:r>
              <w:rPr>
                <w:color w:val="000000"/>
              </w:rPr>
              <w:lastRenderedPageBreak/>
              <w:t>2020</w:t>
            </w:r>
          </w:p>
          <w:p w14:paraId="0E377ED4" w14:textId="77777777" w:rsidR="00327CCB" w:rsidRPr="00845B64" w:rsidRDefault="00327CCB" w:rsidP="0043015B">
            <w:pPr>
              <w:widowControl w:val="0"/>
              <w:jc w:val="both"/>
              <w:rPr>
                <w:i/>
                <w:color w:val="000000"/>
              </w:rPr>
            </w:pPr>
          </w:p>
          <w:p w14:paraId="020938F3" w14:textId="77777777" w:rsidR="00327CCB" w:rsidRPr="00845B64" w:rsidRDefault="00327CCB" w:rsidP="0043015B">
            <w:pPr>
              <w:widowControl w:val="0"/>
              <w:jc w:val="both"/>
              <w:rPr>
                <w:color w:val="000000"/>
              </w:rPr>
            </w:pPr>
          </w:p>
        </w:tc>
        <w:tc>
          <w:tcPr>
            <w:tcW w:w="2520" w:type="dxa"/>
            <w:tcBorders>
              <w:top w:val="single" w:sz="4" w:space="0" w:color="auto"/>
              <w:left w:val="single" w:sz="4" w:space="0" w:color="auto"/>
              <w:bottom w:val="single" w:sz="4" w:space="0" w:color="auto"/>
              <w:right w:val="single" w:sz="4" w:space="0" w:color="auto"/>
            </w:tcBorders>
            <w:hideMark/>
          </w:tcPr>
          <w:p w14:paraId="36DA8304" w14:textId="77777777" w:rsidR="00327CCB" w:rsidRPr="00845B64" w:rsidRDefault="00327CCB" w:rsidP="0043015B">
            <w:pPr>
              <w:widowControl w:val="0"/>
              <w:jc w:val="both"/>
              <w:rPr>
                <w:color w:val="000000"/>
              </w:rPr>
            </w:pPr>
            <w:r w:rsidRPr="00845B64">
              <w:rPr>
                <w:color w:val="000000"/>
              </w:rPr>
              <w:lastRenderedPageBreak/>
              <w:t xml:space="preserve">TE team submits Inception Report to Commissioning Unit and project </w:t>
            </w:r>
            <w:r w:rsidRPr="00845B64">
              <w:rPr>
                <w:color w:val="000000"/>
              </w:rPr>
              <w:lastRenderedPageBreak/>
              <w:t>management</w:t>
            </w:r>
          </w:p>
        </w:tc>
      </w:tr>
      <w:tr w:rsidR="00327CCB" w:rsidRPr="00845B64" w14:paraId="4CCC0846" w14:textId="77777777" w:rsidTr="0043015B">
        <w:tc>
          <w:tcPr>
            <w:tcW w:w="625" w:type="dxa"/>
            <w:tcBorders>
              <w:top w:val="single" w:sz="4" w:space="0" w:color="auto"/>
              <w:left w:val="single" w:sz="4" w:space="0" w:color="auto"/>
              <w:bottom w:val="single" w:sz="4" w:space="0" w:color="auto"/>
              <w:right w:val="single" w:sz="4" w:space="0" w:color="auto"/>
            </w:tcBorders>
            <w:hideMark/>
          </w:tcPr>
          <w:p w14:paraId="0EF8CC10" w14:textId="77777777" w:rsidR="00327CCB" w:rsidRPr="00845B64" w:rsidRDefault="00327CCB" w:rsidP="0043015B">
            <w:pPr>
              <w:widowControl w:val="0"/>
              <w:jc w:val="both"/>
              <w:rPr>
                <w:color w:val="000000"/>
              </w:rPr>
            </w:pPr>
            <w:r w:rsidRPr="00845B64">
              <w:rPr>
                <w:color w:val="000000"/>
              </w:rPr>
              <w:lastRenderedPageBreak/>
              <w:t>2</w:t>
            </w:r>
          </w:p>
        </w:tc>
        <w:tc>
          <w:tcPr>
            <w:tcW w:w="1870" w:type="dxa"/>
            <w:tcBorders>
              <w:top w:val="single" w:sz="4" w:space="0" w:color="auto"/>
              <w:left w:val="single" w:sz="4" w:space="0" w:color="auto"/>
              <w:bottom w:val="single" w:sz="4" w:space="0" w:color="auto"/>
              <w:right w:val="single" w:sz="4" w:space="0" w:color="auto"/>
            </w:tcBorders>
            <w:hideMark/>
          </w:tcPr>
          <w:p w14:paraId="79B93CA1" w14:textId="77777777" w:rsidR="00327CCB" w:rsidRPr="00845B64" w:rsidRDefault="00327CCB" w:rsidP="0043015B">
            <w:pPr>
              <w:widowControl w:val="0"/>
              <w:jc w:val="both"/>
              <w:rPr>
                <w:color w:val="000000"/>
              </w:rPr>
            </w:pPr>
            <w:r w:rsidRPr="00845B64">
              <w:rPr>
                <w:color w:val="000000"/>
              </w:rPr>
              <w:t>Presentation</w:t>
            </w:r>
          </w:p>
        </w:tc>
        <w:tc>
          <w:tcPr>
            <w:tcW w:w="2360" w:type="dxa"/>
            <w:tcBorders>
              <w:top w:val="single" w:sz="4" w:space="0" w:color="auto"/>
              <w:left w:val="single" w:sz="4" w:space="0" w:color="auto"/>
              <w:bottom w:val="single" w:sz="4" w:space="0" w:color="auto"/>
              <w:right w:val="single" w:sz="4" w:space="0" w:color="auto"/>
            </w:tcBorders>
            <w:hideMark/>
          </w:tcPr>
          <w:p w14:paraId="5257DCE1" w14:textId="77777777" w:rsidR="00327CCB" w:rsidRPr="00845B64" w:rsidRDefault="00327CCB" w:rsidP="0043015B">
            <w:pPr>
              <w:widowControl w:val="0"/>
              <w:jc w:val="both"/>
              <w:rPr>
                <w:color w:val="000000"/>
              </w:rPr>
            </w:pPr>
            <w:r w:rsidRPr="00845B64">
              <w:rPr>
                <w:color w:val="000000"/>
              </w:rPr>
              <w:t>Initial Findings</w:t>
            </w:r>
          </w:p>
        </w:tc>
        <w:tc>
          <w:tcPr>
            <w:tcW w:w="1980" w:type="dxa"/>
            <w:tcBorders>
              <w:top w:val="single" w:sz="4" w:space="0" w:color="auto"/>
              <w:left w:val="single" w:sz="4" w:space="0" w:color="auto"/>
              <w:bottom w:val="single" w:sz="4" w:space="0" w:color="auto"/>
              <w:right w:val="single" w:sz="4" w:space="0" w:color="auto"/>
            </w:tcBorders>
            <w:hideMark/>
          </w:tcPr>
          <w:p w14:paraId="0FC18F43" w14:textId="77777777" w:rsidR="00327CCB" w:rsidRPr="00845B64" w:rsidRDefault="00327CCB" w:rsidP="0043015B">
            <w:pPr>
              <w:widowControl w:val="0"/>
              <w:jc w:val="both"/>
              <w:rPr>
                <w:color w:val="000000"/>
              </w:rPr>
            </w:pPr>
            <w:r w:rsidRPr="00845B64">
              <w:rPr>
                <w:color w:val="000000"/>
              </w:rPr>
              <w:t xml:space="preserve">End of TE mission: </w:t>
            </w:r>
            <w:r>
              <w:rPr>
                <w:color w:val="000000"/>
              </w:rPr>
              <w:t>15-Jan-2021</w:t>
            </w:r>
          </w:p>
        </w:tc>
        <w:tc>
          <w:tcPr>
            <w:tcW w:w="2520" w:type="dxa"/>
            <w:tcBorders>
              <w:top w:val="single" w:sz="4" w:space="0" w:color="auto"/>
              <w:left w:val="single" w:sz="4" w:space="0" w:color="auto"/>
              <w:bottom w:val="single" w:sz="4" w:space="0" w:color="auto"/>
              <w:right w:val="single" w:sz="4" w:space="0" w:color="auto"/>
            </w:tcBorders>
            <w:hideMark/>
          </w:tcPr>
          <w:p w14:paraId="0FA1C9EB" w14:textId="77777777" w:rsidR="00327CCB" w:rsidRPr="00845B64" w:rsidRDefault="00327CCB" w:rsidP="0043015B">
            <w:pPr>
              <w:widowControl w:val="0"/>
              <w:jc w:val="both"/>
              <w:rPr>
                <w:color w:val="000000"/>
              </w:rPr>
            </w:pPr>
            <w:r w:rsidRPr="00845B64">
              <w:rPr>
                <w:color w:val="000000"/>
              </w:rPr>
              <w:t>TE team presents to Commissioning Unit and project management</w:t>
            </w:r>
          </w:p>
        </w:tc>
      </w:tr>
      <w:tr w:rsidR="00327CCB" w:rsidRPr="00845B64" w14:paraId="22C776CB" w14:textId="77777777" w:rsidTr="0043015B">
        <w:tc>
          <w:tcPr>
            <w:tcW w:w="625" w:type="dxa"/>
            <w:tcBorders>
              <w:top w:val="single" w:sz="4" w:space="0" w:color="auto"/>
              <w:left w:val="single" w:sz="4" w:space="0" w:color="auto"/>
              <w:bottom w:val="single" w:sz="4" w:space="0" w:color="auto"/>
              <w:right w:val="single" w:sz="4" w:space="0" w:color="auto"/>
            </w:tcBorders>
            <w:hideMark/>
          </w:tcPr>
          <w:p w14:paraId="4A663F58" w14:textId="77777777" w:rsidR="00327CCB" w:rsidRPr="00845B64" w:rsidRDefault="00327CCB" w:rsidP="0043015B">
            <w:pPr>
              <w:widowControl w:val="0"/>
              <w:jc w:val="both"/>
              <w:rPr>
                <w:color w:val="000000"/>
              </w:rPr>
            </w:pPr>
            <w:r w:rsidRPr="00845B64">
              <w:rPr>
                <w:color w:val="000000"/>
              </w:rPr>
              <w:t>3</w:t>
            </w:r>
          </w:p>
        </w:tc>
        <w:tc>
          <w:tcPr>
            <w:tcW w:w="1870" w:type="dxa"/>
            <w:tcBorders>
              <w:top w:val="single" w:sz="4" w:space="0" w:color="auto"/>
              <w:left w:val="single" w:sz="4" w:space="0" w:color="auto"/>
              <w:bottom w:val="single" w:sz="4" w:space="0" w:color="auto"/>
              <w:right w:val="single" w:sz="4" w:space="0" w:color="auto"/>
            </w:tcBorders>
            <w:hideMark/>
          </w:tcPr>
          <w:p w14:paraId="4F98EB9C" w14:textId="77777777" w:rsidR="00327CCB" w:rsidRPr="00845B64" w:rsidRDefault="00327CCB" w:rsidP="0043015B">
            <w:pPr>
              <w:widowControl w:val="0"/>
              <w:jc w:val="both"/>
              <w:rPr>
                <w:color w:val="000000"/>
              </w:rPr>
            </w:pPr>
            <w:r w:rsidRPr="00845B64">
              <w:rPr>
                <w:color w:val="000000"/>
              </w:rPr>
              <w:t>Draft TE Report</w:t>
            </w:r>
          </w:p>
        </w:tc>
        <w:tc>
          <w:tcPr>
            <w:tcW w:w="2360" w:type="dxa"/>
            <w:tcBorders>
              <w:top w:val="single" w:sz="4" w:space="0" w:color="auto"/>
              <w:left w:val="single" w:sz="4" w:space="0" w:color="auto"/>
              <w:bottom w:val="single" w:sz="4" w:space="0" w:color="auto"/>
              <w:right w:val="single" w:sz="4" w:space="0" w:color="auto"/>
            </w:tcBorders>
            <w:hideMark/>
          </w:tcPr>
          <w:p w14:paraId="389394F1" w14:textId="77777777" w:rsidR="00327CCB" w:rsidRPr="00073E15" w:rsidRDefault="00327CCB" w:rsidP="0043015B">
            <w:pPr>
              <w:widowControl w:val="0"/>
              <w:jc w:val="both"/>
              <w:rPr>
                <w:color w:val="000000"/>
              </w:rPr>
            </w:pPr>
            <w:r w:rsidRPr="00073E15">
              <w:rPr>
                <w:color w:val="000000"/>
              </w:rPr>
              <w:t xml:space="preserve">Full draft report </w:t>
            </w:r>
            <w:r w:rsidRPr="00073E15">
              <w:rPr>
                <w:i/>
                <w:color w:val="000000"/>
              </w:rPr>
              <w:t xml:space="preserve">(using guidelines on report content in </w:t>
            </w:r>
            <w:proofErr w:type="spellStart"/>
            <w:r w:rsidRPr="00073E15">
              <w:rPr>
                <w:i/>
                <w:color w:val="000000"/>
              </w:rPr>
              <w:t>ToR</w:t>
            </w:r>
            <w:proofErr w:type="spellEnd"/>
            <w:r w:rsidRPr="00073E15">
              <w:rPr>
                <w:i/>
                <w:color w:val="000000"/>
              </w:rPr>
              <w:t xml:space="preserve"> Annex C)</w:t>
            </w:r>
            <w:r w:rsidRPr="00073E15">
              <w:rPr>
                <w:color w:val="000000"/>
              </w:rPr>
              <w:t xml:space="preserve"> with annexes</w:t>
            </w:r>
          </w:p>
        </w:tc>
        <w:tc>
          <w:tcPr>
            <w:tcW w:w="1980" w:type="dxa"/>
            <w:tcBorders>
              <w:top w:val="single" w:sz="4" w:space="0" w:color="auto"/>
              <w:left w:val="single" w:sz="4" w:space="0" w:color="auto"/>
              <w:bottom w:val="single" w:sz="4" w:space="0" w:color="auto"/>
              <w:right w:val="single" w:sz="4" w:space="0" w:color="auto"/>
            </w:tcBorders>
            <w:hideMark/>
          </w:tcPr>
          <w:p w14:paraId="10C5B027" w14:textId="77777777" w:rsidR="00327CCB" w:rsidRPr="00845B64" w:rsidRDefault="00327CCB" w:rsidP="0043015B">
            <w:pPr>
              <w:widowControl w:val="0"/>
              <w:jc w:val="both"/>
              <w:rPr>
                <w:color w:val="000000"/>
              </w:rPr>
            </w:pPr>
            <w:r>
              <w:rPr>
                <w:color w:val="000000"/>
              </w:rPr>
              <w:t>19-Feb-2021</w:t>
            </w:r>
          </w:p>
        </w:tc>
        <w:tc>
          <w:tcPr>
            <w:tcW w:w="2520" w:type="dxa"/>
            <w:tcBorders>
              <w:top w:val="single" w:sz="4" w:space="0" w:color="auto"/>
              <w:left w:val="single" w:sz="4" w:space="0" w:color="auto"/>
              <w:bottom w:val="single" w:sz="4" w:space="0" w:color="auto"/>
              <w:right w:val="single" w:sz="4" w:space="0" w:color="auto"/>
            </w:tcBorders>
            <w:hideMark/>
          </w:tcPr>
          <w:p w14:paraId="0B039067" w14:textId="77777777" w:rsidR="00327CCB" w:rsidRPr="00845B64" w:rsidRDefault="00327CCB" w:rsidP="0043015B">
            <w:pPr>
              <w:widowControl w:val="0"/>
              <w:jc w:val="both"/>
              <w:rPr>
                <w:color w:val="000000"/>
              </w:rPr>
            </w:pPr>
            <w:r w:rsidRPr="00845B64">
              <w:rPr>
                <w:color w:val="000000"/>
              </w:rPr>
              <w:t>TE team submits to Commissioning Unit; reviewed by BPPS-GEF RTA, Project Coordinating Unit, GEF OFP</w:t>
            </w:r>
          </w:p>
        </w:tc>
      </w:tr>
      <w:tr w:rsidR="00327CCB" w:rsidRPr="00845B64" w14:paraId="4BDA3883" w14:textId="77777777" w:rsidTr="0043015B">
        <w:tc>
          <w:tcPr>
            <w:tcW w:w="625" w:type="dxa"/>
            <w:tcBorders>
              <w:top w:val="single" w:sz="4" w:space="0" w:color="auto"/>
              <w:left w:val="single" w:sz="4" w:space="0" w:color="auto"/>
              <w:bottom w:val="single" w:sz="4" w:space="0" w:color="auto"/>
              <w:right w:val="single" w:sz="4" w:space="0" w:color="auto"/>
            </w:tcBorders>
            <w:hideMark/>
          </w:tcPr>
          <w:p w14:paraId="59250623" w14:textId="77777777" w:rsidR="00327CCB" w:rsidRPr="00845B64" w:rsidRDefault="00327CCB" w:rsidP="0043015B">
            <w:pPr>
              <w:widowControl w:val="0"/>
              <w:jc w:val="both"/>
              <w:rPr>
                <w:color w:val="000000"/>
              </w:rPr>
            </w:pPr>
            <w:r w:rsidRPr="00845B64">
              <w:rPr>
                <w:color w:val="000000"/>
              </w:rPr>
              <w:t>5</w:t>
            </w:r>
          </w:p>
        </w:tc>
        <w:tc>
          <w:tcPr>
            <w:tcW w:w="1870" w:type="dxa"/>
            <w:tcBorders>
              <w:top w:val="single" w:sz="4" w:space="0" w:color="auto"/>
              <w:left w:val="single" w:sz="4" w:space="0" w:color="auto"/>
              <w:bottom w:val="single" w:sz="4" w:space="0" w:color="auto"/>
              <w:right w:val="single" w:sz="4" w:space="0" w:color="auto"/>
            </w:tcBorders>
            <w:hideMark/>
          </w:tcPr>
          <w:p w14:paraId="7C6955FC" w14:textId="77777777" w:rsidR="00327CCB" w:rsidRPr="00845B64" w:rsidRDefault="00327CCB" w:rsidP="0043015B">
            <w:pPr>
              <w:widowControl w:val="0"/>
              <w:jc w:val="both"/>
              <w:rPr>
                <w:color w:val="000000"/>
              </w:rPr>
            </w:pPr>
            <w:r w:rsidRPr="00845B64">
              <w:rPr>
                <w:color w:val="000000"/>
              </w:rPr>
              <w:t>Final TE Report* + Audit Trail</w:t>
            </w:r>
          </w:p>
        </w:tc>
        <w:tc>
          <w:tcPr>
            <w:tcW w:w="2360" w:type="dxa"/>
            <w:tcBorders>
              <w:top w:val="single" w:sz="4" w:space="0" w:color="auto"/>
              <w:left w:val="single" w:sz="4" w:space="0" w:color="auto"/>
              <w:bottom w:val="single" w:sz="4" w:space="0" w:color="auto"/>
              <w:right w:val="single" w:sz="4" w:space="0" w:color="auto"/>
            </w:tcBorders>
            <w:hideMark/>
          </w:tcPr>
          <w:p w14:paraId="7014AC9D" w14:textId="77777777" w:rsidR="00327CCB" w:rsidRPr="00073E15" w:rsidRDefault="00327CCB" w:rsidP="0043015B">
            <w:pPr>
              <w:widowControl w:val="0"/>
              <w:jc w:val="both"/>
              <w:rPr>
                <w:color w:val="000000"/>
              </w:rPr>
            </w:pPr>
            <w:r w:rsidRPr="00073E15">
              <w:rPr>
                <w:color w:val="000000"/>
              </w:rPr>
              <w:t xml:space="preserve">Revised final report and TE Audit trail in which the TE details how all received comments have (and have not) been addressed in the final TE report </w:t>
            </w:r>
            <w:r w:rsidRPr="00073E15">
              <w:rPr>
                <w:i/>
                <w:color w:val="000000"/>
              </w:rPr>
              <w:t xml:space="preserve">(See template in </w:t>
            </w:r>
            <w:proofErr w:type="spellStart"/>
            <w:r w:rsidRPr="00073E15">
              <w:rPr>
                <w:i/>
                <w:color w:val="000000"/>
              </w:rPr>
              <w:t>ToR</w:t>
            </w:r>
            <w:proofErr w:type="spellEnd"/>
            <w:r w:rsidRPr="00073E15">
              <w:rPr>
                <w:i/>
                <w:color w:val="000000"/>
              </w:rPr>
              <w:t xml:space="preserve"> Annex H)</w:t>
            </w:r>
          </w:p>
        </w:tc>
        <w:tc>
          <w:tcPr>
            <w:tcW w:w="1980" w:type="dxa"/>
            <w:tcBorders>
              <w:top w:val="single" w:sz="4" w:space="0" w:color="auto"/>
              <w:left w:val="single" w:sz="4" w:space="0" w:color="auto"/>
              <w:bottom w:val="single" w:sz="4" w:space="0" w:color="auto"/>
              <w:right w:val="single" w:sz="4" w:space="0" w:color="auto"/>
            </w:tcBorders>
            <w:hideMark/>
          </w:tcPr>
          <w:p w14:paraId="642EFDD7" w14:textId="77777777" w:rsidR="00327CCB" w:rsidRPr="00845B64" w:rsidRDefault="00327CCB" w:rsidP="0043015B">
            <w:pPr>
              <w:widowControl w:val="0"/>
              <w:jc w:val="both"/>
              <w:rPr>
                <w:color w:val="000000"/>
              </w:rPr>
            </w:pPr>
            <w:r>
              <w:rPr>
                <w:color w:val="000000"/>
              </w:rPr>
              <w:t>23-Mar-2021</w:t>
            </w:r>
          </w:p>
        </w:tc>
        <w:tc>
          <w:tcPr>
            <w:tcW w:w="2520" w:type="dxa"/>
            <w:tcBorders>
              <w:top w:val="single" w:sz="4" w:space="0" w:color="auto"/>
              <w:left w:val="single" w:sz="4" w:space="0" w:color="auto"/>
              <w:bottom w:val="single" w:sz="4" w:space="0" w:color="auto"/>
              <w:right w:val="single" w:sz="4" w:space="0" w:color="auto"/>
            </w:tcBorders>
            <w:hideMark/>
          </w:tcPr>
          <w:p w14:paraId="79CD1637" w14:textId="77777777" w:rsidR="00327CCB" w:rsidRPr="00845B64" w:rsidRDefault="00327CCB" w:rsidP="0043015B">
            <w:pPr>
              <w:widowControl w:val="0"/>
              <w:jc w:val="both"/>
              <w:rPr>
                <w:color w:val="000000"/>
              </w:rPr>
            </w:pPr>
            <w:r w:rsidRPr="00845B64">
              <w:rPr>
                <w:color w:val="000000"/>
              </w:rPr>
              <w:t>TE team submits both documents to the Commissioning Unit</w:t>
            </w:r>
          </w:p>
        </w:tc>
      </w:tr>
    </w:tbl>
    <w:p w14:paraId="0131C8A6" w14:textId="77777777" w:rsidR="00EF6294" w:rsidRPr="00845B64" w:rsidRDefault="00EF6294" w:rsidP="00EF6294">
      <w:pPr>
        <w:widowControl w:val="0"/>
        <w:spacing w:after="0" w:line="240" w:lineRule="auto"/>
        <w:jc w:val="both"/>
        <w:rPr>
          <w:rFonts w:eastAsia="SimSun" w:cs="Times New Roman"/>
          <w:color w:val="000000"/>
          <w:kern w:val="2"/>
          <w:lang w:eastAsia="zh-CN"/>
        </w:rPr>
      </w:pPr>
    </w:p>
    <w:p w14:paraId="6DEB284C" w14:textId="77777777" w:rsidR="00EF6294" w:rsidRPr="00845B6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*All final TE reports will be quality assessed by the UNDP Independent Evaluation Office (IEO).  Details of the IEO’s quality assessment of decentralized evaluations can be found in Section 6 of the UNDP Evaluation Guidelines.</w:t>
      </w:r>
      <w:r w:rsidRPr="00845B64">
        <w:rPr>
          <w:rFonts w:eastAsia="SimSun" w:cs="Times New Roman"/>
          <w:color w:val="000000"/>
          <w:kern w:val="2"/>
          <w:vertAlign w:val="superscript"/>
          <w:lang w:eastAsia="zh-CN"/>
        </w:rPr>
        <w:footnoteReference w:id="88"/>
      </w:r>
    </w:p>
    <w:p w14:paraId="7175DAF4" w14:textId="77777777" w:rsidR="00EF6294" w:rsidRPr="00845B64" w:rsidRDefault="00EF6294" w:rsidP="00EF6294">
      <w:pPr>
        <w:widowControl w:val="0"/>
        <w:spacing w:after="0" w:line="240" w:lineRule="auto"/>
        <w:jc w:val="both"/>
        <w:rPr>
          <w:rFonts w:eastAsia="SimSun" w:cs="Times New Roman"/>
          <w:b/>
          <w:kern w:val="2"/>
          <w:lang w:eastAsia="zh-CN"/>
        </w:rPr>
      </w:pPr>
    </w:p>
    <w:p w14:paraId="515DA4DF" w14:textId="77777777" w:rsidR="00EF6294" w:rsidRPr="00845B64" w:rsidRDefault="00EF6294" w:rsidP="00AC0D02">
      <w:pPr>
        <w:widowControl w:val="0"/>
        <w:numPr>
          <w:ilvl w:val="0"/>
          <w:numId w:val="6"/>
        </w:numPr>
        <w:spacing w:after="0" w:line="240" w:lineRule="auto"/>
        <w:contextualSpacing/>
        <w:jc w:val="both"/>
        <w:rPr>
          <w:rFonts w:eastAsia="Calibri" w:cs="Times New Roman"/>
          <w:b/>
          <w:bCs/>
        </w:rPr>
      </w:pPr>
      <w:r w:rsidRPr="00845B64">
        <w:rPr>
          <w:rFonts w:eastAsia="Calibri" w:cs="Times New Roman"/>
          <w:b/>
          <w:bCs/>
        </w:rPr>
        <w:t>TE ARRANGEMENTS</w:t>
      </w:r>
    </w:p>
    <w:p w14:paraId="108ADDF3" w14:textId="77777777" w:rsidR="00EF6294" w:rsidRPr="00845B64" w:rsidRDefault="00EF6294" w:rsidP="00EF6294">
      <w:pPr>
        <w:widowControl w:val="0"/>
        <w:shd w:val="clear" w:color="auto" w:fill="FFFFFF"/>
        <w:spacing w:after="0" w:line="240" w:lineRule="auto"/>
        <w:jc w:val="both"/>
        <w:rPr>
          <w:rFonts w:eastAsia="Calibri" w:cs="Times New Roman"/>
          <w:i/>
          <w:iCs/>
          <w:color w:val="000000"/>
          <w:kern w:val="2"/>
          <w:lang w:eastAsia="zh-CN"/>
        </w:rPr>
      </w:pPr>
      <w:r w:rsidRPr="00845B64">
        <w:rPr>
          <w:rFonts w:eastAsia="Calibri" w:cs="Times New Roman"/>
          <w:i/>
          <w:iCs/>
          <w:color w:val="000000"/>
          <w:kern w:val="2"/>
          <w:lang w:eastAsia="zh-CN"/>
        </w:rPr>
        <w:t>NOTE: Detail the role of the Commissioning Unit and Project Team in supporting the implementation of remote/ virtual meetings. An updated stakeholder list with contact details (phone and email) will need to be provided by the Commissioning Unit to the TE team. Adjust the text if a mission will not take place.</w:t>
      </w:r>
    </w:p>
    <w:p w14:paraId="3A716C13" w14:textId="77777777" w:rsidR="00EF6294" w:rsidRPr="00845B64" w:rsidRDefault="00EF6294" w:rsidP="00EF6294">
      <w:pPr>
        <w:widowControl w:val="0"/>
        <w:shd w:val="clear" w:color="auto" w:fill="FFFFFF"/>
        <w:spacing w:after="0" w:line="240" w:lineRule="auto"/>
        <w:jc w:val="both"/>
        <w:rPr>
          <w:rFonts w:eastAsia="SimSun" w:cs="Times New Roman"/>
          <w:i/>
          <w:iCs/>
          <w:kern w:val="2"/>
          <w:lang w:eastAsia="zh-CN"/>
        </w:rPr>
      </w:pPr>
    </w:p>
    <w:p w14:paraId="2C4BE29B" w14:textId="77777777" w:rsidR="00EF6294" w:rsidRPr="00845B6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principal responsibility for managing the TE resides with the Commissioning Unit. The Commissioning Unit for this project’s TE is UNDP China.</w:t>
      </w:r>
    </w:p>
    <w:p w14:paraId="764115A5" w14:textId="77777777" w:rsidR="00EF6294" w:rsidRPr="00845B64" w:rsidRDefault="00EF6294" w:rsidP="00EF6294">
      <w:pPr>
        <w:widowControl w:val="0"/>
        <w:spacing w:after="0" w:line="240" w:lineRule="auto"/>
        <w:jc w:val="both"/>
        <w:rPr>
          <w:rFonts w:eastAsia="SimSun" w:cs="Times New Roman"/>
          <w:color w:val="000000"/>
          <w:kern w:val="2"/>
          <w:lang w:eastAsia="zh-CN"/>
        </w:rPr>
      </w:pPr>
    </w:p>
    <w:p w14:paraId="39E843C4" w14:textId="77777777" w:rsidR="00EF6294" w:rsidRPr="00845B6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Commissioning Unit will contract the evaluators and ensure the timely provision of per diems and travel arrangements within the country for the TE team. The Project Team will be responsible for liaising with the TE team to provide all relevant documents, set up stakeholder interviews, and arrange field visits.</w:t>
      </w:r>
    </w:p>
    <w:p w14:paraId="1E7C948A" w14:textId="77777777" w:rsidR="00EF6294" w:rsidRPr="00845B64" w:rsidRDefault="00EF6294" w:rsidP="00EF6294">
      <w:pPr>
        <w:widowControl w:val="0"/>
        <w:spacing w:after="0" w:line="240" w:lineRule="auto"/>
        <w:jc w:val="both"/>
        <w:rPr>
          <w:rFonts w:eastAsia="SimSun" w:cs="Times New Roman"/>
          <w:b/>
          <w:kern w:val="2"/>
          <w:lang w:eastAsia="zh-CN"/>
        </w:rPr>
      </w:pPr>
    </w:p>
    <w:p w14:paraId="2C5B3FE9" w14:textId="77777777" w:rsidR="00EF6294" w:rsidRPr="00845B64" w:rsidRDefault="00EF6294" w:rsidP="00AC0D02">
      <w:pPr>
        <w:widowControl w:val="0"/>
        <w:numPr>
          <w:ilvl w:val="0"/>
          <w:numId w:val="6"/>
        </w:numPr>
        <w:spacing w:after="0" w:line="240" w:lineRule="auto"/>
        <w:ind w:left="0" w:firstLine="0"/>
        <w:contextualSpacing/>
        <w:jc w:val="both"/>
        <w:rPr>
          <w:rFonts w:eastAsia="Calibri" w:cs="Times New Roman"/>
          <w:b/>
        </w:rPr>
      </w:pPr>
      <w:r w:rsidRPr="00845B64">
        <w:rPr>
          <w:rFonts w:eastAsia="Calibri" w:cs="Times New Roman"/>
          <w:b/>
        </w:rPr>
        <w:t>TE Team Composition</w:t>
      </w:r>
    </w:p>
    <w:p w14:paraId="43AF95F3" w14:textId="77777777" w:rsidR="00EF6294" w:rsidRPr="00845B64" w:rsidRDefault="00EF6294" w:rsidP="00EF6294">
      <w:pPr>
        <w:widowControl w:val="0"/>
        <w:spacing w:after="0" w:line="240" w:lineRule="auto"/>
        <w:jc w:val="both"/>
        <w:rPr>
          <w:rFonts w:eastAsia="SimSun" w:cs="Times New Roman"/>
          <w:i/>
          <w:iCs/>
          <w:color w:val="000000"/>
          <w:kern w:val="2"/>
          <w:lang w:eastAsia="zh-CN"/>
        </w:rPr>
      </w:pPr>
      <w:r w:rsidRPr="00845B64">
        <w:rPr>
          <w:rFonts w:eastAsia="SimSun" w:cs="Times New Roman"/>
          <w:i/>
          <w:iCs/>
          <w:color w:val="000000"/>
          <w:kern w:val="2"/>
          <w:lang w:eastAsia="zh-CN"/>
        </w:rPr>
        <w:t>NOTE: Provide additional details on management structures and implementation if the International Consultant will work with a National Consultant and/or if the International Consultant is to operate remotely. Include a provision for experience in implementing evaluations remotely.</w:t>
      </w:r>
    </w:p>
    <w:p w14:paraId="42186FFB" w14:textId="77777777" w:rsidR="00EF6294" w:rsidRPr="00845B64" w:rsidRDefault="00EF6294" w:rsidP="00EF6294">
      <w:pPr>
        <w:widowControl w:val="0"/>
        <w:spacing w:after="0" w:line="240" w:lineRule="auto"/>
        <w:jc w:val="both"/>
        <w:rPr>
          <w:rFonts w:eastAsia="SimSun" w:cs="Times New Roman"/>
          <w:kern w:val="2"/>
          <w:lang w:eastAsia="zh-CN"/>
        </w:rPr>
      </w:pPr>
    </w:p>
    <w:p w14:paraId="3E8CCED2" w14:textId="2248D9FB" w:rsidR="00EF6294" w:rsidRDefault="00EF6294" w:rsidP="00EF6294">
      <w:pPr>
        <w:widowControl w:val="0"/>
        <w:spacing w:after="0" w:line="240" w:lineRule="auto"/>
        <w:jc w:val="both"/>
        <w:rPr>
          <w:rFonts w:eastAsia="SimSun" w:cs="Times New Roman"/>
          <w:i/>
          <w:color w:val="000000"/>
          <w:kern w:val="2"/>
          <w:lang w:eastAsia="zh-CN"/>
        </w:rPr>
      </w:pPr>
      <w:r w:rsidRPr="00073E15">
        <w:rPr>
          <w:rFonts w:eastAsia="SimSun" w:cs="Times New Roman"/>
          <w:color w:val="000000"/>
          <w:kern w:val="2"/>
          <w:lang w:eastAsia="zh-CN"/>
        </w:rPr>
        <w:t xml:space="preserve">A team of </w:t>
      </w:r>
      <w:r w:rsidRPr="00073E15">
        <w:rPr>
          <w:rFonts w:eastAsia="SimSun" w:cs="Times New Roman"/>
          <w:i/>
          <w:color w:val="000000"/>
          <w:kern w:val="2"/>
          <w:lang w:eastAsia="zh-CN"/>
        </w:rPr>
        <w:t>two independent evaluators</w:t>
      </w:r>
      <w:r w:rsidRPr="00073E15">
        <w:rPr>
          <w:rFonts w:eastAsia="SimSun" w:cs="Times New Roman"/>
          <w:kern w:val="2"/>
          <w:lang w:eastAsia="zh-CN"/>
        </w:rPr>
        <w:t xml:space="preserve"> </w:t>
      </w:r>
      <w:r w:rsidRPr="00073E15">
        <w:rPr>
          <w:rFonts w:eastAsia="SimSun" w:cs="Times New Roman"/>
          <w:color w:val="000000"/>
          <w:kern w:val="2"/>
          <w:lang w:eastAsia="zh-CN"/>
        </w:rPr>
        <w:t>will conduct the TE –</w:t>
      </w:r>
      <w:r w:rsidRPr="00073E15">
        <w:rPr>
          <w:rFonts w:eastAsia="SimSun" w:cs="Times New Roman"/>
          <w:kern w:val="2"/>
          <w:lang w:eastAsia="zh-CN"/>
        </w:rPr>
        <w:t xml:space="preserve"> </w:t>
      </w:r>
      <w:r w:rsidRPr="00073E15">
        <w:rPr>
          <w:rFonts w:eastAsia="SimSun" w:cs="Times New Roman"/>
          <w:i/>
          <w:color w:val="000000"/>
          <w:kern w:val="2"/>
          <w:lang w:eastAsia="zh-CN"/>
        </w:rPr>
        <w:t>one team leader (with experience and exposure to projects and evaluations in other regions) and one team expert, usually from the country of the project</w:t>
      </w:r>
      <w:r w:rsidRPr="00073E15">
        <w:rPr>
          <w:rFonts w:eastAsia="SimSun" w:cs="Times New Roman"/>
          <w:kern w:val="2"/>
          <w:lang w:eastAsia="zh-CN"/>
        </w:rPr>
        <w:t xml:space="preserve">.  </w:t>
      </w:r>
      <w:r w:rsidRPr="00073E15">
        <w:rPr>
          <w:rFonts w:eastAsia="SimSun" w:cs="Times New Roman"/>
          <w:color w:val="000000"/>
          <w:kern w:val="2"/>
          <w:lang w:eastAsia="zh-CN"/>
        </w:rPr>
        <w:t>The team leader will</w:t>
      </w:r>
      <w:r w:rsidRPr="00073E15">
        <w:rPr>
          <w:rFonts w:eastAsia="SimSun" w:cs="Times New Roman"/>
          <w:kern w:val="2"/>
          <w:lang w:eastAsia="zh-CN"/>
        </w:rPr>
        <w:t xml:space="preserve"> </w:t>
      </w:r>
      <w:r w:rsidRPr="00073E15">
        <w:rPr>
          <w:rFonts w:eastAsia="SimSun" w:cs="Times New Roman"/>
          <w:i/>
          <w:color w:val="000000"/>
          <w:kern w:val="2"/>
          <w:lang w:eastAsia="zh-CN"/>
        </w:rPr>
        <w:t xml:space="preserve">(add details, as appropriate, e.g. be responsible for the overall design and writing of the TE report, etc.)  </w:t>
      </w:r>
      <w:r w:rsidRPr="00073E15">
        <w:rPr>
          <w:rFonts w:eastAsia="SimSun" w:cs="Times New Roman"/>
          <w:color w:val="000000"/>
          <w:kern w:val="2"/>
          <w:lang w:eastAsia="zh-CN"/>
        </w:rPr>
        <w:t>The team expert will</w:t>
      </w:r>
      <w:r w:rsidRPr="00073E15">
        <w:rPr>
          <w:rFonts w:eastAsia="SimSun" w:cs="Times New Roman"/>
          <w:kern w:val="2"/>
          <w:lang w:eastAsia="zh-CN"/>
        </w:rPr>
        <w:t xml:space="preserve"> </w:t>
      </w:r>
      <w:r w:rsidRPr="00073E15">
        <w:rPr>
          <w:rFonts w:eastAsia="SimSun" w:cs="Times New Roman"/>
          <w:i/>
          <w:color w:val="000000"/>
          <w:kern w:val="2"/>
          <w:lang w:eastAsia="zh-CN"/>
        </w:rPr>
        <w:t xml:space="preserve">(add details, as appropriate, </w:t>
      </w:r>
      <w:proofErr w:type="gramStart"/>
      <w:r w:rsidRPr="00073E15">
        <w:rPr>
          <w:rFonts w:eastAsia="SimSun" w:cs="Times New Roman"/>
          <w:i/>
          <w:color w:val="000000"/>
          <w:kern w:val="2"/>
          <w:lang w:eastAsia="zh-CN"/>
        </w:rPr>
        <w:t>e.g.</w:t>
      </w:r>
      <w:proofErr w:type="gramEnd"/>
      <w:r w:rsidRPr="00073E15">
        <w:rPr>
          <w:rFonts w:eastAsia="SimSun" w:cs="Times New Roman"/>
          <w:i/>
          <w:color w:val="000000"/>
          <w:kern w:val="2"/>
          <w:lang w:eastAsia="zh-CN"/>
        </w:rPr>
        <w:t xml:space="preserve"> assess emerging trends with respect to regulatory frameworks, budget allocations, capacity building, work with the Project Team in developing the TE itinerary, etc.)</w:t>
      </w:r>
    </w:p>
    <w:p w14:paraId="5FDF47D3" w14:textId="77777777" w:rsidR="00073E15" w:rsidRPr="00845B64" w:rsidRDefault="00073E15" w:rsidP="00EF6294">
      <w:pPr>
        <w:widowControl w:val="0"/>
        <w:spacing w:after="0" w:line="240" w:lineRule="auto"/>
        <w:jc w:val="both"/>
        <w:rPr>
          <w:rFonts w:eastAsia="SimSun" w:cs="Times New Roman"/>
          <w:kern w:val="2"/>
          <w:lang w:eastAsia="zh-CN"/>
        </w:rPr>
      </w:pPr>
    </w:p>
    <w:p w14:paraId="3AE71193" w14:textId="77777777" w:rsidR="00EF6294" w:rsidRPr="00845B6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 xml:space="preserve">The evaluator(s) cannot have participated in the project preparation, formulation and/or implementation </w:t>
      </w:r>
      <w:r w:rsidRPr="00845B64">
        <w:rPr>
          <w:rFonts w:eastAsia="SimSun" w:cs="Times New Roman"/>
          <w:color w:val="000000"/>
          <w:kern w:val="2"/>
          <w:lang w:eastAsia="zh-CN"/>
        </w:rPr>
        <w:lastRenderedPageBreak/>
        <w:t>(including the writing of the project document), must not have conducted this project’s Mid-Term Review and should not have a conflict of interest with the project’s related activities.</w:t>
      </w:r>
    </w:p>
    <w:p w14:paraId="4D9A1296" w14:textId="77777777" w:rsidR="00EF6294" w:rsidRPr="00073E15" w:rsidRDefault="00EF6294" w:rsidP="00EF6294">
      <w:pPr>
        <w:widowControl w:val="0"/>
        <w:spacing w:after="0" w:line="240" w:lineRule="auto"/>
        <w:jc w:val="both"/>
        <w:rPr>
          <w:rFonts w:eastAsia="SimSun" w:cs="Times New Roman"/>
          <w:i/>
          <w:color w:val="000000"/>
          <w:kern w:val="2"/>
          <w:lang w:eastAsia="zh-CN"/>
        </w:rPr>
      </w:pPr>
      <w:r w:rsidRPr="00073E15">
        <w:rPr>
          <w:rFonts w:eastAsia="SimSun" w:cs="Times New Roman"/>
          <w:color w:val="000000"/>
          <w:kern w:val="2"/>
          <w:lang w:eastAsia="zh-CN"/>
        </w:rPr>
        <w:t>The selection of evaluators will be aimed at maximizing the overall “team” qualities in the following areas:</w:t>
      </w:r>
      <w:r w:rsidRPr="00073E15">
        <w:rPr>
          <w:rFonts w:eastAsia="SimSun" w:cs="Times New Roman"/>
          <w:kern w:val="2"/>
          <w:lang w:eastAsia="zh-CN"/>
        </w:rPr>
        <w:t xml:space="preserve"> </w:t>
      </w:r>
      <w:r w:rsidRPr="00073E15">
        <w:rPr>
          <w:rFonts w:eastAsia="SimSun" w:cs="Times New Roman"/>
          <w:i/>
          <w:color w:val="000000"/>
          <w:kern w:val="2"/>
          <w:lang w:eastAsia="zh-CN"/>
        </w:rPr>
        <w:t>(Adjust the qualifications as needed and provide a weight to each qualification.  In most cases, the qualifications for the team leader and those for the team expert will differ.  Therefore, there should be two different lists of qualifications or separate TORs.)</w:t>
      </w:r>
    </w:p>
    <w:p w14:paraId="2AC7EAB2" w14:textId="77777777" w:rsidR="00EF6294" w:rsidRPr="00073E15" w:rsidRDefault="00EF6294" w:rsidP="00EF6294">
      <w:pPr>
        <w:widowControl w:val="0"/>
        <w:spacing w:after="0" w:line="240" w:lineRule="auto"/>
        <w:jc w:val="both"/>
        <w:rPr>
          <w:rFonts w:eastAsia="SimSun" w:cs="Times New Roman"/>
          <w:spacing w:val="4"/>
          <w:kern w:val="2"/>
          <w:lang w:eastAsia="zh-CN"/>
        </w:rPr>
      </w:pPr>
    </w:p>
    <w:p w14:paraId="52837F36" w14:textId="77777777" w:rsidR="00EF6294" w:rsidRPr="00073E15" w:rsidRDefault="00EF6294" w:rsidP="00EF6294">
      <w:pPr>
        <w:widowControl w:val="0"/>
        <w:spacing w:after="0" w:line="240" w:lineRule="auto"/>
        <w:jc w:val="both"/>
        <w:rPr>
          <w:rFonts w:eastAsia="SimSun" w:cs="Times New Roman"/>
          <w:spacing w:val="4"/>
          <w:kern w:val="2"/>
          <w:lang w:eastAsia="zh-CN"/>
        </w:rPr>
      </w:pPr>
      <w:r w:rsidRPr="00073E15">
        <w:rPr>
          <w:rFonts w:eastAsia="SimSun" w:cs="Times New Roman"/>
          <w:spacing w:val="4"/>
          <w:kern w:val="2"/>
          <w:lang w:eastAsia="zh-CN"/>
        </w:rPr>
        <w:t xml:space="preserve">The TE Team will be composed of one International Lead Consultant and one National Consultants. </w:t>
      </w:r>
      <w:r w:rsidRPr="00073E15">
        <w:rPr>
          <w:rFonts w:eastAsia="SimSun" w:cs="Times New Roman"/>
          <w:color w:val="000000"/>
          <w:kern w:val="2"/>
          <w:lang w:eastAsia="zh-CN"/>
        </w:rPr>
        <w:t>The team leader’ responsibilities are outlined below. The team expert will</w:t>
      </w:r>
      <w:r w:rsidRPr="00073E15">
        <w:rPr>
          <w:rFonts w:eastAsia="SimSun" w:cs="Times New Roman"/>
          <w:kern w:val="2"/>
          <w:lang w:eastAsia="zh-CN"/>
        </w:rPr>
        <w:t xml:space="preserve"> </w:t>
      </w:r>
      <w:r w:rsidRPr="00073E15">
        <w:rPr>
          <w:rFonts w:eastAsia="SimSun" w:cs="Times New Roman"/>
          <w:i/>
          <w:color w:val="000000"/>
          <w:kern w:val="2"/>
          <w:lang w:eastAsia="zh-CN"/>
        </w:rPr>
        <w:t xml:space="preserve">(add details, as appropriate, e.g. assess emerging trends with respect to regulatory frameworks, budget allocations, capacity building, work with the Project Team in developing the TE itinerary, etc.) </w:t>
      </w:r>
    </w:p>
    <w:p w14:paraId="19B41E93" w14:textId="77777777" w:rsidR="00EF6294" w:rsidRPr="00073E15" w:rsidRDefault="00EF6294" w:rsidP="00EF6294">
      <w:pPr>
        <w:widowControl w:val="0"/>
        <w:spacing w:after="0" w:line="240" w:lineRule="auto"/>
        <w:jc w:val="both"/>
        <w:rPr>
          <w:rFonts w:eastAsia="SimSun" w:cs="Times New Roman"/>
          <w:spacing w:val="4"/>
          <w:kern w:val="2"/>
          <w:lang w:eastAsia="zh-CN"/>
        </w:rPr>
      </w:pPr>
    </w:p>
    <w:p w14:paraId="2E05ACB8" w14:textId="77777777" w:rsidR="00EF6294" w:rsidRPr="00073E15" w:rsidRDefault="00EF6294" w:rsidP="00EF6294">
      <w:pPr>
        <w:widowControl w:val="0"/>
        <w:spacing w:after="0" w:line="240" w:lineRule="auto"/>
        <w:jc w:val="both"/>
        <w:rPr>
          <w:rFonts w:eastAsia="SimSun" w:cs="Times New Roman"/>
          <w:color w:val="000000"/>
          <w:kern w:val="2"/>
          <w:lang w:eastAsia="zh-CN"/>
        </w:rPr>
      </w:pPr>
      <w:r w:rsidRPr="00073E15">
        <w:rPr>
          <w:rFonts w:eastAsia="SimSun" w:cs="Times New Roman"/>
          <w:color w:val="000000"/>
          <w:kern w:val="2"/>
          <w:lang w:eastAsia="zh-CN"/>
        </w:rPr>
        <w:t>The evaluator(s) cannot have participated in the project preparation, formulation and/or implementation (including the writing of the project document), must not have conducted this project’s Mid-Term Review and should not have a conflict of interest with the project’s related activities.</w:t>
      </w:r>
    </w:p>
    <w:p w14:paraId="2ABFD4FA" w14:textId="77777777" w:rsidR="00EF6294" w:rsidRPr="00073E15" w:rsidRDefault="00EF6294" w:rsidP="00EF6294">
      <w:pPr>
        <w:widowControl w:val="0"/>
        <w:spacing w:after="0" w:line="240" w:lineRule="auto"/>
        <w:jc w:val="both"/>
        <w:rPr>
          <w:rFonts w:eastAsia="SimSun" w:cs="Times New Roman"/>
          <w:color w:val="000000"/>
          <w:kern w:val="2"/>
          <w:lang w:eastAsia="zh-CN"/>
        </w:rPr>
      </w:pPr>
    </w:p>
    <w:p w14:paraId="1C5A5543" w14:textId="77777777" w:rsidR="00EF6294" w:rsidRPr="00073E15" w:rsidRDefault="00EF6294" w:rsidP="00EF6294">
      <w:pPr>
        <w:widowControl w:val="0"/>
        <w:spacing w:after="0" w:line="240" w:lineRule="auto"/>
        <w:jc w:val="both"/>
        <w:rPr>
          <w:rFonts w:eastAsia="SimSun" w:cs="Times New Roman"/>
          <w:i/>
          <w:color w:val="000000"/>
          <w:kern w:val="2"/>
          <w:lang w:eastAsia="zh-CN"/>
        </w:rPr>
      </w:pPr>
      <w:r w:rsidRPr="00073E15">
        <w:rPr>
          <w:rFonts w:eastAsia="SimSun" w:cs="Times New Roman"/>
          <w:color w:val="000000"/>
          <w:kern w:val="2"/>
          <w:lang w:eastAsia="zh-CN"/>
        </w:rPr>
        <w:t>The selection of evaluators will be aimed at maximizing the overall “team” qualities in the following areas:</w:t>
      </w:r>
      <w:r w:rsidRPr="00073E15">
        <w:rPr>
          <w:rFonts w:eastAsia="SimSun" w:cs="Times New Roman"/>
          <w:kern w:val="2"/>
          <w:lang w:eastAsia="zh-CN"/>
        </w:rPr>
        <w:t xml:space="preserve"> </w:t>
      </w:r>
      <w:r w:rsidRPr="00073E15">
        <w:rPr>
          <w:rFonts w:eastAsia="SimSun" w:cs="Times New Roman"/>
          <w:i/>
          <w:color w:val="000000"/>
          <w:kern w:val="2"/>
          <w:lang w:eastAsia="zh-CN"/>
        </w:rPr>
        <w:t>(Adjust the qualifications as needed and provide a weight to each qualification.  In most cases, the qualifications for the team leader and those for the team expert will differ.  Therefore, there should be two different lists of qualifications or separate TORs.)</w:t>
      </w:r>
    </w:p>
    <w:p w14:paraId="328C19B1" w14:textId="77777777" w:rsidR="00EF6294" w:rsidRPr="00073E15" w:rsidRDefault="00EF6294" w:rsidP="00EF6294">
      <w:pPr>
        <w:widowControl w:val="0"/>
        <w:spacing w:after="0" w:line="240" w:lineRule="auto"/>
        <w:jc w:val="both"/>
        <w:rPr>
          <w:rFonts w:eastAsia="SimSun" w:cs="Times New Roman"/>
          <w:spacing w:val="4"/>
          <w:kern w:val="2"/>
          <w:lang w:eastAsia="zh-CN"/>
        </w:rPr>
      </w:pPr>
    </w:p>
    <w:p w14:paraId="43C26C86" w14:textId="77777777" w:rsidR="00EF6294" w:rsidRPr="00073E15" w:rsidRDefault="00EF6294" w:rsidP="0094095E">
      <w:pPr>
        <w:rPr>
          <w:rFonts w:cs="Times New Roman"/>
          <w:lang w:eastAsia="zh-CN"/>
        </w:rPr>
      </w:pPr>
      <w:r w:rsidRPr="00073E15">
        <w:rPr>
          <w:rFonts w:cs="Times New Roman"/>
          <w:lang w:eastAsia="zh-CN"/>
        </w:rPr>
        <w:t>Education</w:t>
      </w:r>
    </w:p>
    <w:p w14:paraId="0BD036E8" w14:textId="07238B2E" w:rsidR="00845B64" w:rsidRPr="00073E15" w:rsidRDefault="00EF6294" w:rsidP="00AC4129">
      <w:pPr>
        <w:widowControl w:val="0"/>
        <w:numPr>
          <w:ilvl w:val="0"/>
          <w:numId w:val="24"/>
        </w:numPr>
        <w:spacing w:after="0" w:line="240" w:lineRule="auto"/>
        <w:contextualSpacing/>
        <w:jc w:val="both"/>
        <w:rPr>
          <w:rFonts w:cs="Times New Roman"/>
          <w:lang w:eastAsia="zh-CN"/>
        </w:rPr>
      </w:pPr>
      <w:r w:rsidRPr="00073E15">
        <w:rPr>
          <w:rFonts w:eastAsia="Calibri" w:cs="Times New Roman"/>
          <w:color w:val="000000"/>
        </w:rPr>
        <w:t>Master’s degree in</w:t>
      </w:r>
      <w:r w:rsidRPr="00073E15">
        <w:rPr>
          <w:rFonts w:eastAsia="Calibri" w:cs="Times New Roman"/>
        </w:rPr>
        <w:t xml:space="preserve"> </w:t>
      </w:r>
      <w:r w:rsidRPr="00073E15">
        <w:rPr>
          <w:rFonts w:eastAsia="Calibri" w:cs="Times New Roman"/>
          <w:i/>
          <w:color w:val="000000"/>
        </w:rPr>
        <w:t>(fill in)</w:t>
      </w:r>
      <w:r w:rsidRPr="00073E15">
        <w:rPr>
          <w:rFonts w:eastAsia="Calibri" w:cs="Times New Roman"/>
        </w:rPr>
        <w:t xml:space="preserve"> </w:t>
      </w:r>
      <w:r w:rsidRPr="00073E15">
        <w:rPr>
          <w:rFonts w:eastAsia="Calibri" w:cs="Times New Roman"/>
          <w:color w:val="000000"/>
        </w:rPr>
        <w:t>or other closely related field;</w:t>
      </w:r>
    </w:p>
    <w:p w14:paraId="55E19DFC" w14:textId="4DD7184E" w:rsidR="00EF6294" w:rsidRPr="00845B64" w:rsidRDefault="00EF6294" w:rsidP="00845B64">
      <w:pPr>
        <w:rPr>
          <w:rFonts w:eastAsia="SimSun" w:cs="Times New Roman"/>
          <w:spacing w:val="4"/>
          <w:kern w:val="2"/>
          <w:lang w:eastAsia="zh-CN"/>
        </w:rPr>
      </w:pPr>
      <w:r w:rsidRPr="00073E15">
        <w:rPr>
          <w:rFonts w:cs="Times New Roman"/>
          <w:lang w:eastAsia="zh-CN"/>
        </w:rPr>
        <w:t>Experience</w:t>
      </w:r>
    </w:p>
    <w:p w14:paraId="4B76ADA7" w14:textId="77777777" w:rsidR="00EF6294" w:rsidRPr="00845B64" w:rsidRDefault="00EF6294" w:rsidP="00AC0D02">
      <w:pPr>
        <w:widowControl w:val="0"/>
        <w:numPr>
          <w:ilvl w:val="0"/>
          <w:numId w:val="25"/>
        </w:numPr>
        <w:tabs>
          <w:tab w:val="left" w:pos="-720"/>
          <w:tab w:val="left" w:pos="360"/>
          <w:tab w:val="left" w:pos="9000"/>
        </w:tabs>
        <w:spacing w:after="0" w:line="240" w:lineRule="auto"/>
        <w:ind w:right="-10"/>
        <w:contextualSpacing/>
        <w:jc w:val="both"/>
        <w:rPr>
          <w:rFonts w:eastAsia="Calibri" w:cs="Times New Roman"/>
          <w:spacing w:val="4"/>
        </w:rPr>
      </w:pPr>
      <w:r w:rsidRPr="00845B64">
        <w:rPr>
          <w:rFonts w:eastAsia="Calibri" w:cs="Times New Roman"/>
          <w:spacing w:val="4"/>
        </w:rPr>
        <w:t>Minimum of ten years accumulated and recognized experience in the Energy Efficiency and climate change area</w:t>
      </w:r>
    </w:p>
    <w:p w14:paraId="22F0C918" w14:textId="77777777" w:rsidR="00EF6294" w:rsidRPr="00845B64" w:rsidRDefault="00EF6294" w:rsidP="00AC0D02">
      <w:pPr>
        <w:widowControl w:val="0"/>
        <w:numPr>
          <w:ilvl w:val="0"/>
          <w:numId w:val="25"/>
        </w:numPr>
        <w:tabs>
          <w:tab w:val="left" w:pos="-720"/>
          <w:tab w:val="left" w:pos="360"/>
          <w:tab w:val="left" w:pos="9000"/>
        </w:tabs>
        <w:spacing w:after="0" w:line="240" w:lineRule="auto"/>
        <w:ind w:right="-10"/>
        <w:contextualSpacing/>
        <w:jc w:val="both"/>
        <w:rPr>
          <w:rFonts w:eastAsia="Calibri" w:cs="Times New Roman"/>
          <w:spacing w:val="4"/>
        </w:rPr>
      </w:pPr>
      <w:r w:rsidRPr="00845B64">
        <w:rPr>
          <w:rFonts w:eastAsia="Calibri" w:cs="Times New Roman"/>
          <w:spacing w:val="4"/>
        </w:rPr>
        <w:t>Minimum of five-years experience of project evaluation and/or implementation experience in the result-based management framework</w:t>
      </w:r>
    </w:p>
    <w:p w14:paraId="0A5F6701" w14:textId="77777777" w:rsidR="00EF6294" w:rsidRPr="00845B64" w:rsidRDefault="00EF6294" w:rsidP="00AC0D02">
      <w:pPr>
        <w:widowControl w:val="0"/>
        <w:numPr>
          <w:ilvl w:val="0"/>
          <w:numId w:val="25"/>
        </w:numPr>
        <w:tabs>
          <w:tab w:val="left" w:pos="-720"/>
          <w:tab w:val="left" w:pos="360"/>
          <w:tab w:val="left" w:pos="9000"/>
        </w:tabs>
        <w:spacing w:after="0" w:line="240" w:lineRule="auto"/>
        <w:ind w:right="-10"/>
        <w:contextualSpacing/>
        <w:jc w:val="both"/>
        <w:rPr>
          <w:rFonts w:eastAsia="Calibri" w:cs="Times New Roman"/>
          <w:spacing w:val="4"/>
        </w:rPr>
      </w:pPr>
      <w:r w:rsidRPr="00845B64">
        <w:rPr>
          <w:rFonts w:eastAsia="Calibri" w:cs="Times New Roman"/>
          <w:spacing w:val="4"/>
        </w:rPr>
        <w:t xml:space="preserve">Familiarity with China </w:t>
      </w:r>
    </w:p>
    <w:p w14:paraId="08FF3735" w14:textId="77777777" w:rsidR="00EF6294" w:rsidRPr="00845B64" w:rsidRDefault="00EF6294" w:rsidP="00AC0D02">
      <w:pPr>
        <w:widowControl w:val="0"/>
        <w:numPr>
          <w:ilvl w:val="0"/>
          <w:numId w:val="25"/>
        </w:numPr>
        <w:tabs>
          <w:tab w:val="left" w:pos="-720"/>
          <w:tab w:val="left" w:pos="360"/>
          <w:tab w:val="left" w:pos="9000"/>
        </w:tabs>
        <w:spacing w:after="0" w:line="240" w:lineRule="auto"/>
        <w:ind w:right="-10"/>
        <w:contextualSpacing/>
        <w:jc w:val="both"/>
        <w:rPr>
          <w:rFonts w:eastAsia="Calibri" w:cs="Times New Roman"/>
          <w:spacing w:val="4"/>
        </w:rPr>
      </w:pPr>
      <w:r w:rsidRPr="00845B64">
        <w:rPr>
          <w:rFonts w:eastAsia="Calibri" w:cs="Times New Roman"/>
          <w:spacing w:val="4"/>
        </w:rPr>
        <w:t>Experience with multilateral and bilateral supported project environments</w:t>
      </w:r>
    </w:p>
    <w:p w14:paraId="41F59551" w14:textId="77777777" w:rsidR="00EF6294" w:rsidRPr="00845B64" w:rsidRDefault="00EF6294" w:rsidP="00AC0D02">
      <w:pPr>
        <w:widowControl w:val="0"/>
        <w:numPr>
          <w:ilvl w:val="0"/>
          <w:numId w:val="25"/>
        </w:numPr>
        <w:tabs>
          <w:tab w:val="left" w:pos="-720"/>
          <w:tab w:val="left" w:pos="360"/>
          <w:tab w:val="left" w:pos="9000"/>
        </w:tabs>
        <w:spacing w:after="0" w:line="240" w:lineRule="auto"/>
        <w:ind w:right="-10"/>
        <w:contextualSpacing/>
        <w:jc w:val="both"/>
        <w:rPr>
          <w:rFonts w:eastAsia="Calibri" w:cs="Times New Roman"/>
          <w:spacing w:val="4"/>
        </w:rPr>
      </w:pPr>
      <w:r w:rsidRPr="00845B64">
        <w:rPr>
          <w:rFonts w:eastAsia="Calibri" w:cs="Times New Roman"/>
          <w:spacing w:val="4"/>
        </w:rPr>
        <w:t>Comprehensive knowledge of international project best practices</w:t>
      </w:r>
    </w:p>
    <w:p w14:paraId="056E0C96" w14:textId="77777777" w:rsidR="00EF6294" w:rsidRPr="00845B64" w:rsidRDefault="00EF6294" w:rsidP="00AC0D02">
      <w:pPr>
        <w:widowControl w:val="0"/>
        <w:numPr>
          <w:ilvl w:val="0"/>
          <w:numId w:val="25"/>
        </w:numPr>
        <w:tabs>
          <w:tab w:val="left" w:pos="-720"/>
          <w:tab w:val="left" w:pos="360"/>
          <w:tab w:val="left" w:pos="9000"/>
        </w:tabs>
        <w:spacing w:after="0" w:line="240" w:lineRule="auto"/>
        <w:ind w:right="-10"/>
        <w:contextualSpacing/>
        <w:jc w:val="both"/>
        <w:rPr>
          <w:rFonts w:eastAsia="Calibri" w:cs="Times New Roman"/>
          <w:spacing w:val="4"/>
        </w:rPr>
      </w:pPr>
      <w:r w:rsidRPr="00845B64">
        <w:rPr>
          <w:rFonts w:eastAsia="Calibri" w:cs="Times New Roman"/>
          <w:spacing w:val="4"/>
        </w:rPr>
        <w:t>Very good report writing skills in English</w:t>
      </w:r>
    </w:p>
    <w:p w14:paraId="69E586E5" w14:textId="77777777" w:rsidR="00EF6294" w:rsidRPr="00845B64" w:rsidRDefault="00EF6294" w:rsidP="0094095E">
      <w:pPr>
        <w:rPr>
          <w:rFonts w:cs="Times New Roman"/>
          <w:lang w:eastAsia="zh-CN"/>
        </w:rPr>
      </w:pPr>
      <w:r w:rsidRPr="00845B64">
        <w:rPr>
          <w:rFonts w:cs="Times New Roman"/>
          <w:lang w:eastAsia="zh-CN"/>
        </w:rPr>
        <w:t>Language</w:t>
      </w:r>
    </w:p>
    <w:p w14:paraId="10AB0314" w14:textId="09E050E8" w:rsidR="00EF6294" w:rsidRPr="00845B64" w:rsidRDefault="00EF6294" w:rsidP="00AC4129">
      <w:pPr>
        <w:widowControl w:val="0"/>
        <w:numPr>
          <w:ilvl w:val="0"/>
          <w:numId w:val="24"/>
        </w:numPr>
        <w:spacing w:after="0" w:line="240" w:lineRule="auto"/>
        <w:ind w:right="-10"/>
        <w:contextualSpacing/>
        <w:jc w:val="both"/>
        <w:rPr>
          <w:rFonts w:eastAsia="SimSun" w:cs="Times New Roman"/>
          <w:spacing w:val="4"/>
          <w:kern w:val="2"/>
          <w:lang w:eastAsia="zh-CN"/>
        </w:rPr>
      </w:pPr>
      <w:r w:rsidRPr="00845B64">
        <w:rPr>
          <w:rFonts w:eastAsia="Calibri" w:cs="Times New Roman"/>
          <w:color w:val="000000"/>
        </w:rPr>
        <w:t>Fluency in written and spoken English.</w:t>
      </w:r>
    </w:p>
    <w:p w14:paraId="0BA1D522" w14:textId="77777777" w:rsidR="00EF6294" w:rsidRPr="00845B64" w:rsidRDefault="00EF6294" w:rsidP="0094095E">
      <w:pPr>
        <w:rPr>
          <w:rFonts w:cs="Times New Roman"/>
          <w:lang w:eastAsia="zh-CN"/>
        </w:rPr>
      </w:pPr>
      <w:r w:rsidRPr="00845B64">
        <w:rPr>
          <w:rFonts w:cs="Times New Roman"/>
          <w:lang w:eastAsia="zh-CN"/>
        </w:rPr>
        <w:t>Responsibilities</w:t>
      </w:r>
    </w:p>
    <w:p w14:paraId="1E5E1870" w14:textId="77777777" w:rsidR="00EF6294" w:rsidRPr="00845B64" w:rsidRDefault="00EF6294" w:rsidP="00AC0D02">
      <w:pPr>
        <w:widowControl w:val="0"/>
        <w:numPr>
          <w:ilvl w:val="0"/>
          <w:numId w:val="26"/>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Define the evaluation methodology and schedule, and report to the PMO</w:t>
      </w:r>
    </w:p>
    <w:p w14:paraId="1ADC3B22" w14:textId="77777777" w:rsidR="00EF6294" w:rsidRPr="00845B64" w:rsidRDefault="00EF6294" w:rsidP="00AC0D02">
      <w:pPr>
        <w:widowControl w:val="0"/>
        <w:numPr>
          <w:ilvl w:val="0"/>
          <w:numId w:val="26"/>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Documentation of the review</w:t>
      </w:r>
    </w:p>
    <w:p w14:paraId="0DD554E8" w14:textId="77777777" w:rsidR="00EF6294" w:rsidRPr="00845B64" w:rsidRDefault="00EF6294" w:rsidP="00AC0D02">
      <w:pPr>
        <w:widowControl w:val="0"/>
        <w:numPr>
          <w:ilvl w:val="0"/>
          <w:numId w:val="26"/>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Leading the TE Team in planning, conducting, and reporting on the evaluation</w:t>
      </w:r>
    </w:p>
    <w:p w14:paraId="4C26FBAF" w14:textId="77777777" w:rsidR="00EF6294" w:rsidRPr="00845B64" w:rsidRDefault="00EF6294" w:rsidP="00AC0D02">
      <w:pPr>
        <w:widowControl w:val="0"/>
        <w:numPr>
          <w:ilvl w:val="0"/>
          <w:numId w:val="26"/>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Deciding on division of labor within the team and ensuring timeliness of reports</w:t>
      </w:r>
    </w:p>
    <w:p w14:paraId="0E923348" w14:textId="77777777" w:rsidR="00EF6294" w:rsidRPr="00845B64" w:rsidRDefault="00EF6294" w:rsidP="00AC0D02">
      <w:pPr>
        <w:widowControl w:val="0"/>
        <w:numPr>
          <w:ilvl w:val="0"/>
          <w:numId w:val="26"/>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Use of best practice evaluation methodologies in conducting the evaluation</w:t>
      </w:r>
    </w:p>
    <w:p w14:paraId="19C6084E" w14:textId="77777777" w:rsidR="00EF6294" w:rsidRPr="00845B64" w:rsidRDefault="00EF6294" w:rsidP="00AC0D02">
      <w:pPr>
        <w:widowControl w:val="0"/>
        <w:numPr>
          <w:ilvl w:val="0"/>
          <w:numId w:val="26"/>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Leading presentation of the draft evaluation findings and recommendations in-country</w:t>
      </w:r>
    </w:p>
    <w:p w14:paraId="5D39662F" w14:textId="77777777" w:rsidR="00EF6294" w:rsidRPr="00845B64" w:rsidRDefault="00EF6294" w:rsidP="00AC0D02">
      <w:pPr>
        <w:widowControl w:val="0"/>
        <w:numPr>
          <w:ilvl w:val="0"/>
          <w:numId w:val="26"/>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Conducting the debriefing for the UNDP China Office and the PMO</w:t>
      </w:r>
    </w:p>
    <w:p w14:paraId="7E120EB5" w14:textId="77777777" w:rsidR="00EF6294" w:rsidRPr="00845B64" w:rsidRDefault="00EF6294" w:rsidP="00AC0D02">
      <w:pPr>
        <w:widowControl w:val="0"/>
        <w:numPr>
          <w:ilvl w:val="0"/>
          <w:numId w:val="26"/>
        </w:numPr>
        <w:tabs>
          <w:tab w:val="left" w:pos="-360"/>
          <w:tab w:val="left" w:pos="360"/>
        </w:tabs>
        <w:spacing w:after="0" w:line="240" w:lineRule="auto"/>
        <w:ind w:right="-10"/>
        <w:contextualSpacing/>
        <w:jc w:val="both"/>
        <w:rPr>
          <w:rFonts w:eastAsia="Calibri" w:cs="Times New Roman"/>
          <w:spacing w:val="4"/>
        </w:rPr>
      </w:pPr>
      <w:r w:rsidRPr="00845B64">
        <w:rPr>
          <w:rFonts w:eastAsia="Calibri" w:cs="Times New Roman"/>
          <w:spacing w:val="4"/>
        </w:rPr>
        <w:t>Leading the drafting and finalization of the TE report</w:t>
      </w:r>
    </w:p>
    <w:p w14:paraId="15CB3CB4" w14:textId="77777777" w:rsidR="00EF6294" w:rsidRPr="00845B64" w:rsidRDefault="00EF6294" w:rsidP="00EF6294">
      <w:pPr>
        <w:tabs>
          <w:tab w:val="left" w:pos="-360"/>
          <w:tab w:val="left" w:pos="360"/>
        </w:tabs>
        <w:spacing w:after="0" w:line="240" w:lineRule="auto"/>
        <w:ind w:left="360" w:right="-10"/>
        <w:contextualSpacing/>
        <w:rPr>
          <w:rFonts w:eastAsia="Calibri" w:cs="Times New Roman"/>
          <w:spacing w:val="4"/>
        </w:rPr>
      </w:pPr>
    </w:p>
    <w:p w14:paraId="30E47E1D" w14:textId="77777777" w:rsidR="00EF6294" w:rsidRPr="00845B64" w:rsidRDefault="00EF6294" w:rsidP="00AC0D02">
      <w:pPr>
        <w:widowControl w:val="0"/>
        <w:numPr>
          <w:ilvl w:val="0"/>
          <w:numId w:val="6"/>
        </w:numPr>
        <w:spacing w:after="0" w:line="240" w:lineRule="auto"/>
        <w:contextualSpacing/>
        <w:jc w:val="both"/>
        <w:rPr>
          <w:rFonts w:eastAsia="Calibri" w:cs="Times New Roman"/>
          <w:b/>
        </w:rPr>
      </w:pPr>
      <w:r w:rsidRPr="00845B64">
        <w:rPr>
          <w:rFonts w:eastAsia="Calibri" w:cs="Times New Roman"/>
          <w:b/>
          <w:bCs/>
        </w:rPr>
        <w:t>EVALUATOR ETHICS</w:t>
      </w:r>
    </w:p>
    <w:p w14:paraId="48C6E544" w14:textId="77777777" w:rsidR="00EF6294" w:rsidRPr="00845B6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 xml:space="preserve">The TE team will be held to the highest ethical standards and is required to sign a code of conduct upon acceptance of the assignment. This evaluation will be conducted in accordance with the principles outlined </w:t>
      </w:r>
      <w:r w:rsidRPr="00845B64">
        <w:rPr>
          <w:rFonts w:eastAsia="SimSun" w:cs="Times New Roman"/>
          <w:color w:val="000000"/>
          <w:kern w:val="2"/>
          <w:lang w:eastAsia="zh-CN"/>
        </w:rPr>
        <w:lastRenderedPageBreak/>
        <w:t>in the UNEG ‘Ethical Guidelines for Evaluation’. The evaluator must safeguard the rights and confidentiality of information providers, interviewees,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11564D87" w14:textId="77777777" w:rsidR="00EF6294" w:rsidRPr="00845B64" w:rsidRDefault="00EF6294" w:rsidP="00EF6294">
      <w:pPr>
        <w:widowControl w:val="0"/>
        <w:spacing w:after="0" w:line="240" w:lineRule="auto"/>
        <w:jc w:val="both"/>
        <w:rPr>
          <w:rFonts w:eastAsia="SimSun" w:cs="Times New Roman"/>
          <w:kern w:val="2"/>
          <w:lang w:eastAsia="zh-CN"/>
        </w:rPr>
      </w:pPr>
    </w:p>
    <w:p w14:paraId="223731C6" w14:textId="77777777" w:rsidR="00EF6294" w:rsidRPr="00845B64" w:rsidRDefault="00EF6294" w:rsidP="00AC0D02">
      <w:pPr>
        <w:widowControl w:val="0"/>
        <w:numPr>
          <w:ilvl w:val="0"/>
          <w:numId w:val="6"/>
        </w:numPr>
        <w:spacing w:after="0" w:line="240" w:lineRule="auto"/>
        <w:contextualSpacing/>
        <w:jc w:val="both"/>
        <w:rPr>
          <w:rFonts w:eastAsia="Calibri" w:cs="Times New Roman"/>
          <w:b/>
          <w:bCs/>
        </w:rPr>
      </w:pPr>
      <w:r w:rsidRPr="00845B64">
        <w:rPr>
          <w:rFonts w:eastAsia="Calibri" w:cs="Times New Roman"/>
          <w:b/>
          <w:bCs/>
        </w:rPr>
        <w:t>PAYMENT SCHEDULE</w:t>
      </w:r>
    </w:p>
    <w:p w14:paraId="3A7D2DFB" w14:textId="77777777" w:rsidR="00EF6294" w:rsidRPr="00845B64" w:rsidRDefault="00EF6294" w:rsidP="00EF6294">
      <w:pPr>
        <w:spacing w:after="0" w:line="240" w:lineRule="auto"/>
        <w:ind w:left="360"/>
        <w:contextualSpacing/>
        <w:jc w:val="both"/>
        <w:rPr>
          <w:rFonts w:eastAsia="Calibri" w:cs="Times New Roman"/>
          <w:b/>
          <w:bCs/>
        </w:rPr>
      </w:pPr>
    </w:p>
    <w:p w14:paraId="6F59C0BC" w14:textId="77777777" w:rsidR="00EF6294" w:rsidRPr="00845B64" w:rsidRDefault="00EF6294" w:rsidP="00AC0D02">
      <w:pPr>
        <w:widowControl w:val="0"/>
        <w:numPr>
          <w:ilvl w:val="0"/>
          <w:numId w:val="24"/>
        </w:numPr>
        <w:spacing w:after="0" w:line="240" w:lineRule="auto"/>
        <w:contextualSpacing/>
        <w:jc w:val="both"/>
        <w:rPr>
          <w:rFonts w:eastAsia="Calibri" w:cs="Times New Roman"/>
        </w:rPr>
      </w:pPr>
      <w:r w:rsidRPr="00845B64">
        <w:rPr>
          <w:rFonts w:eastAsia="Calibri" w:cs="Times New Roman"/>
        </w:rPr>
        <w:t xml:space="preserve">20% payment upon </w:t>
      </w:r>
      <w:r w:rsidRPr="00845B64">
        <w:rPr>
          <w:rFonts w:eastAsia="Calibri" w:cs="Times New Roman"/>
          <w:color w:val="000000"/>
        </w:rPr>
        <w:t>satisfactory delivery of the final TE Inception Report and approval by the Commissioning Unit</w:t>
      </w:r>
    </w:p>
    <w:p w14:paraId="6143E23B" w14:textId="77777777" w:rsidR="00EF6294" w:rsidRPr="00845B64" w:rsidRDefault="00EF6294" w:rsidP="00AC0D02">
      <w:pPr>
        <w:widowControl w:val="0"/>
        <w:numPr>
          <w:ilvl w:val="0"/>
          <w:numId w:val="24"/>
        </w:numPr>
        <w:spacing w:after="0" w:line="240" w:lineRule="auto"/>
        <w:contextualSpacing/>
        <w:jc w:val="both"/>
        <w:rPr>
          <w:rFonts w:eastAsia="Calibri" w:cs="Times New Roman"/>
        </w:rPr>
      </w:pPr>
      <w:r w:rsidRPr="00845B64">
        <w:rPr>
          <w:rFonts w:eastAsia="Calibri" w:cs="Times New Roman"/>
          <w:color w:val="000000"/>
        </w:rPr>
        <w:t>40% payment upon satisfactory delivery of the draft TE report to the Commissioning Unit</w:t>
      </w:r>
    </w:p>
    <w:p w14:paraId="044AEE0B" w14:textId="77777777" w:rsidR="00EF6294" w:rsidRPr="00845B64" w:rsidRDefault="00EF6294" w:rsidP="00AC0D02">
      <w:pPr>
        <w:widowControl w:val="0"/>
        <w:numPr>
          <w:ilvl w:val="0"/>
          <w:numId w:val="24"/>
        </w:numPr>
        <w:spacing w:after="0" w:line="240" w:lineRule="auto"/>
        <w:contextualSpacing/>
        <w:jc w:val="both"/>
        <w:rPr>
          <w:rFonts w:eastAsia="Calibri" w:cs="Times New Roman"/>
        </w:rPr>
      </w:pPr>
      <w:r w:rsidRPr="00845B64">
        <w:rPr>
          <w:rFonts w:eastAsia="Calibri" w:cs="Times New Roman"/>
        </w:rPr>
        <w:t xml:space="preserve">40% payment </w:t>
      </w:r>
      <w:r w:rsidRPr="00845B64">
        <w:rPr>
          <w:rFonts w:eastAsia="Calibri" w:cs="Times New Roman"/>
          <w:color w:val="000000"/>
        </w:rPr>
        <w:t>upon satisfactory delivery of the final TE report and approval by the Commissioning Unit and RTA (via signatures on the TE Report Clearance Form) and delivery of completed TE Audit Trail</w:t>
      </w:r>
    </w:p>
    <w:p w14:paraId="499AD218" w14:textId="77777777" w:rsidR="00EF6294" w:rsidRPr="00845B64" w:rsidRDefault="00EF6294" w:rsidP="00EF6294">
      <w:pPr>
        <w:spacing w:after="0" w:line="240" w:lineRule="auto"/>
        <w:ind w:left="720"/>
        <w:contextualSpacing/>
        <w:jc w:val="both"/>
        <w:rPr>
          <w:rFonts w:eastAsia="Calibri" w:cs="Times New Roman"/>
          <w:color w:val="000000"/>
        </w:rPr>
      </w:pPr>
    </w:p>
    <w:p w14:paraId="537AC21A" w14:textId="77777777" w:rsidR="00EF6294" w:rsidRPr="00845B64" w:rsidRDefault="00EF6294" w:rsidP="00EF6294">
      <w:pPr>
        <w:spacing w:after="0" w:line="240" w:lineRule="auto"/>
        <w:ind w:left="720"/>
        <w:contextualSpacing/>
        <w:jc w:val="both"/>
        <w:rPr>
          <w:rFonts w:eastAsia="Calibri" w:cs="Times New Roman"/>
          <w:color w:val="000000"/>
        </w:rPr>
      </w:pPr>
      <w:r w:rsidRPr="00845B64">
        <w:rPr>
          <w:rFonts w:eastAsia="Calibri" w:cs="Times New Roman"/>
          <w:color w:val="000000"/>
        </w:rPr>
        <w:t>Criteria for issuing the final payment of 40%:</w:t>
      </w:r>
    </w:p>
    <w:p w14:paraId="2775420E" w14:textId="77777777" w:rsidR="00EF6294" w:rsidRPr="00845B64" w:rsidRDefault="00EF6294" w:rsidP="00AC0D02">
      <w:pPr>
        <w:widowControl w:val="0"/>
        <w:numPr>
          <w:ilvl w:val="0"/>
          <w:numId w:val="27"/>
        </w:numPr>
        <w:spacing w:after="0" w:line="240" w:lineRule="auto"/>
        <w:ind w:left="1170"/>
        <w:contextualSpacing/>
        <w:jc w:val="both"/>
        <w:rPr>
          <w:rFonts w:eastAsia="Calibri" w:cs="Times New Roman"/>
          <w:color w:val="000000"/>
        </w:rPr>
      </w:pPr>
      <w:r w:rsidRPr="00845B64">
        <w:rPr>
          <w:rFonts w:eastAsia="Calibri" w:cs="Times New Roman"/>
          <w:color w:val="000000"/>
        </w:rPr>
        <w:t>The final TE report includes all requirements outlined in the TE TOR and is in accordance with the TE guidance.</w:t>
      </w:r>
    </w:p>
    <w:p w14:paraId="5873C80F" w14:textId="77777777" w:rsidR="00EF6294" w:rsidRPr="00845B64" w:rsidRDefault="00EF6294" w:rsidP="00AC0D02">
      <w:pPr>
        <w:widowControl w:val="0"/>
        <w:numPr>
          <w:ilvl w:val="0"/>
          <w:numId w:val="27"/>
        </w:numPr>
        <w:spacing w:after="0" w:line="240" w:lineRule="auto"/>
        <w:ind w:left="1170"/>
        <w:contextualSpacing/>
        <w:jc w:val="both"/>
        <w:rPr>
          <w:rFonts w:eastAsia="Calibri" w:cs="Times New Roman"/>
          <w:color w:val="000000"/>
        </w:rPr>
      </w:pPr>
      <w:r w:rsidRPr="00845B64">
        <w:rPr>
          <w:rFonts w:eastAsia="Calibri" w:cs="Times New Roman"/>
          <w:color w:val="000000"/>
        </w:rPr>
        <w:t>The final TE report is clearly written, logically organized, and is specific for this project (i.e. text has not been cut &amp; pasted from other TE reports).</w:t>
      </w:r>
    </w:p>
    <w:p w14:paraId="6CCED165" w14:textId="77777777" w:rsidR="00EF6294" w:rsidRPr="00845B64" w:rsidRDefault="00EF6294" w:rsidP="00AC0D02">
      <w:pPr>
        <w:widowControl w:val="0"/>
        <w:numPr>
          <w:ilvl w:val="0"/>
          <w:numId w:val="27"/>
        </w:numPr>
        <w:spacing w:after="0" w:line="240" w:lineRule="auto"/>
        <w:ind w:left="1170"/>
        <w:contextualSpacing/>
        <w:jc w:val="both"/>
        <w:rPr>
          <w:rFonts w:eastAsia="Calibri" w:cs="Times New Roman"/>
          <w:color w:val="000000"/>
        </w:rPr>
      </w:pPr>
      <w:r w:rsidRPr="00845B64">
        <w:rPr>
          <w:rFonts w:eastAsia="Calibri" w:cs="Times New Roman"/>
          <w:color w:val="000000"/>
        </w:rPr>
        <w:t>The Audit Trail includes responses to and justification for each comment listed.</w:t>
      </w:r>
    </w:p>
    <w:p w14:paraId="554409C0" w14:textId="77777777" w:rsidR="00EF6294" w:rsidRPr="00845B64" w:rsidRDefault="00EF6294" w:rsidP="00EF6294">
      <w:pPr>
        <w:widowControl w:val="0"/>
        <w:spacing w:after="0" w:line="240" w:lineRule="auto"/>
        <w:jc w:val="both"/>
        <w:rPr>
          <w:rFonts w:eastAsia="SimSun" w:cs="Times New Roman"/>
          <w:color w:val="000000"/>
          <w:kern w:val="2"/>
          <w:lang w:eastAsia="zh-CN"/>
        </w:rPr>
      </w:pPr>
    </w:p>
    <w:p w14:paraId="2E36E08B" w14:textId="77777777" w:rsidR="00EF6294" w:rsidRPr="00845B64" w:rsidRDefault="00EF6294" w:rsidP="00EF6294">
      <w:pPr>
        <w:widowControl w:val="0"/>
        <w:spacing w:after="0" w:line="240" w:lineRule="auto"/>
        <w:jc w:val="both"/>
        <w:rPr>
          <w:rFonts w:eastAsia="SimSun" w:cs="Times New Roman"/>
          <w:i/>
          <w:iCs/>
          <w:color w:val="000000"/>
          <w:kern w:val="2"/>
          <w:lang w:eastAsia="zh-CN"/>
        </w:rPr>
      </w:pPr>
      <w:r w:rsidRPr="00845B64">
        <w:rPr>
          <w:rFonts w:eastAsia="SimSun" w:cs="Times New Roman"/>
          <w:i/>
          <w:iCs/>
          <w:color w:val="000000"/>
          <w:kern w:val="2"/>
          <w:lang w:eastAsia="zh-CN"/>
        </w:rPr>
        <w:t>NOTE: Include a provision for the impact of COVID-19 on the production of deliverables and any reduced payment should this occur.</w:t>
      </w:r>
    </w:p>
    <w:p w14:paraId="0A510D84" w14:textId="77777777" w:rsidR="00EF6294" w:rsidRPr="00845B64" w:rsidRDefault="00EF6294" w:rsidP="00EF6294">
      <w:pPr>
        <w:widowControl w:val="0"/>
        <w:spacing w:after="0" w:line="240" w:lineRule="auto"/>
        <w:ind w:left="720"/>
        <w:jc w:val="both"/>
        <w:rPr>
          <w:rFonts w:eastAsia="SimSun" w:cs="Times New Roman"/>
          <w:i/>
          <w:iCs/>
          <w:color w:val="000000"/>
          <w:kern w:val="2"/>
          <w:lang w:eastAsia="zh-CN"/>
        </w:rPr>
      </w:pPr>
    </w:p>
    <w:p w14:paraId="62802C56" w14:textId="77777777" w:rsidR="00EF6294" w:rsidRPr="00845B64" w:rsidRDefault="00EF6294" w:rsidP="00AC0D02">
      <w:pPr>
        <w:widowControl w:val="0"/>
        <w:numPr>
          <w:ilvl w:val="0"/>
          <w:numId w:val="12"/>
        </w:numPr>
        <w:spacing w:after="0" w:line="240" w:lineRule="auto"/>
        <w:ind w:left="450" w:hanging="425"/>
        <w:contextualSpacing/>
        <w:jc w:val="both"/>
        <w:rPr>
          <w:rFonts w:eastAsia="Calibri" w:cs="Times New Roman"/>
          <w:i/>
          <w:iCs/>
          <w:color w:val="000000"/>
        </w:rPr>
      </w:pPr>
      <w:r w:rsidRPr="00845B64">
        <w:rPr>
          <w:rFonts w:eastAsia="Calibri" w:cs="Times New Roman"/>
          <w:i/>
          <w:iCs/>
          <w:color w:val="000000"/>
        </w:rPr>
        <w:t>Suggested additional text</w:t>
      </w:r>
    </w:p>
    <w:p w14:paraId="6A31BF99" w14:textId="77777777" w:rsidR="00EF6294" w:rsidRPr="00845B64" w:rsidRDefault="00EF6294" w:rsidP="00EF6294">
      <w:pPr>
        <w:widowControl w:val="0"/>
        <w:tabs>
          <w:tab w:val="left" w:pos="630"/>
        </w:tabs>
        <w:spacing w:after="0" w:line="240" w:lineRule="auto"/>
        <w:ind w:left="450"/>
        <w:jc w:val="both"/>
        <w:rPr>
          <w:rFonts w:eastAsia="SimSun" w:cs="Times New Roman"/>
          <w:i/>
          <w:iCs/>
          <w:color w:val="000000"/>
          <w:kern w:val="2"/>
          <w:lang w:eastAsia="zh-CN"/>
        </w:rPr>
      </w:pPr>
    </w:p>
    <w:p w14:paraId="1190410D" w14:textId="77777777" w:rsidR="00EF6294" w:rsidRPr="00845B64" w:rsidRDefault="00EF6294" w:rsidP="00EF6294">
      <w:pPr>
        <w:widowControl w:val="0"/>
        <w:tabs>
          <w:tab w:val="left" w:pos="630"/>
        </w:tabs>
        <w:spacing w:after="0" w:line="240" w:lineRule="auto"/>
        <w:ind w:left="284"/>
        <w:jc w:val="both"/>
        <w:rPr>
          <w:rFonts w:eastAsia="SimSun" w:cs="Times New Roman"/>
          <w:i/>
          <w:iCs/>
          <w:color w:val="000000"/>
          <w:kern w:val="2"/>
          <w:lang w:eastAsia="zh-CN"/>
        </w:rPr>
      </w:pPr>
      <w:r w:rsidRPr="00845B64">
        <w:rPr>
          <w:rFonts w:eastAsia="SimSun" w:cs="Times New Roman"/>
          <w:i/>
          <w:iCs/>
          <w:color w:val="000000"/>
          <w:kern w:val="2"/>
          <w:lang w:eastAsia="zh-CN"/>
        </w:rPr>
        <w:t xml:space="preserve">In line with the UNDP’s financial regulations, when determined by the Commissioning Unit and/or the consultant that a deliverable or service cannot be satisfactorily completed due to the impact of COVID-19 and limitations to the TE, that deliverable or service will not be paid. </w:t>
      </w:r>
    </w:p>
    <w:p w14:paraId="661C5BD9" w14:textId="77777777" w:rsidR="00EF6294" w:rsidRPr="00845B64" w:rsidRDefault="00EF6294" w:rsidP="00EF6294">
      <w:pPr>
        <w:widowControl w:val="0"/>
        <w:tabs>
          <w:tab w:val="left" w:pos="630"/>
        </w:tabs>
        <w:spacing w:after="0" w:line="240" w:lineRule="auto"/>
        <w:ind w:left="284"/>
        <w:jc w:val="both"/>
        <w:rPr>
          <w:rFonts w:eastAsia="SimSun" w:cs="Times New Roman"/>
          <w:i/>
          <w:iCs/>
          <w:color w:val="000000"/>
          <w:kern w:val="2"/>
          <w:lang w:eastAsia="zh-CN"/>
        </w:rPr>
      </w:pPr>
    </w:p>
    <w:p w14:paraId="68FC82A6" w14:textId="77777777" w:rsidR="00EF6294" w:rsidRPr="00845B64" w:rsidRDefault="00EF6294" w:rsidP="00EF6294">
      <w:pPr>
        <w:widowControl w:val="0"/>
        <w:tabs>
          <w:tab w:val="left" w:pos="630"/>
        </w:tabs>
        <w:spacing w:after="0" w:line="240" w:lineRule="auto"/>
        <w:ind w:left="284"/>
        <w:jc w:val="both"/>
        <w:rPr>
          <w:rFonts w:eastAsia="SimSun" w:cs="Times New Roman"/>
          <w:i/>
          <w:iCs/>
          <w:color w:val="000000"/>
          <w:kern w:val="2"/>
          <w:lang w:eastAsia="zh-CN"/>
        </w:rPr>
      </w:pPr>
      <w:r w:rsidRPr="00845B64">
        <w:rPr>
          <w:rFonts w:eastAsia="SimSun" w:cs="Times New Roman"/>
          <w:i/>
          <w:iCs/>
          <w:color w:val="000000"/>
          <w:kern w:val="2"/>
          <w:lang w:eastAsia="zh-CN"/>
        </w:rPr>
        <w:t>Due to the current COVID-19 situation and its implications, a partial payment may be considered if the consultant invested time towards the deliverable but was unable to complete to circumstances beyond his/her control.</w:t>
      </w:r>
    </w:p>
    <w:p w14:paraId="3A2D0CF2" w14:textId="77777777" w:rsidR="00EF6294" w:rsidRPr="00845B64" w:rsidRDefault="00EF6294" w:rsidP="00EF6294">
      <w:pPr>
        <w:widowControl w:val="0"/>
        <w:spacing w:after="0" w:line="240" w:lineRule="auto"/>
        <w:jc w:val="both"/>
        <w:rPr>
          <w:rFonts w:eastAsia="SimSun" w:cs="Times New Roman"/>
          <w:kern w:val="2"/>
          <w:lang w:eastAsia="zh-CN"/>
        </w:rPr>
      </w:pPr>
    </w:p>
    <w:p w14:paraId="6D56764E" w14:textId="77777777" w:rsidR="00EF6294" w:rsidRPr="00845B64" w:rsidRDefault="00EF6294" w:rsidP="00AC0D02">
      <w:pPr>
        <w:widowControl w:val="0"/>
        <w:numPr>
          <w:ilvl w:val="0"/>
          <w:numId w:val="6"/>
        </w:numPr>
        <w:spacing w:after="0" w:line="240" w:lineRule="auto"/>
        <w:contextualSpacing/>
        <w:jc w:val="both"/>
        <w:rPr>
          <w:rFonts w:eastAsia="Calibri" w:cs="Times New Roman"/>
          <w:b/>
        </w:rPr>
      </w:pPr>
      <w:r w:rsidRPr="00845B64">
        <w:rPr>
          <w:rFonts w:eastAsia="Calibri" w:cs="Times New Roman"/>
          <w:b/>
          <w:bCs/>
        </w:rPr>
        <w:t>APPLICATION PROCESS</w:t>
      </w:r>
      <w:r w:rsidRPr="00845B64">
        <w:rPr>
          <w:rFonts w:eastAsia="Calibri" w:cs="Times New Roman"/>
          <w:b/>
          <w:sz w:val="24"/>
          <w:vertAlign w:val="superscript"/>
        </w:rPr>
        <w:footnoteReference w:id="89"/>
      </w:r>
    </w:p>
    <w:p w14:paraId="51F59B70" w14:textId="77777777" w:rsidR="00EF6294" w:rsidRPr="00845B6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Recommended Presentation of Proposal:</w:t>
      </w:r>
    </w:p>
    <w:p w14:paraId="5658FB0B" w14:textId="77777777" w:rsidR="00EF6294" w:rsidRPr="00845B64" w:rsidRDefault="00EF6294" w:rsidP="00AC0D02">
      <w:pPr>
        <w:widowControl w:val="0"/>
        <w:numPr>
          <w:ilvl w:val="0"/>
          <w:numId w:val="28"/>
        </w:numPr>
        <w:spacing w:after="0" w:line="240" w:lineRule="auto"/>
        <w:contextualSpacing/>
        <w:jc w:val="both"/>
        <w:rPr>
          <w:rFonts w:eastAsia="Calibri" w:cs="Times New Roman"/>
          <w:color w:val="000000"/>
        </w:rPr>
      </w:pPr>
      <w:r w:rsidRPr="00845B64">
        <w:rPr>
          <w:rFonts w:eastAsia="Calibri" w:cs="Times New Roman"/>
          <w:b/>
          <w:color w:val="000000"/>
        </w:rPr>
        <w:t>Letter of Confirmation of Interest and Availability</w:t>
      </w:r>
      <w:r w:rsidRPr="00845B64">
        <w:rPr>
          <w:rFonts w:eastAsia="Calibri" w:cs="Times New Roman"/>
          <w:color w:val="000000"/>
        </w:rPr>
        <w:t xml:space="preserve"> using the </w:t>
      </w:r>
      <w:hyperlink r:id="rId15" w:history="1">
        <w:r w:rsidRPr="00845B64">
          <w:rPr>
            <w:rFonts w:eastAsia="Calibri" w:cs="Times New Roman"/>
            <w:color w:val="0000FF"/>
            <w:u w:val="single"/>
          </w:rPr>
          <w:t>template</w:t>
        </w:r>
      </w:hyperlink>
      <w:r w:rsidRPr="00845B64">
        <w:rPr>
          <w:rFonts w:eastAsia="Calibri" w:cs="Times New Roman"/>
          <w:color w:val="000000"/>
          <w:vertAlign w:val="superscript"/>
        </w:rPr>
        <w:footnoteReference w:id="90"/>
      </w:r>
      <w:r w:rsidRPr="00845B64">
        <w:rPr>
          <w:rFonts w:eastAsia="Calibri" w:cs="Times New Roman"/>
          <w:color w:val="000000"/>
        </w:rPr>
        <w:t xml:space="preserve"> provided by UNDP;</w:t>
      </w:r>
    </w:p>
    <w:p w14:paraId="2EA3A94B" w14:textId="77777777" w:rsidR="00EF6294" w:rsidRPr="00845B64" w:rsidRDefault="00EF6294" w:rsidP="00AC0D02">
      <w:pPr>
        <w:widowControl w:val="0"/>
        <w:numPr>
          <w:ilvl w:val="0"/>
          <w:numId w:val="28"/>
        </w:numPr>
        <w:spacing w:after="0" w:line="240" w:lineRule="auto"/>
        <w:contextualSpacing/>
        <w:jc w:val="both"/>
        <w:rPr>
          <w:rFonts w:eastAsia="Calibri" w:cs="Times New Roman"/>
          <w:color w:val="000000"/>
        </w:rPr>
      </w:pPr>
      <w:r w:rsidRPr="00845B64">
        <w:rPr>
          <w:rFonts w:eastAsia="Calibri" w:cs="Times New Roman"/>
          <w:b/>
          <w:color w:val="000000"/>
        </w:rPr>
        <w:t>CV</w:t>
      </w:r>
      <w:r w:rsidRPr="00845B64">
        <w:rPr>
          <w:rFonts w:eastAsia="Calibri" w:cs="Times New Roman"/>
          <w:color w:val="000000"/>
        </w:rPr>
        <w:t xml:space="preserve"> and a </w:t>
      </w:r>
      <w:r w:rsidRPr="00845B64">
        <w:rPr>
          <w:rFonts w:eastAsia="Calibri" w:cs="Times New Roman"/>
          <w:b/>
          <w:color w:val="000000"/>
        </w:rPr>
        <w:t>Personal History Form</w:t>
      </w:r>
      <w:r w:rsidRPr="00845B64">
        <w:rPr>
          <w:rFonts w:eastAsia="Calibri" w:cs="Times New Roman"/>
          <w:color w:val="000000"/>
        </w:rPr>
        <w:t xml:space="preserve"> (</w:t>
      </w:r>
      <w:hyperlink r:id="rId16" w:history="1">
        <w:r w:rsidRPr="00845B64">
          <w:rPr>
            <w:rFonts w:eastAsia="Calibri" w:cs="Times New Roman"/>
            <w:color w:val="0000FF"/>
            <w:u w:val="single"/>
          </w:rPr>
          <w:t>P11 form</w:t>
        </w:r>
      </w:hyperlink>
      <w:r w:rsidRPr="00845B64">
        <w:rPr>
          <w:rFonts w:eastAsia="Calibri" w:cs="Times New Roman"/>
          <w:color w:val="000000"/>
          <w:vertAlign w:val="superscript"/>
        </w:rPr>
        <w:footnoteReference w:id="91"/>
      </w:r>
      <w:r w:rsidRPr="00845B64">
        <w:rPr>
          <w:rFonts w:eastAsia="Calibri" w:cs="Times New Roman"/>
          <w:color w:val="000000"/>
        </w:rPr>
        <w:t>);</w:t>
      </w:r>
    </w:p>
    <w:p w14:paraId="57A262FC" w14:textId="77777777" w:rsidR="00EF6294" w:rsidRPr="00845B64" w:rsidRDefault="00EF6294" w:rsidP="00AC0D02">
      <w:pPr>
        <w:widowControl w:val="0"/>
        <w:numPr>
          <w:ilvl w:val="0"/>
          <w:numId w:val="28"/>
        </w:numPr>
        <w:spacing w:after="0" w:line="240" w:lineRule="auto"/>
        <w:contextualSpacing/>
        <w:jc w:val="both"/>
        <w:rPr>
          <w:rFonts w:eastAsia="Calibri" w:cs="Times New Roman"/>
          <w:color w:val="000000"/>
        </w:rPr>
      </w:pPr>
      <w:r w:rsidRPr="00845B64">
        <w:rPr>
          <w:rFonts w:eastAsia="Calibri" w:cs="Times New Roman"/>
          <w:color w:val="000000"/>
        </w:rPr>
        <w:t xml:space="preserve">Brief description </w:t>
      </w:r>
      <w:r w:rsidRPr="00845B64">
        <w:rPr>
          <w:rFonts w:eastAsia="Calibri" w:cs="Times New Roman"/>
          <w:b/>
          <w:color w:val="000000"/>
        </w:rPr>
        <w:t>of approach to work/technical proposal</w:t>
      </w:r>
      <w:r w:rsidRPr="00845B64">
        <w:rPr>
          <w:rFonts w:eastAsia="Calibri" w:cs="Times New Roman"/>
        </w:rPr>
        <w:t xml:space="preserve"> </w:t>
      </w:r>
      <w:r w:rsidRPr="00845B64">
        <w:rPr>
          <w:rFonts w:eastAsia="Calibri" w:cs="Times New Roman"/>
          <w:color w:val="000000"/>
        </w:rPr>
        <w:t>of why the individual considers him/herself as the most suitable for the assignment, and a proposed methodology on how they will approach and complete the assignment; (max 1 page)</w:t>
      </w:r>
    </w:p>
    <w:p w14:paraId="0BBC34FE" w14:textId="77777777" w:rsidR="00EF6294" w:rsidRPr="00845B64" w:rsidRDefault="00EF6294" w:rsidP="00AC0D02">
      <w:pPr>
        <w:widowControl w:val="0"/>
        <w:numPr>
          <w:ilvl w:val="0"/>
          <w:numId w:val="28"/>
        </w:numPr>
        <w:spacing w:after="0" w:line="240" w:lineRule="auto"/>
        <w:contextualSpacing/>
        <w:jc w:val="both"/>
        <w:rPr>
          <w:rFonts w:eastAsia="Calibri" w:cs="Times New Roman"/>
          <w:color w:val="000000"/>
        </w:rPr>
      </w:pPr>
      <w:r w:rsidRPr="00845B64">
        <w:rPr>
          <w:rFonts w:eastAsia="Calibri" w:cs="Times New Roman"/>
          <w:b/>
          <w:color w:val="000000"/>
        </w:rPr>
        <w:lastRenderedPageBreak/>
        <w:t>Financial Proposal</w:t>
      </w:r>
      <w:r w:rsidRPr="00845B64">
        <w:rPr>
          <w:rFonts w:eastAsia="Calibri" w:cs="Times New Roman"/>
          <w:color w:val="000000"/>
        </w:rPr>
        <w:t xml:space="preserve"> that indicates the all-inclusive fixed total contract price and all other travel related costs (such as flight ticket, per diem, etc.), supported by a breakdown of costs, as per template attached to the </w:t>
      </w:r>
      <w:hyperlink r:id="rId17" w:history="1">
        <w:r w:rsidRPr="00845B64">
          <w:rPr>
            <w:rFonts w:eastAsia="Calibri" w:cs="Times New Roman"/>
            <w:color w:val="0000FF"/>
            <w:u w:val="single"/>
          </w:rPr>
          <w:t>Letter of Confirmation of Interest template</w:t>
        </w:r>
      </w:hyperlink>
      <w:r w:rsidRPr="00845B64">
        <w:rPr>
          <w:rFonts w:eastAsia="Calibri" w:cs="Times New Roman"/>
          <w:color w:val="000000"/>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4E49A6C6" w14:textId="0BDF9D43" w:rsidR="00EF6294" w:rsidRDefault="00EF6294" w:rsidP="00EF6294">
      <w:pPr>
        <w:widowControl w:val="0"/>
        <w:spacing w:after="0" w:line="240" w:lineRule="auto"/>
        <w:jc w:val="both"/>
        <w:rPr>
          <w:rFonts w:eastAsia="SimSun" w:cs="Times New Roman"/>
          <w:color w:val="000000"/>
          <w:kern w:val="2"/>
          <w:lang w:eastAsia="zh-CN"/>
        </w:rPr>
      </w:pPr>
      <w:r w:rsidRPr="00073E15">
        <w:rPr>
          <w:rFonts w:eastAsia="SimSun" w:cs="Times New Roman"/>
          <w:color w:val="000000"/>
          <w:kern w:val="2"/>
          <w:lang w:eastAsia="zh-CN"/>
        </w:rPr>
        <w:t xml:space="preserve">All application materials should be submitted to the address (insert mailing address) in a sealed envelope indicating the following reference “Consultant for Terminal Evaluation of </w:t>
      </w:r>
      <w:r w:rsidRPr="00073E15">
        <w:rPr>
          <w:rFonts w:eastAsia="SimSun" w:cs="Times New Roman"/>
          <w:i/>
          <w:color w:val="000000"/>
          <w:kern w:val="2"/>
          <w:lang w:eastAsia="zh-CN"/>
        </w:rPr>
        <w:t>(project title)</w:t>
      </w:r>
      <w:r w:rsidRPr="00073E15">
        <w:rPr>
          <w:rFonts w:eastAsia="SimSun" w:cs="Times New Roman"/>
          <w:color w:val="000000"/>
          <w:kern w:val="2"/>
          <w:lang w:eastAsia="zh-CN"/>
        </w:rPr>
        <w:t xml:space="preserve">” or by email at the following address ONLY: </w:t>
      </w:r>
      <w:r w:rsidRPr="00073E15">
        <w:rPr>
          <w:rFonts w:eastAsia="SimSun" w:cs="Times New Roman"/>
          <w:i/>
          <w:color w:val="000000"/>
          <w:kern w:val="2"/>
          <w:lang w:eastAsia="zh-CN"/>
        </w:rPr>
        <w:t>(insert email address)</w:t>
      </w:r>
      <w:r w:rsidRPr="00073E15">
        <w:rPr>
          <w:rFonts w:eastAsia="SimSun" w:cs="Times New Roman"/>
          <w:color w:val="000000"/>
          <w:kern w:val="2"/>
          <w:lang w:eastAsia="zh-CN"/>
        </w:rPr>
        <w:t xml:space="preserve"> by </w:t>
      </w:r>
      <w:r w:rsidRPr="00073E15">
        <w:rPr>
          <w:rFonts w:eastAsia="SimSun" w:cs="Times New Roman"/>
          <w:i/>
          <w:color w:val="000000"/>
          <w:kern w:val="2"/>
          <w:lang w:eastAsia="zh-CN"/>
        </w:rPr>
        <w:t>(time and date)</w:t>
      </w:r>
      <w:r w:rsidRPr="00073E15">
        <w:rPr>
          <w:rFonts w:eastAsia="SimSun" w:cs="Times New Roman"/>
          <w:color w:val="000000"/>
          <w:kern w:val="2"/>
          <w:lang w:eastAsia="zh-CN"/>
        </w:rPr>
        <w:t>. Incomplete applications will be excluded from further consideration.</w:t>
      </w:r>
    </w:p>
    <w:p w14:paraId="1CA0C3D2" w14:textId="77777777" w:rsidR="00073E15" w:rsidRPr="00845B64" w:rsidRDefault="00073E15" w:rsidP="00EF6294">
      <w:pPr>
        <w:widowControl w:val="0"/>
        <w:spacing w:after="0" w:line="240" w:lineRule="auto"/>
        <w:jc w:val="both"/>
        <w:rPr>
          <w:rFonts w:eastAsia="SimSun" w:cs="Times New Roman"/>
          <w:color w:val="000000"/>
          <w:kern w:val="2"/>
          <w:lang w:eastAsia="zh-CN"/>
        </w:rPr>
      </w:pPr>
    </w:p>
    <w:p w14:paraId="7A8FE41A" w14:textId="5E8516C5" w:rsidR="00EF629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b/>
          <w:color w:val="000000"/>
          <w:kern w:val="2"/>
          <w:lang w:eastAsia="zh-CN"/>
        </w:rPr>
        <w:t>Criteria for Evaluation of Proposal:</w:t>
      </w:r>
      <w:r w:rsidRPr="00845B64">
        <w:rPr>
          <w:rFonts w:eastAsia="SimSun" w:cs="Times New Roman"/>
          <w:color w:val="000000"/>
          <w:kern w:val="2"/>
          <w:lang w:eastAsia="zh-CN"/>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32C76859" w14:textId="77777777" w:rsidR="00073E15" w:rsidRPr="00845B64" w:rsidRDefault="00073E15" w:rsidP="00EF6294">
      <w:pPr>
        <w:widowControl w:val="0"/>
        <w:spacing w:after="0" w:line="240" w:lineRule="auto"/>
        <w:jc w:val="both"/>
        <w:rPr>
          <w:rFonts w:eastAsia="SimSun" w:cs="Times New Roman"/>
          <w:kern w:val="2"/>
          <w:lang w:eastAsia="zh-CN"/>
        </w:rPr>
      </w:pPr>
    </w:p>
    <w:p w14:paraId="7D2EA20B" w14:textId="77777777" w:rsidR="00EF6294" w:rsidRPr="00845B64" w:rsidRDefault="00EF6294" w:rsidP="00AC0D02">
      <w:pPr>
        <w:widowControl w:val="0"/>
        <w:numPr>
          <w:ilvl w:val="0"/>
          <w:numId w:val="6"/>
        </w:numPr>
        <w:spacing w:after="0" w:line="240" w:lineRule="auto"/>
        <w:contextualSpacing/>
        <w:jc w:val="both"/>
        <w:rPr>
          <w:rFonts w:eastAsia="Calibri" w:cs="Times New Roman"/>
          <w:b/>
          <w:bCs/>
        </w:rPr>
      </w:pPr>
      <w:r w:rsidRPr="00845B64">
        <w:rPr>
          <w:rFonts w:eastAsia="Calibri" w:cs="Times New Roman"/>
          <w:b/>
          <w:bCs/>
        </w:rPr>
        <w:t>TOR ANNEXES</w:t>
      </w:r>
    </w:p>
    <w:p w14:paraId="2EC992BA" w14:textId="77777777" w:rsidR="00EF6294" w:rsidRPr="00845B64" w:rsidRDefault="00EF6294" w:rsidP="00AC0D02">
      <w:pPr>
        <w:widowControl w:val="0"/>
        <w:numPr>
          <w:ilvl w:val="0"/>
          <w:numId w:val="29"/>
        </w:numPr>
        <w:spacing w:after="0" w:line="240" w:lineRule="auto"/>
        <w:contextualSpacing/>
        <w:jc w:val="both"/>
        <w:rPr>
          <w:rFonts w:eastAsia="Calibri" w:cs="Times New Roman"/>
          <w:color w:val="000000"/>
        </w:rPr>
      </w:pPr>
      <w:proofErr w:type="spellStart"/>
      <w:r w:rsidRPr="00845B64">
        <w:rPr>
          <w:rFonts w:eastAsia="Calibri" w:cs="Times New Roman"/>
          <w:color w:val="000000"/>
        </w:rPr>
        <w:t>ToR</w:t>
      </w:r>
      <w:proofErr w:type="spellEnd"/>
      <w:r w:rsidRPr="00845B64">
        <w:rPr>
          <w:rFonts w:eastAsia="Calibri" w:cs="Times New Roman"/>
          <w:color w:val="000000"/>
        </w:rPr>
        <w:t xml:space="preserve"> Annex A: Project Logical/Results Framework</w:t>
      </w:r>
    </w:p>
    <w:p w14:paraId="060EBBD9" w14:textId="77777777" w:rsidR="00EF6294" w:rsidRPr="00845B64" w:rsidRDefault="00EF6294" w:rsidP="00AC0D02">
      <w:pPr>
        <w:widowControl w:val="0"/>
        <w:numPr>
          <w:ilvl w:val="0"/>
          <w:numId w:val="29"/>
        </w:numPr>
        <w:spacing w:after="0" w:line="240" w:lineRule="auto"/>
        <w:contextualSpacing/>
        <w:jc w:val="both"/>
        <w:rPr>
          <w:rFonts w:eastAsia="Calibri" w:cs="Times New Roman"/>
          <w:color w:val="000000"/>
        </w:rPr>
      </w:pPr>
      <w:r w:rsidRPr="00845B64">
        <w:rPr>
          <w:rFonts w:eastAsia="Calibri" w:cs="Times New Roman"/>
          <w:color w:val="000000"/>
        </w:rPr>
        <w:t>ToR Annex B: Project Information Package to be reviewed by TE team</w:t>
      </w:r>
    </w:p>
    <w:p w14:paraId="7E491D60" w14:textId="77777777" w:rsidR="00EF6294" w:rsidRPr="00845B64" w:rsidRDefault="00EF6294" w:rsidP="00AC0D02">
      <w:pPr>
        <w:widowControl w:val="0"/>
        <w:numPr>
          <w:ilvl w:val="0"/>
          <w:numId w:val="29"/>
        </w:numPr>
        <w:spacing w:after="0" w:line="240" w:lineRule="auto"/>
        <w:contextualSpacing/>
        <w:jc w:val="both"/>
        <w:rPr>
          <w:rFonts w:eastAsia="Calibri" w:cs="Times New Roman"/>
          <w:color w:val="000000"/>
        </w:rPr>
      </w:pPr>
      <w:r w:rsidRPr="00845B64">
        <w:rPr>
          <w:rFonts w:eastAsia="Calibri" w:cs="Times New Roman"/>
          <w:color w:val="000000"/>
        </w:rPr>
        <w:t>ToR Annex C: Content of the TE report</w:t>
      </w:r>
    </w:p>
    <w:p w14:paraId="55F8F481" w14:textId="77777777" w:rsidR="00EF6294" w:rsidRPr="00845B64" w:rsidRDefault="00EF6294" w:rsidP="00AC0D02">
      <w:pPr>
        <w:widowControl w:val="0"/>
        <w:numPr>
          <w:ilvl w:val="0"/>
          <w:numId w:val="29"/>
        </w:numPr>
        <w:spacing w:after="0" w:line="240" w:lineRule="auto"/>
        <w:contextualSpacing/>
        <w:jc w:val="both"/>
        <w:rPr>
          <w:rFonts w:eastAsia="Calibri" w:cs="Times New Roman"/>
          <w:color w:val="000000"/>
        </w:rPr>
      </w:pPr>
      <w:r w:rsidRPr="00845B64">
        <w:rPr>
          <w:rFonts w:eastAsia="Calibri" w:cs="Times New Roman"/>
          <w:color w:val="000000"/>
        </w:rPr>
        <w:t>ToR Annex D: Evaluation Criteria Matrix template</w:t>
      </w:r>
    </w:p>
    <w:p w14:paraId="4AC8EE6D" w14:textId="77777777" w:rsidR="00EF6294" w:rsidRPr="00845B64" w:rsidRDefault="00EF6294" w:rsidP="00AC0D02">
      <w:pPr>
        <w:widowControl w:val="0"/>
        <w:numPr>
          <w:ilvl w:val="0"/>
          <w:numId w:val="29"/>
        </w:numPr>
        <w:spacing w:after="0" w:line="240" w:lineRule="auto"/>
        <w:contextualSpacing/>
        <w:jc w:val="both"/>
        <w:rPr>
          <w:rFonts w:eastAsia="Calibri" w:cs="Times New Roman"/>
          <w:color w:val="000000"/>
        </w:rPr>
      </w:pPr>
      <w:r w:rsidRPr="00845B64">
        <w:rPr>
          <w:rFonts w:eastAsia="Calibri" w:cs="Times New Roman"/>
          <w:color w:val="000000"/>
        </w:rPr>
        <w:t>ToR Annex E: UNEG Code of Conduct for Evaluators</w:t>
      </w:r>
    </w:p>
    <w:p w14:paraId="196FA537" w14:textId="77777777" w:rsidR="00EF6294" w:rsidRPr="00845B64" w:rsidRDefault="00EF6294" w:rsidP="00AC0D02">
      <w:pPr>
        <w:widowControl w:val="0"/>
        <w:numPr>
          <w:ilvl w:val="0"/>
          <w:numId w:val="29"/>
        </w:numPr>
        <w:spacing w:after="0" w:line="240" w:lineRule="auto"/>
        <w:contextualSpacing/>
        <w:jc w:val="both"/>
        <w:rPr>
          <w:rFonts w:eastAsia="Calibri" w:cs="Times New Roman"/>
          <w:color w:val="000000"/>
        </w:rPr>
      </w:pPr>
      <w:r w:rsidRPr="00845B64">
        <w:rPr>
          <w:rFonts w:eastAsia="Calibri" w:cs="Times New Roman"/>
          <w:color w:val="000000"/>
        </w:rPr>
        <w:t>ToR Annex F: TE Rating Scales</w:t>
      </w:r>
    </w:p>
    <w:p w14:paraId="6B21EBBF" w14:textId="77777777" w:rsidR="00EF6294" w:rsidRPr="00845B64" w:rsidRDefault="00EF6294" w:rsidP="00AC0D02">
      <w:pPr>
        <w:widowControl w:val="0"/>
        <w:numPr>
          <w:ilvl w:val="0"/>
          <w:numId w:val="29"/>
        </w:numPr>
        <w:spacing w:after="0" w:line="240" w:lineRule="auto"/>
        <w:contextualSpacing/>
        <w:jc w:val="both"/>
        <w:rPr>
          <w:rFonts w:eastAsia="Calibri" w:cs="Times New Roman"/>
          <w:color w:val="000000"/>
        </w:rPr>
      </w:pPr>
      <w:r w:rsidRPr="00845B64">
        <w:rPr>
          <w:rFonts w:eastAsia="Calibri" w:cs="Times New Roman"/>
          <w:color w:val="000000"/>
        </w:rPr>
        <w:t>ToR Annex G: TE Report Clearance Form</w:t>
      </w:r>
    </w:p>
    <w:p w14:paraId="0F5DE425" w14:textId="77777777" w:rsidR="00EF6294" w:rsidRPr="00845B64" w:rsidRDefault="00EF6294" w:rsidP="00AC0D02">
      <w:pPr>
        <w:widowControl w:val="0"/>
        <w:numPr>
          <w:ilvl w:val="0"/>
          <w:numId w:val="29"/>
        </w:numPr>
        <w:spacing w:after="0" w:line="240" w:lineRule="auto"/>
        <w:contextualSpacing/>
        <w:jc w:val="both"/>
        <w:rPr>
          <w:rFonts w:eastAsia="Calibri" w:cs="Times New Roman"/>
          <w:color w:val="000000"/>
        </w:rPr>
      </w:pPr>
      <w:r w:rsidRPr="00845B64">
        <w:rPr>
          <w:rFonts w:eastAsia="Calibri" w:cs="Times New Roman"/>
          <w:color w:val="000000"/>
        </w:rPr>
        <w:t>ToR Annex H: TE Audit Trail</w:t>
      </w:r>
    </w:p>
    <w:p w14:paraId="20060655" w14:textId="77777777" w:rsidR="00EF6294" w:rsidRPr="00845B64" w:rsidRDefault="00EF6294" w:rsidP="00EF6294">
      <w:pPr>
        <w:widowControl w:val="0"/>
        <w:spacing w:after="0" w:line="240" w:lineRule="auto"/>
        <w:jc w:val="both"/>
        <w:rPr>
          <w:rFonts w:eastAsia="SimSun" w:cs="Times New Roman"/>
          <w:kern w:val="2"/>
          <w:lang w:eastAsia="zh-CN"/>
        </w:rPr>
      </w:pPr>
      <w:r w:rsidRPr="00845B64">
        <w:rPr>
          <w:rFonts w:eastAsia="SimSun" w:cs="Times New Roman"/>
          <w:lang w:eastAsia="zh-CN"/>
        </w:rPr>
        <w:br w:type="page"/>
      </w:r>
    </w:p>
    <w:p w14:paraId="222DA8C6" w14:textId="77777777" w:rsidR="00EF6294" w:rsidRPr="00845B64" w:rsidRDefault="00EF6294" w:rsidP="00EF6294">
      <w:pPr>
        <w:widowControl w:val="0"/>
        <w:spacing w:after="0" w:line="240" w:lineRule="auto"/>
        <w:jc w:val="both"/>
        <w:rPr>
          <w:rFonts w:eastAsia="SimSun" w:cs="Times New Roman"/>
          <w:b/>
          <w:bCs/>
          <w:kern w:val="2"/>
          <w:lang w:eastAsia="zh-CN"/>
        </w:rPr>
      </w:pPr>
      <w:r w:rsidRPr="00845B64">
        <w:rPr>
          <w:rFonts w:eastAsia="SimSun" w:cs="Times New Roman"/>
          <w:b/>
          <w:bCs/>
          <w:kern w:val="2"/>
          <w:lang w:eastAsia="zh-CN"/>
        </w:rPr>
        <w:lastRenderedPageBreak/>
        <w:t>ToR Annex A: Project Logical/Results Framework</w:t>
      </w:r>
    </w:p>
    <w:p w14:paraId="26AF9021" w14:textId="77777777" w:rsidR="00EF6294" w:rsidRPr="00845B64" w:rsidRDefault="00EF6294" w:rsidP="00EF6294">
      <w:pPr>
        <w:widowControl w:val="0"/>
        <w:spacing w:after="0" w:line="240" w:lineRule="auto"/>
        <w:jc w:val="both"/>
        <w:rPr>
          <w:rFonts w:eastAsia="SimSun" w:cs="Times New Roman"/>
          <w:i/>
          <w:iCs/>
          <w:kern w:val="2"/>
          <w:lang w:eastAsia="zh-CN"/>
        </w:rPr>
      </w:pPr>
    </w:p>
    <w:p w14:paraId="3838F790" w14:textId="77777777" w:rsidR="00EF6294" w:rsidRPr="00845B64" w:rsidRDefault="00EF6294" w:rsidP="00EF6294">
      <w:pPr>
        <w:widowControl w:val="0"/>
        <w:spacing w:after="0" w:line="240" w:lineRule="auto"/>
        <w:jc w:val="both"/>
        <w:rPr>
          <w:rFonts w:eastAsia="SimSun" w:cs="Times New Roman"/>
          <w:b/>
          <w:bCs/>
          <w:kern w:val="2"/>
          <w:lang w:eastAsia="zh-CN"/>
        </w:rPr>
      </w:pPr>
      <w:r w:rsidRPr="00845B64">
        <w:rPr>
          <w:rFonts w:eastAsia="SimSun" w:cs="Times New Roman"/>
          <w:b/>
          <w:bCs/>
          <w:kern w:val="2"/>
          <w:lang w:eastAsia="zh-CN"/>
        </w:rPr>
        <w:t>ToR Annex B: Project Information Package to be reviewed by TE team</w:t>
      </w:r>
    </w:p>
    <w:tbl>
      <w:tblPr>
        <w:tblStyle w:val="TableGrid1"/>
        <w:tblW w:w="918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F6294" w:rsidRPr="00845B64" w14:paraId="307CC4AE" w14:textId="77777777" w:rsidTr="00EF6294">
        <w:trPr>
          <w:trHeight w:val="423"/>
          <w:jc w:val="center"/>
        </w:trPr>
        <w:tc>
          <w:tcPr>
            <w:tcW w:w="630" w:type="dxa"/>
            <w:shd w:val="clear" w:color="auto" w:fill="000000"/>
            <w:vAlign w:val="center"/>
            <w:hideMark/>
          </w:tcPr>
          <w:p w14:paraId="7C7E2447" w14:textId="77777777" w:rsidR="00EF6294" w:rsidRPr="00845B64" w:rsidRDefault="00EF6294" w:rsidP="00EF6294">
            <w:pPr>
              <w:widowControl w:val="0"/>
              <w:jc w:val="center"/>
              <w:rPr>
                <w:color w:val="FFFFFF"/>
              </w:rPr>
            </w:pPr>
            <w:r w:rsidRPr="00845B64">
              <w:rPr>
                <w:color w:val="FFFFFF"/>
              </w:rPr>
              <w:t>#</w:t>
            </w:r>
          </w:p>
        </w:tc>
        <w:tc>
          <w:tcPr>
            <w:tcW w:w="8550" w:type="dxa"/>
            <w:shd w:val="clear" w:color="auto" w:fill="000000"/>
            <w:vAlign w:val="center"/>
            <w:hideMark/>
          </w:tcPr>
          <w:p w14:paraId="0E42B740" w14:textId="77777777" w:rsidR="00EF6294" w:rsidRPr="00845B64" w:rsidRDefault="00EF6294" w:rsidP="00EF6294">
            <w:pPr>
              <w:widowControl w:val="0"/>
              <w:jc w:val="center"/>
              <w:rPr>
                <w:color w:val="FFFFFF"/>
              </w:rPr>
            </w:pPr>
            <w:r w:rsidRPr="00845B64">
              <w:rPr>
                <w:color w:val="FFFFFF"/>
              </w:rPr>
              <w:t>Item (electronic versions preferred if available)</w:t>
            </w:r>
          </w:p>
        </w:tc>
      </w:tr>
      <w:tr w:rsidR="00EF6294" w:rsidRPr="00845B64" w14:paraId="45380565" w14:textId="77777777" w:rsidTr="00EF6294">
        <w:trPr>
          <w:jc w:val="center"/>
        </w:trPr>
        <w:tc>
          <w:tcPr>
            <w:tcW w:w="630" w:type="dxa"/>
            <w:tcBorders>
              <w:top w:val="nil"/>
              <w:left w:val="single" w:sz="4" w:space="0" w:color="244061"/>
              <w:bottom w:val="single" w:sz="4" w:space="0" w:color="244061"/>
              <w:right w:val="nil"/>
            </w:tcBorders>
            <w:hideMark/>
          </w:tcPr>
          <w:p w14:paraId="3D92040E" w14:textId="77777777" w:rsidR="00EF6294" w:rsidRPr="00845B64" w:rsidRDefault="00EF6294" w:rsidP="00EF6294">
            <w:pPr>
              <w:contextualSpacing/>
              <w:jc w:val="center"/>
              <w:rPr>
                <w:rFonts w:eastAsia="Calibri"/>
                <w:color w:val="000000"/>
              </w:rPr>
            </w:pPr>
            <w:r w:rsidRPr="00845B64">
              <w:rPr>
                <w:rFonts w:eastAsia="Calibri"/>
                <w:color w:val="000000"/>
              </w:rPr>
              <w:t>1</w:t>
            </w:r>
          </w:p>
        </w:tc>
        <w:tc>
          <w:tcPr>
            <w:tcW w:w="8550" w:type="dxa"/>
            <w:tcBorders>
              <w:top w:val="nil"/>
              <w:left w:val="nil"/>
              <w:bottom w:val="single" w:sz="4" w:space="0" w:color="244061"/>
              <w:right w:val="single" w:sz="4" w:space="0" w:color="244061"/>
            </w:tcBorders>
            <w:hideMark/>
          </w:tcPr>
          <w:p w14:paraId="25B25372" w14:textId="77777777" w:rsidR="00EF6294" w:rsidRPr="00845B64" w:rsidRDefault="00EF6294" w:rsidP="00EF6294">
            <w:pPr>
              <w:widowControl w:val="0"/>
              <w:jc w:val="both"/>
              <w:rPr>
                <w:color w:val="000000"/>
              </w:rPr>
            </w:pPr>
            <w:r w:rsidRPr="00845B64">
              <w:rPr>
                <w:color w:val="000000"/>
              </w:rPr>
              <w:t>Project Identification Form (PIF)</w:t>
            </w:r>
          </w:p>
        </w:tc>
      </w:tr>
      <w:tr w:rsidR="00EF6294" w:rsidRPr="00845B64" w14:paraId="7F28F53E"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1133CA63" w14:textId="77777777" w:rsidR="00EF6294" w:rsidRPr="00845B64" w:rsidRDefault="00EF6294" w:rsidP="00EF6294">
            <w:pPr>
              <w:contextualSpacing/>
              <w:jc w:val="center"/>
              <w:rPr>
                <w:rFonts w:eastAsia="Calibri"/>
                <w:color w:val="000000"/>
              </w:rPr>
            </w:pPr>
            <w:r w:rsidRPr="00845B64">
              <w:rPr>
                <w:rFonts w:eastAsia="Calibri"/>
                <w:color w:val="000000"/>
              </w:rPr>
              <w:t>2</w:t>
            </w:r>
          </w:p>
        </w:tc>
        <w:tc>
          <w:tcPr>
            <w:tcW w:w="8550" w:type="dxa"/>
            <w:tcBorders>
              <w:top w:val="single" w:sz="4" w:space="0" w:color="244061"/>
              <w:left w:val="nil"/>
              <w:bottom w:val="single" w:sz="4" w:space="0" w:color="244061"/>
              <w:right w:val="single" w:sz="4" w:space="0" w:color="244061"/>
            </w:tcBorders>
            <w:hideMark/>
          </w:tcPr>
          <w:p w14:paraId="0AE7F183" w14:textId="77777777" w:rsidR="00EF6294" w:rsidRPr="00845B64" w:rsidRDefault="00EF6294" w:rsidP="00EF6294">
            <w:pPr>
              <w:widowControl w:val="0"/>
              <w:jc w:val="both"/>
              <w:rPr>
                <w:color w:val="000000"/>
              </w:rPr>
            </w:pPr>
            <w:r w:rsidRPr="00845B64">
              <w:rPr>
                <w:color w:val="000000"/>
              </w:rPr>
              <w:t>UNDP Initiation Plan</w:t>
            </w:r>
          </w:p>
        </w:tc>
      </w:tr>
      <w:tr w:rsidR="00EF6294" w:rsidRPr="00845B64" w14:paraId="2EEFE195"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615556BD" w14:textId="77777777" w:rsidR="00EF6294" w:rsidRPr="00845B64" w:rsidRDefault="00EF6294" w:rsidP="00EF6294">
            <w:pPr>
              <w:contextualSpacing/>
              <w:jc w:val="center"/>
              <w:rPr>
                <w:rFonts w:eastAsia="Calibri"/>
                <w:color w:val="000000"/>
              </w:rPr>
            </w:pPr>
            <w:r w:rsidRPr="00845B64">
              <w:rPr>
                <w:rFonts w:eastAsia="Calibri"/>
                <w:color w:val="000000"/>
              </w:rPr>
              <w:t>3</w:t>
            </w:r>
          </w:p>
        </w:tc>
        <w:tc>
          <w:tcPr>
            <w:tcW w:w="8550" w:type="dxa"/>
            <w:tcBorders>
              <w:top w:val="single" w:sz="4" w:space="0" w:color="244061"/>
              <w:left w:val="nil"/>
              <w:bottom w:val="single" w:sz="4" w:space="0" w:color="244061"/>
              <w:right w:val="single" w:sz="4" w:space="0" w:color="244061"/>
            </w:tcBorders>
            <w:hideMark/>
          </w:tcPr>
          <w:p w14:paraId="21ED7D62" w14:textId="77777777" w:rsidR="00EF6294" w:rsidRPr="00845B64" w:rsidRDefault="00EF6294" w:rsidP="00EF6294">
            <w:pPr>
              <w:widowControl w:val="0"/>
              <w:jc w:val="both"/>
              <w:rPr>
                <w:color w:val="000000"/>
              </w:rPr>
            </w:pPr>
            <w:r w:rsidRPr="00845B64">
              <w:rPr>
                <w:color w:val="000000"/>
              </w:rPr>
              <w:t>Final UNDP-GEF Project Document with all annexes</w:t>
            </w:r>
          </w:p>
        </w:tc>
      </w:tr>
      <w:tr w:rsidR="00EF6294" w:rsidRPr="00845B64" w14:paraId="6F55C22F"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43ADE7D2" w14:textId="77777777" w:rsidR="00EF6294" w:rsidRPr="00845B64" w:rsidRDefault="00EF6294" w:rsidP="00EF6294">
            <w:pPr>
              <w:contextualSpacing/>
              <w:jc w:val="center"/>
              <w:rPr>
                <w:rFonts w:eastAsia="Calibri"/>
                <w:color w:val="000000"/>
              </w:rPr>
            </w:pPr>
            <w:r w:rsidRPr="00845B64">
              <w:rPr>
                <w:rFonts w:eastAsia="Calibri"/>
                <w:color w:val="000000"/>
              </w:rPr>
              <w:t>4</w:t>
            </w:r>
          </w:p>
        </w:tc>
        <w:tc>
          <w:tcPr>
            <w:tcW w:w="8550" w:type="dxa"/>
            <w:tcBorders>
              <w:top w:val="single" w:sz="4" w:space="0" w:color="244061"/>
              <w:left w:val="nil"/>
              <w:bottom w:val="single" w:sz="4" w:space="0" w:color="244061"/>
              <w:right w:val="single" w:sz="4" w:space="0" w:color="244061"/>
            </w:tcBorders>
            <w:hideMark/>
          </w:tcPr>
          <w:p w14:paraId="01A34334" w14:textId="77777777" w:rsidR="00EF6294" w:rsidRPr="00845B64" w:rsidRDefault="00EF6294" w:rsidP="00EF6294">
            <w:pPr>
              <w:widowControl w:val="0"/>
              <w:jc w:val="both"/>
              <w:rPr>
                <w:color w:val="000000"/>
              </w:rPr>
            </w:pPr>
            <w:r w:rsidRPr="00845B64">
              <w:rPr>
                <w:color w:val="000000"/>
              </w:rPr>
              <w:t>CEO Endorsement Request</w:t>
            </w:r>
          </w:p>
        </w:tc>
      </w:tr>
      <w:tr w:rsidR="00EF6294" w:rsidRPr="00845B64" w14:paraId="0B704E9D"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480769EE" w14:textId="77777777" w:rsidR="00EF6294" w:rsidRPr="00845B64" w:rsidRDefault="00EF6294" w:rsidP="00EF6294">
            <w:pPr>
              <w:contextualSpacing/>
              <w:jc w:val="center"/>
              <w:rPr>
                <w:rFonts w:eastAsia="Calibri"/>
                <w:color w:val="000000"/>
              </w:rPr>
            </w:pPr>
            <w:r w:rsidRPr="00845B64">
              <w:rPr>
                <w:rFonts w:eastAsia="Calibri"/>
                <w:color w:val="000000"/>
              </w:rPr>
              <w:t>5</w:t>
            </w:r>
          </w:p>
        </w:tc>
        <w:tc>
          <w:tcPr>
            <w:tcW w:w="8550" w:type="dxa"/>
            <w:tcBorders>
              <w:top w:val="single" w:sz="4" w:space="0" w:color="244061"/>
              <w:left w:val="nil"/>
              <w:bottom w:val="single" w:sz="4" w:space="0" w:color="244061"/>
              <w:right w:val="single" w:sz="4" w:space="0" w:color="244061"/>
            </w:tcBorders>
            <w:hideMark/>
          </w:tcPr>
          <w:p w14:paraId="5F77A135" w14:textId="77777777" w:rsidR="00EF6294" w:rsidRPr="00845B64" w:rsidRDefault="00EF6294" w:rsidP="00EF6294">
            <w:pPr>
              <w:widowControl w:val="0"/>
              <w:jc w:val="both"/>
              <w:rPr>
                <w:color w:val="000000"/>
              </w:rPr>
            </w:pPr>
            <w:r w:rsidRPr="00845B64">
              <w:rPr>
                <w:color w:val="000000"/>
              </w:rPr>
              <w:t>UNDP Social and Environmental Screening Procedure (SESP) and associated management plans (if any)</w:t>
            </w:r>
          </w:p>
        </w:tc>
      </w:tr>
      <w:tr w:rsidR="00EF6294" w:rsidRPr="00845B64" w14:paraId="7268A5B5"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6E84A723" w14:textId="77777777" w:rsidR="00EF6294" w:rsidRPr="00845B64" w:rsidRDefault="00EF6294" w:rsidP="00EF6294">
            <w:pPr>
              <w:contextualSpacing/>
              <w:jc w:val="center"/>
              <w:rPr>
                <w:rFonts w:eastAsia="Calibri"/>
                <w:color w:val="000000"/>
              </w:rPr>
            </w:pPr>
            <w:r w:rsidRPr="00845B64">
              <w:rPr>
                <w:rFonts w:eastAsia="Calibri"/>
                <w:color w:val="000000"/>
              </w:rPr>
              <w:t>6</w:t>
            </w:r>
          </w:p>
        </w:tc>
        <w:tc>
          <w:tcPr>
            <w:tcW w:w="8550" w:type="dxa"/>
            <w:tcBorders>
              <w:top w:val="single" w:sz="4" w:space="0" w:color="244061"/>
              <w:left w:val="nil"/>
              <w:bottom w:val="single" w:sz="4" w:space="0" w:color="244061"/>
              <w:right w:val="single" w:sz="4" w:space="0" w:color="244061"/>
            </w:tcBorders>
            <w:hideMark/>
          </w:tcPr>
          <w:p w14:paraId="720CDC34" w14:textId="77777777" w:rsidR="00EF6294" w:rsidRPr="00845B64" w:rsidRDefault="00EF6294" w:rsidP="00EF6294">
            <w:pPr>
              <w:widowControl w:val="0"/>
              <w:jc w:val="both"/>
              <w:rPr>
                <w:color w:val="000000"/>
              </w:rPr>
            </w:pPr>
            <w:r w:rsidRPr="00845B64">
              <w:rPr>
                <w:color w:val="000000"/>
              </w:rPr>
              <w:t>Inception Workshop Report</w:t>
            </w:r>
          </w:p>
        </w:tc>
      </w:tr>
      <w:tr w:rsidR="00EF6294" w:rsidRPr="00845B64" w14:paraId="5B2C29C9"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33AA0378" w14:textId="77777777" w:rsidR="00EF6294" w:rsidRPr="00845B64" w:rsidRDefault="00EF6294" w:rsidP="00EF6294">
            <w:pPr>
              <w:contextualSpacing/>
              <w:jc w:val="center"/>
              <w:rPr>
                <w:rFonts w:eastAsia="Calibri"/>
                <w:color w:val="000000"/>
              </w:rPr>
            </w:pPr>
            <w:r w:rsidRPr="00845B64">
              <w:rPr>
                <w:rFonts w:eastAsia="Calibri"/>
                <w:color w:val="000000"/>
              </w:rPr>
              <w:t>7</w:t>
            </w:r>
          </w:p>
        </w:tc>
        <w:tc>
          <w:tcPr>
            <w:tcW w:w="8550" w:type="dxa"/>
            <w:tcBorders>
              <w:top w:val="single" w:sz="4" w:space="0" w:color="244061"/>
              <w:left w:val="nil"/>
              <w:bottom w:val="single" w:sz="4" w:space="0" w:color="244061"/>
              <w:right w:val="single" w:sz="4" w:space="0" w:color="244061"/>
            </w:tcBorders>
            <w:hideMark/>
          </w:tcPr>
          <w:p w14:paraId="1C53F008" w14:textId="77777777" w:rsidR="00EF6294" w:rsidRPr="00845B64" w:rsidRDefault="00EF6294" w:rsidP="00EF6294">
            <w:pPr>
              <w:widowControl w:val="0"/>
              <w:jc w:val="both"/>
              <w:rPr>
                <w:color w:val="000000"/>
              </w:rPr>
            </w:pPr>
            <w:r w:rsidRPr="00845B64">
              <w:rPr>
                <w:color w:val="000000"/>
              </w:rPr>
              <w:t>Mid-Term Review report and management response to MTR recommendations</w:t>
            </w:r>
          </w:p>
        </w:tc>
      </w:tr>
      <w:tr w:rsidR="00EF6294" w:rsidRPr="00845B64" w14:paraId="70816007"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484BFDC7" w14:textId="77777777" w:rsidR="00EF6294" w:rsidRPr="00845B64" w:rsidRDefault="00EF6294" w:rsidP="00EF6294">
            <w:pPr>
              <w:contextualSpacing/>
              <w:jc w:val="center"/>
              <w:rPr>
                <w:rFonts w:eastAsia="Calibri"/>
                <w:color w:val="000000"/>
              </w:rPr>
            </w:pPr>
            <w:r w:rsidRPr="00845B64">
              <w:rPr>
                <w:rFonts w:eastAsia="Calibri"/>
                <w:color w:val="000000"/>
              </w:rPr>
              <w:t>8</w:t>
            </w:r>
          </w:p>
        </w:tc>
        <w:tc>
          <w:tcPr>
            <w:tcW w:w="8550" w:type="dxa"/>
            <w:tcBorders>
              <w:top w:val="single" w:sz="4" w:space="0" w:color="244061"/>
              <w:left w:val="nil"/>
              <w:bottom w:val="single" w:sz="4" w:space="0" w:color="244061"/>
              <w:right w:val="single" w:sz="4" w:space="0" w:color="244061"/>
            </w:tcBorders>
            <w:hideMark/>
          </w:tcPr>
          <w:p w14:paraId="26539B81" w14:textId="77777777" w:rsidR="00EF6294" w:rsidRPr="00845B64" w:rsidRDefault="00EF6294" w:rsidP="00EF6294">
            <w:pPr>
              <w:widowControl w:val="0"/>
              <w:jc w:val="both"/>
              <w:rPr>
                <w:color w:val="000000"/>
              </w:rPr>
            </w:pPr>
            <w:r w:rsidRPr="00845B64">
              <w:rPr>
                <w:color w:val="000000"/>
              </w:rPr>
              <w:t>All Project Implementation Reports (PIRs)</w:t>
            </w:r>
          </w:p>
        </w:tc>
      </w:tr>
      <w:tr w:rsidR="00EF6294" w:rsidRPr="00845B64" w14:paraId="243EFF90"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2E4DE747" w14:textId="77777777" w:rsidR="00EF6294" w:rsidRPr="00845B64" w:rsidRDefault="00EF6294" w:rsidP="00EF6294">
            <w:pPr>
              <w:contextualSpacing/>
              <w:jc w:val="center"/>
              <w:rPr>
                <w:rFonts w:eastAsia="Calibri"/>
                <w:color w:val="000000"/>
              </w:rPr>
            </w:pPr>
            <w:r w:rsidRPr="00845B64">
              <w:rPr>
                <w:rFonts w:eastAsia="Calibri"/>
                <w:color w:val="000000"/>
              </w:rPr>
              <w:t>9</w:t>
            </w:r>
          </w:p>
        </w:tc>
        <w:tc>
          <w:tcPr>
            <w:tcW w:w="8550" w:type="dxa"/>
            <w:tcBorders>
              <w:top w:val="single" w:sz="4" w:space="0" w:color="244061"/>
              <w:left w:val="nil"/>
              <w:bottom w:val="single" w:sz="4" w:space="0" w:color="244061"/>
              <w:right w:val="single" w:sz="4" w:space="0" w:color="244061"/>
            </w:tcBorders>
            <w:hideMark/>
          </w:tcPr>
          <w:p w14:paraId="7DAE56A5" w14:textId="77777777" w:rsidR="00EF6294" w:rsidRPr="00845B64" w:rsidRDefault="00EF6294" w:rsidP="00EF6294">
            <w:pPr>
              <w:widowControl w:val="0"/>
              <w:jc w:val="both"/>
              <w:rPr>
                <w:color w:val="000000"/>
              </w:rPr>
            </w:pPr>
            <w:r w:rsidRPr="00845B64">
              <w:rPr>
                <w:color w:val="000000"/>
              </w:rPr>
              <w:t>Progress reports (quarterly, semi-annual, or annual, with associated workplans and financial reports)</w:t>
            </w:r>
          </w:p>
        </w:tc>
      </w:tr>
      <w:tr w:rsidR="00EF6294" w:rsidRPr="00845B64" w14:paraId="22D3D42E"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1FDF0876" w14:textId="77777777" w:rsidR="00EF6294" w:rsidRPr="00845B64" w:rsidRDefault="00EF6294" w:rsidP="00EF6294">
            <w:pPr>
              <w:contextualSpacing/>
              <w:jc w:val="center"/>
              <w:rPr>
                <w:rFonts w:eastAsia="Calibri"/>
                <w:color w:val="000000"/>
              </w:rPr>
            </w:pPr>
            <w:r w:rsidRPr="00845B64">
              <w:rPr>
                <w:rFonts w:eastAsia="Calibri"/>
                <w:color w:val="000000"/>
              </w:rPr>
              <w:t>10</w:t>
            </w:r>
          </w:p>
        </w:tc>
        <w:tc>
          <w:tcPr>
            <w:tcW w:w="8550" w:type="dxa"/>
            <w:tcBorders>
              <w:top w:val="single" w:sz="4" w:space="0" w:color="244061"/>
              <w:left w:val="nil"/>
              <w:bottom w:val="single" w:sz="4" w:space="0" w:color="244061"/>
              <w:right w:val="single" w:sz="4" w:space="0" w:color="244061"/>
            </w:tcBorders>
            <w:hideMark/>
          </w:tcPr>
          <w:p w14:paraId="4A5465D7" w14:textId="77777777" w:rsidR="00EF6294" w:rsidRPr="00845B64" w:rsidRDefault="00EF6294" w:rsidP="00EF6294">
            <w:pPr>
              <w:widowControl w:val="0"/>
              <w:jc w:val="both"/>
              <w:rPr>
                <w:color w:val="000000"/>
              </w:rPr>
            </w:pPr>
            <w:r w:rsidRPr="00845B64">
              <w:rPr>
                <w:color w:val="000000"/>
              </w:rPr>
              <w:t>Oversight mission reports</w:t>
            </w:r>
          </w:p>
        </w:tc>
      </w:tr>
      <w:tr w:rsidR="00EF6294" w:rsidRPr="00845B64" w14:paraId="70A328F6"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337FB1D8" w14:textId="77777777" w:rsidR="00EF6294" w:rsidRPr="00845B64" w:rsidRDefault="00EF6294" w:rsidP="00EF6294">
            <w:pPr>
              <w:contextualSpacing/>
              <w:jc w:val="center"/>
              <w:rPr>
                <w:rFonts w:eastAsia="Calibri"/>
                <w:color w:val="000000"/>
              </w:rPr>
            </w:pPr>
            <w:r w:rsidRPr="00845B64">
              <w:rPr>
                <w:rFonts w:eastAsia="Calibri"/>
                <w:color w:val="000000"/>
              </w:rPr>
              <w:t>11</w:t>
            </w:r>
          </w:p>
        </w:tc>
        <w:tc>
          <w:tcPr>
            <w:tcW w:w="8550" w:type="dxa"/>
            <w:tcBorders>
              <w:top w:val="single" w:sz="4" w:space="0" w:color="244061"/>
              <w:left w:val="nil"/>
              <w:bottom w:val="single" w:sz="4" w:space="0" w:color="244061"/>
              <w:right w:val="single" w:sz="4" w:space="0" w:color="244061"/>
            </w:tcBorders>
            <w:hideMark/>
          </w:tcPr>
          <w:p w14:paraId="44D669BC" w14:textId="77777777" w:rsidR="00EF6294" w:rsidRPr="00845B64" w:rsidRDefault="00EF6294" w:rsidP="00EF6294">
            <w:pPr>
              <w:widowControl w:val="0"/>
              <w:jc w:val="both"/>
              <w:rPr>
                <w:color w:val="000000"/>
              </w:rPr>
            </w:pPr>
            <w:r w:rsidRPr="00845B64">
              <w:rPr>
                <w:color w:val="000000"/>
              </w:rPr>
              <w:t>Minutes of Project Board Meetings and of other meetings (i.e. Project Appraisal Committee meetings)</w:t>
            </w:r>
          </w:p>
        </w:tc>
      </w:tr>
      <w:tr w:rsidR="00EF6294" w:rsidRPr="00845B64" w14:paraId="55473546"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3E675323" w14:textId="77777777" w:rsidR="00EF6294" w:rsidRPr="00845B64" w:rsidRDefault="00EF6294" w:rsidP="00EF6294">
            <w:pPr>
              <w:contextualSpacing/>
              <w:jc w:val="center"/>
              <w:rPr>
                <w:rFonts w:eastAsia="Calibri"/>
                <w:color w:val="000000"/>
              </w:rPr>
            </w:pPr>
            <w:r w:rsidRPr="00845B64">
              <w:rPr>
                <w:rFonts w:eastAsia="Calibri"/>
                <w:color w:val="000000"/>
              </w:rPr>
              <w:t>12</w:t>
            </w:r>
          </w:p>
        </w:tc>
        <w:tc>
          <w:tcPr>
            <w:tcW w:w="8550" w:type="dxa"/>
            <w:tcBorders>
              <w:top w:val="single" w:sz="4" w:space="0" w:color="244061"/>
              <w:left w:val="nil"/>
              <w:bottom w:val="single" w:sz="4" w:space="0" w:color="244061"/>
              <w:right w:val="single" w:sz="4" w:space="0" w:color="244061"/>
            </w:tcBorders>
            <w:hideMark/>
          </w:tcPr>
          <w:p w14:paraId="1CED439A" w14:textId="77777777" w:rsidR="00EF6294" w:rsidRPr="00845B64" w:rsidRDefault="00EF6294" w:rsidP="00EF6294">
            <w:pPr>
              <w:widowControl w:val="0"/>
              <w:jc w:val="both"/>
              <w:rPr>
                <w:color w:val="000000"/>
              </w:rPr>
            </w:pPr>
            <w:r w:rsidRPr="00845B64">
              <w:rPr>
                <w:color w:val="000000"/>
              </w:rPr>
              <w:t>GEF Tracking Tools (from CEO Endorsement, midterm, and terminal stages)</w:t>
            </w:r>
          </w:p>
        </w:tc>
      </w:tr>
      <w:tr w:rsidR="00EF6294" w:rsidRPr="00845B64" w14:paraId="2144C18E"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27D39F77" w14:textId="77777777" w:rsidR="00EF6294" w:rsidRPr="00845B64" w:rsidRDefault="00EF6294" w:rsidP="00EF6294">
            <w:pPr>
              <w:contextualSpacing/>
              <w:jc w:val="center"/>
              <w:rPr>
                <w:rFonts w:eastAsia="Calibri"/>
                <w:color w:val="000000"/>
              </w:rPr>
            </w:pPr>
            <w:r w:rsidRPr="00845B64">
              <w:rPr>
                <w:rFonts w:eastAsia="Calibri"/>
                <w:color w:val="000000"/>
              </w:rPr>
              <w:t>13</w:t>
            </w:r>
          </w:p>
        </w:tc>
        <w:tc>
          <w:tcPr>
            <w:tcW w:w="8550" w:type="dxa"/>
            <w:tcBorders>
              <w:top w:val="single" w:sz="4" w:space="0" w:color="244061"/>
              <w:left w:val="nil"/>
              <w:bottom w:val="single" w:sz="4" w:space="0" w:color="244061"/>
              <w:right w:val="single" w:sz="4" w:space="0" w:color="244061"/>
            </w:tcBorders>
            <w:hideMark/>
          </w:tcPr>
          <w:p w14:paraId="7C995452" w14:textId="77777777" w:rsidR="00EF6294" w:rsidRPr="00845B64" w:rsidRDefault="00EF6294" w:rsidP="00EF6294">
            <w:pPr>
              <w:widowControl w:val="0"/>
              <w:jc w:val="both"/>
              <w:rPr>
                <w:color w:val="000000"/>
              </w:rPr>
            </w:pPr>
            <w:r w:rsidRPr="00845B64">
              <w:rPr>
                <w:color w:val="000000"/>
              </w:rPr>
              <w:t>GEF/LDCF/SCCF Core Indicators (from PIF, CEO Endorsement, midterm, and terminal stages); for GEF-6 and GEF-7 projects only</w:t>
            </w:r>
          </w:p>
        </w:tc>
      </w:tr>
      <w:tr w:rsidR="00EF6294" w:rsidRPr="00845B64" w14:paraId="389819CB"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65C2307C" w14:textId="77777777" w:rsidR="00EF6294" w:rsidRPr="00845B64" w:rsidRDefault="00EF6294" w:rsidP="00EF6294">
            <w:pPr>
              <w:contextualSpacing/>
              <w:jc w:val="center"/>
              <w:rPr>
                <w:rFonts w:eastAsia="Calibri"/>
                <w:color w:val="000000"/>
              </w:rPr>
            </w:pPr>
            <w:r w:rsidRPr="00845B64">
              <w:rPr>
                <w:rFonts w:eastAsia="Calibri"/>
                <w:color w:val="000000"/>
              </w:rPr>
              <w:t>14</w:t>
            </w:r>
          </w:p>
        </w:tc>
        <w:tc>
          <w:tcPr>
            <w:tcW w:w="8550" w:type="dxa"/>
            <w:tcBorders>
              <w:top w:val="single" w:sz="4" w:space="0" w:color="244061"/>
              <w:left w:val="nil"/>
              <w:bottom w:val="single" w:sz="4" w:space="0" w:color="244061"/>
              <w:right w:val="single" w:sz="4" w:space="0" w:color="244061"/>
            </w:tcBorders>
            <w:hideMark/>
          </w:tcPr>
          <w:p w14:paraId="65CB0552" w14:textId="77777777" w:rsidR="00EF6294" w:rsidRPr="00845B64" w:rsidRDefault="00EF6294" w:rsidP="00EF6294">
            <w:pPr>
              <w:widowControl w:val="0"/>
              <w:jc w:val="both"/>
              <w:rPr>
                <w:color w:val="000000"/>
              </w:rPr>
            </w:pPr>
            <w:r w:rsidRPr="00845B64">
              <w:rPr>
                <w:color w:val="000000"/>
              </w:rPr>
              <w:t>Financial data, including actual expenditures by project outcome, including management costs, and including documentation of any significant budget revisions</w:t>
            </w:r>
          </w:p>
        </w:tc>
      </w:tr>
      <w:tr w:rsidR="00EF6294" w:rsidRPr="00845B64" w14:paraId="38D12F51"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3E225604" w14:textId="77777777" w:rsidR="00EF6294" w:rsidRPr="00845B64" w:rsidRDefault="00EF6294" w:rsidP="00EF6294">
            <w:pPr>
              <w:contextualSpacing/>
              <w:jc w:val="center"/>
              <w:rPr>
                <w:rFonts w:eastAsia="Calibri"/>
                <w:color w:val="000000"/>
              </w:rPr>
            </w:pPr>
            <w:r w:rsidRPr="00845B64">
              <w:rPr>
                <w:rFonts w:eastAsia="Calibri"/>
                <w:color w:val="000000"/>
              </w:rPr>
              <w:t>15</w:t>
            </w:r>
          </w:p>
        </w:tc>
        <w:tc>
          <w:tcPr>
            <w:tcW w:w="8550" w:type="dxa"/>
            <w:tcBorders>
              <w:top w:val="single" w:sz="4" w:space="0" w:color="244061"/>
              <w:left w:val="nil"/>
              <w:bottom w:val="single" w:sz="4" w:space="0" w:color="244061"/>
              <w:right w:val="single" w:sz="4" w:space="0" w:color="244061"/>
            </w:tcBorders>
            <w:hideMark/>
          </w:tcPr>
          <w:p w14:paraId="464AA60E" w14:textId="77777777" w:rsidR="00EF6294" w:rsidRPr="00845B64" w:rsidRDefault="00EF6294" w:rsidP="00EF6294">
            <w:pPr>
              <w:widowControl w:val="0"/>
              <w:jc w:val="both"/>
              <w:rPr>
                <w:color w:val="000000"/>
              </w:rPr>
            </w:pPr>
            <w:r w:rsidRPr="00845B64">
              <w:rPr>
                <w:color w:val="000000"/>
              </w:rPr>
              <w:t>Co-financing data with expected and actual contributions broken down by type of co-financing, source, and whether the contribution is considered as investment mobilized or recurring expenditures</w:t>
            </w:r>
          </w:p>
        </w:tc>
      </w:tr>
      <w:tr w:rsidR="00EF6294" w:rsidRPr="00845B64" w14:paraId="05460895"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4C111429" w14:textId="77777777" w:rsidR="00EF6294" w:rsidRPr="00845B64" w:rsidRDefault="00EF6294" w:rsidP="00EF6294">
            <w:pPr>
              <w:contextualSpacing/>
              <w:jc w:val="center"/>
              <w:rPr>
                <w:rFonts w:eastAsia="Calibri"/>
                <w:color w:val="000000"/>
              </w:rPr>
            </w:pPr>
            <w:r w:rsidRPr="00845B64">
              <w:rPr>
                <w:rFonts w:eastAsia="Calibri"/>
                <w:color w:val="000000"/>
              </w:rPr>
              <w:t>16</w:t>
            </w:r>
          </w:p>
        </w:tc>
        <w:tc>
          <w:tcPr>
            <w:tcW w:w="8550" w:type="dxa"/>
            <w:tcBorders>
              <w:top w:val="single" w:sz="4" w:space="0" w:color="244061"/>
              <w:left w:val="nil"/>
              <w:bottom w:val="single" w:sz="4" w:space="0" w:color="244061"/>
              <w:right w:val="single" w:sz="4" w:space="0" w:color="244061"/>
            </w:tcBorders>
            <w:hideMark/>
          </w:tcPr>
          <w:p w14:paraId="463F4BA6" w14:textId="77777777" w:rsidR="00EF6294" w:rsidRPr="00845B64" w:rsidRDefault="00EF6294" w:rsidP="00EF6294">
            <w:pPr>
              <w:widowControl w:val="0"/>
              <w:jc w:val="both"/>
              <w:rPr>
                <w:color w:val="000000"/>
              </w:rPr>
            </w:pPr>
            <w:r w:rsidRPr="00845B64">
              <w:rPr>
                <w:color w:val="000000"/>
              </w:rPr>
              <w:t>Audit reports</w:t>
            </w:r>
          </w:p>
        </w:tc>
      </w:tr>
      <w:tr w:rsidR="00EF6294" w:rsidRPr="00845B64" w14:paraId="58178B17"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6AC3F778" w14:textId="77777777" w:rsidR="00EF6294" w:rsidRPr="00845B64" w:rsidRDefault="00EF6294" w:rsidP="00EF6294">
            <w:pPr>
              <w:contextualSpacing/>
              <w:jc w:val="center"/>
              <w:rPr>
                <w:rFonts w:eastAsia="Calibri"/>
                <w:color w:val="000000"/>
              </w:rPr>
            </w:pPr>
            <w:r w:rsidRPr="00845B64">
              <w:rPr>
                <w:rFonts w:eastAsia="Calibri"/>
                <w:color w:val="000000"/>
              </w:rPr>
              <w:t>17</w:t>
            </w:r>
          </w:p>
        </w:tc>
        <w:tc>
          <w:tcPr>
            <w:tcW w:w="8550" w:type="dxa"/>
            <w:tcBorders>
              <w:top w:val="single" w:sz="4" w:space="0" w:color="244061"/>
              <w:left w:val="nil"/>
              <w:bottom w:val="single" w:sz="4" w:space="0" w:color="244061"/>
              <w:right w:val="single" w:sz="4" w:space="0" w:color="244061"/>
            </w:tcBorders>
            <w:hideMark/>
          </w:tcPr>
          <w:p w14:paraId="7AF9B166" w14:textId="77777777" w:rsidR="00EF6294" w:rsidRPr="00845B64" w:rsidRDefault="00EF6294" w:rsidP="00EF6294">
            <w:pPr>
              <w:widowControl w:val="0"/>
              <w:jc w:val="both"/>
              <w:rPr>
                <w:color w:val="000000"/>
              </w:rPr>
            </w:pPr>
            <w:r w:rsidRPr="00845B64">
              <w:rPr>
                <w:color w:val="000000"/>
              </w:rPr>
              <w:t>Electronic copies of project outputs (booklets, manuals, technical reports, articles, etc.)</w:t>
            </w:r>
          </w:p>
        </w:tc>
      </w:tr>
      <w:tr w:rsidR="00EF6294" w:rsidRPr="00845B64" w14:paraId="5D8EE075"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1A3FE712" w14:textId="77777777" w:rsidR="00EF6294" w:rsidRPr="00845B64" w:rsidRDefault="00EF6294" w:rsidP="00EF6294">
            <w:pPr>
              <w:contextualSpacing/>
              <w:jc w:val="center"/>
              <w:rPr>
                <w:rFonts w:eastAsia="Calibri"/>
                <w:color w:val="000000"/>
              </w:rPr>
            </w:pPr>
            <w:r w:rsidRPr="00845B64">
              <w:rPr>
                <w:rFonts w:eastAsia="Calibri"/>
                <w:color w:val="000000"/>
              </w:rPr>
              <w:t>18</w:t>
            </w:r>
          </w:p>
        </w:tc>
        <w:tc>
          <w:tcPr>
            <w:tcW w:w="8550" w:type="dxa"/>
            <w:tcBorders>
              <w:top w:val="single" w:sz="4" w:space="0" w:color="244061"/>
              <w:left w:val="nil"/>
              <w:bottom w:val="single" w:sz="4" w:space="0" w:color="244061"/>
              <w:right w:val="single" w:sz="4" w:space="0" w:color="244061"/>
            </w:tcBorders>
            <w:hideMark/>
          </w:tcPr>
          <w:p w14:paraId="20905EBB" w14:textId="77777777" w:rsidR="00EF6294" w:rsidRPr="00845B64" w:rsidRDefault="00EF6294" w:rsidP="00EF6294">
            <w:pPr>
              <w:widowControl w:val="0"/>
              <w:jc w:val="both"/>
              <w:rPr>
                <w:color w:val="000000"/>
              </w:rPr>
            </w:pPr>
            <w:r w:rsidRPr="00845B64">
              <w:rPr>
                <w:color w:val="000000"/>
              </w:rPr>
              <w:t>Sample of project communications materials</w:t>
            </w:r>
          </w:p>
        </w:tc>
      </w:tr>
      <w:tr w:rsidR="00EF6294" w:rsidRPr="00845B64" w14:paraId="0639037E"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4D45CF01" w14:textId="77777777" w:rsidR="00EF6294" w:rsidRPr="00845B64" w:rsidRDefault="00EF6294" w:rsidP="00EF6294">
            <w:pPr>
              <w:contextualSpacing/>
              <w:jc w:val="center"/>
              <w:rPr>
                <w:rFonts w:eastAsia="Calibri"/>
                <w:color w:val="000000"/>
              </w:rPr>
            </w:pPr>
            <w:r w:rsidRPr="00845B64">
              <w:rPr>
                <w:rFonts w:eastAsia="Calibri"/>
                <w:color w:val="000000"/>
              </w:rPr>
              <w:t>19</w:t>
            </w:r>
          </w:p>
        </w:tc>
        <w:tc>
          <w:tcPr>
            <w:tcW w:w="8550" w:type="dxa"/>
            <w:tcBorders>
              <w:top w:val="single" w:sz="4" w:space="0" w:color="244061"/>
              <w:left w:val="nil"/>
              <w:bottom w:val="single" w:sz="4" w:space="0" w:color="244061"/>
              <w:right w:val="single" w:sz="4" w:space="0" w:color="244061"/>
            </w:tcBorders>
            <w:hideMark/>
          </w:tcPr>
          <w:p w14:paraId="0A2345CA" w14:textId="77777777" w:rsidR="00EF6294" w:rsidRPr="00845B64" w:rsidRDefault="00EF6294" w:rsidP="00EF6294">
            <w:pPr>
              <w:widowControl w:val="0"/>
              <w:jc w:val="both"/>
              <w:rPr>
                <w:color w:val="000000"/>
              </w:rPr>
            </w:pPr>
            <w:r w:rsidRPr="00845B64">
              <w:rPr>
                <w:color w:val="000000"/>
              </w:rPr>
              <w:t>Summary list of formal meetings, workshops, etc. held, with date, location, topic, and number of participants</w:t>
            </w:r>
          </w:p>
        </w:tc>
      </w:tr>
      <w:tr w:rsidR="00EF6294" w:rsidRPr="00845B64" w14:paraId="5CFBABA9"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5447B996" w14:textId="77777777" w:rsidR="00EF6294" w:rsidRPr="00845B64" w:rsidRDefault="00EF6294" w:rsidP="00EF6294">
            <w:pPr>
              <w:contextualSpacing/>
              <w:jc w:val="center"/>
              <w:rPr>
                <w:rFonts w:eastAsia="Calibri"/>
                <w:color w:val="000000"/>
              </w:rPr>
            </w:pPr>
            <w:r w:rsidRPr="00845B64">
              <w:rPr>
                <w:rFonts w:eastAsia="Calibri"/>
                <w:color w:val="000000"/>
              </w:rPr>
              <w:t>20</w:t>
            </w:r>
          </w:p>
        </w:tc>
        <w:tc>
          <w:tcPr>
            <w:tcW w:w="8550" w:type="dxa"/>
            <w:tcBorders>
              <w:top w:val="single" w:sz="4" w:space="0" w:color="244061"/>
              <w:left w:val="nil"/>
              <w:bottom w:val="single" w:sz="4" w:space="0" w:color="244061"/>
              <w:right w:val="single" w:sz="4" w:space="0" w:color="244061"/>
            </w:tcBorders>
            <w:hideMark/>
          </w:tcPr>
          <w:p w14:paraId="5EA78DE6" w14:textId="77777777" w:rsidR="00EF6294" w:rsidRPr="00845B64" w:rsidRDefault="00EF6294" w:rsidP="00EF6294">
            <w:pPr>
              <w:widowControl w:val="0"/>
              <w:jc w:val="both"/>
              <w:rPr>
                <w:color w:val="000000"/>
              </w:rPr>
            </w:pPr>
            <w:r w:rsidRPr="00845B64">
              <w:rPr>
                <w:color w:val="000000"/>
              </w:rPr>
              <w:t>Any relevant socio-economic monitoring data, such as average incomes / employment levels of stakeholders in the target area, change in revenue related to project activities</w:t>
            </w:r>
          </w:p>
        </w:tc>
      </w:tr>
      <w:tr w:rsidR="00EF6294" w:rsidRPr="00845B64" w14:paraId="30CFF19A"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3DF55CF1" w14:textId="77777777" w:rsidR="00EF6294" w:rsidRPr="00845B64" w:rsidRDefault="00EF6294" w:rsidP="00EF6294">
            <w:pPr>
              <w:contextualSpacing/>
              <w:jc w:val="center"/>
              <w:rPr>
                <w:rFonts w:eastAsia="Calibri"/>
                <w:color w:val="000000"/>
              </w:rPr>
            </w:pPr>
            <w:r w:rsidRPr="00845B64">
              <w:rPr>
                <w:rFonts w:eastAsia="Calibri"/>
                <w:color w:val="000000"/>
              </w:rPr>
              <w:t>21</w:t>
            </w:r>
          </w:p>
        </w:tc>
        <w:tc>
          <w:tcPr>
            <w:tcW w:w="8550" w:type="dxa"/>
            <w:tcBorders>
              <w:top w:val="single" w:sz="4" w:space="0" w:color="244061"/>
              <w:left w:val="nil"/>
              <w:bottom w:val="single" w:sz="4" w:space="0" w:color="244061"/>
              <w:right w:val="single" w:sz="4" w:space="0" w:color="244061"/>
            </w:tcBorders>
            <w:hideMark/>
          </w:tcPr>
          <w:p w14:paraId="08FB6EA2" w14:textId="77777777" w:rsidR="00EF6294" w:rsidRPr="00845B64" w:rsidRDefault="00EF6294" w:rsidP="00EF6294">
            <w:pPr>
              <w:widowControl w:val="0"/>
              <w:jc w:val="both"/>
              <w:rPr>
                <w:color w:val="000000"/>
              </w:rPr>
            </w:pPr>
            <w:r w:rsidRPr="00845B64">
              <w:rPr>
                <w:color w:val="000000"/>
              </w:rPr>
              <w:t>List of contracts and procurement items over ~US$5,000 (i.e. organizations or companies contracted for project outputs, etc., except in cases of confidential information)</w:t>
            </w:r>
          </w:p>
        </w:tc>
      </w:tr>
      <w:tr w:rsidR="00EF6294" w:rsidRPr="00845B64" w14:paraId="7B4BE0AF"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347475FD" w14:textId="77777777" w:rsidR="00EF6294" w:rsidRPr="00845B64" w:rsidRDefault="00EF6294" w:rsidP="00EF6294">
            <w:pPr>
              <w:contextualSpacing/>
              <w:jc w:val="center"/>
              <w:rPr>
                <w:rFonts w:eastAsia="Calibri"/>
                <w:color w:val="000000"/>
              </w:rPr>
            </w:pPr>
            <w:r w:rsidRPr="00845B64">
              <w:rPr>
                <w:rFonts w:eastAsia="Calibri"/>
                <w:color w:val="000000"/>
              </w:rPr>
              <w:t>22</w:t>
            </w:r>
          </w:p>
        </w:tc>
        <w:tc>
          <w:tcPr>
            <w:tcW w:w="8550" w:type="dxa"/>
            <w:tcBorders>
              <w:top w:val="single" w:sz="4" w:space="0" w:color="244061"/>
              <w:left w:val="nil"/>
              <w:bottom w:val="single" w:sz="4" w:space="0" w:color="244061"/>
              <w:right w:val="single" w:sz="4" w:space="0" w:color="244061"/>
            </w:tcBorders>
            <w:hideMark/>
          </w:tcPr>
          <w:p w14:paraId="72DF4AF7" w14:textId="77777777" w:rsidR="00EF6294" w:rsidRPr="00845B64" w:rsidRDefault="00EF6294" w:rsidP="00EF6294">
            <w:pPr>
              <w:widowControl w:val="0"/>
              <w:jc w:val="both"/>
              <w:rPr>
                <w:color w:val="000000"/>
              </w:rPr>
            </w:pPr>
            <w:r w:rsidRPr="00845B64">
              <w:rPr>
                <w:color w:val="000000"/>
              </w:rPr>
              <w:t>List of related projects/initiatives contributing to project objectives approved/started after GEF project approval (i.e. any leveraged or “catalytic” results)</w:t>
            </w:r>
          </w:p>
        </w:tc>
      </w:tr>
      <w:tr w:rsidR="00EF6294" w:rsidRPr="00845B64" w14:paraId="49B3CCD6"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28F79CA0" w14:textId="77777777" w:rsidR="00EF6294" w:rsidRPr="00845B64" w:rsidRDefault="00EF6294" w:rsidP="00EF6294">
            <w:pPr>
              <w:contextualSpacing/>
              <w:jc w:val="center"/>
              <w:rPr>
                <w:rFonts w:eastAsia="Calibri"/>
                <w:color w:val="000000"/>
              </w:rPr>
            </w:pPr>
            <w:r w:rsidRPr="00845B64">
              <w:rPr>
                <w:rFonts w:eastAsia="Calibri"/>
                <w:color w:val="000000"/>
              </w:rPr>
              <w:t>23</w:t>
            </w:r>
          </w:p>
        </w:tc>
        <w:tc>
          <w:tcPr>
            <w:tcW w:w="8550" w:type="dxa"/>
            <w:tcBorders>
              <w:top w:val="single" w:sz="4" w:space="0" w:color="244061"/>
              <w:left w:val="nil"/>
              <w:bottom w:val="single" w:sz="4" w:space="0" w:color="244061"/>
              <w:right w:val="single" w:sz="4" w:space="0" w:color="244061"/>
            </w:tcBorders>
            <w:hideMark/>
          </w:tcPr>
          <w:p w14:paraId="3E407420" w14:textId="77777777" w:rsidR="00EF6294" w:rsidRPr="00845B64" w:rsidRDefault="00EF6294" w:rsidP="00EF6294">
            <w:pPr>
              <w:widowControl w:val="0"/>
              <w:jc w:val="both"/>
              <w:rPr>
                <w:color w:val="000000"/>
              </w:rPr>
            </w:pPr>
            <w:r w:rsidRPr="00845B64">
              <w:rPr>
                <w:color w:val="000000"/>
              </w:rPr>
              <w:t>Data on relevant project website activity – e.g. number of unique visitors per month, number of page views, etc. over relevant time period, if available</w:t>
            </w:r>
          </w:p>
        </w:tc>
      </w:tr>
      <w:tr w:rsidR="00EF6294" w:rsidRPr="00845B64" w14:paraId="71943C0C"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11C60616" w14:textId="77777777" w:rsidR="00EF6294" w:rsidRPr="00845B64" w:rsidRDefault="00EF6294" w:rsidP="00EF6294">
            <w:pPr>
              <w:contextualSpacing/>
              <w:jc w:val="center"/>
              <w:rPr>
                <w:rFonts w:eastAsia="Calibri"/>
                <w:color w:val="000000"/>
              </w:rPr>
            </w:pPr>
            <w:r w:rsidRPr="00845B64">
              <w:rPr>
                <w:rFonts w:eastAsia="Calibri"/>
                <w:color w:val="000000"/>
              </w:rPr>
              <w:t>24</w:t>
            </w:r>
          </w:p>
        </w:tc>
        <w:tc>
          <w:tcPr>
            <w:tcW w:w="8550" w:type="dxa"/>
            <w:tcBorders>
              <w:top w:val="single" w:sz="4" w:space="0" w:color="244061"/>
              <w:left w:val="nil"/>
              <w:bottom w:val="single" w:sz="4" w:space="0" w:color="244061"/>
              <w:right w:val="single" w:sz="4" w:space="0" w:color="244061"/>
            </w:tcBorders>
            <w:hideMark/>
          </w:tcPr>
          <w:p w14:paraId="74E43362" w14:textId="77777777" w:rsidR="00EF6294" w:rsidRPr="00845B64" w:rsidRDefault="00EF6294" w:rsidP="00EF6294">
            <w:pPr>
              <w:widowControl w:val="0"/>
              <w:jc w:val="both"/>
              <w:rPr>
                <w:color w:val="000000"/>
              </w:rPr>
            </w:pPr>
            <w:r w:rsidRPr="00845B64">
              <w:rPr>
                <w:color w:val="000000"/>
              </w:rPr>
              <w:t>UNDP Country Programme Document (CPD)</w:t>
            </w:r>
          </w:p>
        </w:tc>
      </w:tr>
      <w:tr w:rsidR="00EF6294" w:rsidRPr="00845B64" w14:paraId="01D47595"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5ED08587" w14:textId="77777777" w:rsidR="00EF6294" w:rsidRPr="00845B64" w:rsidRDefault="00EF6294" w:rsidP="00EF6294">
            <w:pPr>
              <w:contextualSpacing/>
              <w:jc w:val="center"/>
              <w:rPr>
                <w:rFonts w:eastAsia="Calibri"/>
                <w:color w:val="000000"/>
              </w:rPr>
            </w:pPr>
            <w:r w:rsidRPr="00845B64">
              <w:rPr>
                <w:rFonts w:eastAsia="Calibri"/>
                <w:color w:val="000000"/>
              </w:rPr>
              <w:t>25</w:t>
            </w:r>
          </w:p>
        </w:tc>
        <w:tc>
          <w:tcPr>
            <w:tcW w:w="8550" w:type="dxa"/>
            <w:tcBorders>
              <w:top w:val="single" w:sz="4" w:space="0" w:color="244061"/>
              <w:left w:val="nil"/>
              <w:bottom w:val="single" w:sz="4" w:space="0" w:color="244061"/>
              <w:right w:val="single" w:sz="4" w:space="0" w:color="244061"/>
            </w:tcBorders>
            <w:hideMark/>
          </w:tcPr>
          <w:p w14:paraId="009F7EEA" w14:textId="77777777" w:rsidR="00EF6294" w:rsidRPr="00845B64" w:rsidRDefault="00EF6294" w:rsidP="00EF6294">
            <w:pPr>
              <w:widowControl w:val="0"/>
              <w:jc w:val="both"/>
              <w:rPr>
                <w:color w:val="000000"/>
              </w:rPr>
            </w:pPr>
            <w:r w:rsidRPr="00845B64">
              <w:rPr>
                <w:color w:val="000000"/>
              </w:rPr>
              <w:t>List/map of project sites, highlighting suggested visits</w:t>
            </w:r>
          </w:p>
        </w:tc>
      </w:tr>
      <w:tr w:rsidR="00EF6294" w:rsidRPr="00845B64" w14:paraId="49468CA2"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4EAF8CCD" w14:textId="77777777" w:rsidR="00EF6294" w:rsidRPr="00845B64" w:rsidRDefault="00EF6294" w:rsidP="00EF6294">
            <w:pPr>
              <w:contextualSpacing/>
              <w:jc w:val="center"/>
              <w:rPr>
                <w:rFonts w:eastAsia="Calibri"/>
                <w:color w:val="000000"/>
              </w:rPr>
            </w:pPr>
            <w:r w:rsidRPr="00845B64">
              <w:rPr>
                <w:rFonts w:eastAsia="Calibri"/>
                <w:color w:val="000000"/>
              </w:rPr>
              <w:t>26</w:t>
            </w:r>
          </w:p>
        </w:tc>
        <w:tc>
          <w:tcPr>
            <w:tcW w:w="8550" w:type="dxa"/>
            <w:tcBorders>
              <w:top w:val="single" w:sz="4" w:space="0" w:color="244061"/>
              <w:left w:val="nil"/>
              <w:bottom w:val="single" w:sz="4" w:space="0" w:color="244061"/>
              <w:right w:val="single" w:sz="4" w:space="0" w:color="244061"/>
            </w:tcBorders>
            <w:hideMark/>
          </w:tcPr>
          <w:p w14:paraId="3FB9783D" w14:textId="77777777" w:rsidR="00EF6294" w:rsidRPr="00845B64" w:rsidRDefault="00EF6294" w:rsidP="00EF6294">
            <w:pPr>
              <w:widowControl w:val="0"/>
              <w:jc w:val="both"/>
              <w:rPr>
                <w:color w:val="000000"/>
              </w:rPr>
            </w:pPr>
            <w:r w:rsidRPr="00845B64">
              <w:rPr>
                <w:color w:val="000000"/>
              </w:rPr>
              <w:t>List and contact details for project staff, key project stakeholders, including Project Board members, RTA, Project Team members, and other partners to be consulted</w:t>
            </w:r>
          </w:p>
        </w:tc>
      </w:tr>
      <w:tr w:rsidR="00EF6294" w:rsidRPr="00845B64" w14:paraId="6F7B0040" w14:textId="77777777" w:rsidTr="00EF6294">
        <w:trPr>
          <w:jc w:val="center"/>
        </w:trPr>
        <w:tc>
          <w:tcPr>
            <w:tcW w:w="630" w:type="dxa"/>
            <w:tcBorders>
              <w:top w:val="single" w:sz="4" w:space="0" w:color="244061"/>
              <w:left w:val="single" w:sz="4" w:space="0" w:color="244061"/>
              <w:bottom w:val="single" w:sz="4" w:space="0" w:color="244061"/>
              <w:right w:val="nil"/>
            </w:tcBorders>
            <w:hideMark/>
          </w:tcPr>
          <w:p w14:paraId="328DFFD7" w14:textId="77777777" w:rsidR="00EF6294" w:rsidRPr="00845B64" w:rsidRDefault="00EF6294" w:rsidP="00EF6294">
            <w:pPr>
              <w:contextualSpacing/>
              <w:jc w:val="center"/>
              <w:rPr>
                <w:rFonts w:eastAsia="Calibri"/>
                <w:color w:val="000000"/>
              </w:rPr>
            </w:pPr>
            <w:r w:rsidRPr="00845B64">
              <w:rPr>
                <w:rFonts w:eastAsia="Calibri"/>
                <w:color w:val="000000"/>
              </w:rPr>
              <w:t>27</w:t>
            </w:r>
          </w:p>
        </w:tc>
        <w:tc>
          <w:tcPr>
            <w:tcW w:w="8550" w:type="dxa"/>
            <w:tcBorders>
              <w:top w:val="single" w:sz="4" w:space="0" w:color="244061"/>
              <w:left w:val="nil"/>
              <w:bottom w:val="single" w:sz="4" w:space="0" w:color="244061"/>
              <w:right w:val="single" w:sz="4" w:space="0" w:color="244061"/>
            </w:tcBorders>
            <w:hideMark/>
          </w:tcPr>
          <w:p w14:paraId="0C9C9E8B" w14:textId="77777777" w:rsidR="00EF6294" w:rsidRPr="00845B64" w:rsidRDefault="00EF6294" w:rsidP="00EF6294">
            <w:pPr>
              <w:widowControl w:val="0"/>
              <w:jc w:val="both"/>
              <w:rPr>
                <w:color w:val="000000"/>
              </w:rPr>
            </w:pPr>
            <w:r w:rsidRPr="00845B64">
              <w:rPr>
                <w:color w:val="000000"/>
              </w:rPr>
              <w:t>Project deliverables that provide documentary evidence of achievement towards project outcomes</w:t>
            </w:r>
          </w:p>
        </w:tc>
      </w:tr>
      <w:tr w:rsidR="00EF6294" w:rsidRPr="00845B64" w14:paraId="027B9AAF" w14:textId="77777777" w:rsidTr="00EF6294">
        <w:trPr>
          <w:jc w:val="center"/>
        </w:trPr>
        <w:tc>
          <w:tcPr>
            <w:tcW w:w="630" w:type="dxa"/>
            <w:tcBorders>
              <w:top w:val="single" w:sz="4" w:space="0" w:color="244061"/>
              <w:left w:val="single" w:sz="4" w:space="0" w:color="244061"/>
              <w:bottom w:val="single" w:sz="4" w:space="0" w:color="244061"/>
              <w:right w:val="nil"/>
            </w:tcBorders>
          </w:tcPr>
          <w:p w14:paraId="5CC59B92" w14:textId="77777777" w:rsidR="00EF6294" w:rsidRPr="00845B64" w:rsidRDefault="00EF6294" w:rsidP="00EF6294">
            <w:pPr>
              <w:contextualSpacing/>
              <w:jc w:val="center"/>
              <w:rPr>
                <w:rFonts w:eastAsia="Calibri"/>
                <w:color w:val="000000"/>
              </w:rPr>
            </w:pPr>
          </w:p>
        </w:tc>
        <w:tc>
          <w:tcPr>
            <w:tcW w:w="8550" w:type="dxa"/>
            <w:tcBorders>
              <w:top w:val="single" w:sz="4" w:space="0" w:color="244061"/>
              <w:left w:val="nil"/>
              <w:bottom w:val="single" w:sz="4" w:space="0" w:color="244061"/>
              <w:right w:val="single" w:sz="4" w:space="0" w:color="244061"/>
            </w:tcBorders>
            <w:hideMark/>
          </w:tcPr>
          <w:p w14:paraId="23EE27DA" w14:textId="77777777" w:rsidR="00EF6294" w:rsidRPr="00845B64" w:rsidRDefault="00EF6294" w:rsidP="00EF6294">
            <w:pPr>
              <w:widowControl w:val="0"/>
              <w:jc w:val="both"/>
              <w:rPr>
                <w:i/>
                <w:iCs/>
                <w:color w:val="000000"/>
              </w:rPr>
            </w:pPr>
            <w:r w:rsidRPr="00845B64">
              <w:rPr>
                <w:i/>
                <w:iCs/>
                <w:color w:val="000000"/>
              </w:rPr>
              <w:t>Add documents, as required</w:t>
            </w:r>
          </w:p>
        </w:tc>
      </w:tr>
    </w:tbl>
    <w:p w14:paraId="5AE9DFCC" w14:textId="66F4C887" w:rsidR="00EF6294" w:rsidRDefault="00EF6294" w:rsidP="00EF6294">
      <w:pPr>
        <w:widowControl w:val="0"/>
        <w:spacing w:after="0" w:line="240" w:lineRule="auto"/>
        <w:jc w:val="both"/>
        <w:rPr>
          <w:rFonts w:eastAsia="SimSun" w:cs="Times New Roman"/>
          <w:color w:val="000000"/>
          <w:kern w:val="2"/>
          <w:lang w:eastAsia="zh-CN"/>
        </w:rPr>
      </w:pPr>
    </w:p>
    <w:p w14:paraId="57BDBF47" w14:textId="255FF7A3" w:rsidR="002F3F32" w:rsidRDefault="002F3F32" w:rsidP="00EF6294">
      <w:pPr>
        <w:widowControl w:val="0"/>
        <w:spacing w:after="0" w:line="240" w:lineRule="auto"/>
        <w:jc w:val="both"/>
        <w:rPr>
          <w:rFonts w:eastAsia="SimSun" w:cs="Times New Roman"/>
          <w:color w:val="000000"/>
          <w:kern w:val="2"/>
          <w:lang w:eastAsia="zh-CN"/>
        </w:rPr>
      </w:pPr>
    </w:p>
    <w:p w14:paraId="6DABF0D1" w14:textId="78428280" w:rsidR="002F3F32" w:rsidRDefault="002F3F32" w:rsidP="00EF6294">
      <w:pPr>
        <w:widowControl w:val="0"/>
        <w:spacing w:after="0" w:line="240" w:lineRule="auto"/>
        <w:jc w:val="both"/>
        <w:rPr>
          <w:rFonts w:eastAsia="SimSun" w:cs="Times New Roman"/>
          <w:color w:val="000000"/>
          <w:kern w:val="2"/>
          <w:lang w:eastAsia="zh-CN"/>
        </w:rPr>
      </w:pPr>
    </w:p>
    <w:p w14:paraId="2A955D04" w14:textId="3F1E2750" w:rsidR="002F3F32" w:rsidRDefault="002F3F32" w:rsidP="00EF6294">
      <w:pPr>
        <w:widowControl w:val="0"/>
        <w:spacing w:after="0" w:line="240" w:lineRule="auto"/>
        <w:jc w:val="both"/>
        <w:rPr>
          <w:rFonts w:eastAsia="SimSun" w:cs="Times New Roman"/>
          <w:color w:val="000000"/>
          <w:kern w:val="2"/>
          <w:lang w:eastAsia="zh-CN"/>
        </w:rPr>
      </w:pPr>
    </w:p>
    <w:p w14:paraId="02D6FF22" w14:textId="0D067161" w:rsidR="002F3F32" w:rsidRDefault="002F3F32" w:rsidP="00EF6294">
      <w:pPr>
        <w:widowControl w:val="0"/>
        <w:spacing w:after="0" w:line="240" w:lineRule="auto"/>
        <w:jc w:val="both"/>
        <w:rPr>
          <w:rFonts w:eastAsia="SimSun" w:cs="Times New Roman"/>
          <w:color w:val="000000"/>
          <w:kern w:val="2"/>
          <w:lang w:eastAsia="zh-CN"/>
        </w:rPr>
      </w:pPr>
    </w:p>
    <w:p w14:paraId="4B38484B" w14:textId="77777777" w:rsidR="002F3F32" w:rsidRPr="00845B64" w:rsidRDefault="002F3F32" w:rsidP="00EF6294">
      <w:pPr>
        <w:widowControl w:val="0"/>
        <w:spacing w:after="0" w:line="240" w:lineRule="auto"/>
        <w:jc w:val="both"/>
        <w:rPr>
          <w:rFonts w:eastAsia="SimSun" w:cs="Times New Roman"/>
          <w:color w:val="000000"/>
          <w:kern w:val="2"/>
          <w:lang w:eastAsia="zh-CN"/>
        </w:rPr>
      </w:pPr>
    </w:p>
    <w:p w14:paraId="593B861A" w14:textId="77777777" w:rsidR="00EF6294" w:rsidRPr="00845B64" w:rsidRDefault="00EF6294" w:rsidP="00EF6294">
      <w:pPr>
        <w:widowControl w:val="0"/>
        <w:spacing w:after="0" w:line="240" w:lineRule="auto"/>
        <w:jc w:val="both"/>
        <w:rPr>
          <w:rFonts w:eastAsia="SimSun" w:cs="Times New Roman"/>
          <w:b/>
          <w:bCs/>
          <w:kern w:val="2"/>
          <w:lang w:eastAsia="zh-CN"/>
        </w:rPr>
      </w:pPr>
      <w:r w:rsidRPr="00845B64">
        <w:rPr>
          <w:rFonts w:eastAsia="SimSun" w:cs="Times New Roman"/>
          <w:b/>
          <w:bCs/>
          <w:kern w:val="2"/>
          <w:lang w:eastAsia="zh-CN"/>
        </w:rPr>
        <w:t>ToR Annex C: Content of the TE report</w:t>
      </w:r>
    </w:p>
    <w:p w14:paraId="5B9480FD" w14:textId="77777777" w:rsidR="00EF6294" w:rsidRPr="00845B64" w:rsidRDefault="00EF6294" w:rsidP="00AC0D02">
      <w:pPr>
        <w:widowControl w:val="0"/>
        <w:numPr>
          <w:ilvl w:val="0"/>
          <w:numId w:val="30"/>
        </w:numPr>
        <w:tabs>
          <w:tab w:val="left" w:pos="720"/>
        </w:tabs>
        <w:spacing w:after="0" w:line="240" w:lineRule="auto"/>
        <w:ind w:left="1080"/>
        <w:contextualSpacing/>
        <w:jc w:val="both"/>
        <w:rPr>
          <w:rFonts w:eastAsia="Calibri" w:cs="Times New Roman"/>
          <w:color w:val="000000"/>
        </w:rPr>
      </w:pPr>
      <w:r w:rsidRPr="00845B64">
        <w:rPr>
          <w:rFonts w:eastAsia="Calibri" w:cs="Times New Roman"/>
          <w:color w:val="000000"/>
        </w:rPr>
        <w:lastRenderedPageBreak/>
        <w:t>Title page</w:t>
      </w:r>
    </w:p>
    <w:p w14:paraId="6B25592D" w14:textId="77777777" w:rsidR="00EF6294" w:rsidRPr="00845B64" w:rsidRDefault="00EF6294" w:rsidP="00AC0D02">
      <w:pPr>
        <w:widowControl w:val="0"/>
        <w:numPr>
          <w:ilvl w:val="0"/>
          <w:numId w:val="31"/>
        </w:numPr>
        <w:spacing w:after="0" w:line="240" w:lineRule="auto"/>
        <w:contextualSpacing/>
        <w:jc w:val="both"/>
        <w:rPr>
          <w:rFonts w:eastAsia="Calibri" w:cs="Times New Roman"/>
          <w:color w:val="000000"/>
        </w:rPr>
      </w:pPr>
      <w:r w:rsidRPr="00845B64">
        <w:rPr>
          <w:rFonts w:eastAsia="Calibri" w:cs="Times New Roman"/>
          <w:color w:val="000000"/>
        </w:rPr>
        <w:t>Tile of UNDP-supported GEF-financed project</w:t>
      </w:r>
    </w:p>
    <w:p w14:paraId="12DB0970" w14:textId="77777777" w:rsidR="00EF6294" w:rsidRPr="00845B64" w:rsidRDefault="00EF6294" w:rsidP="00AC0D02">
      <w:pPr>
        <w:widowControl w:val="0"/>
        <w:numPr>
          <w:ilvl w:val="0"/>
          <w:numId w:val="31"/>
        </w:numPr>
        <w:spacing w:after="0" w:line="240" w:lineRule="auto"/>
        <w:contextualSpacing/>
        <w:jc w:val="both"/>
        <w:rPr>
          <w:rFonts w:eastAsia="Calibri" w:cs="Times New Roman"/>
          <w:color w:val="000000"/>
        </w:rPr>
      </w:pPr>
      <w:r w:rsidRPr="00845B64">
        <w:rPr>
          <w:rFonts w:eastAsia="Calibri" w:cs="Times New Roman"/>
          <w:color w:val="000000"/>
        </w:rPr>
        <w:t>UNDP PIMS ID and GEF ID</w:t>
      </w:r>
    </w:p>
    <w:p w14:paraId="7805CB5A" w14:textId="77777777" w:rsidR="00EF6294" w:rsidRPr="00845B64" w:rsidRDefault="00EF6294" w:rsidP="00AC0D02">
      <w:pPr>
        <w:widowControl w:val="0"/>
        <w:numPr>
          <w:ilvl w:val="0"/>
          <w:numId w:val="31"/>
        </w:numPr>
        <w:spacing w:after="0" w:line="240" w:lineRule="auto"/>
        <w:contextualSpacing/>
        <w:jc w:val="both"/>
        <w:rPr>
          <w:rFonts w:eastAsia="Calibri" w:cs="Times New Roman"/>
          <w:color w:val="000000"/>
        </w:rPr>
      </w:pPr>
      <w:r w:rsidRPr="00845B64">
        <w:rPr>
          <w:rFonts w:eastAsia="Calibri" w:cs="Times New Roman"/>
          <w:color w:val="000000"/>
        </w:rPr>
        <w:t>TE timeframe and date of final TE report</w:t>
      </w:r>
    </w:p>
    <w:p w14:paraId="11572858" w14:textId="77777777" w:rsidR="00EF6294" w:rsidRPr="00845B64" w:rsidRDefault="00EF6294" w:rsidP="00AC0D02">
      <w:pPr>
        <w:widowControl w:val="0"/>
        <w:numPr>
          <w:ilvl w:val="0"/>
          <w:numId w:val="31"/>
        </w:numPr>
        <w:spacing w:after="0" w:line="240" w:lineRule="auto"/>
        <w:contextualSpacing/>
        <w:jc w:val="both"/>
        <w:rPr>
          <w:rFonts w:eastAsia="Calibri" w:cs="Times New Roman"/>
          <w:color w:val="000000"/>
        </w:rPr>
      </w:pPr>
      <w:r w:rsidRPr="00845B64">
        <w:rPr>
          <w:rFonts w:eastAsia="Calibri" w:cs="Times New Roman"/>
          <w:color w:val="000000"/>
        </w:rPr>
        <w:t>Region and countries included in the project</w:t>
      </w:r>
    </w:p>
    <w:p w14:paraId="57B37A21" w14:textId="77777777" w:rsidR="00EF6294" w:rsidRPr="00845B64" w:rsidRDefault="00EF6294" w:rsidP="00AC0D02">
      <w:pPr>
        <w:widowControl w:val="0"/>
        <w:numPr>
          <w:ilvl w:val="0"/>
          <w:numId w:val="31"/>
        </w:numPr>
        <w:spacing w:after="0" w:line="240" w:lineRule="auto"/>
        <w:contextualSpacing/>
        <w:jc w:val="both"/>
        <w:rPr>
          <w:rFonts w:eastAsia="Calibri" w:cs="Times New Roman"/>
          <w:color w:val="000000"/>
        </w:rPr>
      </w:pPr>
      <w:r w:rsidRPr="00845B64">
        <w:rPr>
          <w:rFonts w:eastAsia="Calibri" w:cs="Times New Roman"/>
          <w:color w:val="000000"/>
        </w:rPr>
        <w:t>GEF Focal Area/Strategic Program</w:t>
      </w:r>
    </w:p>
    <w:p w14:paraId="1B612CBE" w14:textId="77777777" w:rsidR="00EF6294" w:rsidRPr="00845B64" w:rsidRDefault="00EF6294" w:rsidP="00AC0D02">
      <w:pPr>
        <w:widowControl w:val="0"/>
        <w:numPr>
          <w:ilvl w:val="0"/>
          <w:numId w:val="31"/>
        </w:numPr>
        <w:spacing w:after="0" w:line="240" w:lineRule="auto"/>
        <w:contextualSpacing/>
        <w:jc w:val="both"/>
        <w:rPr>
          <w:rFonts w:eastAsia="Calibri" w:cs="Times New Roman"/>
          <w:color w:val="000000"/>
        </w:rPr>
      </w:pPr>
      <w:r w:rsidRPr="00845B64">
        <w:rPr>
          <w:rFonts w:eastAsia="Calibri" w:cs="Times New Roman"/>
          <w:color w:val="000000"/>
        </w:rPr>
        <w:t>Executing Agency, Implementing partner and other project partners</w:t>
      </w:r>
    </w:p>
    <w:p w14:paraId="79FE25F3" w14:textId="77777777" w:rsidR="00EF6294" w:rsidRPr="00845B64" w:rsidRDefault="00EF6294" w:rsidP="00AC0D02">
      <w:pPr>
        <w:widowControl w:val="0"/>
        <w:numPr>
          <w:ilvl w:val="0"/>
          <w:numId w:val="31"/>
        </w:numPr>
        <w:spacing w:after="0" w:line="240" w:lineRule="auto"/>
        <w:contextualSpacing/>
        <w:jc w:val="both"/>
        <w:rPr>
          <w:rFonts w:eastAsia="Calibri" w:cs="Times New Roman"/>
          <w:color w:val="000000"/>
        </w:rPr>
      </w:pPr>
      <w:r w:rsidRPr="00845B64">
        <w:rPr>
          <w:rFonts w:eastAsia="Calibri" w:cs="Times New Roman"/>
          <w:color w:val="000000"/>
        </w:rPr>
        <w:t>TE Team members</w:t>
      </w:r>
    </w:p>
    <w:p w14:paraId="2602CC92" w14:textId="77777777" w:rsidR="00EF6294" w:rsidRPr="00845B64" w:rsidRDefault="00EF6294" w:rsidP="00AC0D02">
      <w:pPr>
        <w:widowControl w:val="0"/>
        <w:numPr>
          <w:ilvl w:val="0"/>
          <w:numId w:val="30"/>
        </w:numPr>
        <w:spacing w:after="0" w:line="240" w:lineRule="auto"/>
        <w:contextualSpacing/>
        <w:jc w:val="both"/>
        <w:rPr>
          <w:rFonts w:eastAsia="Calibri" w:cs="Times New Roman"/>
          <w:color w:val="000000"/>
        </w:rPr>
      </w:pPr>
      <w:r w:rsidRPr="00845B64">
        <w:rPr>
          <w:rFonts w:eastAsia="Calibri" w:cs="Times New Roman"/>
          <w:color w:val="000000"/>
        </w:rPr>
        <w:t>Acknowledgements</w:t>
      </w:r>
    </w:p>
    <w:p w14:paraId="546EC917" w14:textId="77777777" w:rsidR="00EF6294" w:rsidRPr="00845B64" w:rsidRDefault="00EF6294" w:rsidP="00AC0D02">
      <w:pPr>
        <w:widowControl w:val="0"/>
        <w:numPr>
          <w:ilvl w:val="0"/>
          <w:numId w:val="30"/>
        </w:numPr>
        <w:spacing w:after="0" w:line="240" w:lineRule="auto"/>
        <w:contextualSpacing/>
        <w:jc w:val="both"/>
        <w:rPr>
          <w:rFonts w:eastAsia="Calibri" w:cs="Times New Roman"/>
          <w:color w:val="000000"/>
        </w:rPr>
      </w:pPr>
      <w:r w:rsidRPr="00845B64">
        <w:rPr>
          <w:rFonts w:eastAsia="Calibri" w:cs="Times New Roman"/>
          <w:color w:val="000000"/>
        </w:rPr>
        <w:t>Table of Contents</w:t>
      </w:r>
    </w:p>
    <w:p w14:paraId="39255F35" w14:textId="77777777" w:rsidR="00EF6294" w:rsidRPr="00845B64" w:rsidRDefault="00EF6294" w:rsidP="00AC0D02">
      <w:pPr>
        <w:widowControl w:val="0"/>
        <w:numPr>
          <w:ilvl w:val="0"/>
          <w:numId w:val="30"/>
        </w:numPr>
        <w:spacing w:after="0" w:line="240" w:lineRule="auto"/>
        <w:contextualSpacing/>
        <w:jc w:val="both"/>
        <w:rPr>
          <w:rFonts w:eastAsia="Calibri" w:cs="Times New Roman"/>
          <w:color w:val="000000"/>
        </w:rPr>
      </w:pPr>
      <w:r w:rsidRPr="00845B64">
        <w:rPr>
          <w:rFonts w:eastAsia="Calibri" w:cs="Times New Roman"/>
          <w:color w:val="000000"/>
        </w:rPr>
        <w:t>Acronyms and Abbreviations</w:t>
      </w:r>
    </w:p>
    <w:p w14:paraId="69C244A6" w14:textId="77777777" w:rsidR="00EF6294" w:rsidRPr="00845B64" w:rsidRDefault="00EF6294" w:rsidP="00AC0D02">
      <w:pPr>
        <w:widowControl w:val="0"/>
        <w:numPr>
          <w:ilvl w:val="0"/>
          <w:numId w:val="32"/>
        </w:numPr>
        <w:spacing w:after="0" w:line="240" w:lineRule="auto"/>
        <w:contextualSpacing/>
        <w:jc w:val="both"/>
        <w:rPr>
          <w:rFonts w:eastAsia="Calibri" w:cs="Times New Roman"/>
          <w:color w:val="000000"/>
        </w:rPr>
      </w:pPr>
      <w:r w:rsidRPr="00845B64">
        <w:rPr>
          <w:rFonts w:eastAsia="Calibri" w:cs="Times New Roman"/>
          <w:color w:val="000000"/>
        </w:rPr>
        <w:t>Executive Summary (3-4 pages)</w:t>
      </w:r>
    </w:p>
    <w:p w14:paraId="5CD090AF" w14:textId="77777777" w:rsidR="00EF6294" w:rsidRPr="00845B64" w:rsidRDefault="00EF6294" w:rsidP="00AC0D02">
      <w:pPr>
        <w:widowControl w:val="0"/>
        <w:numPr>
          <w:ilvl w:val="0"/>
          <w:numId w:val="33"/>
        </w:numPr>
        <w:spacing w:after="0" w:line="240" w:lineRule="auto"/>
        <w:ind w:left="1440"/>
        <w:contextualSpacing/>
        <w:jc w:val="both"/>
        <w:rPr>
          <w:rFonts w:eastAsia="Calibri" w:cs="Times New Roman"/>
          <w:color w:val="000000"/>
        </w:rPr>
      </w:pPr>
      <w:r w:rsidRPr="00845B64">
        <w:rPr>
          <w:rFonts w:eastAsia="Calibri" w:cs="Times New Roman"/>
          <w:color w:val="000000"/>
        </w:rPr>
        <w:t>Project Information Table</w:t>
      </w:r>
    </w:p>
    <w:p w14:paraId="484B777E" w14:textId="77777777" w:rsidR="00EF6294" w:rsidRPr="00845B64" w:rsidRDefault="00EF6294" w:rsidP="00AC0D02">
      <w:pPr>
        <w:widowControl w:val="0"/>
        <w:numPr>
          <w:ilvl w:val="0"/>
          <w:numId w:val="33"/>
        </w:numPr>
        <w:spacing w:after="0" w:line="240" w:lineRule="auto"/>
        <w:ind w:left="1440"/>
        <w:contextualSpacing/>
        <w:jc w:val="both"/>
        <w:rPr>
          <w:rFonts w:eastAsia="Calibri" w:cs="Times New Roman"/>
          <w:color w:val="000000"/>
        </w:rPr>
      </w:pPr>
      <w:r w:rsidRPr="00845B64">
        <w:rPr>
          <w:rFonts w:eastAsia="Calibri" w:cs="Times New Roman"/>
          <w:color w:val="000000"/>
        </w:rPr>
        <w:t>Project Description (brief)</w:t>
      </w:r>
    </w:p>
    <w:p w14:paraId="12340886" w14:textId="77777777" w:rsidR="00EF6294" w:rsidRPr="00845B64" w:rsidRDefault="00EF6294" w:rsidP="00AC0D02">
      <w:pPr>
        <w:widowControl w:val="0"/>
        <w:numPr>
          <w:ilvl w:val="0"/>
          <w:numId w:val="33"/>
        </w:numPr>
        <w:spacing w:after="0" w:line="240" w:lineRule="auto"/>
        <w:ind w:left="1440"/>
        <w:contextualSpacing/>
        <w:jc w:val="both"/>
        <w:rPr>
          <w:rFonts w:eastAsia="Calibri" w:cs="Times New Roman"/>
          <w:color w:val="000000"/>
        </w:rPr>
      </w:pPr>
      <w:r w:rsidRPr="00845B64">
        <w:rPr>
          <w:rFonts w:eastAsia="Calibri" w:cs="Times New Roman"/>
          <w:color w:val="000000"/>
        </w:rPr>
        <w:t>Evaluation Ratings Table</w:t>
      </w:r>
    </w:p>
    <w:p w14:paraId="7137B7CC" w14:textId="77777777" w:rsidR="00EF6294" w:rsidRPr="00845B64" w:rsidRDefault="00EF6294" w:rsidP="00AC0D02">
      <w:pPr>
        <w:widowControl w:val="0"/>
        <w:numPr>
          <w:ilvl w:val="0"/>
          <w:numId w:val="33"/>
        </w:numPr>
        <w:spacing w:after="0" w:line="240" w:lineRule="auto"/>
        <w:ind w:left="1440"/>
        <w:contextualSpacing/>
        <w:jc w:val="both"/>
        <w:rPr>
          <w:rFonts w:eastAsia="Calibri" w:cs="Times New Roman"/>
          <w:color w:val="000000"/>
        </w:rPr>
      </w:pPr>
      <w:r w:rsidRPr="00845B64">
        <w:rPr>
          <w:rFonts w:eastAsia="Calibri" w:cs="Times New Roman"/>
          <w:color w:val="000000"/>
        </w:rPr>
        <w:t>Concise summary of findings, conclusions and lessons learned</w:t>
      </w:r>
    </w:p>
    <w:p w14:paraId="0192F304" w14:textId="77777777" w:rsidR="00EF6294" w:rsidRPr="00845B64" w:rsidRDefault="00EF6294" w:rsidP="00AC0D02">
      <w:pPr>
        <w:widowControl w:val="0"/>
        <w:numPr>
          <w:ilvl w:val="0"/>
          <w:numId w:val="33"/>
        </w:numPr>
        <w:spacing w:after="0" w:line="240" w:lineRule="auto"/>
        <w:ind w:left="1440"/>
        <w:contextualSpacing/>
        <w:jc w:val="both"/>
        <w:rPr>
          <w:rFonts w:eastAsia="Calibri" w:cs="Times New Roman"/>
          <w:color w:val="000000"/>
        </w:rPr>
      </w:pPr>
      <w:r w:rsidRPr="00845B64">
        <w:rPr>
          <w:rFonts w:eastAsia="Calibri" w:cs="Times New Roman"/>
          <w:color w:val="000000"/>
        </w:rPr>
        <w:t>Recommendations summary table</w:t>
      </w:r>
    </w:p>
    <w:p w14:paraId="7D819520" w14:textId="77777777" w:rsidR="00EF6294" w:rsidRPr="00845B64" w:rsidRDefault="00EF6294" w:rsidP="00AC0D02">
      <w:pPr>
        <w:widowControl w:val="0"/>
        <w:numPr>
          <w:ilvl w:val="0"/>
          <w:numId w:val="32"/>
        </w:numPr>
        <w:spacing w:after="0" w:line="240" w:lineRule="auto"/>
        <w:contextualSpacing/>
        <w:jc w:val="both"/>
        <w:rPr>
          <w:rFonts w:eastAsia="Calibri" w:cs="Times New Roman"/>
          <w:color w:val="000000"/>
        </w:rPr>
      </w:pPr>
      <w:r w:rsidRPr="00845B64">
        <w:rPr>
          <w:rFonts w:eastAsia="Calibri" w:cs="Times New Roman"/>
          <w:color w:val="000000"/>
        </w:rPr>
        <w:t>Introduction (2-3 pages)</w:t>
      </w:r>
    </w:p>
    <w:p w14:paraId="6F42E110" w14:textId="77777777" w:rsidR="00EF6294" w:rsidRPr="00845B64" w:rsidRDefault="00EF6294" w:rsidP="00AC0D02">
      <w:pPr>
        <w:widowControl w:val="0"/>
        <w:numPr>
          <w:ilvl w:val="0"/>
          <w:numId w:val="34"/>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Purpose and objective of the TE</w:t>
      </w:r>
    </w:p>
    <w:p w14:paraId="73C11287" w14:textId="77777777" w:rsidR="00EF6294" w:rsidRPr="00845B64" w:rsidRDefault="00EF6294" w:rsidP="00AC0D02">
      <w:pPr>
        <w:widowControl w:val="0"/>
        <w:numPr>
          <w:ilvl w:val="0"/>
          <w:numId w:val="34"/>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Scope</w:t>
      </w:r>
    </w:p>
    <w:p w14:paraId="50F0BEA7" w14:textId="77777777" w:rsidR="00EF6294" w:rsidRPr="00845B64" w:rsidRDefault="00EF6294" w:rsidP="00AC0D02">
      <w:pPr>
        <w:widowControl w:val="0"/>
        <w:numPr>
          <w:ilvl w:val="0"/>
          <w:numId w:val="34"/>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Methodology</w:t>
      </w:r>
    </w:p>
    <w:p w14:paraId="3ECEDF04" w14:textId="77777777" w:rsidR="00EF6294" w:rsidRPr="00845B64" w:rsidRDefault="00EF6294" w:rsidP="00AC0D02">
      <w:pPr>
        <w:widowControl w:val="0"/>
        <w:numPr>
          <w:ilvl w:val="0"/>
          <w:numId w:val="34"/>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Data Collection &amp; Analysis</w:t>
      </w:r>
    </w:p>
    <w:p w14:paraId="214E67D5" w14:textId="77777777" w:rsidR="00EF6294" w:rsidRPr="00845B64" w:rsidRDefault="00EF6294" w:rsidP="00AC0D02">
      <w:pPr>
        <w:widowControl w:val="0"/>
        <w:numPr>
          <w:ilvl w:val="0"/>
          <w:numId w:val="34"/>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Ethics</w:t>
      </w:r>
    </w:p>
    <w:p w14:paraId="57F225E0" w14:textId="77777777" w:rsidR="00EF6294" w:rsidRPr="00845B64" w:rsidRDefault="00EF6294" w:rsidP="00AC0D02">
      <w:pPr>
        <w:widowControl w:val="0"/>
        <w:numPr>
          <w:ilvl w:val="0"/>
          <w:numId w:val="34"/>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Limitations to the evaluation</w:t>
      </w:r>
    </w:p>
    <w:p w14:paraId="7FA3F7DC" w14:textId="77777777" w:rsidR="00EF6294" w:rsidRPr="00845B64" w:rsidRDefault="00EF6294" w:rsidP="00AC0D02">
      <w:pPr>
        <w:widowControl w:val="0"/>
        <w:numPr>
          <w:ilvl w:val="0"/>
          <w:numId w:val="34"/>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Structure of the TE report</w:t>
      </w:r>
    </w:p>
    <w:p w14:paraId="5068ABEE" w14:textId="77777777" w:rsidR="00EF6294" w:rsidRPr="00845B64" w:rsidRDefault="00EF6294" w:rsidP="00AC0D02">
      <w:pPr>
        <w:widowControl w:val="0"/>
        <w:numPr>
          <w:ilvl w:val="0"/>
          <w:numId w:val="32"/>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Project Description (3-5 pages)</w:t>
      </w:r>
    </w:p>
    <w:p w14:paraId="5A98B0C9" w14:textId="77777777" w:rsidR="00EF6294" w:rsidRPr="00845B64" w:rsidRDefault="00EF6294" w:rsidP="00AC0D02">
      <w:pPr>
        <w:widowControl w:val="0"/>
        <w:numPr>
          <w:ilvl w:val="0"/>
          <w:numId w:val="35"/>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Project start and duration, including milestones</w:t>
      </w:r>
    </w:p>
    <w:p w14:paraId="2EC2FB5E" w14:textId="77777777" w:rsidR="00EF6294" w:rsidRPr="00845B64" w:rsidRDefault="00EF6294" w:rsidP="00AC0D02">
      <w:pPr>
        <w:widowControl w:val="0"/>
        <w:numPr>
          <w:ilvl w:val="0"/>
          <w:numId w:val="35"/>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Development context: environmental, socio-economic, institutional, and policy factors relevant to the project objective and scope</w:t>
      </w:r>
    </w:p>
    <w:p w14:paraId="093211A7" w14:textId="77777777" w:rsidR="00EF6294" w:rsidRPr="00845B64" w:rsidRDefault="00EF6294" w:rsidP="00AC0D02">
      <w:pPr>
        <w:widowControl w:val="0"/>
        <w:numPr>
          <w:ilvl w:val="0"/>
          <w:numId w:val="35"/>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Problems that the project sought to address: threats and barriers targeted</w:t>
      </w:r>
    </w:p>
    <w:p w14:paraId="60DBF89A" w14:textId="77777777" w:rsidR="00EF6294" w:rsidRPr="00845B64" w:rsidRDefault="00EF6294" w:rsidP="00AC0D02">
      <w:pPr>
        <w:widowControl w:val="0"/>
        <w:numPr>
          <w:ilvl w:val="0"/>
          <w:numId w:val="35"/>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Immediate and development objectives of the project</w:t>
      </w:r>
    </w:p>
    <w:p w14:paraId="71DD09FA" w14:textId="77777777" w:rsidR="00EF6294" w:rsidRPr="00845B64" w:rsidRDefault="00EF6294" w:rsidP="00AC0D02">
      <w:pPr>
        <w:widowControl w:val="0"/>
        <w:numPr>
          <w:ilvl w:val="0"/>
          <w:numId w:val="35"/>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Expected results</w:t>
      </w:r>
    </w:p>
    <w:p w14:paraId="47D4BA73" w14:textId="77777777" w:rsidR="00EF6294" w:rsidRPr="00845B64" w:rsidRDefault="00EF6294" w:rsidP="00AC0D02">
      <w:pPr>
        <w:widowControl w:val="0"/>
        <w:numPr>
          <w:ilvl w:val="0"/>
          <w:numId w:val="35"/>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Main stakeholders: summary list</w:t>
      </w:r>
    </w:p>
    <w:p w14:paraId="4701A6B8" w14:textId="77777777" w:rsidR="00EF6294" w:rsidRPr="00845B64" w:rsidRDefault="00EF6294" w:rsidP="00AC0D02">
      <w:pPr>
        <w:widowControl w:val="0"/>
        <w:numPr>
          <w:ilvl w:val="0"/>
          <w:numId w:val="35"/>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Theory of Change</w:t>
      </w:r>
    </w:p>
    <w:p w14:paraId="2565ABA0" w14:textId="77777777" w:rsidR="00EF6294" w:rsidRPr="00845B64" w:rsidRDefault="00EF6294" w:rsidP="00AC0D02">
      <w:pPr>
        <w:widowControl w:val="0"/>
        <w:numPr>
          <w:ilvl w:val="0"/>
          <w:numId w:val="32"/>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Findings</w:t>
      </w:r>
    </w:p>
    <w:p w14:paraId="4875D73E" w14:textId="77777777" w:rsidR="00EF6294" w:rsidRPr="00845B64" w:rsidRDefault="00EF6294" w:rsidP="00EF6294">
      <w:pPr>
        <w:tabs>
          <w:tab w:val="left" w:pos="1620"/>
        </w:tabs>
        <w:spacing w:after="0" w:line="240" w:lineRule="auto"/>
        <w:ind w:left="720"/>
        <w:contextualSpacing/>
        <w:rPr>
          <w:rFonts w:eastAsia="Calibri" w:cs="Times New Roman"/>
          <w:color w:val="000000"/>
        </w:rPr>
      </w:pPr>
      <w:r w:rsidRPr="00845B64">
        <w:rPr>
          <w:rFonts w:eastAsia="Calibri" w:cs="Times New Roman"/>
          <w:color w:val="000000"/>
        </w:rPr>
        <w:t>(in addition to a descriptive assessment, all criteria marked with (*) must be given a rating</w:t>
      </w:r>
      <w:r w:rsidRPr="00845B64">
        <w:rPr>
          <w:rFonts w:eastAsia="Calibri" w:cs="Times New Roman"/>
          <w:color w:val="000000"/>
        </w:rPr>
        <w:footnoteReference w:id="92"/>
      </w:r>
      <w:r w:rsidRPr="00845B64">
        <w:rPr>
          <w:rFonts w:eastAsia="Calibri" w:cs="Times New Roman"/>
          <w:color w:val="000000"/>
        </w:rPr>
        <w:t>)</w:t>
      </w:r>
    </w:p>
    <w:p w14:paraId="6BCF2F40" w14:textId="77777777" w:rsidR="00EF6294" w:rsidRPr="00845B64" w:rsidRDefault="00EF6294" w:rsidP="00EF6294">
      <w:pPr>
        <w:widowControl w:val="0"/>
        <w:tabs>
          <w:tab w:val="left" w:pos="1620"/>
        </w:tabs>
        <w:spacing w:after="0" w:line="240" w:lineRule="auto"/>
        <w:ind w:left="720"/>
        <w:jc w:val="both"/>
        <w:rPr>
          <w:rFonts w:eastAsia="SimSun" w:cs="Times New Roman"/>
          <w:color w:val="000000"/>
          <w:kern w:val="2"/>
          <w:lang w:eastAsia="zh-CN"/>
        </w:rPr>
      </w:pPr>
      <w:r w:rsidRPr="00845B64">
        <w:rPr>
          <w:rFonts w:eastAsia="SimSun" w:cs="Times New Roman"/>
          <w:color w:val="000000"/>
          <w:kern w:val="2"/>
          <w:lang w:eastAsia="zh-CN"/>
        </w:rPr>
        <w:t>4.1 Project Design/Formulation</w:t>
      </w:r>
    </w:p>
    <w:p w14:paraId="0654A044" w14:textId="77777777" w:rsidR="00EF6294" w:rsidRPr="00845B64" w:rsidRDefault="00EF6294" w:rsidP="00AC0D02">
      <w:pPr>
        <w:widowControl w:val="0"/>
        <w:numPr>
          <w:ilvl w:val="0"/>
          <w:numId w:val="36"/>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Analysis of Results Framework: project logic and strategy, indicators</w:t>
      </w:r>
    </w:p>
    <w:p w14:paraId="77950779" w14:textId="77777777" w:rsidR="00EF6294" w:rsidRPr="00845B64" w:rsidRDefault="00EF6294" w:rsidP="00AC0D02">
      <w:pPr>
        <w:widowControl w:val="0"/>
        <w:numPr>
          <w:ilvl w:val="0"/>
          <w:numId w:val="36"/>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Assumptions and Risks</w:t>
      </w:r>
    </w:p>
    <w:p w14:paraId="2B4CA4B2" w14:textId="77777777" w:rsidR="00EF6294" w:rsidRPr="00845B64" w:rsidRDefault="00EF6294" w:rsidP="00AC0D02">
      <w:pPr>
        <w:widowControl w:val="0"/>
        <w:numPr>
          <w:ilvl w:val="0"/>
          <w:numId w:val="36"/>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Lessons from other relevant projects (e.g. same focal area) incorporated into project design</w:t>
      </w:r>
    </w:p>
    <w:p w14:paraId="3656FE55" w14:textId="77777777" w:rsidR="00EF6294" w:rsidRPr="00845B64" w:rsidRDefault="00EF6294" w:rsidP="00AC0D02">
      <w:pPr>
        <w:widowControl w:val="0"/>
        <w:numPr>
          <w:ilvl w:val="0"/>
          <w:numId w:val="36"/>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Planned stakeholder participation</w:t>
      </w:r>
    </w:p>
    <w:p w14:paraId="4267C929" w14:textId="77777777" w:rsidR="00EF6294" w:rsidRPr="00845B64" w:rsidRDefault="00EF6294" w:rsidP="00AC0D02">
      <w:pPr>
        <w:widowControl w:val="0"/>
        <w:numPr>
          <w:ilvl w:val="0"/>
          <w:numId w:val="36"/>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Linkages between project and other interventions within the sector</w:t>
      </w:r>
    </w:p>
    <w:p w14:paraId="229D1246" w14:textId="77777777" w:rsidR="00EF6294" w:rsidRPr="00845B64" w:rsidRDefault="00EF6294" w:rsidP="00AC0D02">
      <w:pPr>
        <w:widowControl w:val="0"/>
        <w:numPr>
          <w:ilvl w:val="1"/>
          <w:numId w:val="3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Project Implementation</w:t>
      </w:r>
    </w:p>
    <w:p w14:paraId="7ED2BBE0" w14:textId="77777777" w:rsidR="00EF6294" w:rsidRPr="00845B64" w:rsidRDefault="00EF6294" w:rsidP="00AC0D02">
      <w:pPr>
        <w:widowControl w:val="0"/>
        <w:numPr>
          <w:ilvl w:val="0"/>
          <w:numId w:val="16"/>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Adaptive management (changes to the project design and project outputs during implementation)</w:t>
      </w:r>
    </w:p>
    <w:p w14:paraId="757E8645" w14:textId="77777777" w:rsidR="00EF6294" w:rsidRPr="00845B64" w:rsidRDefault="00EF6294" w:rsidP="00AC0D02">
      <w:pPr>
        <w:widowControl w:val="0"/>
        <w:numPr>
          <w:ilvl w:val="0"/>
          <w:numId w:val="16"/>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Actual stakeholder participation and partnership arrangements</w:t>
      </w:r>
    </w:p>
    <w:p w14:paraId="11F1F5B0" w14:textId="77777777" w:rsidR="00EF6294" w:rsidRPr="00845B64" w:rsidRDefault="00EF6294" w:rsidP="00AC0D02">
      <w:pPr>
        <w:widowControl w:val="0"/>
        <w:numPr>
          <w:ilvl w:val="0"/>
          <w:numId w:val="16"/>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Project Finance and Co-finance</w:t>
      </w:r>
    </w:p>
    <w:p w14:paraId="0A6B14B7" w14:textId="77777777" w:rsidR="00EF6294" w:rsidRPr="00845B64" w:rsidRDefault="00EF6294" w:rsidP="00AC0D02">
      <w:pPr>
        <w:widowControl w:val="0"/>
        <w:numPr>
          <w:ilvl w:val="0"/>
          <w:numId w:val="16"/>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lastRenderedPageBreak/>
        <w:t>Monitoring &amp; Evaluation: design at entry (*), implementation (*), and overall assessment of M&amp;E (*)</w:t>
      </w:r>
    </w:p>
    <w:p w14:paraId="490677AA" w14:textId="77777777" w:rsidR="00EF6294" w:rsidRPr="00845B64" w:rsidRDefault="00EF6294" w:rsidP="00AC0D02">
      <w:pPr>
        <w:widowControl w:val="0"/>
        <w:numPr>
          <w:ilvl w:val="0"/>
          <w:numId w:val="16"/>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UNDP implementation/oversight (*) and Implementing Partner execution (*), overall project implementation/execution (*), coordination, and operational issues</w:t>
      </w:r>
    </w:p>
    <w:p w14:paraId="18297DAA" w14:textId="77777777" w:rsidR="00EF6294" w:rsidRPr="00845B64" w:rsidRDefault="00EF6294" w:rsidP="00AC0D02">
      <w:pPr>
        <w:widowControl w:val="0"/>
        <w:numPr>
          <w:ilvl w:val="1"/>
          <w:numId w:val="3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Project Results</w:t>
      </w:r>
    </w:p>
    <w:p w14:paraId="0AC6B27C"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Progress towards objective and expected outcomes (*)</w:t>
      </w:r>
    </w:p>
    <w:p w14:paraId="03B9FCB8"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Relevance (*)</w:t>
      </w:r>
    </w:p>
    <w:p w14:paraId="1120BEC4"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Effectiveness (*)</w:t>
      </w:r>
    </w:p>
    <w:p w14:paraId="30432737"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Efficiency (*)</w:t>
      </w:r>
    </w:p>
    <w:p w14:paraId="1B4443CC"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Overall Outcome (*)</w:t>
      </w:r>
    </w:p>
    <w:p w14:paraId="24E9A248"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Country ownership</w:t>
      </w:r>
    </w:p>
    <w:p w14:paraId="32036E56"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Gender</w:t>
      </w:r>
    </w:p>
    <w:p w14:paraId="48ACAC56"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Other Cross-cutting Issues</w:t>
      </w:r>
    </w:p>
    <w:p w14:paraId="235C49F1"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Social and Environmental Standards</w:t>
      </w:r>
    </w:p>
    <w:p w14:paraId="268D6F34"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Sustainability: financial (*), socio-economic (*), institutional framework and governance (*), environmental (*), and overall likelihood (*)</w:t>
      </w:r>
    </w:p>
    <w:p w14:paraId="1AEFF0C4"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Country Ownership</w:t>
      </w:r>
    </w:p>
    <w:p w14:paraId="01F43EA3"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Gender equality and women’s empowerment</w:t>
      </w:r>
    </w:p>
    <w:p w14:paraId="1213A5DF"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Cross-cutting Issues</w:t>
      </w:r>
    </w:p>
    <w:p w14:paraId="16CF0766"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GEF Additionality</w:t>
      </w:r>
    </w:p>
    <w:p w14:paraId="1F5BA50E"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 xml:space="preserve">Catalytic Role / Replication Effect </w:t>
      </w:r>
    </w:p>
    <w:p w14:paraId="19D7CB20" w14:textId="77777777" w:rsidR="00EF6294" w:rsidRPr="00845B64" w:rsidRDefault="00EF6294" w:rsidP="00AC0D02">
      <w:pPr>
        <w:widowControl w:val="0"/>
        <w:numPr>
          <w:ilvl w:val="0"/>
          <w:numId w:val="17"/>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Progress to Impact</w:t>
      </w:r>
    </w:p>
    <w:p w14:paraId="06985795" w14:textId="77777777" w:rsidR="00EF6294" w:rsidRPr="00845B64" w:rsidRDefault="00EF6294" w:rsidP="00AC0D02">
      <w:pPr>
        <w:widowControl w:val="0"/>
        <w:numPr>
          <w:ilvl w:val="0"/>
          <w:numId w:val="32"/>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Main Findings, Conclusions, Recommendations &amp; Lessons</w:t>
      </w:r>
    </w:p>
    <w:p w14:paraId="1D649126" w14:textId="77777777" w:rsidR="00EF6294" w:rsidRPr="00845B64" w:rsidRDefault="00EF6294" w:rsidP="00AC0D02">
      <w:pPr>
        <w:widowControl w:val="0"/>
        <w:numPr>
          <w:ilvl w:val="0"/>
          <w:numId w:val="38"/>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Main Findings</w:t>
      </w:r>
    </w:p>
    <w:p w14:paraId="3621241D" w14:textId="77777777" w:rsidR="00EF6294" w:rsidRPr="00845B64" w:rsidRDefault="00EF6294" w:rsidP="00AC0D02">
      <w:pPr>
        <w:widowControl w:val="0"/>
        <w:numPr>
          <w:ilvl w:val="0"/>
          <w:numId w:val="38"/>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Conclusions</w:t>
      </w:r>
    </w:p>
    <w:p w14:paraId="3073470D" w14:textId="77777777" w:rsidR="00EF6294" w:rsidRPr="00845B64" w:rsidRDefault="00EF6294" w:rsidP="00AC0D02">
      <w:pPr>
        <w:widowControl w:val="0"/>
        <w:numPr>
          <w:ilvl w:val="0"/>
          <w:numId w:val="38"/>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 xml:space="preserve">Recommendations </w:t>
      </w:r>
    </w:p>
    <w:p w14:paraId="51798162" w14:textId="77777777" w:rsidR="00EF6294" w:rsidRPr="00845B64" w:rsidRDefault="00EF6294" w:rsidP="00AC0D02">
      <w:pPr>
        <w:widowControl w:val="0"/>
        <w:numPr>
          <w:ilvl w:val="0"/>
          <w:numId w:val="38"/>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Lessons Learned</w:t>
      </w:r>
    </w:p>
    <w:p w14:paraId="3D656744" w14:textId="77777777" w:rsidR="00EF6294" w:rsidRPr="00845B64" w:rsidRDefault="00EF6294" w:rsidP="00AC0D02">
      <w:pPr>
        <w:widowControl w:val="0"/>
        <w:numPr>
          <w:ilvl w:val="0"/>
          <w:numId w:val="32"/>
        </w:numPr>
        <w:tabs>
          <w:tab w:val="left" w:pos="1620"/>
        </w:tabs>
        <w:spacing w:after="0" w:line="240" w:lineRule="auto"/>
        <w:contextualSpacing/>
        <w:jc w:val="both"/>
        <w:rPr>
          <w:rFonts w:eastAsia="Calibri" w:cs="Times New Roman"/>
          <w:color w:val="000000"/>
        </w:rPr>
      </w:pPr>
      <w:r w:rsidRPr="00845B64">
        <w:rPr>
          <w:rFonts w:eastAsia="Calibri" w:cs="Times New Roman"/>
          <w:color w:val="000000"/>
        </w:rPr>
        <w:t>Annexes</w:t>
      </w:r>
    </w:p>
    <w:p w14:paraId="76376D4C" w14:textId="77777777" w:rsidR="00EF6294" w:rsidRPr="00845B64" w:rsidRDefault="00EF6294" w:rsidP="00AC0D02">
      <w:pPr>
        <w:widowControl w:val="0"/>
        <w:numPr>
          <w:ilvl w:val="0"/>
          <w:numId w:val="39"/>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TE ToR (excluding ToR annexes)</w:t>
      </w:r>
    </w:p>
    <w:p w14:paraId="4768F565" w14:textId="77777777" w:rsidR="00EF6294" w:rsidRPr="00845B64" w:rsidRDefault="00EF6294" w:rsidP="00AC0D02">
      <w:pPr>
        <w:widowControl w:val="0"/>
        <w:numPr>
          <w:ilvl w:val="0"/>
          <w:numId w:val="39"/>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TE Mission itinerary</w:t>
      </w:r>
    </w:p>
    <w:p w14:paraId="209AF60A" w14:textId="77777777" w:rsidR="00EF6294" w:rsidRPr="00845B64" w:rsidRDefault="00EF6294" w:rsidP="00AC0D02">
      <w:pPr>
        <w:widowControl w:val="0"/>
        <w:numPr>
          <w:ilvl w:val="0"/>
          <w:numId w:val="39"/>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List of persons interviewed</w:t>
      </w:r>
    </w:p>
    <w:p w14:paraId="73DDA902" w14:textId="77777777" w:rsidR="00EF6294" w:rsidRPr="00845B64" w:rsidRDefault="00EF6294" w:rsidP="00AC0D02">
      <w:pPr>
        <w:widowControl w:val="0"/>
        <w:numPr>
          <w:ilvl w:val="0"/>
          <w:numId w:val="39"/>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List of documents reviewed</w:t>
      </w:r>
    </w:p>
    <w:p w14:paraId="19A9A797" w14:textId="77777777" w:rsidR="00EF6294" w:rsidRPr="00845B64" w:rsidRDefault="00EF6294" w:rsidP="00AC0D02">
      <w:pPr>
        <w:widowControl w:val="0"/>
        <w:numPr>
          <w:ilvl w:val="0"/>
          <w:numId w:val="39"/>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Summary of field visits</w:t>
      </w:r>
    </w:p>
    <w:p w14:paraId="1C8F1B0F" w14:textId="77777777" w:rsidR="00EF6294" w:rsidRPr="00845B64" w:rsidRDefault="00EF6294" w:rsidP="00AC0D02">
      <w:pPr>
        <w:widowControl w:val="0"/>
        <w:numPr>
          <w:ilvl w:val="0"/>
          <w:numId w:val="39"/>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Evaluation Question Matrix (evaluation criteria with key questions, indicators, sources of data, and methodology)</w:t>
      </w:r>
    </w:p>
    <w:p w14:paraId="390DC1B3" w14:textId="77777777" w:rsidR="00EF6294" w:rsidRPr="00845B64" w:rsidRDefault="00EF6294" w:rsidP="00AC0D02">
      <w:pPr>
        <w:widowControl w:val="0"/>
        <w:numPr>
          <w:ilvl w:val="0"/>
          <w:numId w:val="39"/>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Questionnaire used and summary of results</w:t>
      </w:r>
    </w:p>
    <w:p w14:paraId="5FCCD328" w14:textId="77777777" w:rsidR="00EF6294" w:rsidRPr="00845B64" w:rsidRDefault="00EF6294" w:rsidP="00AC0D02">
      <w:pPr>
        <w:widowControl w:val="0"/>
        <w:numPr>
          <w:ilvl w:val="0"/>
          <w:numId w:val="39"/>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Co-financing tables (if not include in body of report)</w:t>
      </w:r>
    </w:p>
    <w:p w14:paraId="4FCD8B49" w14:textId="77777777" w:rsidR="00EF6294" w:rsidRPr="00845B64" w:rsidRDefault="00EF6294" w:rsidP="00AC0D02">
      <w:pPr>
        <w:widowControl w:val="0"/>
        <w:numPr>
          <w:ilvl w:val="0"/>
          <w:numId w:val="39"/>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TE Rating scales</w:t>
      </w:r>
    </w:p>
    <w:p w14:paraId="1B653CA0" w14:textId="77777777" w:rsidR="00EF6294" w:rsidRPr="00845B64" w:rsidRDefault="00EF6294" w:rsidP="00AC0D02">
      <w:pPr>
        <w:widowControl w:val="0"/>
        <w:numPr>
          <w:ilvl w:val="0"/>
          <w:numId w:val="39"/>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Signed Evaluation Consultant Agreement form</w:t>
      </w:r>
    </w:p>
    <w:p w14:paraId="15D37615" w14:textId="77777777" w:rsidR="00EF6294" w:rsidRPr="00845B64" w:rsidRDefault="00EF6294" w:rsidP="00AC0D02">
      <w:pPr>
        <w:widowControl w:val="0"/>
        <w:numPr>
          <w:ilvl w:val="0"/>
          <w:numId w:val="39"/>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Signed UNEG Code of Conduct form</w:t>
      </w:r>
    </w:p>
    <w:p w14:paraId="6C65C0B1" w14:textId="77777777" w:rsidR="00EF6294" w:rsidRPr="00845B64" w:rsidRDefault="00EF6294" w:rsidP="00AC0D02">
      <w:pPr>
        <w:widowControl w:val="0"/>
        <w:numPr>
          <w:ilvl w:val="0"/>
          <w:numId w:val="39"/>
        </w:numPr>
        <w:tabs>
          <w:tab w:val="left" w:pos="1620"/>
        </w:tabs>
        <w:spacing w:after="0" w:line="240" w:lineRule="auto"/>
        <w:ind w:left="1440"/>
        <w:contextualSpacing/>
        <w:jc w:val="both"/>
        <w:rPr>
          <w:rFonts w:eastAsia="Calibri" w:cs="Times New Roman"/>
          <w:color w:val="000000"/>
        </w:rPr>
      </w:pPr>
      <w:r w:rsidRPr="00845B64">
        <w:rPr>
          <w:rFonts w:eastAsia="Calibri" w:cs="Times New Roman"/>
          <w:color w:val="000000"/>
        </w:rPr>
        <w:t>Signed TE Report Clearance form</w:t>
      </w:r>
    </w:p>
    <w:p w14:paraId="169E47EE" w14:textId="77777777" w:rsidR="00EF6294" w:rsidRPr="00845B64" w:rsidRDefault="00EF6294" w:rsidP="00AC0D02">
      <w:pPr>
        <w:widowControl w:val="0"/>
        <w:numPr>
          <w:ilvl w:val="0"/>
          <w:numId w:val="39"/>
        </w:numPr>
        <w:tabs>
          <w:tab w:val="left" w:pos="1620"/>
        </w:tabs>
        <w:spacing w:after="0" w:line="240" w:lineRule="auto"/>
        <w:ind w:left="1440"/>
        <w:contextualSpacing/>
        <w:jc w:val="both"/>
        <w:rPr>
          <w:rFonts w:eastAsia="Calibri" w:cs="Times New Roman"/>
          <w:color w:val="000000"/>
        </w:rPr>
      </w:pPr>
      <w:r w:rsidRPr="00845B64">
        <w:rPr>
          <w:rFonts w:eastAsia="Calibri" w:cs="Times New Roman"/>
          <w:i/>
          <w:iCs/>
          <w:color w:val="000000"/>
        </w:rPr>
        <w:t>Annexed in a separate file</w:t>
      </w:r>
      <w:r w:rsidRPr="00845B64">
        <w:rPr>
          <w:rFonts w:eastAsia="Calibri" w:cs="Times New Roman"/>
          <w:color w:val="000000"/>
        </w:rPr>
        <w:t>: TE Audit Trail</w:t>
      </w:r>
    </w:p>
    <w:p w14:paraId="513A323A" w14:textId="493A3C9A" w:rsidR="00EF6294" w:rsidRDefault="00EF6294" w:rsidP="00AC0D02">
      <w:pPr>
        <w:widowControl w:val="0"/>
        <w:numPr>
          <w:ilvl w:val="0"/>
          <w:numId w:val="39"/>
        </w:numPr>
        <w:tabs>
          <w:tab w:val="left" w:pos="1620"/>
        </w:tabs>
        <w:spacing w:after="0" w:line="240" w:lineRule="auto"/>
        <w:ind w:left="1440"/>
        <w:contextualSpacing/>
        <w:jc w:val="both"/>
        <w:rPr>
          <w:rFonts w:eastAsia="Calibri" w:cs="Times New Roman"/>
          <w:color w:val="000000"/>
        </w:rPr>
      </w:pPr>
      <w:r w:rsidRPr="00845B64">
        <w:rPr>
          <w:rFonts w:eastAsia="Calibri" w:cs="Times New Roman"/>
          <w:i/>
          <w:iCs/>
          <w:color w:val="000000"/>
        </w:rPr>
        <w:t>Annexed in a separate file:</w:t>
      </w:r>
      <w:r w:rsidRPr="00845B64">
        <w:rPr>
          <w:rFonts w:eastAsia="Calibri" w:cs="Times New Roman"/>
          <w:color w:val="000000"/>
        </w:rPr>
        <w:t xml:space="preserve"> relevant terminal GEF/LDCF/SCCF Core Indicators or Tracking Tools, as applicable</w:t>
      </w:r>
    </w:p>
    <w:p w14:paraId="5A33C8EB" w14:textId="0FAFCB92" w:rsidR="002F3F32" w:rsidRDefault="002F3F32" w:rsidP="002F3F32">
      <w:pPr>
        <w:widowControl w:val="0"/>
        <w:tabs>
          <w:tab w:val="left" w:pos="1620"/>
        </w:tabs>
        <w:spacing w:after="0" w:line="240" w:lineRule="auto"/>
        <w:contextualSpacing/>
        <w:jc w:val="both"/>
        <w:rPr>
          <w:rFonts w:eastAsia="Calibri" w:cs="Times New Roman"/>
          <w:color w:val="000000"/>
        </w:rPr>
      </w:pPr>
    </w:p>
    <w:p w14:paraId="66215E9A" w14:textId="77777777" w:rsidR="002F3F32" w:rsidRPr="00845B64" w:rsidRDefault="002F3F32" w:rsidP="002F3F32">
      <w:pPr>
        <w:widowControl w:val="0"/>
        <w:tabs>
          <w:tab w:val="left" w:pos="1620"/>
        </w:tabs>
        <w:spacing w:after="0" w:line="240" w:lineRule="auto"/>
        <w:contextualSpacing/>
        <w:jc w:val="both"/>
        <w:rPr>
          <w:rFonts w:eastAsia="Calibri" w:cs="Times New Roman"/>
          <w:color w:val="000000"/>
        </w:rPr>
      </w:pPr>
    </w:p>
    <w:p w14:paraId="40A5C0D3" w14:textId="77777777" w:rsidR="00EF6294" w:rsidRPr="00845B64" w:rsidRDefault="00EF6294" w:rsidP="00EF6294">
      <w:pPr>
        <w:widowControl w:val="0"/>
        <w:spacing w:after="0" w:line="240" w:lineRule="auto"/>
        <w:jc w:val="both"/>
        <w:rPr>
          <w:rFonts w:eastAsia="SimSun" w:cs="Times New Roman"/>
          <w:color w:val="000000"/>
          <w:kern w:val="2"/>
          <w:lang w:eastAsia="zh-CN"/>
        </w:rPr>
      </w:pPr>
    </w:p>
    <w:p w14:paraId="31E32BC1" w14:textId="77777777" w:rsidR="00EF6294" w:rsidRPr="00845B64" w:rsidRDefault="00EF6294" w:rsidP="00EF6294">
      <w:pPr>
        <w:widowControl w:val="0"/>
        <w:spacing w:after="0" w:line="240" w:lineRule="auto"/>
        <w:jc w:val="both"/>
        <w:rPr>
          <w:rFonts w:eastAsia="SimSun" w:cs="Times New Roman"/>
          <w:b/>
          <w:bCs/>
          <w:kern w:val="2"/>
          <w:lang w:eastAsia="zh-CN"/>
        </w:rPr>
      </w:pPr>
      <w:r w:rsidRPr="00845B64">
        <w:rPr>
          <w:rFonts w:eastAsia="SimSun" w:cs="Times New Roman"/>
          <w:b/>
          <w:bCs/>
          <w:kern w:val="2"/>
          <w:lang w:eastAsia="zh-CN"/>
        </w:rPr>
        <w:t>ToR Annex D: Evaluation Criteria Matrix template</w:t>
      </w:r>
    </w:p>
    <w:p w14:paraId="7312616E" w14:textId="77777777" w:rsidR="00EF6294" w:rsidRPr="00845B64" w:rsidRDefault="00EF6294" w:rsidP="00EF6294">
      <w:pPr>
        <w:widowControl w:val="0"/>
        <w:spacing w:after="0" w:line="240" w:lineRule="auto"/>
        <w:jc w:val="both"/>
        <w:rPr>
          <w:rFonts w:eastAsia="SimSun" w:cs="Times New Roman"/>
          <w:b/>
          <w:bCs/>
          <w:kern w:val="2"/>
          <w:lang w:eastAsia="zh-CN"/>
        </w:rPr>
      </w:pPr>
    </w:p>
    <w:p w14:paraId="23309C65" w14:textId="77777777" w:rsidR="00EF6294" w:rsidRPr="00E87478" w:rsidRDefault="00EF6294" w:rsidP="00EF6294">
      <w:pPr>
        <w:widowControl w:val="0"/>
        <w:spacing w:after="0" w:line="240" w:lineRule="auto"/>
        <w:jc w:val="both"/>
        <w:rPr>
          <w:rFonts w:eastAsia="SimSun" w:cs="Times New Roman"/>
          <w:i/>
          <w:iCs/>
          <w:color w:val="000000"/>
          <w:kern w:val="2"/>
          <w:lang w:eastAsia="zh-CN"/>
        </w:rPr>
      </w:pPr>
      <w:r w:rsidRPr="00E87478">
        <w:rPr>
          <w:rFonts w:eastAsia="SimSun" w:cs="Times New Roman"/>
          <w:i/>
          <w:iCs/>
          <w:color w:val="000000"/>
          <w:kern w:val="2"/>
          <w:lang w:eastAsia="zh-CN"/>
        </w:rPr>
        <w:t>NOTE: Include COVID-19 specific questions, as needed.</w:t>
      </w:r>
    </w:p>
    <w:p w14:paraId="1AEC83AB" w14:textId="77777777" w:rsidR="00EF6294" w:rsidRPr="00845B64" w:rsidRDefault="00EF6294" w:rsidP="00EF6294">
      <w:pPr>
        <w:widowControl w:val="0"/>
        <w:spacing w:after="0" w:line="240" w:lineRule="auto"/>
        <w:jc w:val="both"/>
        <w:rPr>
          <w:rFonts w:eastAsia="SimSun" w:cs="Times New Roman"/>
          <w:i/>
          <w:iCs/>
          <w:kern w:val="2"/>
          <w:lang w:eastAsia="zh-CN"/>
        </w:rPr>
      </w:pPr>
    </w:p>
    <w:tbl>
      <w:tblPr>
        <w:tblStyle w:val="TableGrid1"/>
        <w:tblW w:w="9540" w:type="dxa"/>
        <w:jc w:val="center"/>
        <w:tblInd w:w="0" w:type="dxa"/>
        <w:tblBorders>
          <w:top w:val="none" w:sz="0" w:space="0" w:color="auto"/>
          <w:left w:val="none" w:sz="0" w:space="0" w:color="auto"/>
          <w:bottom w:val="single" w:sz="4" w:space="0" w:color="244061"/>
          <w:right w:val="none" w:sz="0" w:space="0" w:color="auto"/>
          <w:insideH w:val="single" w:sz="4" w:space="0" w:color="244061"/>
          <w:insideV w:val="single" w:sz="4" w:space="0" w:color="244061"/>
        </w:tblBorders>
        <w:tblLayout w:type="fixed"/>
        <w:tblLook w:val="04A0" w:firstRow="1" w:lastRow="0" w:firstColumn="1" w:lastColumn="0" w:noHBand="0" w:noVBand="1"/>
      </w:tblPr>
      <w:tblGrid>
        <w:gridCol w:w="2157"/>
        <w:gridCol w:w="3063"/>
        <w:gridCol w:w="2610"/>
        <w:gridCol w:w="1710"/>
      </w:tblGrid>
      <w:tr w:rsidR="00EF6294" w:rsidRPr="00845B64" w14:paraId="7465AED4" w14:textId="77777777" w:rsidTr="00EF6294">
        <w:trPr>
          <w:jc w:val="center"/>
        </w:trPr>
        <w:tc>
          <w:tcPr>
            <w:tcW w:w="2157" w:type="dxa"/>
            <w:tcBorders>
              <w:top w:val="single" w:sz="4" w:space="0" w:color="244061"/>
              <w:left w:val="single" w:sz="4" w:space="0" w:color="244061"/>
              <w:bottom w:val="single" w:sz="4" w:space="0" w:color="244061"/>
              <w:right w:val="single" w:sz="4" w:space="0" w:color="244061"/>
            </w:tcBorders>
            <w:shd w:val="clear" w:color="auto" w:fill="000000"/>
            <w:vAlign w:val="center"/>
            <w:hideMark/>
          </w:tcPr>
          <w:p w14:paraId="7E83FAB4" w14:textId="77777777" w:rsidR="00EF6294" w:rsidRPr="00845B64" w:rsidRDefault="00EF6294" w:rsidP="00EF6294">
            <w:pPr>
              <w:widowControl w:val="0"/>
              <w:jc w:val="center"/>
              <w:rPr>
                <w:b/>
                <w:color w:val="FFFFFF"/>
              </w:rPr>
            </w:pPr>
            <w:r w:rsidRPr="00845B64">
              <w:rPr>
                <w:b/>
                <w:color w:val="FFFFFF"/>
              </w:rPr>
              <w:t>Evaluative Criteria Questions</w:t>
            </w:r>
          </w:p>
        </w:tc>
        <w:tc>
          <w:tcPr>
            <w:tcW w:w="3063" w:type="dxa"/>
            <w:tcBorders>
              <w:top w:val="single" w:sz="4" w:space="0" w:color="244061"/>
              <w:left w:val="single" w:sz="4" w:space="0" w:color="244061"/>
              <w:bottom w:val="single" w:sz="4" w:space="0" w:color="244061"/>
              <w:right w:val="single" w:sz="4" w:space="0" w:color="244061"/>
            </w:tcBorders>
            <w:shd w:val="clear" w:color="auto" w:fill="000000"/>
            <w:vAlign w:val="center"/>
            <w:hideMark/>
          </w:tcPr>
          <w:p w14:paraId="2835C573" w14:textId="77777777" w:rsidR="00EF6294" w:rsidRPr="00845B64" w:rsidRDefault="00EF6294" w:rsidP="00EF6294">
            <w:pPr>
              <w:widowControl w:val="0"/>
              <w:jc w:val="center"/>
              <w:rPr>
                <w:b/>
                <w:color w:val="FFFFFF"/>
              </w:rPr>
            </w:pPr>
            <w:r w:rsidRPr="00845B64">
              <w:rPr>
                <w:b/>
                <w:color w:val="FFFFFF"/>
              </w:rPr>
              <w:t>Indicators</w:t>
            </w:r>
          </w:p>
        </w:tc>
        <w:tc>
          <w:tcPr>
            <w:tcW w:w="2610" w:type="dxa"/>
            <w:tcBorders>
              <w:top w:val="single" w:sz="4" w:space="0" w:color="244061"/>
              <w:left w:val="single" w:sz="4" w:space="0" w:color="244061"/>
              <w:bottom w:val="single" w:sz="4" w:space="0" w:color="244061"/>
              <w:right w:val="single" w:sz="4" w:space="0" w:color="244061"/>
            </w:tcBorders>
            <w:shd w:val="clear" w:color="auto" w:fill="000000"/>
            <w:vAlign w:val="center"/>
            <w:hideMark/>
          </w:tcPr>
          <w:p w14:paraId="31E4A292" w14:textId="77777777" w:rsidR="00EF6294" w:rsidRPr="00845B64" w:rsidRDefault="00EF6294" w:rsidP="00EF6294">
            <w:pPr>
              <w:widowControl w:val="0"/>
              <w:jc w:val="center"/>
              <w:rPr>
                <w:b/>
                <w:color w:val="FFFFFF"/>
              </w:rPr>
            </w:pPr>
            <w:r w:rsidRPr="00845B64">
              <w:rPr>
                <w:b/>
                <w:color w:val="FFFFFF"/>
              </w:rPr>
              <w:t>Sources</w:t>
            </w:r>
          </w:p>
        </w:tc>
        <w:tc>
          <w:tcPr>
            <w:tcW w:w="1710" w:type="dxa"/>
            <w:tcBorders>
              <w:top w:val="single" w:sz="4" w:space="0" w:color="244061"/>
              <w:left w:val="single" w:sz="4" w:space="0" w:color="244061"/>
              <w:bottom w:val="single" w:sz="4" w:space="0" w:color="244061"/>
              <w:right w:val="single" w:sz="4" w:space="0" w:color="244061"/>
            </w:tcBorders>
            <w:shd w:val="clear" w:color="auto" w:fill="000000"/>
            <w:vAlign w:val="center"/>
            <w:hideMark/>
          </w:tcPr>
          <w:p w14:paraId="2B3D940E" w14:textId="77777777" w:rsidR="00EF6294" w:rsidRPr="00845B64" w:rsidRDefault="00EF6294" w:rsidP="00EF6294">
            <w:pPr>
              <w:widowControl w:val="0"/>
              <w:jc w:val="center"/>
              <w:rPr>
                <w:b/>
                <w:color w:val="FFFFFF"/>
              </w:rPr>
            </w:pPr>
            <w:r w:rsidRPr="00845B64">
              <w:rPr>
                <w:b/>
                <w:color w:val="FFFFFF"/>
              </w:rPr>
              <w:t>Methodology</w:t>
            </w:r>
          </w:p>
        </w:tc>
      </w:tr>
      <w:tr w:rsidR="00EF6294" w:rsidRPr="00845B64" w14:paraId="67DC79E9" w14:textId="77777777" w:rsidTr="00EF6294">
        <w:trPr>
          <w:jc w:val="center"/>
        </w:trPr>
        <w:tc>
          <w:tcPr>
            <w:tcW w:w="9540" w:type="dxa"/>
            <w:gridSpan w:val="4"/>
            <w:tcBorders>
              <w:top w:val="single" w:sz="4" w:space="0" w:color="244061"/>
              <w:left w:val="single" w:sz="4" w:space="0" w:color="244061"/>
              <w:bottom w:val="single" w:sz="4" w:space="0" w:color="244061"/>
              <w:right w:val="single" w:sz="4" w:space="0" w:color="244061"/>
            </w:tcBorders>
            <w:shd w:val="clear" w:color="auto" w:fill="DDD9C3"/>
            <w:hideMark/>
          </w:tcPr>
          <w:p w14:paraId="7BF101BC" w14:textId="77777777" w:rsidR="00EF6294" w:rsidRPr="00845B64" w:rsidRDefault="00EF6294" w:rsidP="00EF6294">
            <w:pPr>
              <w:widowControl w:val="0"/>
              <w:rPr>
                <w:color w:val="244061"/>
              </w:rPr>
            </w:pPr>
            <w:r w:rsidRPr="00845B64">
              <w:rPr>
                <w:color w:val="000000"/>
              </w:rPr>
              <w:t>Relevance: How does the project relate to the main objectives of the GEF Focal area, and to the environment and development priorities a the local, regional, and national level?</w:t>
            </w:r>
          </w:p>
        </w:tc>
      </w:tr>
      <w:tr w:rsidR="00EF6294" w:rsidRPr="00845B64" w14:paraId="220BBB56" w14:textId="77777777" w:rsidTr="00EF6294">
        <w:trPr>
          <w:jc w:val="center"/>
        </w:trPr>
        <w:tc>
          <w:tcPr>
            <w:tcW w:w="2157" w:type="dxa"/>
            <w:tcBorders>
              <w:top w:val="single" w:sz="4" w:space="0" w:color="244061"/>
              <w:left w:val="single" w:sz="4" w:space="0" w:color="244061"/>
              <w:bottom w:val="single" w:sz="4" w:space="0" w:color="244061"/>
              <w:right w:val="single" w:sz="4" w:space="0" w:color="244061"/>
            </w:tcBorders>
            <w:hideMark/>
          </w:tcPr>
          <w:p w14:paraId="103DE026" w14:textId="77777777" w:rsidR="00EF6294" w:rsidRPr="00845B64" w:rsidRDefault="00EF6294" w:rsidP="00EF6294">
            <w:pPr>
              <w:widowControl w:val="0"/>
              <w:rPr>
                <w:i/>
                <w:color w:val="808080"/>
              </w:rPr>
            </w:pPr>
            <w:r w:rsidRPr="00845B64">
              <w:rPr>
                <w:i/>
                <w:color w:val="808080"/>
              </w:rPr>
              <w:t>(include evaluative questions)</w:t>
            </w:r>
          </w:p>
        </w:tc>
        <w:tc>
          <w:tcPr>
            <w:tcW w:w="3063" w:type="dxa"/>
            <w:tcBorders>
              <w:top w:val="single" w:sz="4" w:space="0" w:color="244061"/>
              <w:left w:val="single" w:sz="4" w:space="0" w:color="244061"/>
              <w:bottom w:val="single" w:sz="4" w:space="0" w:color="244061"/>
              <w:right w:val="single" w:sz="4" w:space="0" w:color="244061"/>
            </w:tcBorders>
            <w:hideMark/>
          </w:tcPr>
          <w:p w14:paraId="30CCD8FD" w14:textId="77777777" w:rsidR="00EF6294" w:rsidRPr="00845B64" w:rsidRDefault="00EF6294" w:rsidP="00EF6294">
            <w:pPr>
              <w:widowControl w:val="0"/>
              <w:rPr>
                <w:i/>
                <w:color w:val="808080"/>
              </w:rPr>
            </w:pPr>
            <w:r w:rsidRPr="00845B64">
              <w:rPr>
                <w:i/>
                <w:color w:val="808080"/>
              </w:rPr>
              <w:t>(i.e. relationships established, level of coherence between project design and implementation approach, specific activities conducted, quality of risk mitigation strategies, etc.)</w:t>
            </w:r>
          </w:p>
        </w:tc>
        <w:tc>
          <w:tcPr>
            <w:tcW w:w="2610" w:type="dxa"/>
            <w:tcBorders>
              <w:top w:val="single" w:sz="4" w:space="0" w:color="244061"/>
              <w:left w:val="single" w:sz="4" w:space="0" w:color="244061"/>
              <w:bottom w:val="single" w:sz="4" w:space="0" w:color="244061"/>
              <w:right w:val="single" w:sz="4" w:space="0" w:color="244061"/>
            </w:tcBorders>
            <w:hideMark/>
          </w:tcPr>
          <w:p w14:paraId="3DAD2AD1" w14:textId="77777777" w:rsidR="00EF6294" w:rsidRPr="00845B64" w:rsidRDefault="00EF6294" w:rsidP="00EF6294">
            <w:pPr>
              <w:widowControl w:val="0"/>
              <w:rPr>
                <w:i/>
                <w:color w:val="808080"/>
              </w:rPr>
            </w:pPr>
            <w:r w:rsidRPr="00845B64">
              <w:rPr>
                <w:i/>
                <w:color w:val="808080"/>
              </w:rPr>
              <w:t>(i.e. project documentation, national policies or strategies, websites, project staff, project partners, data collected throughout the TE mission, etc.)</w:t>
            </w:r>
          </w:p>
        </w:tc>
        <w:tc>
          <w:tcPr>
            <w:tcW w:w="1710" w:type="dxa"/>
            <w:tcBorders>
              <w:top w:val="single" w:sz="4" w:space="0" w:color="244061"/>
              <w:left w:val="single" w:sz="4" w:space="0" w:color="244061"/>
              <w:bottom w:val="single" w:sz="4" w:space="0" w:color="244061"/>
              <w:right w:val="single" w:sz="4" w:space="0" w:color="244061"/>
            </w:tcBorders>
            <w:hideMark/>
          </w:tcPr>
          <w:p w14:paraId="375063A6" w14:textId="77777777" w:rsidR="00EF6294" w:rsidRPr="00845B64" w:rsidRDefault="00EF6294" w:rsidP="00EF6294">
            <w:pPr>
              <w:widowControl w:val="0"/>
              <w:rPr>
                <w:i/>
                <w:color w:val="808080"/>
              </w:rPr>
            </w:pPr>
            <w:r w:rsidRPr="00845B64">
              <w:rPr>
                <w:i/>
                <w:color w:val="808080"/>
              </w:rPr>
              <w:t>(i.e. document analysis, data analysis, interviews with project staff, interviews with stakeholders, etc.)</w:t>
            </w:r>
          </w:p>
        </w:tc>
      </w:tr>
      <w:tr w:rsidR="00EF6294" w:rsidRPr="00845B64" w14:paraId="3ABFAB89" w14:textId="77777777" w:rsidTr="00EF6294">
        <w:trPr>
          <w:jc w:val="center"/>
        </w:trPr>
        <w:tc>
          <w:tcPr>
            <w:tcW w:w="2157" w:type="dxa"/>
            <w:tcBorders>
              <w:top w:val="single" w:sz="4" w:space="0" w:color="244061"/>
              <w:left w:val="single" w:sz="4" w:space="0" w:color="244061"/>
              <w:bottom w:val="single" w:sz="4" w:space="0" w:color="244061"/>
              <w:right w:val="single" w:sz="4" w:space="0" w:color="244061"/>
            </w:tcBorders>
          </w:tcPr>
          <w:p w14:paraId="371E9887" w14:textId="77777777" w:rsidR="00EF6294" w:rsidRPr="00845B64" w:rsidRDefault="00EF6294" w:rsidP="00EF6294">
            <w:pPr>
              <w:widowControl w:val="0"/>
              <w:rPr>
                <w:color w:val="000000"/>
              </w:rPr>
            </w:pPr>
          </w:p>
        </w:tc>
        <w:tc>
          <w:tcPr>
            <w:tcW w:w="3063" w:type="dxa"/>
            <w:tcBorders>
              <w:top w:val="single" w:sz="4" w:space="0" w:color="244061"/>
              <w:left w:val="single" w:sz="4" w:space="0" w:color="244061"/>
              <w:bottom w:val="single" w:sz="4" w:space="0" w:color="244061"/>
              <w:right w:val="single" w:sz="4" w:space="0" w:color="244061"/>
            </w:tcBorders>
          </w:tcPr>
          <w:p w14:paraId="2BCE350E" w14:textId="77777777" w:rsidR="00EF6294" w:rsidRPr="00845B64" w:rsidRDefault="00EF6294" w:rsidP="00EF6294">
            <w:pPr>
              <w:widowControl w:val="0"/>
              <w:rPr>
                <w:color w:val="244061"/>
              </w:rPr>
            </w:pPr>
          </w:p>
        </w:tc>
        <w:tc>
          <w:tcPr>
            <w:tcW w:w="2610" w:type="dxa"/>
            <w:tcBorders>
              <w:top w:val="single" w:sz="4" w:space="0" w:color="244061"/>
              <w:left w:val="single" w:sz="4" w:space="0" w:color="244061"/>
              <w:bottom w:val="single" w:sz="4" w:space="0" w:color="244061"/>
              <w:right w:val="single" w:sz="4" w:space="0" w:color="244061"/>
            </w:tcBorders>
          </w:tcPr>
          <w:p w14:paraId="20D634E7" w14:textId="77777777" w:rsidR="00EF6294" w:rsidRPr="00845B64" w:rsidRDefault="00EF6294" w:rsidP="00EF6294">
            <w:pPr>
              <w:widowControl w:val="0"/>
              <w:rPr>
                <w:color w:val="244061"/>
              </w:rPr>
            </w:pPr>
          </w:p>
        </w:tc>
        <w:tc>
          <w:tcPr>
            <w:tcW w:w="1710" w:type="dxa"/>
            <w:tcBorders>
              <w:top w:val="single" w:sz="4" w:space="0" w:color="244061"/>
              <w:left w:val="single" w:sz="4" w:space="0" w:color="244061"/>
              <w:bottom w:val="single" w:sz="4" w:space="0" w:color="244061"/>
              <w:right w:val="single" w:sz="4" w:space="0" w:color="244061"/>
            </w:tcBorders>
          </w:tcPr>
          <w:p w14:paraId="54B83B16" w14:textId="77777777" w:rsidR="00EF6294" w:rsidRPr="00845B64" w:rsidRDefault="00EF6294" w:rsidP="00EF6294">
            <w:pPr>
              <w:widowControl w:val="0"/>
              <w:rPr>
                <w:color w:val="000000"/>
              </w:rPr>
            </w:pPr>
          </w:p>
        </w:tc>
      </w:tr>
      <w:tr w:rsidR="00EF6294" w:rsidRPr="00845B64" w14:paraId="60D45AD9" w14:textId="77777777" w:rsidTr="00EF6294">
        <w:trPr>
          <w:jc w:val="center"/>
        </w:trPr>
        <w:tc>
          <w:tcPr>
            <w:tcW w:w="2157" w:type="dxa"/>
            <w:tcBorders>
              <w:top w:val="single" w:sz="4" w:space="0" w:color="244061"/>
              <w:left w:val="single" w:sz="4" w:space="0" w:color="244061"/>
              <w:bottom w:val="single" w:sz="4" w:space="0" w:color="244061"/>
              <w:right w:val="single" w:sz="4" w:space="0" w:color="244061"/>
            </w:tcBorders>
          </w:tcPr>
          <w:p w14:paraId="662479DD" w14:textId="77777777" w:rsidR="00EF6294" w:rsidRPr="00845B64" w:rsidRDefault="00EF6294" w:rsidP="00EF6294">
            <w:pPr>
              <w:widowControl w:val="0"/>
              <w:rPr>
                <w:color w:val="000000"/>
              </w:rPr>
            </w:pPr>
          </w:p>
        </w:tc>
        <w:tc>
          <w:tcPr>
            <w:tcW w:w="3063" w:type="dxa"/>
            <w:tcBorders>
              <w:top w:val="single" w:sz="4" w:space="0" w:color="244061"/>
              <w:left w:val="single" w:sz="4" w:space="0" w:color="244061"/>
              <w:bottom w:val="single" w:sz="4" w:space="0" w:color="244061"/>
              <w:right w:val="single" w:sz="4" w:space="0" w:color="244061"/>
            </w:tcBorders>
          </w:tcPr>
          <w:p w14:paraId="2063FDFC" w14:textId="77777777" w:rsidR="00EF6294" w:rsidRPr="00845B64" w:rsidRDefault="00EF6294" w:rsidP="00EF6294">
            <w:pPr>
              <w:widowControl w:val="0"/>
              <w:rPr>
                <w:color w:val="244061"/>
              </w:rPr>
            </w:pPr>
          </w:p>
        </w:tc>
        <w:tc>
          <w:tcPr>
            <w:tcW w:w="2610" w:type="dxa"/>
            <w:tcBorders>
              <w:top w:val="single" w:sz="4" w:space="0" w:color="244061"/>
              <w:left w:val="single" w:sz="4" w:space="0" w:color="244061"/>
              <w:bottom w:val="single" w:sz="4" w:space="0" w:color="244061"/>
              <w:right w:val="single" w:sz="4" w:space="0" w:color="244061"/>
            </w:tcBorders>
          </w:tcPr>
          <w:p w14:paraId="37137933" w14:textId="77777777" w:rsidR="00EF6294" w:rsidRPr="00845B64" w:rsidRDefault="00EF6294" w:rsidP="00EF6294">
            <w:pPr>
              <w:widowControl w:val="0"/>
              <w:rPr>
                <w:color w:val="244061"/>
              </w:rPr>
            </w:pPr>
          </w:p>
        </w:tc>
        <w:tc>
          <w:tcPr>
            <w:tcW w:w="1710" w:type="dxa"/>
            <w:tcBorders>
              <w:top w:val="single" w:sz="4" w:space="0" w:color="244061"/>
              <w:left w:val="single" w:sz="4" w:space="0" w:color="244061"/>
              <w:bottom w:val="single" w:sz="4" w:space="0" w:color="244061"/>
              <w:right w:val="single" w:sz="4" w:space="0" w:color="244061"/>
            </w:tcBorders>
          </w:tcPr>
          <w:p w14:paraId="011D6C67" w14:textId="77777777" w:rsidR="00EF6294" w:rsidRPr="00845B64" w:rsidRDefault="00EF6294" w:rsidP="00EF6294">
            <w:pPr>
              <w:widowControl w:val="0"/>
              <w:rPr>
                <w:color w:val="000000"/>
              </w:rPr>
            </w:pPr>
          </w:p>
        </w:tc>
      </w:tr>
      <w:tr w:rsidR="00EF6294" w:rsidRPr="00845B64" w14:paraId="29A2D50B" w14:textId="77777777" w:rsidTr="00EF6294">
        <w:trPr>
          <w:jc w:val="center"/>
        </w:trPr>
        <w:tc>
          <w:tcPr>
            <w:tcW w:w="9540" w:type="dxa"/>
            <w:gridSpan w:val="4"/>
            <w:tcBorders>
              <w:top w:val="single" w:sz="4" w:space="0" w:color="244061"/>
              <w:left w:val="single" w:sz="4" w:space="0" w:color="244061"/>
              <w:bottom w:val="single" w:sz="4" w:space="0" w:color="244061"/>
              <w:right w:val="single" w:sz="4" w:space="0" w:color="244061"/>
            </w:tcBorders>
            <w:shd w:val="clear" w:color="auto" w:fill="DDD9C3"/>
            <w:hideMark/>
          </w:tcPr>
          <w:p w14:paraId="4DAE0FD9" w14:textId="77777777" w:rsidR="00EF6294" w:rsidRPr="00845B64" w:rsidRDefault="00EF6294" w:rsidP="00EF6294">
            <w:pPr>
              <w:widowControl w:val="0"/>
              <w:rPr>
                <w:color w:val="000000"/>
              </w:rPr>
            </w:pPr>
            <w:r w:rsidRPr="00845B64">
              <w:rPr>
                <w:color w:val="000000"/>
              </w:rPr>
              <w:t>Effectiveness: To what extent have the expected outcomes and objectives of the project been achieved?</w:t>
            </w:r>
          </w:p>
        </w:tc>
      </w:tr>
      <w:tr w:rsidR="00EF6294" w:rsidRPr="00845B64" w14:paraId="63F42407" w14:textId="77777777" w:rsidTr="00EF6294">
        <w:trPr>
          <w:jc w:val="center"/>
        </w:trPr>
        <w:tc>
          <w:tcPr>
            <w:tcW w:w="2157" w:type="dxa"/>
            <w:tcBorders>
              <w:top w:val="single" w:sz="4" w:space="0" w:color="244061"/>
              <w:left w:val="single" w:sz="4" w:space="0" w:color="244061"/>
              <w:bottom w:val="single" w:sz="4" w:space="0" w:color="244061"/>
              <w:right w:val="single" w:sz="4" w:space="0" w:color="244061"/>
            </w:tcBorders>
          </w:tcPr>
          <w:p w14:paraId="66D3DF56" w14:textId="77777777" w:rsidR="00EF6294" w:rsidRPr="00845B64" w:rsidRDefault="00EF6294" w:rsidP="00EF6294">
            <w:pPr>
              <w:widowControl w:val="0"/>
              <w:rPr>
                <w:color w:val="000000"/>
              </w:rPr>
            </w:pPr>
          </w:p>
        </w:tc>
        <w:tc>
          <w:tcPr>
            <w:tcW w:w="3063" w:type="dxa"/>
            <w:tcBorders>
              <w:top w:val="single" w:sz="4" w:space="0" w:color="244061"/>
              <w:left w:val="single" w:sz="4" w:space="0" w:color="244061"/>
              <w:bottom w:val="single" w:sz="4" w:space="0" w:color="244061"/>
              <w:right w:val="single" w:sz="4" w:space="0" w:color="244061"/>
            </w:tcBorders>
          </w:tcPr>
          <w:p w14:paraId="692BC600" w14:textId="77777777" w:rsidR="00EF6294" w:rsidRPr="00845B64" w:rsidRDefault="00EF6294" w:rsidP="00EF6294">
            <w:pPr>
              <w:widowControl w:val="0"/>
              <w:rPr>
                <w:color w:val="000000"/>
              </w:rPr>
            </w:pPr>
          </w:p>
        </w:tc>
        <w:tc>
          <w:tcPr>
            <w:tcW w:w="2610" w:type="dxa"/>
            <w:tcBorders>
              <w:top w:val="single" w:sz="4" w:space="0" w:color="244061"/>
              <w:left w:val="single" w:sz="4" w:space="0" w:color="244061"/>
              <w:bottom w:val="single" w:sz="4" w:space="0" w:color="244061"/>
              <w:right w:val="single" w:sz="4" w:space="0" w:color="244061"/>
            </w:tcBorders>
          </w:tcPr>
          <w:p w14:paraId="4F57CD15" w14:textId="77777777" w:rsidR="00EF6294" w:rsidRPr="00845B64" w:rsidRDefault="00EF6294" w:rsidP="00EF6294">
            <w:pPr>
              <w:widowControl w:val="0"/>
              <w:rPr>
                <w:color w:val="000000"/>
              </w:rPr>
            </w:pPr>
          </w:p>
        </w:tc>
        <w:tc>
          <w:tcPr>
            <w:tcW w:w="1710" w:type="dxa"/>
            <w:tcBorders>
              <w:top w:val="single" w:sz="4" w:space="0" w:color="244061"/>
              <w:left w:val="single" w:sz="4" w:space="0" w:color="244061"/>
              <w:bottom w:val="single" w:sz="4" w:space="0" w:color="244061"/>
              <w:right w:val="single" w:sz="4" w:space="0" w:color="244061"/>
            </w:tcBorders>
          </w:tcPr>
          <w:p w14:paraId="76638BB9" w14:textId="77777777" w:rsidR="00EF6294" w:rsidRPr="00845B64" w:rsidRDefault="00EF6294" w:rsidP="00EF6294">
            <w:pPr>
              <w:widowControl w:val="0"/>
              <w:rPr>
                <w:color w:val="000000"/>
              </w:rPr>
            </w:pPr>
          </w:p>
        </w:tc>
      </w:tr>
      <w:tr w:rsidR="00EF6294" w:rsidRPr="00845B64" w14:paraId="5A390B07" w14:textId="77777777" w:rsidTr="00EF6294">
        <w:trPr>
          <w:jc w:val="center"/>
        </w:trPr>
        <w:tc>
          <w:tcPr>
            <w:tcW w:w="2157" w:type="dxa"/>
            <w:tcBorders>
              <w:top w:val="single" w:sz="4" w:space="0" w:color="244061"/>
              <w:left w:val="single" w:sz="4" w:space="0" w:color="244061"/>
              <w:bottom w:val="single" w:sz="4" w:space="0" w:color="244061"/>
              <w:right w:val="single" w:sz="4" w:space="0" w:color="244061"/>
            </w:tcBorders>
          </w:tcPr>
          <w:p w14:paraId="28170912" w14:textId="77777777" w:rsidR="00EF6294" w:rsidRPr="00845B64" w:rsidRDefault="00EF6294" w:rsidP="00EF6294">
            <w:pPr>
              <w:widowControl w:val="0"/>
              <w:rPr>
                <w:color w:val="000000"/>
              </w:rPr>
            </w:pPr>
          </w:p>
        </w:tc>
        <w:tc>
          <w:tcPr>
            <w:tcW w:w="3063" w:type="dxa"/>
            <w:tcBorders>
              <w:top w:val="single" w:sz="4" w:space="0" w:color="244061"/>
              <w:left w:val="single" w:sz="4" w:space="0" w:color="244061"/>
              <w:bottom w:val="single" w:sz="4" w:space="0" w:color="244061"/>
              <w:right w:val="single" w:sz="4" w:space="0" w:color="244061"/>
            </w:tcBorders>
          </w:tcPr>
          <w:p w14:paraId="16C3B9EE" w14:textId="77777777" w:rsidR="00EF6294" w:rsidRPr="00845B64" w:rsidRDefault="00EF6294" w:rsidP="00EF6294">
            <w:pPr>
              <w:widowControl w:val="0"/>
              <w:rPr>
                <w:color w:val="000000"/>
              </w:rPr>
            </w:pPr>
          </w:p>
        </w:tc>
        <w:tc>
          <w:tcPr>
            <w:tcW w:w="2610" w:type="dxa"/>
            <w:tcBorders>
              <w:top w:val="single" w:sz="4" w:space="0" w:color="244061"/>
              <w:left w:val="single" w:sz="4" w:space="0" w:color="244061"/>
              <w:bottom w:val="single" w:sz="4" w:space="0" w:color="244061"/>
              <w:right w:val="single" w:sz="4" w:space="0" w:color="244061"/>
            </w:tcBorders>
          </w:tcPr>
          <w:p w14:paraId="6DC09063" w14:textId="77777777" w:rsidR="00EF6294" w:rsidRPr="00845B64" w:rsidRDefault="00EF6294" w:rsidP="00EF6294">
            <w:pPr>
              <w:widowControl w:val="0"/>
              <w:rPr>
                <w:color w:val="000000"/>
              </w:rPr>
            </w:pPr>
          </w:p>
        </w:tc>
        <w:tc>
          <w:tcPr>
            <w:tcW w:w="1710" w:type="dxa"/>
            <w:tcBorders>
              <w:top w:val="single" w:sz="4" w:space="0" w:color="244061"/>
              <w:left w:val="single" w:sz="4" w:space="0" w:color="244061"/>
              <w:bottom w:val="single" w:sz="4" w:space="0" w:color="244061"/>
              <w:right w:val="single" w:sz="4" w:space="0" w:color="244061"/>
            </w:tcBorders>
          </w:tcPr>
          <w:p w14:paraId="0F701742" w14:textId="77777777" w:rsidR="00EF6294" w:rsidRPr="00845B64" w:rsidRDefault="00EF6294" w:rsidP="00EF6294">
            <w:pPr>
              <w:widowControl w:val="0"/>
              <w:rPr>
                <w:color w:val="000000"/>
              </w:rPr>
            </w:pPr>
          </w:p>
        </w:tc>
      </w:tr>
      <w:tr w:rsidR="00EF6294" w:rsidRPr="00845B64" w14:paraId="2A4E3A17" w14:textId="77777777" w:rsidTr="00EF6294">
        <w:trPr>
          <w:jc w:val="center"/>
        </w:trPr>
        <w:tc>
          <w:tcPr>
            <w:tcW w:w="9540" w:type="dxa"/>
            <w:gridSpan w:val="4"/>
            <w:tcBorders>
              <w:top w:val="single" w:sz="4" w:space="0" w:color="244061"/>
              <w:left w:val="single" w:sz="4" w:space="0" w:color="244061"/>
              <w:bottom w:val="single" w:sz="4" w:space="0" w:color="244061"/>
              <w:right w:val="single" w:sz="4" w:space="0" w:color="244061"/>
            </w:tcBorders>
            <w:shd w:val="clear" w:color="auto" w:fill="DDD9C3"/>
            <w:hideMark/>
          </w:tcPr>
          <w:p w14:paraId="5968F364" w14:textId="77777777" w:rsidR="00EF6294" w:rsidRPr="00845B64" w:rsidRDefault="00EF6294" w:rsidP="00EF6294">
            <w:pPr>
              <w:widowControl w:val="0"/>
              <w:rPr>
                <w:color w:val="000000"/>
              </w:rPr>
            </w:pPr>
            <w:r w:rsidRPr="00845B64">
              <w:rPr>
                <w:color w:val="000000"/>
              </w:rPr>
              <w:t>Efficiency: Was the project implemented efficiently, in line with international and national norms and standards?</w:t>
            </w:r>
          </w:p>
        </w:tc>
      </w:tr>
      <w:tr w:rsidR="00EF6294" w:rsidRPr="00845B64" w14:paraId="4D836BB3" w14:textId="77777777" w:rsidTr="00EF6294">
        <w:trPr>
          <w:jc w:val="center"/>
        </w:trPr>
        <w:tc>
          <w:tcPr>
            <w:tcW w:w="2157" w:type="dxa"/>
            <w:tcBorders>
              <w:top w:val="single" w:sz="4" w:space="0" w:color="244061"/>
              <w:left w:val="single" w:sz="4" w:space="0" w:color="244061"/>
              <w:bottom w:val="single" w:sz="4" w:space="0" w:color="244061"/>
              <w:right w:val="single" w:sz="4" w:space="0" w:color="244061"/>
            </w:tcBorders>
          </w:tcPr>
          <w:p w14:paraId="16175A60" w14:textId="77777777" w:rsidR="00EF6294" w:rsidRPr="00845B64" w:rsidRDefault="00EF6294" w:rsidP="00EF6294">
            <w:pPr>
              <w:widowControl w:val="0"/>
              <w:rPr>
                <w:color w:val="000000"/>
              </w:rPr>
            </w:pPr>
          </w:p>
        </w:tc>
        <w:tc>
          <w:tcPr>
            <w:tcW w:w="3063" w:type="dxa"/>
            <w:tcBorders>
              <w:top w:val="single" w:sz="4" w:space="0" w:color="244061"/>
              <w:left w:val="single" w:sz="4" w:space="0" w:color="244061"/>
              <w:bottom w:val="single" w:sz="4" w:space="0" w:color="244061"/>
              <w:right w:val="single" w:sz="4" w:space="0" w:color="244061"/>
            </w:tcBorders>
          </w:tcPr>
          <w:p w14:paraId="18F2DC6F" w14:textId="77777777" w:rsidR="00EF6294" w:rsidRPr="00845B64" w:rsidRDefault="00EF6294" w:rsidP="00EF6294">
            <w:pPr>
              <w:widowControl w:val="0"/>
              <w:rPr>
                <w:color w:val="000000"/>
              </w:rPr>
            </w:pPr>
          </w:p>
        </w:tc>
        <w:tc>
          <w:tcPr>
            <w:tcW w:w="2610" w:type="dxa"/>
            <w:tcBorders>
              <w:top w:val="single" w:sz="4" w:space="0" w:color="244061"/>
              <w:left w:val="single" w:sz="4" w:space="0" w:color="244061"/>
              <w:bottom w:val="single" w:sz="4" w:space="0" w:color="244061"/>
              <w:right w:val="single" w:sz="4" w:space="0" w:color="244061"/>
            </w:tcBorders>
          </w:tcPr>
          <w:p w14:paraId="37FF53B5" w14:textId="77777777" w:rsidR="00EF6294" w:rsidRPr="00845B64" w:rsidRDefault="00EF6294" w:rsidP="00EF6294">
            <w:pPr>
              <w:widowControl w:val="0"/>
              <w:rPr>
                <w:color w:val="000000"/>
              </w:rPr>
            </w:pPr>
          </w:p>
        </w:tc>
        <w:tc>
          <w:tcPr>
            <w:tcW w:w="1710" w:type="dxa"/>
            <w:tcBorders>
              <w:top w:val="single" w:sz="4" w:space="0" w:color="244061"/>
              <w:left w:val="single" w:sz="4" w:space="0" w:color="244061"/>
              <w:bottom w:val="single" w:sz="4" w:space="0" w:color="244061"/>
              <w:right w:val="single" w:sz="4" w:space="0" w:color="244061"/>
            </w:tcBorders>
          </w:tcPr>
          <w:p w14:paraId="593B283C" w14:textId="77777777" w:rsidR="00EF6294" w:rsidRPr="00845B64" w:rsidRDefault="00EF6294" w:rsidP="00EF6294">
            <w:pPr>
              <w:widowControl w:val="0"/>
              <w:rPr>
                <w:color w:val="000000"/>
              </w:rPr>
            </w:pPr>
          </w:p>
        </w:tc>
      </w:tr>
      <w:tr w:rsidR="00EF6294" w:rsidRPr="00845B64" w14:paraId="065146D9" w14:textId="77777777" w:rsidTr="00EF6294">
        <w:trPr>
          <w:jc w:val="center"/>
        </w:trPr>
        <w:tc>
          <w:tcPr>
            <w:tcW w:w="2157" w:type="dxa"/>
            <w:tcBorders>
              <w:top w:val="single" w:sz="4" w:space="0" w:color="244061"/>
              <w:left w:val="single" w:sz="4" w:space="0" w:color="244061"/>
              <w:bottom w:val="single" w:sz="4" w:space="0" w:color="244061"/>
              <w:right w:val="single" w:sz="4" w:space="0" w:color="244061"/>
            </w:tcBorders>
          </w:tcPr>
          <w:p w14:paraId="45C78D11" w14:textId="77777777" w:rsidR="00EF6294" w:rsidRPr="00845B64" w:rsidRDefault="00EF6294" w:rsidP="00EF6294">
            <w:pPr>
              <w:widowControl w:val="0"/>
              <w:rPr>
                <w:color w:val="000000"/>
              </w:rPr>
            </w:pPr>
          </w:p>
        </w:tc>
        <w:tc>
          <w:tcPr>
            <w:tcW w:w="3063" w:type="dxa"/>
            <w:tcBorders>
              <w:top w:val="single" w:sz="4" w:space="0" w:color="244061"/>
              <w:left w:val="single" w:sz="4" w:space="0" w:color="244061"/>
              <w:bottom w:val="single" w:sz="4" w:space="0" w:color="244061"/>
              <w:right w:val="single" w:sz="4" w:space="0" w:color="244061"/>
            </w:tcBorders>
          </w:tcPr>
          <w:p w14:paraId="137B9341" w14:textId="77777777" w:rsidR="00EF6294" w:rsidRPr="00845B64" w:rsidRDefault="00EF6294" w:rsidP="00EF6294">
            <w:pPr>
              <w:widowControl w:val="0"/>
              <w:rPr>
                <w:color w:val="000000"/>
              </w:rPr>
            </w:pPr>
          </w:p>
        </w:tc>
        <w:tc>
          <w:tcPr>
            <w:tcW w:w="2610" w:type="dxa"/>
            <w:tcBorders>
              <w:top w:val="single" w:sz="4" w:space="0" w:color="244061"/>
              <w:left w:val="single" w:sz="4" w:space="0" w:color="244061"/>
              <w:bottom w:val="single" w:sz="4" w:space="0" w:color="244061"/>
              <w:right w:val="single" w:sz="4" w:space="0" w:color="244061"/>
            </w:tcBorders>
          </w:tcPr>
          <w:p w14:paraId="06CCE26F" w14:textId="77777777" w:rsidR="00EF6294" w:rsidRPr="00845B64" w:rsidRDefault="00EF6294" w:rsidP="00EF6294">
            <w:pPr>
              <w:widowControl w:val="0"/>
              <w:rPr>
                <w:color w:val="000000"/>
              </w:rPr>
            </w:pPr>
          </w:p>
        </w:tc>
        <w:tc>
          <w:tcPr>
            <w:tcW w:w="1710" w:type="dxa"/>
            <w:tcBorders>
              <w:top w:val="single" w:sz="4" w:space="0" w:color="244061"/>
              <w:left w:val="single" w:sz="4" w:space="0" w:color="244061"/>
              <w:bottom w:val="single" w:sz="4" w:space="0" w:color="244061"/>
              <w:right w:val="single" w:sz="4" w:space="0" w:color="244061"/>
            </w:tcBorders>
          </w:tcPr>
          <w:p w14:paraId="7D176A2D" w14:textId="77777777" w:rsidR="00EF6294" w:rsidRPr="00845B64" w:rsidRDefault="00EF6294" w:rsidP="00EF6294">
            <w:pPr>
              <w:widowControl w:val="0"/>
              <w:rPr>
                <w:color w:val="000000"/>
              </w:rPr>
            </w:pPr>
          </w:p>
        </w:tc>
      </w:tr>
      <w:tr w:rsidR="00EF6294" w:rsidRPr="00845B64" w14:paraId="6198F344" w14:textId="77777777" w:rsidTr="00EF6294">
        <w:trPr>
          <w:jc w:val="center"/>
        </w:trPr>
        <w:tc>
          <w:tcPr>
            <w:tcW w:w="9540" w:type="dxa"/>
            <w:gridSpan w:val="4"/>
            <w:tcBorders>
              <w:top w:val="single" w:sz="4" w:space="0" w:color="244061"/>
              <w:left w:val="single" w:sz="4" w:space="0" w:color="244061"/>
              <w:bottom w:val="single" w:sz="4" w:space="0" w:color="244061"/>
              <w:right w:val="single" w:sz="4" w:space="0" w:color="244061"/>
            </w:tcBorders>
            <w:shd w:val="clear" w:color="auto" w:fill="DDD9C3"/>
            <w:hideMark/>
          </w:tcPr>
          <w:p w14:paraId="7717A81A" w14:textId="77777777" w:rsidR="00EF6294" w:rsidRPr="00845B64" w:rsidRDefault="00EF6294" w:rsidP="00EF6294">
            <w:pPr>
              <w:widowControl w:val="0"/>
              <w:rPr>
                <w:color w:val="000000"/>
              </w:rPr>
            </w:pPr>
            <w:r w:rsidRPr="00845B64">
              <w:rPr>
                <w:color w:val="000000"/>
              </w:rPr>
              <w:t>Sustainability: To what extent are there financial, institutional, socio-political, and/or environmental risks to sustaining long-term project results?</w:t>
            </w:r>
          </w:p>
        </w:tc>
      </w:tr>
      <w:tr w:rsidR="00EF6294" w:rsidRPr="00845B64" w14:paraId="76812867" w14:textId="77777777" w:rsidTr="00EF6294">
        <w:trPr>
          <w:jc w:val="center"/>
        </w:trPr>
        <w:tc>
          <w:tcPr>
            <w:tcW w:w="2157" w:type="dxa"/>
            <w:tcBorders>
              <w:top w:val="single" w:sz="4" w:space="0" w:color="244061"/>
              <w:left w:val="single" w:sz="4" w:space="0" w:color="244061"/>
              <w:bottom w:val="single" w:sz="4" w:space="0" w:color="244061"/>
              <w:right w:val="single" w:sz="4" w:space="0" w:color="244061"/>
            </w:tcBorders>
          </w:tcPr>
          <w:p w14:paraId="43B9616D" w14:textId="77777777" w:rsidR="00EF6294" w:rsidRPr="00845B64" w:rsidRDefault="00EF6294" w:rsidP="00EF6294">
            <w:pPr>
              <w:widowControl w:val="0"/>
              <w:rPr>
                <w:color w:val="000000"/>
              </w:rPr>
            </w:pPr>
          </w:p>
        </w:tc>
        <w:tc>
          <w:tcPr>
            <w:tcW w:w="3063" w:type="dxa"/>
            <w:tcBorders>
              <w:top w:val="single" w:sz="4" w:space="0" w:color="244061"/>
              <w:left w:val="single" w:sz="4" w:space="0" w:color="244061"/>
              <w:bottom w:val="single" w:sz="4" w:space="0" w:color="244061"/>
              <w:right w:val="single" w:sz="4" w:space="0" w:color="244061"/>
            </w:tcBorders>
          </w:tcPr>
          <w:p w14:paraId="39DB77C0" w14:textId="77777777" w:rsidR="00EF6294" w:rsidRPr="00845B64" w:rsidRDefault="00EF6294" w:rsidP="00EF6294">
            <w:pPr>
              <w:widowControl w:val="0"/>
              <w:rPr>
                <w:color w:val="000000"/>
              </w:rPr>
            </w:pPr>
          </w:p>
        </w:tc>
        <w:tc>
          <w:tcPr>
            <w:tcW w:w="2610" w:type="dxa"/>
            <w:tcBorders>
              <w:top w:val="single" w:sz="4" w:space="0" w:color="244061"/>
              <w:left w:val="single" w:sz="4" w:space="0" w:color="244061"/>
              <w:bottom w:val="single" w:sz="4" w:space="0" w:color="244061"/>
              <w:right w:val="single" w:sz="4" w:space="0" w:color="244061"/>
            </w:tcBorders>
          </w:tcPr>
          <w:p w14:paraId="338DE2D5" w14:textId="77777777" w:rsidR="00EF6294" w:rsidRPr="00845B64" w:rsidRDefault="00EF6294" w:rsidP="00EF6294">
            <w:pPr>
              <w:widowControl w:val="0"/>
              <w:rPr>
                <w:color w:val="000000"/>
              </w:rPr>
            </w:pPr>
          </w:p>
        </w:tc>
        <w:tc>
          <w:tcPr>
            <w:tcW w:w="1710" w:type="dxa"/>
            <w:tcBorders>
              <w:top w:val="single" w:sz="4" w:space="0" w:color="244061"/>
              <w:left w:val="single" w:sz="4" w:space="0" w:color="244061"/>
              <w:bottom w:val="single" w:sz="4" w:space="0" w:color="244061"/>
              <w:right w:val="single" w:sz="4" w:space="0" w:color="244061"/>
            </w:tcBorders>
          </w:tcPr>
          <w:p w14:paraId="6543D64D" w14:textId="77777777" w:rsidR="00EF6294" w:rsidRPr="00845B64" w:rsidRDefault="00EF6294" w:rsidP="00EF6294">
            <w:pPr>
              <w:widowControl w:val="0"/>
              <w:rPr>
                <w:color w:val="000000"/>
              </w:rPr>
            </w:pPr>
          </w:p>
        </w:tc>
      </w:tr>
      <w:tr w:rsidR="00EF6294" w:rsidRPr="00845B64" w14:paraId="1CDCA2BE" w14:textId="77777777" w:rsidTr="00EF6294">
        <w:trPr>
          <w:jc w:val="center"/>
        </w:trPr>
        <w:tc>
          <w:tcPr>
            <w:tcW w:w="2157" w:type="dxa"/>
            <w:tcBorders>
              <w:top w:val="single" w:sz="4" w:space="0" w:color="244061"/>
              <w:left w:val="single" w:sz="4" w:space="0" w:color="244061"/>
              <w:bottom w:val="single" w:sz="4" w:space="0" w:color="244061"/>
              <w:right w:val="single" w:sz="4" w:space="0" w:color="244061"/>
            </w:tcBorders>
          </w:tcPr>
          <w:p w14:paraId="53F7EEDA" w14:textId="77777777" w:rsidR="00EF6294" w:rsidRPr="00845B64" w:rsidRDefault="00EF6294" w:rsidP="00EF6294">
            <w:pPr>
              <w:widowControl w:val="0"/>
              <w:rPr>
                <w:color w:val="000000"/>
              </w:rPr>
            </w:pPr>
          </w:p>
        </w:tc>
        <w:tc>
          <w:tcPr>
            <w:tcW w:w="3063" w:type="dxa"/>
            <w:tcBorders>
              <w:top w:val="single" w:sz="4" w:space="0" w:color="244061"/>
              <w:left w:val="single" w:sz="4" w:space="0" w:color="244061"/>
              <w:bottom w:val="single" w:sz="4" w:space="0" w:color="244061"/>
              <w:right w:val="single" w:sz="4" w:space="0" w:color="244061"/>
            </w:tcBorders>
          </w:tcPr>
          <w:p w14:paraId="69930FB6" w14:textId="77777777" w:rsidR="00EF6294" w:rsidRPr="00845B64" w:rsidRDefault="00EF6294" w:rsidP="00EF6294">
            <w:pPr>
              <w:widowControl w:val="0"/>
              <w:rPr>
                <w:color w:val="000000"/>
              </w:rPr>
            </w:pPr>
          </w:p>
        </w:tc>
        <w:tc>
          <w:tcPr>
            <w:tcW w:w="2610" w:type="dxa"/>
            <w:tcBorders>
              <w:top w:val="single" w:sz="4" w:space="0" w:color="244061"/>
              <w:left w:val="single" w:sz="4" w:space="0" w:color="244061"/>
              <w:bottom w:val="single" w:sz="4" w:space="0" w:color="244061"/>
              <w:right w:val="single" w:sz="4" w:space="0" w:color="244061"/>
            </w:tcBorders>
          </w:tcPr>
          <w:p w14:paraId="49CEB63F" w14:textId="77777777" w:rsidR="00EF6294" w:rsidRPr="00845B64" w:rsidRDefault="00EF6294" w:rsidP="00EF6294">
            <w:pPr>
              <w:widowControl w:val="0"/>
              <w:rPr>
                <w:color w:val="000000"/>
              </w:rPr>
            </w:pPr>
          </w:p>
        </w:tc>
        <w:tc>
          <w:tcPr>
            <w:tcW w:w="1710" w:type="dxa"/>
            <w:tcBorders>
              <w:top w:val="single" w:sz="4" w:space="0" w:color="244061"/>
              <w:left w:val="single" w:sz="4" w:space="0" w:color="244061"/>
              <w:bottom w:val="single" w:sz="4" w:space="0" w:color="244061"/>
              <w:right w:val="single" w:sz="4" w:space="0" w:color="244061"/>
            </w:tcBorders>
          </w:tcPr>
          <w:p w14:paraId="1A3275C4" w14:textId="77777777" w:rsidR="00EF6294" w:rsidRPr="00845B64" w:rsidRDefault="00EF6294" w:rsidP="00EF6294">
            <w:pPr>
              <w:widowControl w:val="0"/>
              <w:rPr>
                <w:color w:val="000000"/>
              </w:rPr>
            </w:pPr>
          </w:p>
        </w:tc>
      </w:tr>
      <w:tr w:rsidR="00EF6294" w:rsidRPr="00845B64" w14:paraId="02271A85" w14:textId="77777777" w:rsidTr="00EF6294">
        <w:trPr>
          <w:jc w:val="center"/>
        </w:trPr>
        <w:tc>
          <w:tcPr>
            <w:tcW w:w="9540" w:type="dxa"/>
            <w:gridSpan w:val="4"/>
            <w:tcBorders>
              <w:top w:val="single" w:sz="4" w:space="0" w:color="244061"/>
              <w:left w:val="single" w:sz="4" w:space="0" w:color="244061"/>
              <w:bottom w:val="single" w:sz="4" w:space="0" w:color="244061"/>
              <w:right w:val="single" w:sz="4" w:space="0" w:color="244061"/>
            </w:tcBorders>
            <w:shd w:val="clear" w:color="auto" w:fill="DDD9C3"/>
            <w:hideMark/>
          </w:tcPr>
          <w:p w14:paraId="575C11E3" w14:textId="77777777" w:rsidR="00EF6294" w:rsidRPr="00845B64" w:rsidRDefault="00EF6294" w:rsidP="00EF6294">
            <w:pPr>
              <w:widowControl w:val="0"/>
              <w:rPr>
                <w:color w:val="000000"/>
              </w:rPr>
            </w:pPr>
            <w:r w:rsidRPr="00845B64">
              <w:rPr>
                <w:color w:val="000000"/>
              </w:rPr>
              <w:t xml:space="preserve">Gender equality and women’s empowerment: How did the project contribute to gender equality and women’s empowerment?  </w:t>
            </w:r>
          </w:p>
        </w:tc>
      </w:tr>
      <w:tr w:rsidR="00EF6294" w:rsidRPr="00845B64" w14:paraId="2C5ABEBC" w14:textId="77777777" w:rsidTr="00EF6294">
        <w:trPr>
          <w:jc w:val="center"/>
        </w:trPr>
        <w:tc>
          <w:tcPr>
            <w:tcW w:w="2157" w:type="dxa"/>
            <w:tcBorders>
              <w:top w:val="single" w:sz="4" w:space="0" w:color="244061"/>
              <w:left w:val="single" w:sz="4" w:space="0" w:color="244061"/>
              <w:bottom w:val="single" w:sz="4" w:space="0" w:color="244061"/>
              <w:right w:val="single" w:sz="4" w:space="0" w:color="244061"/>
            </w:tcBorders>
          </w:tcPr>
          <w:p w14:paraId="313106C1" w14:textId="77777777" w:rsidR="00EF6294" w:rsidRPr="00845B64" w:rsidRDefault="00EF6294" w:rsidP="00EF6294">
            <w:pPr>
              <w:widowControl w:val="0"/>
              <w:rPr>
                <w:color w:val="000000"/>
              </w:rPr>
            </w:pPr>
          </w:p>
        </w:tc>
        <w:tc>
          <w:tcPr>
            <w:tcW w:w="3063" w:type="dxa"/>
            <w:tcBorders>
              <w:top w:val="single" w:sz="4" w:space="0" w:color="244061"/>
              <w:left w:val="single" w:sz="4" w:space="0" w:color="244061"/>
              <w:bottom w:val="single" w:sz="4" w:space="0" w:color="244061"/>
              <w:right w:val="single" w:sz="4" w:space="0" w:color="244061"/>
            </w:tcBorders>
          </w:tcPr>
          <w:p w14:paraId="40DCFAEC" w14:textId="77777777" w:rsidR="00EF6294" w:rsidRPr="00845B64" w:rsidRDefault="00EF6294" w:rsidP="00EF6294">
            <w:pPr>
              <w:widowControl w:val="0"/>
              <w:rPr>
                <w:color w:val="000000"/>
              </w:rPr>
            </w:pPr>
          </w:p>
        </w:tc>
        <w:tc>
          <w:tcPr>
            <w:tcW w:w="2610" w:type="dxa"/>
            <w:tcBorders>
              <w:top w:val="single" w:sz="4" w:space="0" w:color="244061"/>
              <w:left w:val="single" w:sz="4" w:space="0" w:color="244061"/>
              <w:bottom w:val="single" w:sz="4" w:space="0" w:color="244061"/>
              <w:right w:val="single" w:sz="4" w:space="0" w:color="244061"/>
            </w:tcBorders>
          </w:tcPr>
          <w:p w14:paraId="78931449" w14:textId="77777777" w:rsidR="00EF6294" w:rsidRPr="00845B64" w:rsidRDefault="00EF6294" w:rsidP="00EF6294">
            <w:pPr>
              <w:widowControl w:val="0"/>
              <w:rPr>
                <w:color w:val="000000"/>
              </w:rPr>
            </w:pPr>
          </w:p>
        </w:tc>
        <w:tc>
          <w:tcPr>
            <w:tcW w:w="1710" w:type="dxa"/>
            <w:tcBorders>
              <w:top w:val="single" w:sz="4" w:space="0" w:color="244061"/>
              <w:left w:val="single" w:sz="4" w:space="0" w:color="244061"/>
              <w:bottom w:val="single" w:sz="4" w:space="0" w:color="244061"/>
              <w:right w:val="single" w:sz="4" w:space="0" w:color="244061"/>
            </w:tcBorders>
          </w:tcPr>
          <w:p w14:paraId="3D7E2B95" w14:textId="77777777" w:rsidR="00EF6294" w:rsidRPr="00845B64" w:rsidRDefault="00EF6294" w:rsidP="00EF6294">
            <w:pPr>
              <w:widowControl w:val="0"/>
              <w:rPr>
                <w:color w:val="000000"/>
              </w:rPr>
            </w:pPr>
          </w:p>
        </w:tc>
      </w:tr>
      <w:tr w:rsidR="00EF6294" w:rsidRPr="00845B64" w14:paraId="289C2E60" w14:textId="77777777" w:rsidTr="00EF6294">
        <w:trPr>
          <w:jc w:val="center"/>
        </w:trPr>
        <w:tc>
          <w:tcPr>
            <w:tcW w:w="2157" w:type="dxa"/>
            <w:tcBorders>
              <w:top w:val="single" w:sz="4" w:space="0" w:color="244061"/>
              <w:left w:val="single" w:sz="4" w:space="0" w:color="244061"/>
              <w:bottom w:val="single" w:sz="4" w:space="0" w:color="244061"/>
              <w:right w:val="single" w:sz="4" w:space="0" w:color="244061"/>
            </w:tcBorders>
          </w:tcPr>
          <w:p w14:paraId="3053F057" w14:textId="77777777" w:rsidR="00EF6294" w:rsidRPr="00845B64" w:rsidRDefault="00EF6294" w:rsidP="00EF6294">
            <w:pPr>
              <w:widowControl w:val="0"/>
              <w:rPr>
                <w:color w:val="000000"/>
              </w:rPr>
            </w:pPr>
          </w:p>
        </w:tc>
        <w:tc>
          <w:tcPr>
            <w:tcW w:w="3063" w:type="dxa"/>
            <w:tcBorders>
              <w:top w:val="single" w:sz="4" w:space="0" w:color="244061"/>
              <w:left w:val="single" w:sz="4" w:space="0" w:color="244061"/>
              <w:bottom w:val="single" w:sz="4" w:space="0" w:color="244061"/>
              <w:right w:val="single" w:sz="4" w:space="0" w:color="244061"/>
            </w:tcBorders>
          </w:tcPr>
          <w:p w14:paraId="1F37FC5E" w14:textId="77777777" w:rsidR="00EF6294" w:rsidRPr="00845B64" w:rsidRDefault="00EF6294" w:rsidP="00EF6294">
            <w:pPr>
              <w:widowControl w:val="0"/>
              <w:rPr>
                <w:color w:val="000000"/>
              </w:rPr>
            </w:pPr>
          </w:p>
        </w:tc>
        <w:tc>
          <w:tcPr>
            <w:tcW w:w="2610" w:type="dxa"/>
            <w:tcBorders>
              <w:top w:val="single" w:sz="4" w:space="0" w:color="244061"/>
              <w:left w:val="single" w:sz="4" w:space="0" w:color="244061"/>
              <w:bottom w:val="single" w:sz="4" w:space="0" w:color="244061"/>
              <w:right w:val="single" w:sz="4" w:space="0" w:color="244061"/>
            </w:tcBorders>
          </w:tcPr>
          <w:p w14:paraId="41D975EB" w14:textId="77777777" w:rsidR="00EF6294" w:rsidRPr="00845B64" w:rsidRDefault="00EF6294" w:rsidP="00EF6294">
            <w:pPr>
              <w:widowControl w:val="0"/>
              <w:rPr>
                <w:color w:val="000000"/>
              </w:rPr>
            </w:pPr>
          </w:p>
        </w:tc>
        <w:tc>
          <w:tcPr>
            <w:tcW w:w="1710" w:type="dxa"/>
            <w:tcBorders>
              <w:top w:val="single" w:sz="4" w:space="0" w:color="244061"/>
              <w:left w:val="single" w:sz="4" w:space="0" w:color="244061"/>
              <w:bottom w:val="single" w:sz="4" w:space="0" w:color="244061"/>
              <w:right w:val="single" w:sz="4" w:space="0" w:color="244061"/>
            </w:tcBorders>
          </w:tcPr>
          <w:p w14:paraId="4E8D950F" w14:textId="77777777" w:rsidR="00EF6294" w:rsidRPr="00845B64" w:rsidRDefault="00EF6294" w:rsidP="00EF6294">
            <w:pPr>
              <w:widowControl w:val="0"/>
              <w:rPr>
                <w:color w:val="000000"/>
              </w:rPr>
            </w:pPr>
          </w:p>
        </w:tc>
      </w:tr>
      <w:tr w:rsidR="00EF6294" w:rsidRPr="00845B64" w14:paraId="01012E5D" w14:textId="77777777" w:rsidTr="00EF6294">
        <w:trPr>
          <w:jc w:val="center"/>
        </w:trPr>
        <w:tc>
          <w:tcPr>
            <w:tcW w:w="9540" w:type="dxa"/>
            <w:gridSpan w:val="4"/>
            <w:tcBorders>
              <w:top w:val="single" w:sz="4" w:space="0" w:color="244061"/>
              <w:left w:val="single" w:sz="4" w:space="0" w:color="244061"/>
              <w:bottom w:val="single" w:sz="4" w:space="0" w:color="244061"/>
              <w:right w:val="single" w:sz="4" w:space="0" w:color="244061"/>
            </w:tcBorders>
            <w:shd w:val="clear" w:color="auto" w:fill="DDD9C3"/>
            <w:hideMark/>
          </w:tcPr>
          <w:p w14:paraId="0AABEF1F" w14:textId="77777777" w:rsidR="00EF6294" w:rsidRPr="00845B64" w:rsidRDefault="00EF6294" w:rsidP="00EF6294">
            <w:pPr>
              <w:widowControl w:val="0"/>
              <w:rPr>
                <w:color w:val="000000"/>
              </w:rPr>
            </w:pPr>
            <w:r w:rsidRPr="00845B64">
              <w:rPr>
                <w:color w:val="000000"/>
              </w:rPr>
              <w:t>Impact: Are there indications that the project has contributed to, or enabled progress toward reduced environmental stress and/or improved ecological status?</w:t>
            </w:r>
          </w:p>
        </w:tc>
      </w:tr>
      <w:tr w:rsidR="00EF6294" w:rsidRPr="00845B64" w14:paraId="643B52DA" w14:textId="77777777" w:rsidTr="00EF6294">
        <w:trPr>
          <w:jc w:val="center"/>
        </w:trPr>
        <w:tc>
          <w:tcPr>
            <w:tcW w:w="2157" w:type="dxa"/>
            <w:tcBorders>
              <w:top w:val="single" w:sz="4" w:space="0" w:color="244061"/>
              <w:left w:val="single" w:sz="4" w:space="0" w:color="244061"/>
              <w:bottom w:val="single" w:sz="4" w:space="0" w:color="244061"/>
              <w:right w:val="single" w:sz="4" w:space="0" w:color="244061"/>
            </w:tcBorders>
          </w:tcPr>
          <w:p w14:paraId="255C5ECF" w14:textId="77777777" w:rsidR="00EF6294" w:rsidRPr="00845B64" w:rsidRDefault="00EF6294" w:rsidP="00EF6294">
            <w:pPr>
              <w:widowControl w:val="0"/>
              <w:rPr>
                <w:color w:val="000000"/>
              </w:rPr>
            </w:pPr>
          </w:p>
        </w:tc>
        <w:tc>
          <w:tcPr>
            <w:tcW w:w="3063" w:type="dxa"/>
            <w:tcBorders>
              <w:top w:val="single" w:sz="4" w:space="0" w:color="244061"/>
              <w:left w:val="single" w:sz="4" w:space="0" w:color="244061"/>
              <w:bottom w:val="single" w:sz="4" w:space="0" w:color="244061"/>
              <w:right w:val="single" w:sz="4" w:space="0" w:color="244061"/>
            </w:tcBorders>
          </w:tcPr>
          <w:p w14:paraId="63ADE771" w14:textId="77777777" w:rsidR="00EF6294" w:rsidRPr="00845B64" w:rsidRDefault="00EF6294" w:rsidP="00EF6294">
            <w:pPr>
              <w:widowControl w:val="0"/>
              <w:rPr>
                <w:color w:val="000000"/>
              </w:rPr>
            </w:pPr>
          </w:p>
        </w:tc>
        <w:tc>
          <w:tcPr>
            <w:tcW w:w="2610" w:type="dxa"/>
            <w:tcBorders>
              <w:top w:val="single" w:sz="4" w:space="0" w:color="244061"/>
              <w:left w:val="single" w:sz="4" w:space="0" w:color="244061"/>
              <w:bottom w:val="single" w:sz="4" w:space="0" w:color="244061"/>
              <w:right w:val="single" w:sz="4" w:space="0" w:color="244061"/>
            </w:tcBorders>
          </w:tcPr>
          <w:p w14:paraId="2194C0E4" w14:textId="77777777" w:rsidR="00EF6294" w:rsidRPr="00845B64" w:rsidRDefault="00EF6294" w:rsidP="00EF6294">
            <w:pPr>
              <w:widowControl w:val="0"/>
              <w:rPr>
                <w:color w:val="000000"/>
              </w:rPr>
            </w:pPr>
          </w:p>
        </w:tc>
        <w:tc>
          <w:tcPr>
            <w:tcW w:w="1710" w:type="dxa"/>
            <w:tcBorders>
              <w:top w:val="single" w:sz="4" w:space="0" w:color="244061"/>
              <w:left w:val="single" w:sz="4" w:space="0" w:color="244061"/>
              <w:bottom w:val="single" w:sz="4" w:space="0" w:color="244061"/>
              <w:right w:val="single" w:sz="4" w:space="0" w:color="244061"/>
            </w:tcBorders>
          </w:tcPr>
          <w:p w14:paraId="62B8BD19" w14:textId="77777777" w:rsidR="00EF6294" w:rsidRPr="00845B64" w:rsidRDefault="00EF6294" w:rsidP="00EF6294">
            <w:pPr>
              <w:widowControl w:val="0"/>
              <w:rPr>
                <w:color w:val="000000"/>
              </w:rPr>
            </w:pPr>
          </w:p>
        </w:tc>
      </w:tr>
      <w:tr w:rsidR="00EF6294" w:rsidRPr="00845B64" w14:paraId="6D440675" w14:textId="77777777" w:rsidTr="00EF6294">
        <w:trPr>
          <w:trHeight w:val="827"/>
          <w:jc w:val="center"/>
        </w:trPr>
        <w:tc>
          <w:tcPr>
            <w:tcW w:w="9540" w:type="dxa"/>
            <w:gridSpan w:val="4"/>
            <w:tcBorders>
              <w:top w:val="single" w:sz="4" w:space="0" w:color="244061"/>
              <w:left w:val="single" w:sz="4" w:space="0" w:color="244061"/>
              <w:bottom w:val="single" w:sz="4" w:space="0" w:color="244061"/>
              <w:right w:val="single" w:sz="4" w:space="0" w:color="244061"/>
            </w:tcBorders>
            <w:hideMark/>
          </w:tcPr>
          <w:p w14:paraId="52E66F2E" w14:textId="77777777" w:rsidR="00EF6294" w:rsidRPr="00845B64" w:rsidRDefault="00EF6294" w:rsidP="00EF6294">
            <w:pPr>
              <w:widowControl w:val="0"/>
              <w:rPr>
                <w:i/>
                <w:color w:val="000000"/>
              </w:rPr>
            </w:pPr>
            <w:r w:rsidRPr="00845B64">
              <w:rPr>
                <w:i/>
                <w:color w:val="808080"/>
              </w:rPr>
              <w:t>(Expand the table to include questions for all criteria being assessed: Monitoring &amp; Evaluation, UNDP oversight/implementation, Implementing Partner Execution, cross-cutting issues, etc.)</w:t>
            </w:r>
          </w:p>
        </w:tc>
      </w:tr>
    </w:tbl>
    <w:p w14:paraId="65B8B308" w14:textId="77777777" w:rsidR="00EF6294" w:rsidRPr="00845B64" w:rsidRDefault="00EF6294" w:rsidP="00EF6294">
      <w:pPr>
        <w:widowControl w:val="0"/>
        <w:spacing w:after="0" w:line="240" w:lineRule="auto"/>
        <w:jc w:val="both"/>
        <w:rPr>
          <w:rFonts w:eastAsia="SimSun" w:cs="Times New Roman"/>
          <w:b/>
          <w:bCs/>
          <w:kern w:val="2"/>
          <w:lang w:eastAsia="zh-CN"/>
        </w:rPr>
      </w:pPr>
    </w:p>
    <w:p w14:paraId="79B935E9" w14:textId="77777777" w:rsidR="00EF6294" w:rsidRPr="00845B64" w:rsidRDefault="00EF6294" w:rsidP="00EF6294">
      <w:pPr>
        <w:widowControl w:val="0"/>
        <w:spacing w:after="0" w:line="240" w:lineRule="auto"/>
        <w:jc w:val="both"/>
        <w:rPr>
          <w:rFonts w:eastAsia="SimSun" w:cs="Times New Roman"/>
          <w:b/>
          <w:bCs/>
          <w:kern w:val="2"/>
          <w:lang w:eastAsia="zh-CN"/>
        </w:rPr>
      </w:pPr>
    </w:p>
    <w:p w14:paraId="5FCB0E50" w14:textId="77777777" w:rsidR="00EF6294" w:rsidRPr="00845B64" w:rsidRDefault="00EF6294" w:rsidP="00EF6294">
      <w:pPr>
        <w:widowControl w:val="0"/>
        <w:spacing w:after="0" w:line="240" w:lineRule="auto"/>
        <w:jc w:val="both"/>
        <w:rPr>
          <w:rFonts w:eastAsia="SimSun" w:cs="Times New Roman"/>
          <w:b/>
          <w:bCs/>
          <w:kern w:val="2"/>
          <w:lang w:eastAsia="zh-CN"/>
        </w:rPr>
      </w:pPr>
    </w:p>
    <w:p w14:paraId="0BF0EEDA" w14:textId="77777777" w:rsidR="00EF6294" w:rsidRPr="00845B64" w:rsidRDefault="00EF6294" w:rsidP="00EF6294">
      <w:pPr>
        <w:widowControl w:val="0"/>
        <w:spacing w:after="0" w:line="240" w:lineRule="auto"/>
        <w:jc w:val="both"/>
        <w:rPr>
          <w:rFonts w:eastAsia="SimSun" w:cs="Times New Roman"/>
          <w:b/>
          <w:bCs/>
          <w:kern w:val="2"/>
          <w:lang w:eastAsia="zh-CN"/>
        </w:rPr>
      </w:pPr>
    </w:p>
    <w:p w14:paraId="3507E83A" w14:textId="77777777" w:rsidR="00EF6294" w:rsidRPr="00845B64" w:rsidRDefault="00EF6294" w:rsidP="00EF6294">
      <w:pPr>
        <w:spacing w:after="0" w:line="240" w:lineRule="auto"/>
        <w:rPr>
          <w:rFonts w:eastAsia="SimSun" w:cs="Times New Roman"/>
          <w:b/>
          <w:bCs/>
          <w:kern w:val="2"/>
          <w:lang w:eastAsia="zh-CN"/>
        </w:rPr>
      </w:pPr>
      <w:r w:rsidRPr="00845B64">
        <w:rPr>
          <w:rFonts w:eastAsia="SimSun" w:cs="Times New Roman"/>
          <w:b/>
          <w:bCs/>
          <w:lang w:eastAsia="zh-CN"/>
        </w:rPr>
        <w:br w:type="page"/>
      </w:r>
    </w:p>
    <w:p w14:paraId="0B64DA68" w14:textId="77777777" w:rsidR="00EF6294" w:rsidRPr="00845B64" w:rsidRDefault="00EF6294" w:rsidP="00EF6294">
      <w:pPr>
        <w:widowControl w:val="0"/>
        <w:spacing w:after="0" w:line="240" w:lineRule="auto"/>
        <w:jc w:val="both"/>
        <w:rPr>
          <w:rFonts w:eastAsia="SimSun" w:cs="Times New Roman"/>
          <w:b/>
          <w:bCs/>
          <w:kern w:val="2"/>
          <w:lang w:eastAsia="zh-CN"/>
        </w:rPr>
      </w:pPr>
      <w:r w:rsidRPr="00845B64">
        <w:rPr>
          <w:rFonts w:eastAsia="SimSun" w:cs="Times New Roman"/>
          <w:b/>
          <w:bCs/>
          <w:kern w:val="2"/>
          <w:lang w:eastAsia="zh-CN"/>
        </w:rPr>
        <w:lastRenderedPageBreak/>
        <w:t>ToR Annex E: UNEG Code of Conduct for Evaluators</w:t>
      </w:r>
    </w:p>
    <w:p w14:paraId="340C87E2" w14:textId="29372D7D" w:rsidR="00EF6294" w:rsidRPr="00845B64" w:rsidRDefault="00EF6294" w:rsidP="00EF6294">
      <w:pPr>
        <w:widowControl w:val="0"/>
        <w:spacing w:after="0" w:line="240" w:lineRule="auto"/>
        <w:jc w:val="both"/>
        <w:rPr>
          <w:rFonts w:eastAsia="SimSun" w:cs="Times New Roman"/>
          <w:b/>
          <w:bCs/>
          <w:kern w:val="2"/>
          <w:lang w:eastAsia="zh-CN"/>
        </w:rPr>
      </w:pPr>
      <w:r w:rsidRPr="00845B64">
        <w:rPr>
          <w:rFonts w:eastAsia="SimSun" w:cs="Times New Roman"/>
          <w:noProof/>
          <w:kern w:val="2"/>
          <w:sz w:val="21"/>
          <w:szCs w:val="24"/>
          <w:lang w:eastAsia="zh-CN"/>
        </w:rPr>
        <mc:AlternateContent>
          <mc:Choice Requires="wps">
            <w:drawing>
              <wp:anchor distT="45720" distB="45720" distL="114300" distR="114300" simplePos="0" relativeHeight="251659264" behindDoc="0" locked="0" layoutInCell="1" allowOverlap="1" wp14:anchorId="59927C8D" wp14:editId="63C11991">
                <wp:simplePos x="0" y="0"/>
                <wp:positionH relativeFrom="margin">
                  <wp:align>left</wp:align>
                </wp:positionH>
                <wp:positionV relativeFrom="paragraph">
                  <wp:posOffset>1762760</wp:posOffset>
                </wp:positionV>
                <wp:extent cx="5991225" cy="7792085"/>
                <wp:effectExtent l="0" t="0" r="28575" b="2413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7791450"/>
                        </a:xfrm>
                        <a:prstGeom prst="rect">
                          <a:avLst/>
                        </a:prstGeom>
                        <a:solidFill>
                          <a:srgbClr val="FFFFFF"/>
                        </a:solidFill>
                        <a:ln w="9525">
                          <a:solidFill>
                            <a:srgbClr val="000000"/>
                          </a:solidFill>
                          <a:miter lim="800000"/>
                          <a:headEnd/>
                          <a:tailEnd/>
                        </a:ln>
                      </wps:spPr>
                      <wps:txbx>
                        <w:txbxContent>
                          <w:p w14:paraId="6B54FE15" w14:textId="77777777" w:rsidR="009E09CA" w:rsidRDefault="009E09CA" w:rsidP="00EF6294">
                            <w:pPr>
                              <w:autoSpaceDE w:val="0"/>
                              <w:autoSpaceDN w:val="0"/>
                              <w:adjustRightInd w:val="0"/>
                              <w:rPr>
                                <w:rFonts w:ascii="Myriad Pro" w:hAnsi="Myriad Pro"/>
                                <w:b/>
                                <w:color w:val="000000"/>
                                <w:sz w:val="16"/>
                                <w:szCs w:val="16"/>
                              </w:rPr>
                            </w:pPr>
                            <w:r>
                              <w:rPr>
                                <w:rFonts w:ascii="Myriad Pro" w:hAnsi="Myriad Pro"/>
                                <w:b/>
                                <w:color w:val="000000"/>
                                <w:sz w:val="16"/>
                                <w:szCs w:val="16"/>
                              </w:rPr>
                              <w:t>Evaluators/Consultants:</w:t>
                            </w:r>
                          </w:p>
                          <w:p w14:paraId="36A462C4" w14:textId="77777777" w:rsidR="009E09CA" w:rsidRDefault="009E09CA" w:rsidP="00EF6294">
                            <w:pPr>
                              <w:autoSpaceDE w:val="0"/>
                              <w:autoSpaceDN w:val="0"/>
                              <w:adjustRightInd w:val="0"/>
                              <w:rPr>
                                <w:rFonts w:ascii="Myriad Pro" w:hAnsi="Myriad Pro"/>
                                <w:color w:val="000000"/>
                                <w:sz w:val="16"/>
                                <w:szCs w:val="16"/>
                              </w:rPr>
                            </w:pPr>
                          </w:p>
                          <w:p w14:paraId="5B6DCBD9" w14:textId="77777777" w:rsidR="009E09CA" w:rsidRDefault="009E09CA" w:rsidP="00AC0D02">
                            <w:pPr>
                              <w:pStyle w:val="ListParagraph"/>
                              <w:numPr>
                                <w:ilvl w:val="0"/>
                                <w:numId w:val="40"/>
                              </w:numPr>
                              <w:spacing w:after="0" w:line="240" w:lineRule="auto"/>
                              <w:ind w:left="360"/>
                              <w:jc w:val="both"/>
                              <w:rPr>
                                <w:rFonts w:ascii="Myriad Pro" w:hAnsi="Myriad Pro"/>
                                <w:color w:val="000000"/>
                                <w:sz w:val="16"/>
                                <w:szCs w:val="16"/>
                              </w:rPr>
                            </w:pPr>
                            <w:r>
                              <w:rPr>
                                <w:rFonts w:ascii="Myriad Pro" w:hAnsi="Myriad Pro"/>
                                <w:color w:val="000000"/>
                                <w:sz w:val="16"/>
                                <w:szCs w:val="16"/>
                              </w:rPr>
                              <w:t>Must present information that is complete and fair in its assessment of strengths and weaknesses so that decisions or actions taken are well founded.</w:t>
                            </w:r>
                          </w:p>
                          <w:p w14:paraId="1E322B16" w14:textId="77777777" w:rsidR="009E09CA" w:rsidRDefault="009E09CA" w:rsidP="00AC0D02">
                            <w:pPr>
                              <w:pStyle w:val="ListParagraph"/>
                              <w:numPr>
                                <w:ilvl w:val="0"/>
                                <w:numId w:val="40"/>
                              </w:numPr>
                              <w:spacing w:after="0" w:line="240" w:lineRule="auto"/>
                              <w:ind w:left="360"/>
                              <w:jc w:val="both"/>
                              <w:rPr>
                                <w:rFonts w:ascii="Myriad Pro" w:hAnsi="Myriad Pro"/>
                                <w:color w:val="000000"/>
                                <w:sz w:val="16"/>
                                <w:szCs w:val="16"/>
                              </w:rPr>
                            </w:pPr>
                            <w:r>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5ABAA03" w14:textId="77777777" w:rsidR="009E09CA" w:rsidRDefault="009E09CA" w:rsidP="00AC0D02">
                            <w:pPr>
                              <w:pStyle w:val="ListParagraph"/>
                              <w:numPr>
                                <w:ilvl w:val="0"/>
                                <w:numId w:val="40"/>
                              </w:numPr>
                              <w:spacing w:after="0" w:line="240" w:lineRule="auto"/>
                              <w:ind w:left="360"/>
                              <w:jc w:val="both"/>
                              <w:rPr>
                                <w:rFonts w:ascii="Myriad Pro" w:hAnsi="Myriad Pro"/>
                                <w:color w:val="000000"/>
                                <w:sz w:val="16"/>
                                <w:szCs w:val="16"/>
                              </w:rPr>
                            </w:pPr>
                            <w:r>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5A5DF5A" w14:textId="77777777" w:rsidR="009E09CA" w:rsidRDefault="009E09CA" w:rsidP="00AC0D02">
                            <w:pPr>
                              <w:pStyle w:val="ListParagraph"/>
                              <w:numPr>
                                <w:ilvl w:val="0"/>
                                <w:numId w:val="40"/>
                              </w:numPr>
                              <w:spacing w:after="0" w:line="240" w:lineRule="auto"/>
                              <w:ind w:left="360"/>
                              <w:jc w:val="both"/>
                              <w:rPr>
                                <w:rFonts w:ascii="Myriad Pro" w:hAnsi="Myriad Pro"/>
                                <w:color w:val="000000"/>
                                <w:sz w:val="16"/>
                                <w:szCs w:val="16"/>
                              </w:rPr>
                            </w:pPr>
                            <w:r>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7764441" w14:textId="77777777" w:rsidR="009E09CA" w:rsidRDefault="009E09CA" w:rsidP="00AC0D02">
                            <w:pPr>
                              <w:pStyle w:val="ListParagraph"/>
                              <w:numPr>
                                <w:ilvl w:val="0"/>
                                <w:numId w:val="40"/>
                              </w:numPr>
                              <w:spacing w:after="0" w:line="240" w:lineRule="auto"/>
                              <w:ind w:left="360"/>
                              <w:jc w:val="both"/>
                              <w:rPr>
                                <w:rFonts w:ascii="Myriad Pro" w:hAnsi="Myriad Pro"/>
                                <w:color w:val="000000"/>
                                <w:sz w:val="16"/>
                                <w:szCs w:val="16"/>
                              </w:rPr>
                            </w:pPr>
                            <w:r>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3F25532C" w14:textId="77777777" w:rsidR="009E09CA" w:rsidRDefault="009E09CA" w:rsidP="00AC0D02">
                            <w:pPr>
                              <w:pStyle w:val="ListParagraph"/>
                              <w:numPr>
                                <w:ilvl w:val="0"/>
                                <w:numId w:val="40"/>
                              </w:numPr>
                              <w:spacing w:after="0" w:line="240" w:lineRule="auto"/>
                              <w:ind w:left="360"/>
                              <w:jc w:val="both"/>
                              <w:rPr>
                                <w:rFonts w:ascii="Myriad Pro" w:hAnsi="Myriad Pro"/>
                                <w:color w:val="000000"/>
                                <w:sz w:val="16"/>
                                <w:szCs w:val="16"/>
                              </w:rPr>
                            </w:pPr>
                            <w:r>
                              <w:rPr>
                                <w:rFonts w:ascii="Myriad Pro" w:hAnsi="Myriad Pro"/>
                                <w:color w:val="000000"/>
                                <w:sz w:val="16"/>
                                <w:szCs w:val="16"/>
                              </w:rPr>
                              <w:t>Are responsible for their performance and their product(s). They are responsible for the clear, accurate and fair written and/or oral presentation of study imitations, findings, and recommendations.</w:t>
                            </w:r>
                          </w:p>
                          <w:p w14:paraId="15F4857F" w14:textId="77777777" w:rsidR="009E09CA" w:rsidRDefault="009E09CA" w:rsidP="00AC0D02">
                            <w:pPr>
                              <w:pStyle w:val="ListParagraph"/>
                              <w:numPr>
                                <w:ilvl w:val="0"/>
                                <w:numId w:val="40"/>
                              </w:numPr>
                              <w:spacing w:after="0" w:line="240" w:lineRule="auto"/>
                              <w:ind w:left="360"/>
                              <w:rPr>
                                <w:rFonts w:ascii="Myriad Pro" w:hAnsi="Myriad Pro"/>
                                <w:color w:val="000000"/>
                                <w:sz w:val="16"/>
                                <w:szCs w:val="16"/>
                              </w:rPr>
                            </w:pPr>
                            <w:r>
                              <w:rPr>
                                <w:rFonts w:ascii="Myriad Pro" w:hAnsi="Myriad Pro"/>
                                <w:color w:val="000000"/>
                                <w:sz w:val="16"/>
                                <w:szCs w:val="16"/>
                              </w:rPr>
                              <w:t>Should reflect sound accounting procedures and be prudent in using the resources of the evaluation.</w:t>
                            </w:r>
                          </w:p>
                          <w:p w14:paraId="60B209B0" w14:textId="77777777" w:rsidR="009E09CA" w:rsidRDefault="009E09CA" w:rsidP="00AC0D02">
                            <w:pPr>
                              <w:pStyle w:val="ListParagraph"/>
                              <w:numPr>
                                <w:ilvl w:val="0"/>
                                <w:numId w:val="40"/>
                              </w:numPr>
                              <w:tabs>
                                <w:tab w:val="left" w:pos="360"/>
                              </w:tabs>
                              <w:spacing w:after="160" w:line="256" w:lineRule="auto"/>
                              <w:ind w:left="360"/>
                              <w:jc w:val="both"/>
                              <w:rPr>
                                <w:rFonts w:ascii="Myriad Pro" w:hAnsi="Myriad Pro"/>
                                <w:color w:val="000000"/>
                                <w:sz w:val="16"/>
                                <w:szCs w:val="16"/>
                              </w:rPr>
                            </w:pPr>
                            <w:r>
                              <w:rPr>
                                <w:rFonts w:ascii="Myriad Pro" w:hAnsi="Myriad Pro"/>
                                <w:color w:val="000000"/>
                                <w:sz w:val="16"/>
                                <w:szCs w:val="16"/>
                              </w:rPr>
                              <w:t>Must ensure that independence of judgement is maintained, and that evaluation findings and recommendations are independently presented.</w:t>
                            </w:r>
                          </w:p>
                          <w:p w14:paraId="292A99C1" w14:textId="77777777" w:rsidR="009E09CA" w:rsidRDefault="009E09CA" w:rsidP="00AC0D02">
                            <w:pPr>
                              <w:pStyle w:val="ListParagraph"/>
                              <w:numPr>
                                <w:ilvl w:val="0"/>
                                <w:numId w:val="40"/>
                              </w:numPr>
                              <w:tabs>
                                <w:tab w:val="left" w:pos="360"/>
                              </w:tabs>
                              <w:spacing w:after="160" w:line="256" w:lineRule="auto"/>
                              <w:ind w:left="360"/>
                              <w:jc w:val="both"/>
                              <w:rPr>
                                <w:rFonts w:ascii="Myriad Pro" w:hAnsi="Myriad Pro"/>
                                <w:color w:val="000000"/>
                                <w:sz w:val="16"/>
                                <w:szCs w:val="16"/>
                              </w:rPr>
                            </w:pPr>
                            <w:r>
                              <w:rPr>
                                <w:rFonts w:ascii="Myriad Pro" w:hAnsi="Myriad Pro"/>
                                <w:color w:val="000000"/>
                                <w:sz w:val="16"/>
                                <w:szCs w:val="16"/>
                              </w:rPr>
                              <w:t>Must confirm that they have not been involved in designing, executing, or advising on the project being evaluated and did not carry out the project’s Mid-Term Review.</w:t>
                            </w:r>
                          </w:p>
                          <w:p w14:paraId="62593B68" w14:textId="77777777" w:rsidR="009E09CA" w:rsidRDefault="009E09CA" w:rsidP="00EF6294">
                            <w:pPr>
                              <w:rPr>
                                <w:rFonts w:ascii="Myriad Pro" w:hAnsi="Myriad Pro"/>
                                <w:b/>
                                <w:color w:val="000000"/>
                                <w:sz w:val="16"/>
                                <w:szCs w:val="16"/>
                              </w:rPr>
                            </w:pPr>
                            <w:r>
                              <w:rPr>
                                <w:rFonts w:ascii="Myriad Pro" w:hAnsi="Myriad Pro"/>
                                <w:b/>
                                <w:color w:val="000000"/>
                                <w:sz w:val="16"/>
                                <w:szCs w:val="16"/>
                              </w:rPr>
                              <w:t>Evaluation Consultant Agreement Form</w:t>
                            </w:r>
                          </w:p>
                          <w:p w14:paraId="4C62F67B" w14:textId="77777777" w:rsidR="009E09CA" w:rsidRDefault="009E09CA" w:rsidP="00EF6294">
                            <w:pPr>
                              <w:rPr>
                                <w:rFonts w:ascii="Myriad Pro" w:hAnsi="Myriad Pro"/>
                                <w:color w:val="000000"/>
                                <w:sz w:val="16"/>
                                <w:szCs w:val="16"/>
                              </w:rPr>
                            </w:pPr>
                            <w:r>
                              <w:rPr>
                                <w:rFonts w:ascii="Myriad Pro" w:hAnsi="Myriad Pro"/>
                                <w:color w:val="000000"/>
                                <w:sz w:val="16"/>
                                <w:szCs w:val="16"/>
                              </w:rPr>
                              <w:t>Agreement to abide by the Code of Conduct for Evaluation in the UN System:</w:t>
                            </w:r>
                          </w:p>
                          <w:p w14:paraId="30DD8D8E" w14:textId="77777777" w:rsidR="009E09CA" w:rsidRDefault="009E09CA" w:rsidP="00EF6294">
                            <w:pPr>
                              <w:rPr>
                                <w:rFonts w:ascii="Myriad Pro" w:hAnsi="Myriad Pro"/>
                                <w:color w:val="000000"/>
                                <w:sz w:val="16"/>
                                <w:szCs w:val="16"/>
                              </w:rPr>
                            </w:pPr>
                            <w:r>
                              <w:rPr>
                                <w:rFonts w:ascii="Myriad Pro" w:hAnsi="Myriad Pro"/>
                                <w:color w:val="000000"/>
                                <w:sz w:val="16"/>
                                <w:szCs w:val="16"/>
                              </w:rPr>
                              <w:t>Name of Evaluator: ______________________________________________________________</w:t>
                            </w:r>
                          </w:p>
                          <w:p w14:paraId="2817290D" w14:textId="77777777" w:rsidR="009E09CA" w:rsidRDefault="009E09CA" w:rsidP="00EF6294">
                            <w:pPr>
                              <w:rPr>
                                <w:rFonts w:ascii="Myriad Pro" w:hAnsi="Myriad Pro"/>
                                <w:color w:val="000000"/>
                                <w:sz w:val="16"/>
                                <w:szCs w:val="16"/>
                              </w:rPr>
                            </w:pPr>
                            <w:r>
                              <w:rPr>
                                <w:rFonts w:ascii="Myriad Pro" w:hAnsi="Myriad Pro"/>
                                <w:color w:val="000000"/>
                                <w:sz w:val="16"/>
                                <w:szCs w:val="16"/>
                              </w:rPr>
                              <w:t>Name of Consultancy Organization (where relevant): ____________________________________</w:t>
                            </w:r>
                          </w:p>
                          <w:p w14:paraId="4708EEFE" w14:textId="77777777" w:rsidR="009E09CA" w:rsidRDefault="009E09CA" w:rsidP="00EF6294">
                            <w:pPr>
                              <w:rPr>
                                <w:rFonts w:ascii="Myriad Pro" w:hAnsi="Myriad Pro"/>
                                <w:color w:val="000000"/>
                                <w:sz w:val="16"/>
                                <w:szCs w:val="16"/>
                              </w:rPr>
                            </w:pPr>
                            <w:r>
                              <w:rPr>
                                <w:rFonts w:ascii="Myriad Pro" w:hAnsi="Myriad Pro"/>
                                <w:color w:val="000000"/>
                                <w:sz w:val="16"/>
                                <w:szCs w:val="16"/>
                              </w:rPr>
                              <w:t>I confirm that I have received and understood and will abide by the United Nations Code of Conduct for Evaluation.</w:t>
                            </w:r>
                          </w:p>
                          <w:p w14:paraId="7A0DD553" w14:textId="77777777" w:rsidR="009E09CA" w:rsidRDefault="009E09CA" w:rsidP="00EF6294">
                            <w:pPr>
                              <w:rPr>
                                <w:rFonts w:ascii="Myriad Pro" w:hAnsi="Myriad Pro"/>
                                <w:color w:val="000000"/>
                                <w:sz w:val="16"/>
                                <w:szCs w:val="16"/>
                              </w:rPr>
                            </w:pPr>
                            <w:r>
                              <w:rPr>
                                <w:rFonts w:ascii="Myriad Pro" w:hAnsi="Myriad Pro"/>
                                <w:color w:val="000000"/>
                                <w:sz w:val="16"/>
                                <w:szCs w:val="16"/>
                              </w:rPr>
                              <w:t>Signed at __________________________________ (Place) on ______________________ (Date)</w:t>
                            </w:r>
                          </w:p>
                          <w:p w14:paraId="3162D2CE" w14:textId="77777777" w:rsidR="009E09CA" w:rsidRDefault="009E09CA" w:rsidP="00EF6294">
                            <w:pPr>
                              <w:rPr>
                                <w:rFonts w:ascii="Myriad Pro" w:hAnsi="Myriad Pro"/>
                                <w:color w:val="000000"/>
                                <w:sz w:val="16"/>
                                <w:szCs w:val="16"/>
                              </w:rPr>
                            </w:pPr>
                            <w:r>
                              <w:rPr>
                                <w:rFonts w:ascii="Myriad Pro" w:hAnsi="Myriad Pro"/>
                                <w:color w:val="000000"/>
                                <w:sz w:val="16"/>
                                <w:szCs w:val="16"/>
                              </w:rPr>
                              <w:t>Signature: _____________________________________________________________________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9927C8D" id="_x0000_t202" coordsize="21600,21600" o:spt="202" path="m,l,21600r21600,l21600,xe">
                <v:stroke joinstyle="miter"/>
                <v:path gradientshapeok="t" o:connecttype="rect"/>
              </v:shapetype>
              <v:shape id="Text Box 2" o:spid="_x0000_s1026" type="#_x0000_t202" style="position:absolute;left:0;text-align:left;margin-left:0;margin-top:138.8pt;width:471.75pt;height:613.55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">
                <v:textbox style="mso-fit-shape-to-text:t">
                  <w:txbxContent>
                    <w:p w14:paraId="6B54FE15" w14:textId="77777777" w:rsidR="009E09CA" w:rsidRDefault="009E09CA" w:rsidP="00EF6294">
                      <w:pPr>
                        <w:autoSpaceDE w:val="0"/>
                        <w:autoSpaceDN w:val="0"/>
                        <w:adjustRightInd w:val="0"/>
                        <w:rPr>
                          <w:rFonts w:ascii="Myriad Pro" w:hAnsi="Myriad Pro"/>
                          <w:b/>
                          <w:color w:val="000000"/>
                          <w:sz w:val="16"/>
                          <w:szCs w:val="16"/>
                        </w:rPr>
                      </w:pPr>
                      <w:r>
                        <w:rPr>
                          <w:rFonts w:ascii="Myriad Pro" w:hAnsi="Myriad Pro"/>
                          <w:b/>
                          <w:color w:val="000000"/>
                          <w:sz w:val="16"/>
                          <w:szCs w:val="16"/>
                        </w:rPr>
                        <w:t>Evaluators/Consultants:</w:t>
                      </w:r>
                    </w:p>
                    <w:p w14:paraId="36A462C4" w14:textId="77777777" w:rsidR="009E09CA" w:rsidRDefault="009E09CA" w:rsidP="00EF6294">
                      <w:pPr>
                        <w:autoSpaceDE w:val="0"/>
                        <w:autoSpaceDN w:val="0"/>
                        <w:adjustRightInd w:val="0"/>
                        <w:rPr>
                          <w:rFonts w:ascii="Myriad Pro" w:hAnsi="Myriad Pro"/>
                          <w:color w:val="000000"/>
                          <w:sz w:val="16"/>
                          <w:szCs w:val="16"/>
                        </w:rPr>
                      </w:pPr>
                    </w:p>
                    <w:p w14:paraId="5B6DCBD9" w14:textId="77777777" w:rsidR="009E09CA" w:rsidRDefault="009E09CA" w:rsidP="00AC0D02">
                      <w:pPr>
                        <w:pStyle w:val="ListParagraph"/>
                        <w:numPr>
                          <w:ilvl w:val="0"/>
                          <w:numId w:val="40"/>
                        </w:numPr>
                        <w:spacing w:after="0" w:line="240" w:lineRule="auto"/>
                        <w:ind w:left="360"/>
                        <w:jc w:val="both"/>
                        <w:rPr>
                          <w:rFonts w:ascii="Myriad Pro" w:hAnsi="Myriad Pro"/>
                          <w:color w:val="000000"/>
                          <w:sz w:val="16"/>
                          <w:szCs w:val="16"/>
                        </w:rPr>
                      </w:pPr>
                      <w:r>
                        <w:rPr>
                          <w:rFonts w:ascii="Myriad Pro" w:hAnsi="Myriad Pro"/>
                          <w:color w:val="000000"/>
                          <w:sz w:val="16"/>
                          <w:szCs w:val="16"/>
                        </w:rPr>
                        <w:t>Must present information that is complete and fair in its assessment of strengths and weaknesses so that decisions or actions taken are well founded.</w:t>
                      </w:r>
                    </w:p>
                    <w:p w14:paraId="1E322B16" w14:textId="77777777" w:rsidR="009E09CA" w:rsidRDefault="009E09CA" w:rsidP="00AC0D02">
                      <w:pPr>
                        <w:pStyle w:val="ListParagraph"/>
                        <w:numPr>
                          <w:ilvl w:val="0"/>
                          <w:numId w:val="40"/>
                        </w:numPr>
                        <w:spacing w:after="0" w:line="240" w:lineRule="auto"/>
                        <w:ind w:left="360"/>
                        <w:jc w:val="both"/>
                        <w:rPr>
                          <w:rFonts w:ascii="Myriad Pro" w:hAnsi="Myriad Pro"/>
                          <w:color w:val="000000"/>
                          <w:sz w:val="16"/>
                          <w:szCs w:val="16"/>
                        </w:rPr>
                      </w:pPr>
                      <w:r>
                        <w:rPr>
                          <w:rFonts w:ascii="Myriad Pro" w:hAnsi="Myriad Pro"/>
                          <w:color w:val="000000"/>
                          <w:sz w:val="16"/>
                          <w:szCs w:val="16"/>
                        </w:rPr>
                        <w:t>Must disclose the full set of evaluation findings along with information on their limitations and have this accessible to all affected by the evaluation with expressed legal rights to receive results.</w:t>
                      </w:r>
                    </w:p>
                    <w:p w14:paraId="05ABAA03" w14:textId="77777777" w:rsidR="009E09CA" w:rsidRDefault="009E09CA" w:rsidP="00AC0D02">
                      <w:pPr>
                        <w:pStyle w:val="ListParagraph"/>
                        <w:numPr>
                          <w:ilvl w:val="0"/>
                          <w:numId w:val="40"/>
                        </w:numPr>
                        <w:spacing w:after="0" w:line="240" w:lineRule="auto"/>
                        <w:ind w:left="360"/>
                        <w:jc w:val="both"/>
                        <w:rPr>
                          <w:rFonts w:ascii="Myriad Pro" w:hAnsi="Myriad Pro"/>
                          <w:color w:val="000000"/>
                          <w:sz w:val="16"/>
                          <w:szCs w:val="16"/>
                        </w:rPr>
                      </w:pPr>
                      <w:r>
                        <w:rPr>
                          <w:rFonts w:ascii="Myriad Pro" w:hAnsi="Myriad Pro"/>
                          <w:color w:val="000000"/>
                          <w:sz w:val="16"/>
                          <w:szCs w:val="16"/>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25A5DF5A" w14:textId="77777777" w:rsidR="009E09CA" w:rsidRDefault="009E09CA" w:rsidP="00AC0D02">
                      <w:pPr>
                        <w:pStyle w:val="ListParagraph"/>
                        <w:numPr>
                          <w:ilvl w:val="0"/>
                          <w:numId w:val="40"/>
                        </w:numPr>
                        <w:spacing w:after="0" w:line="240" w:lineRule="auto"/>
                        <w:ind w:left="360"/>
                        <w:jc w:val="both"/>
                        <w:rPr>
                          <w:rFonts w:ascii="Myriad Pro" w:hAnsi="Myriad Pro"/>
                          <w:color w:val="000000"/>
                          <w:sz w:val="16"/>
                          <w:szCs w:val="16"/>
                        </w:rPr>
                      </w:pPr>
                      <w:r>
                        <w:rPr>
                          <w:rFonts w:ascii="Myriad Pro" w:hAnsi="Myriad Pro"/>
                          <w:color w:val="000000"/>
                          <w:sz w:val="16"/>
                          <w:szCs w:val="16"/>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7764441" w14:textId="77777777" w:rsidR="009E09CA" w:rsidRDefault="009E09CA" w:rsidP="00AC0D02">
                      <w:pPr>
                        <w:pStyle w:val="ListParagraph"/>
                        <w:numPr>
                          <w:ilvl w:val="0"/>
                          <w:numId w:val="40"/>
                        </w:numPr>
                        <w:spacing w:after="0" w:line="240" w:lineRule="auto"/>
                        <w:ind w:left="360"/>
                        <w:jc w:val="both"/>
                        <w:rPr>
                          <w:rFonts w:ascii="Myriad Pro" w:hAnsi="Myriad Pro"/>
                          <w:color w:val="000000"/>
                          <w:sz w:val="16"/>
                          <w:szCs w:val="16"/>
                        </w:rPr>
                      </w:pPr>
                      <w:r>
                        <w:rPr>
                          <w:rFonts w:ascii="Myriad Pro" w:hAnsi="Myriad Pro"/>
                          <w:color w:val="000000"/>
                          <w:sz w:val="16"/>
                          <w:szCs w:val="16"/>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3F25532C" w14:textId="77777777" w:rsidR="009E09CA" w:rsidRDefault="009E09CA" w:rsidP="00AC0D02">
                      <w:pPr>
                        <w:pStyle w:val="ListParagraph"/>
                        <w:numPr>
                          <w:ilvl w:val="0"/>
                          <w:numId w:val="40"/>
                        </w:numPr>
                        <w:spacing w:after="0" w:line="240" w:lineRule="auto"/>
                        <w:ind w:left="360"/>
                        <w:jc w:val="both"/>
                        <w:rPr>
                          <w:rFonts w:ascii="Myriad Pro" w:hAnsi="Myriad Pro"/>
                          <w:color w:val="000000"/>
                          <w:sz w:val="16"/>
                          <w:szCs w:val="16"/>
                        </w:rPr>
                      </w:pPr>
                      <w:r>
                        <w:rPr>
                          <w:rFonts w:ascii="Myriad Pro" w:hAnsi="Myriad Pro"/>
                          <w:color w:val="000000"/>
                          <w:sz w:val="16"/>
                          <w:szCs w:val="16"/>
                        </w:rPr>
                        <w:t>Are responsible for their performance and their product(s). They are responsible for the clear, accurate and fair written and/or oral presentation of study imitations, findings, and recommendations.</w:t>
                      </w:r>
                    </w:p>
                    <w:p w14:paraId="15F4857F" w14:textId="77777777" w:rsidR="009E09CA" w:rsidRDefault="009E09CA" w:rsidP="00AC0D02">
                      <w:pPr>
                        <w:pStyle w:val="ListParagraph"/>
                        <w:numPr>
                          <w:ilvl w:val="0"/>
                          <w:numId w:val="40"/>
                        </w:numPr>
                        <w:spacing w:after="0" w:line="240" w:lineRule="auto"/>
                        <w:ind w:left="360"/>
                        <w:rPr>
                          <w:rFonts w:ascii="Myriad Pro" w:hAnsi="Myriad Pro"/>
                          <w:color w:val="000000"/>
                          <w:sz w:val="16"/>
                          <w:szCs w:val="16"/>
                        </w:rPr>
                      </w:pPr>
                      <w:r>
                        <w:rPr>
                          <w:rFonts w:ascii="Myriad Pro" w:hAnsi="Myriad Pro"/>
                          <w:color w:val="000000"/>
                          <w:sz w:val="16"/>
                          <w:szCs w:val="16"/>
                        </w:rPr>
                        <w:t>Should reflect sound accounting procedures and be prudent in using the resources of the evaluation.</w:t>
                      </w:r>
                    </w:p>
                    <w:p w14:paraId="60B209B0" w14:textId="77777777" w:rsidR="009E09CA" w:rsidRDefault="009E09CA" w:rsidP="00AC0D02">
                      <w:pPr>
                        <w:pStyle w:val="ListParagraph"/>
                        <w:numPr>
                          <w:ilvl w:val="0"/>
                          <w:numId w:val="40"/>
                        </w:numPr>
                        <w:tabs>
                          <w:tab w:val="left" w:pos="360"/>
                        </w:tabs>
                        <w:spacing w:after="160" w:line="256" w:lineRule="auto"/>
                        <w:ind w:left="360"/>
                        <w:jc w:val="both"/>
                        <w:rPr>
                          <w:rFonts w:ascii="Myriad Pro" w:hAnsi="Myriad Pro"/>
                          <w:color w:val="000000"/>
                          <w:sz w:val="16"/>
                          <w:szCs w:val="16"/>
                        </w:rPr>
                      </w:pPr>
                      <w:r>
                        <w:rPr>
                          <w:rFonts w:ascii="Myriad Pro" w:hAnsi="Myriad Pro"/>
                          <w:color w:val="000000"/>
                          <w:sz w:val="16"/>
                          <w:szCs w:val="16"/>
                        </w:rPr>
                        <w:t>Must ensure that independence of judgement is maintained, and that evaluation findings and recommendations are independently presented.</w:t>
                      </w:r>
                    </w:p>
                    <w:p w14:paraId="292A99C1" w14:textId="77777777" w:rsidR="009E09CA" w:rsidRDefault="009E09CA" w:rsidP="00AC0D02">
                      <w:pPr>
                        <w:pStyle w:val="ListParagraph"/>
                        <w:numPr>
                          <w:ilvl w:val="0"/>
                          <w:numId w:val="40"/>
                        </w:numPr>
                        <w:tabs>
                          <w:tab w:val="left" w:pos="360"/>
                        </w:tabs>
                        <w:spacing w:after="160" w:line="256" w:lineRule="auto"/>
                        <w:ind w:left="360"/>
                        <w:jc w:val="both"/>
                        <w:rPr>
                          <w:rFonts w:ascii="Myriad Pro" w:hAnsi="Myriad Pro"/>
                          <w:color w:val="000000"/>
                          <w:sz w:val="16"/>
                          <w:szCs w:val="16"/>
                        </w:rPr>
                      </w:pPr>
                      <w:r>
                        <w:rPr>
                          <w:rFonts w:ascii="Myriad Pro" w:hAnsi="Myriad Pro"/>
                          <w:color w:val="000000"/>
                          <w:sz w:val="16"/>
                          <w:szCs w:val="16"/>
                        </w:rPr>
                        <w:t>Must confirm that they have not been involved in designing, executing, or advising on the project being evaluated and did not carry out the project’s Mid-Term Review.</w:t>
                      </w:r>
                    </w:p>
                    <w:p w14:paraId="62593B68" w14:textId="77777777" w:rsidR="009E09CA" w:rsidRDefault="009E09CA" w:rsidP="00EF6294">
                      <w:pPr>
                        <w:rPr>
                          <w:rFonts w:ascii="Myriad Pro" w:hAnsi="Myriad Pro"/>
                          <w:b/>
                          <w:color w:val="000000"/>
                          <w:sz w:val="16"/>
                          <w:szCs w:val="16"/>
                        </w:rPr>
                      </w:pPr>
                      <w:r>
                        <w:rPr>
                          <w:rFonts w:ascii="Myriad Pro" w:hAnsi="Myriad Pro"/>
                          <w:b/>
                          <w:color w:val="000000"/>
                          <w:sz w:val="16"/>
                          <w:szCs w:val="16"/>
                        </w:rPr>
                        <w:t>Evaluation Consultant Agreement Form</w:t>
                      </w:r>
                    </w:p>
                    <w:p w14:paraId="4C62F67B" w14:textId="77777777" w:rsidR="009E09CA" w:rsidRDefault="009E09CA" w:rsidP="00EF6294">
                      <w:pPr>
                        <w:rPr>
                          <w:rFonts w:ascii="Myriad Pro" w:hAnsi="Myriad Pro"/>
                          <w:color w:val="000000"/>
                          <w:sz w:val="16"/>
                          <w:szCs w:val="16"/>
                        </w:rPr>
                      </w:pPr>
                      <w:r>
                        <w:rPr>
                          <w:rFonts w:ascii="Myriad Pro" w:hAnsi="Myriad Pro"/>
                          <w:color w:val="000000"/>
                          <w:sz w:val="16"/>
                          <w:szCs w:val="16"/>
                        </w:rPr>
                        <w:t>Agreement to abide by the Code of Conduct for Evaluation in the UN System:</w:t>
                      </w:r>
                    </w:p>
                    <w:p w14:paraId="30DD8D8E" w14:textId="77777777" w:rsidR="009E09CA" w:rsidRDefault="009E09CA" w:rsidP="00EF6294">
                      <w:pPr>
                        <w:rPr>
                          <w:rFonts w:ascii="Myriad Pro" w:hAnsi="Myriad Pro"/>
                          <w:color w:val="000000"/>
                          <w:sz w:val="16"/>
                          <w:szCs w:val="16"/>
                        </w:rPr>
                      </w:pPr>
                      <w:r>
                        <w:rPr>
                          <w:rFonts w:ascii="Myriad Pro" w:hAnsi="Myriad Pro"/>
                          <w:color w:val="000000"/>
                          <w:sz w:val="16"/>
                          <w:szCs w:val="16"/>
                        </w:rPr>
                        <w:t>Name of Evaluator: ______________________________________________________________</w:t>
                      </w:r>
                    </w:p>
                    <w:p w14:paraId="2817290D" w14:textId="77777777" w:rsidR="009E09CA" w:rsidRDefault="009E09CA" w:rsidP="00EF6294">
                      <w:pPr>
                        <w:rPr>
                          <w:rFonts w:ascii="Myriad Pro" w:hAnsi="Myriad Pro"/>
                          <w:color w:val="000000"/>
                          <w:sz w:val="16"/>
                          <w:szCs w:val="16"/>
                        </w:rPr>
                      </w:pPr>
                      <w:r>
                        <w:rPr>
                          <w:rFonts w:ascii="Myriad Pro" w:hAnsi="Myriad Pro"/>
                          <w:color w:val="000000"/>
                          <w:sz w:val="16"/>
                          <w:szCs w:val="16"/>
                        </w:rPr>
                        <w:t>Name of Consultancy Organization (where relevant): ____________________________________</w:t>
                      </w:r>
                    </w:p>
                    <w:p w14:paraId="4708EEFE" w14:textId="77777777" w:rsidR="009E09CA" w:rsidRDefault="009E09CA" w:rsidP="00EF6294">
                      <w:pPr>
                        <w:rPr>
                          <w:rFonts w:ascii="Myriad Pro" w:hAnsi="Myriad Pro"/>
                          <w:color w:val="000000"/>
                          <w:sz w:val="16"/>
                          <w:szCs w:val="16"/>
                        </w:rPr>
                      </w:pPr>
                      <w:r>
                        <w:rPr>
                          <w:rFonts w:ascii="Myriad Pro" w:hAnsi="Myriad Pro"/>
                          <w:color w:val="000000"/>
                          <w:sz w:val="16"/>
                          <w:szCs w:val="16"/>
                        </w:rPr>
                        <w:t>I confirm that I have received and understood and will abide by the United Nations Code of Conduct for Evaluation.</w:t>
                      </w:r>
                    </w:p>
                    <w:p w14:paraId="7A0DD553" w14:textId="77777777" w:rsidR="009E09CA" w:rsidRDefault="009E09CA" w:rsidP="00EF6294">
                      <w:pPr>
                        <w:rPr>
                          <w:rFonts w:ascii="Myriad Pro" w:hAnsi="Myriad Pro"/>
                          <w:color w:val="000000"/>
                          <w:sz w:val="16"/>
                          <w:szCs w:val="16"/>
                        </w:rPr>
                      </w:pPr>
                      <w:r>
                        <w:rPr>
                          <w:rFonts w:ascii="Myriad Pro" w:hAnsi="Myriad Pro"/>
                          <w:color w:val="000000"/>
                          <w:sz w:val="16"/>
                          <w:szCs w:val="16"/>
                        </w:rPr>
                        <w:t>Signed at __________________________________ (Place) on ______________________ (Date)</w:t>
                      </w:r>
                    </w:p>
                    <w:p w14:paraId="3162D2CE" w14:textId="77777777" w:rsidR="009E09CA" w:rsidRDefault="009E09CA" w:rsidP="00EF6294">
                      <w:pPr>
                        <w:rPr>
                          <w:rFonts w:ascii="Myriad Pro" w:hAnsi="Myriad Pro"/>
                          <w:color w:val="000000"/>
                          <w:sz w:val="16"/>
                          <w:szCs w:val="16"/>
                        </w:rPr>
                      </w:pPr>
                      <w:r>
                        <w:rPr>
                          <w:rFonts w:ascii="Myriad Pro" w:hAnsi="Myriad Pro"/>
                          <w:color w:val="000000"/>
                          <w:sz w:val="16"/>
                          <w:szCs w:val="16"/>
                        </w:rPr>
                        <w:t>Signature: _____________________________________________________________________</w:t>
                      </w:r>
                    </w:p>
                  </w:txbxContent>
                </v:textbox>
                <w10:wrap type="square" anchorx="margin"/>
              </v:shape>
            </w:pict>
          </mc:Fallback>
        </mc:AlternateContent>
      </w:r>
      <w:bookmarkStart w:id="69" w:name="_Toc44378103"/>
      <w:r w:rsidRPr="00845B64">
        <w:rPr>
          <w:rFonts w:eastAsia="SimSun" w:cs="Times New Roman"/>
          <w:kern w:val="2"/>
          <w:lang w:eastAsia="zh-CN"/>
        </w:rPr>
        <w:t>Independence entails the ability to evaluate without undue influence or pressure by any party (including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goals, and targets: utility, credibility, impartiality, ethics, transparency, human rights and gender equality, national evaluation capacities, and professionalism).</w:t>
      </w:r>
      <w:bookmarkEnd w:id="69"/>
      <w:r w:rsidRPr="00845B64">
        <w:rPr>
          <w:rFonts w:eastAsia="SimSun" w:cs="Times New Roman"/>
          <w:b/>
          <w:kern w:val="2"/>
          <w:lang w:eastAsia="zh-CN"/>
        </w:rPr>
        <w:br w:type="page"/>
      </w:r>
      <w:proofErr w:type="spellStart"/>
      <w:r w:rsidRPr="00845B64">
        <w:rPr>
          <w:rFonts w:eastAsia="SimSun" w:cs="Times New Roman"/>
          <w:b/>
          <w:bCs/>
          <w:kern w:val="2"/>
          <w:lang w:eastAsia="zh-CN"/>
        </w:rPr>
        <w:lastRenderedPageBreak/>
        <w:t>ToR</w:t>
      </w:r>
      <w:proofErr w:type="spellEnd"/>
      <w:r w:rsidRPr="00845B64">
        <w:rPr>
          <w:rFonts w:eastAsia="SimSun" w:cs="Times New Roman"/>
          <w:b/>
          <w:bCs/>
          <w:kern w:val="2"/>
          <w:lang w:eastAsia="zh-CN"/>
        </w:rPr>
        <w:t xml:space="preserve"> Annex F: TE Rating Scales</w:t>
      </w:r>
    </w:p>
    <w:tbl>
      <w:tblPr>
        <w:tblW w:w="4960" w:type="pct"/>
        <w:tblInd w:w="-5" w:type="dxa"/>
        <w:tblLook w:val="04A0" w:firstRow="1" w:lastRow="0" w:firstColumn="1" w:lastColumn="0" w:noHBand="0" w:noVBand="1"/>
      </w:tblPr>
      <w:tblGrid>
        <w:gridCol w:w="4665"/>
        <w:gridCol w:w="4610"/>
      </w:tblGrid>
      <w:tr w:rsidR="00EF6294" w:rsidRPr="00845B64" w14:paraId="07310073" w14:textId="77777777" w:rsidTr="00EF6294">
        <w:trPr>
          <w:trHeight w:val="548"/>
        </w:trPr>
        <w:tc>
          <w:tcPr>
            <w:tcW w:w="2515" w:type="pct"/>
            <w:tcBorders>
              <w:top w:val="single" w:sz="4" w:space="0" w:color="244061"/>
              <w:left w:val="single" w:sz="4" w:space="0" w:color="244061"/>
              <w:bottom w:val="single" w:sz="4" w:space="0" w:color="244061"/>
              <w:right w:val="single" w:sz="4" w:space="0" w:color="244061"/>
            </w:tcBorders>
            <w:shd w:val="clear" w:color="auto" w:fill="000000"/>
            <w:hideMark/>
          </w:tcPr>
          <w:p w14:paraId="5FC5B66D" w14:textId="77777777" w:rsidR="00EF6294" w:rsidRPr="00845B64" w:rsidRDefault="00EF6294" w:rsidP="00EF6294">
            <w:pPr>
              <w:widowControl w:val="0"/>
              <w:spacing w:after="0" w:line="240" w:lineRule="auto"/>
              <w:jc w:val="both"/>
              <w:rPr>
                <w:rFonts w:eastAsia="SimSun" w:cs="Times New Roman"/>
                <w:color w:val="FFFFFF"/>
                <w:kern w:val="2"/>
                <w:lang w:eastAsia="zh-CN"/>
              </w:rPr>
            </w:pPr>
            <w:r w:rsidRPr="00845B64">
              <w:rPr>
                <w:rFonts w:eastAsia="SimSun" w:cs="Times New Roman"/>
                <w:color w:val="FFFFFF"/>
                <w:kern w:val="2"/>
                <w:lang w:eastAsia="zh-CN"/>
              </w:rPr>
              <w:t>Ratings for Outcomes, Effectiveness, Efficiency, M&amp;E, Implementation/Oversight, Execution, Relevance</w:t>
            </w:r>
          </w:p>
        </w:tc>
        <w:tc>
          <w:tcPr>
            <w:tcW w:w="2485" w:type="pct"/>
            <w:tcBorders>
              <w:top w:val="single" w:sz="4" w:space="0" w:color="244061"/>
              <w:left w:val="single" w:sz="4" w:space="0" w:color="244061"/>
              <w:bottom w:val="single" w:sz="4" w:space="0" w:color="244061"/>
              <w:right w:val="single" w:sz="4" w:space="0" w:color="244061"/>
            </w:tcBorders>
            <w:shd w:val="clear" w:color="auto" w:fill="000000"/>
          </w:tcPr>
          <w:p w14:paraId="3EF45ED2" w14:textId="77777777" w:rsidR="00EF6294" w:rsidRPr="00845B64" w:rsidRDefault="00EF6294" w:rsidP="00EF6294">
            <w:pPr>
              <w:widowControl w:val="0"/>
              <w:spacing w:after="0" w:line="240" w:lineRule="auto"/>
              <w:jc w:val="both"/>
              <w:rPr>
                <w:rFonts w:eastAsia="SimSun" w:cs="Times New Roman"/>
                <w:color w:val="FFFFFF"/>
                <w:kern w:val="2"/>
                <w:lang w:eastAsia="zh-CN"/>
              </w:rPr>
            </w:pPr>
            <w:r w:rsidRPr="00845B64">
              <w:rPr>
                <w:rFonts w:eastAsia="SimSun" w:cs="Times New Roman"/>
                <w:color w:val="FFFFFF"/>
                <w:kern w:val="2"/>
                <w:lang w:eastAsia="zh-CN"/>
              </w:rPr>
              <w:t xml:space="preserve">Sustainability ratings: </w:t>
            </w:r>
          </w:p>
          <w:p w14:paraId="3FE6755B" w14:textId="77777777" w:rsidR="00EF6294" w:rsidRPr="00845B64" w:rsidRDefault="00EF6294" w:rsidP="00EF6294">
            <w:pPr>
              <w:widowControl w:val="0"/>
              <w:spacing w:after="0" w:line="240" w:lineRule="auto"/>
              <w:jc w:val="both"/>
              <w:rPr>
                <w:rFonts w:eastAsia="SimSun" w:cs="Times New Roman"/>
                <w:color w:val="FFFFFF"/>
                <w:kern w:val="2"/>
                <w:lang w:eastAsia="zh-CN"/>
              </w:rPr>
            </w:pPr>
          </w:p>
        </w:tc>
      </w:tr>
      <w:tr w:rsidR="00EF6294" w:rsidRPr="00845B64" w14:paraId="1780D4BD" w14:textId="77777777" w:rsidTr="00EF6294">
        <w:trPr>
          <w:trHeight w:val="440"/>
        </w:trPr>
        <w:tc>
          <w:tcPr>
            <w:tcW w:w="2515" w:type="pct"/>
            <w:tcBorders>
              <w:top w:val="single" w:sz="4" w:space="0" w:color="244061"/>
              <w:left w:val="single" w:sz="4" w:space="0" w:color="244061"/>
              <w:bottom w:val="single" w:sz="4" w:space="0" w:color="244061"/>
              <w:right w:val="single" w:sz="4" w:space="0" w:color="244061"/>
            </w:tcBorders>
            <w:hideMark/>
          </w:tcPr>
          <w:p w14:paraId="7DEAEDD3" w14:textId="77777777" w:rsidR="00EF6294" w:rsidRPr="00845B64" w:rsidRDefault="00EF6294" w:rsidP="00EF6294">
            <w:pPr>
              <w:widowControl w:val="0"/>
              <w:spacing w:after="0" w:line="240" w:lineRule="auto"/>
              <w:ind w:left="158"/>
              <w:rPr>
                <w:rFonts w:eastAsia="SimSun" w:cs="Times New Roman"/>
                <w:color w:val="000000"/>
                <w:kern w:val="2"/>
                <w:lang w:eastAsia="zh-CN"/>
              </w:rPr>
            </w:pPr>
            <w:r w:rsidRPr="00845B64">
              <w:rPr>
                <w:rFonts w:eastAsia="SimSun" w:cs="Times New Roman"/>
                <w:color w:val="000000"/>
                <w:kern w:val="2"/>
                <w:lang w:eastAsia="zh-CN"/>
              </w:rPr>
              <w:t xml:space="preserve">6 = Highly Satisfactory (HS): exceeds expectations and/or no shortcomings </w:t>
            </w:r>
          </w:p>
          <w:p w14:paraId="38B2C4BE" w14:textId="77777777" w:rsidR="00EF6294" w:rsidRPr="00845B64" w:rsidRDefault="00EF6294" w:rsidP="00EF6294">
            <w:pPr>
              <w:widowControl w:val="0"/>
              <w:spacing w:after="0" w:line="240" w:lineRule="auto"/>
              <w:ind w:left="158"/>
              <w:rPr>
                <w:rFonts w:eastAsia="SimSun" w:cs="Times New Roman"/>
                <w:color w:val="000000"/>
                <w:kern w:val="2"/>
                <w:lang w:eastAsia="zh-CN"/>
              </w:rPr>
            </w:pPr>
            <w:r w:rsidRPr="00845B64">
              <w:rPr>
                <w:rFonts w:eastAsia="SimSun" w:cs="Times New Roman"/>
                <w:color w:val="000000"/>
                <w:kern w:val="2"/>
                <w:lang w:eastAsia="zh-CN"/>
              </w:rPr>
              <w:t>5 = Satisfactory (S): meets expectations and/or no or minor shortcomings</w:t>
            </w:r>
          </w:p>
          <w:p w14:paraId="3D328810" w14:textId="77777777" w:rsidR="00EF6294" w:rsidRPr="00845B64" w:rsidRDefault="00EF6294" w:rsidP="00EF6294">
            <w:pPr>
              <w:widowControl w:val="0"/>
              <w:spacing w:after="0" w:line="240" w:lineRule="auto"/>
              <w:ind w:left="158"/>
              <w:rPr>
                <w:rFonts w:eastAsia="SimSun" w:cs="Times New Roman"/>
                <w:color w:val="000000"/>
                <w:kern w:val="2"/>
                <w:lang w:eastAsia="zh-CN"/>
              </w:rPr>
            </w:pPr>
            <w:r w:rsidRPr="00845B64">
              <w:rPr>
                <w:rFonts w:eastAsia="SimSun" w:cs="Times New Roman"/>
                <w:color w:val="000000"/>
                <w:kern w:val="2"/>
                <w:lang w:eastAsia="zh-CN"/>
              </w:rPr>
              <w:t>4 = Moderately Satisfactory (MS): more or less meets expectations and/or some shortcomings</w:t>
            </w:r>
          </w:p>
          <w:p w14:paraId="569A9BE3" w14:textId="77777777" w:rsidR="00EF6294" w:rsidRPr="00845B64" w:rsidRDefault="00EF6294" w:rsidP="00EF6294">
            <w:pPr>
              <w:widowControl w:val="0"/>
              <w:spacing w:after="0" w:line="240" w:lineRule="auto"/>
              <w:ind w:left="158"/>
              <w:rPr>
                <w:rFonts w:eastAsia="SimSun" w:cs="Times New Roman"/>
                <w:color w:val="000000"/>
                <w:kern w:val="2"/>
                <w:lang w:eastAsia="zh-CN"/>
              </w:rPr>
            </w:pPr>
            <w:r w:rsidRPr="00845B64">
              <w:rPr>
                <w:rFonts w:eastAsia="SimSun" w:cs="Times New Roman"/>
                <w:color w:val="000000"/>
                <w:kern w:val="2"/>
                <w:lang w:eastAsia="zh-CN"/>
              </w:rPr>
              <w:t>3 = Moderately Unsatisfactory (MU): somewhat below expectations and/or significant shortcomings</w:t>
            </w:r>
          </w:p>
          <w:p w14:paraId="045B37A6" w14:textId="77777777" w:rsidR="00EF6294" w:rsidRPr="00845B64" w:rsidRDefault="00EF6294" w:rsidP="00EF6294">
            <w:pPr>
              <w:widowControl w:val="0"/>
              <w:spacing w:after="0" w:line="240" w:lineRule="auto"/>
              <w:ind w:left="158"/>
              <w:rPr>
                <w:rFonts w:eastAsia="SimSun" w:cs="Times New Roman"/>
                <w:color w:val="000000"/>
                <w:kern w:val="2"/>
                <w:lang w:eastAsia="zh-CN"/>
              </w:rPr>
            </w:pPr>
            <w:r w:rsidRPr="00845B64">
              <w:rPr>
                <w:rFonts w:eastAsia="SimSun" w:cs="Times New Roman"/>
                <w:color w:val="000000"/>
                <w:kern w:val="2"/>
                <w:lang w:eastAsia="zh-CN"/>
              </w:rPr>
              <w:t>2 = Unsatisfactory (U): substantially below expectations and/or major shortcomings</w:t>
            </w:r>
          </w:p>
          <w:p w14:paraId="3A728929" w14:textId="77777777" w:rsidR="00EF6294" w:rsidRPr="00845B64" w:rsidRDefault="00EF6294" w:rsidP="00EF6294">
            <w:pPr>
              <w:widowControl w:val="0"/>
              <w:spacing w:after="0" w:line="240" w:lineRule="auto"/>
              <w:ind w:left="158"/>
              <w:rPr>
                <w:rFonts w:eastAsia="SimSun" w:cs="Times New Roman"/>
                <w:color w:val="000000"/>
                <w:kern w:val="2"/>
                <w:lang w:eastAsia="zh-CN"/>
              </w:rPr>
            </w:pPr>
            <w:r w:rsidRPr="00845B64">
              <w:rPr>
                <w:rFonts w:eastAsia="SimSun" w:cs="Times New Roman"/>
                <w:color w:val="000000"/>
                <w:kern w:val="2"/>
                <w:lang w:eastAsia="zh-CN"/>
              </w:rPr>
              <w:t>1 = Highly Unsatisfactory (HU): severe shortcomings</w:t>
            </w:r>
          </w:p>
          <w:p w14:paraId="5704CA07" w14:textId="77777777" w:rsidR="00EF6294" w:rsidRPr="00845B64" w:rsidRDefault="00EF6294" w:rsidP="00EF6294">
            <w:pPr>
              <w:widowControl w:val="0"/>
              <w:spacing w:after="0" w:line="240" w:lineRule="auto"/>
              <w:ind w:left="158"/>
              <w:rPr>
                <w:rFonts w:eastAsia="SimSun" w:cs="Times New Roman"/>
                <w:color w:val="000000"/>
                <w:kern w:val="2"/>
                <w:lang w:eastAsia="zh-CN"/>
              </w:rPr>
            </w:pPr>
            <w:r w:rsidRPr="00845B64">
              <w:rPr>
                <w:rFonts w:eastAsia="SimSun" w:cs="Times New Roman"/>
                <w:color w:val="000000"/>
                <w:kern w:val="2"/>
                <w:lang w:eastAsia="zh-CN"/>
              </w:rPr>
              <w:t>Unable to Assess (U/A): available information does not allow an assessment</w:t>
            </w:r>
          </w:p>
        </w:tc>
        <w:tc>
          <w:tcPr>
            <w:tcW w:w="2485" w:type="pct"/>
            <w:tcBorders>
              <w:top w:val="single" w:sz="4" w:space="0" w:color="244061"/>
              <w:left w:val="single" w:sz="4" w:space="0" w:color="244061"/>
              <w:bottom w:val="single" w:sz="4" w:space="0" w:color="244061"/>
              <w:right w:val="single" w:sz="4" w:space="0" w:color="244061"/>
            </w:tcBorders>
          </w:tcPr>
          <w:p w14:paraId="6DC74A1A" w14:textId="77777777" w:rsidR="00EF6294" w:rsidRPr="00845B64" w:rsidRDefault="00EF6294" w:rsidP="00EF6294">
            <w:pPr>
              <w:widowControl w:val="0"/>
              <w:spacing w:after="0" w:line="240" w:lineRule="auto"/>
              <w:rPr>
                <w:rFonts w:eastAsia="SimSun" w:cs="Times New Roman"/>
                <w:color w:val="000000"/>
                <w:kern w:val="2"/>
                <w:lang w:eastAsia="zh-CN"/>
              </w:rPr>
            </w:pPr>
            <w:r w:rsidRPr="00845B64">
              <w:rPr>
                <w:rFonts w:eastAsia="SimSun" w:cs="Times New Roman"/>
                <w:color w:val="000000"/>
                <w:kern w:val="2"/>
                <w:lang w:eastAsia="zh-CN"/>
              </w:rPr>
              <w:t>4 = Likely (L): negligible risks to sustainability</w:t>
            </w:r>
          </w:p>
          <w:p w14:paraId="1172C64D" w14:textId="77777777" w:rsidR="00EF6294" w:rsidRPr="00845B64" w:rsidRDefault="00EF6294" w:rsidP="00EF6294">
            <w:pPr>
              <w:widowControl w:val="0"/>
              <w:spacing w:after="0" w:line="240" w:lineRule="auto"/>
              <w:rPr>
                <w:rFonts w:eastAsia="SimSun" w:cs="Times New Roman"/>
                <w:color w:val="000000"/>
                <w:kern w:val="2"/>
                <w:lang w:eastAsia="zh-CN"/>
              </w:rPr>
            </w:pPr>
            <w:r w:rsidRPr="00845B64">
              <w:rPr>
                <w:rFonts w:eastAsia="SimSun" w:cs="Times New Roman"/>
                <w:color w:val="000000"/>
                <w:kern w:val="2"/>
                <w:lang w:eastAsia="zh-CN"/>
              </w:rPr>
              <w:t>3 = Moderately Likely (ML): moderate risks to sustainability</w:t>
            </w:r>
          </w:p>
          <w:p w14:paraId="7B2E3F60" w14:textId="77777777" w:rsidR="00EF6294" w:rsidRPr="00845B64" w:rsidRDefault="00EF6294" w:rsidP="00EF6294">
            <w:pPr>
              <w:widowControl w:val="0"/>
              <w:spacing w:after="0" w:line="240" w:lineRule="auto"/>
              <w:rPr>
                <w:rFonts w:eastAsia="SimSun" w:cs="Times New Roman"/>
                <w:color w:val="000000"/>
                <w:kern w:val="2"/>
                <w:lang w:eastAsia="zh-CN"/>
              </w:rPr>
            </w:pPr>
            <w:r w:rsidRPr="00845B64">
              <w:rPr>
                <w:rFonts w:eastAsia="SimSun" w:cs="Times New Roman"/>
                <w:color w:val="000000"/>
                <w:kern w:val="2"/>
                <w:lang w:eastAsia="zh-CN"/>
              </w:rPr>
              <w:t>2 = Moderately Unlikely (MU): significant risks to sustainability</w:t>
            </w:r>
          </w:p>
          <w:p w14:paraId="38424A0D" w14:textId="77777777" w:rsidR="00EF6294" w:rsidRPr="00845B64" w:rsidRDefault="00EF6294" w:rsidP="00EF6294">
            <w:pPr>
              <w:widowControl w:val="0"/>
              <w:spacing w:after="0" w:line="240" w:lineRule="auto"/>
              <w:rPr>
                <w:rFonts w:eastAsia="SimSun" w:cs="Times New Roman"/>
                <w:color w:val="000000"/>
                <w:kern w:val="2"/>
                <w:lang w:eastAsia="zh-CN"/>
              </w:rPr>
            </w:pPr>
            <w:r w:rsidRPr="00845B64">
              <w:rPr>
                <w:rFonts w:eastAsia="SimSun" w:cs="Times New Roman"/>
                <w:color w:val="000000"/>
                <w:kern w:val="2"/>
                <w:lang w:eastAsia="zh-CN"/>
              </w:rPr>
              <w:t>1 = Unlikely (U): severe risks to sustainability</w:t>
            </w:r>
          </w:p>
          <w:p w14:paraId="621F9815" w14:textId="77777777" w:rsidR="00EF6294" w:rsidRPr="00845B64" w:rsidRDefault="00EF6294" w:rsidP="00EF6294">
            <w:pPr>
              <w:widowControl w:val="0"/>
              <w:spacing w:after="0" w:line="240" w:lineRule="auto"/>
              <w:rPr>
                <w:rFonts w:eastAsia="SimSun" w:cs="Times New Roman"/>
                <w:color w:val="000000"/>
                <w:kern w:val="2"/>
                <w:lang w:eastAsia="zh-CN"/>
              </w:rPr>
            </w:pPr>
            <w:r w:rsidRPr="00845B64">
              <w:rPr>
                <w:rFonts w:eastAsia="SimSun" w:cs="Times New Roman"/>
                <w:color w:val="000000"/>
                <w:kern w:val="2"/>
                <w:lang w:eastAsia="zh-CN"/>
              </w:rPr>
              <w:t>Unable to Assess (U/A): Unable to assess the expected incidence and magnitude of risks to sustainability</w:t>
            </w:r>
          </w:p>
          <w:p w14:paraId="711A42C8" w14:textId="77777777" w:rsidR="00EF6294" w:rsidRPr="00845B64" w:rsidRDefault="00EF6294" w:rsidP="00EF6294">
            <w:pPr>
              <w:widowControl w:val="0"/>
              <w:spacing w:after="0" w:line="240" w:lineRule="auto"/>
              <w:rPr>
                <w:rFonts w:eastAsia="SimSun" w:cs="Times New Roman"/>
                <w:color w:val="000000"/>
                <w:kern w:val="2"/>
                <w:lang w:eastAsia="zh-CN"/>
              </w:rPr>
            </w:pPr>
          </w:p>
        </w:tc>
      </w:tr>
    </w:tbl>
    <w:p w14:paraId="446E27A8" w14:textId="77777777" w:rsidR="00EF6294" w:rsidRPr="00845B64" w:rsidRDefault="00EF6294" w:rsidP="00EF6294">
      <w:pPr>
        <w:widowControl w:val="0"/>
        <w:spacing w:after="0" w:line="240" w:lineRule="auto"/>
        <w:jc w:val="both"/>
        <w:rPr>
          <w:rFonts w:eastAsia="SimSun" w:cs="Times New Roman"/>
          <w:b/>
          <w:bCs/>
          <w:kern w:val="2"/>
          <w:lang w:eastAsia="zh-CN"/>
        </w:rPr>
      </w:pPr>
    </w:p>
    <w:p w14:paraId="50F43F6E" w14:textId="77777777" w:rsidR="00EF6294" w:rsidRPr="00845B64" w:rsidRDefault="00EF6294" w:rsidP="00EF6294">
      <w:pPr>
        <w:widowControl w:val="0"/>
        <w:spacing w:after="0" w:line="240" w:lineRule="auto"/>
        <w:jc w:val="both"/>
        <w:rPr>
          <w:rFonts w:eastAsia="SimSun" w:cs="Times New Roman"/>
          <w:b/>
          <w:bCs/>
          <w:kern w:val="2"/>
          <w:lang w:eastAsia="zh-CN"/>
        </w:rPr>
      </w:pPr>
      <w:r w:rsidRPr="00845B64">
        <w:rPr>
          <w:rFonts w:eastAsia="SimSun" w:cs="Times New Roman"/>
          <w:b/>
          <w:bCs/>
          <w:kern w:val="2"/>
          <w:lang w:eastAsia="zh-CN"/>
        </w:rPr>
        <w:t>ToR Annex G: TE Report Clearance Form</w:t>
      </w:r>
    </w:p>
    <w:p w14:paraId="45325247" w14:textId="77777777" w:rsidR="00EF6294" w:rsidRPr="00845B64" w:rsidRDefault="00EF6294" w:rsidP="00EF6294">
      <w:pPr>
        <w:widowControl w:val="0"/>
        <w:spacing w:after="0" w:line="240" w:lineRule="auto"/>
        <w:jc w:val="both"/>
        <w:rPr>
          <w:rFonts w:eastAsia="SimSun" w:cs="Times New Roman"/>
          <w:b/>
          <w:bCs/>
          <w:kern w:val="2"/>
          <w:lang w:eastAsia="zh-CN"/>
        </w:rPr>
      </w:pPr>
    </w:p>
    <w:tbl>
      <w:tblPr>
        <w:tblStyle w:val="TableGrid1"/>
        <w:tblW w:w="9360"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EF6294" w:rsidRPr="00845B64" w14:paraId="1AFB2878" w14:textId="77777777" w:rsidTr="00EF6294">
        <w:trPr>
          <w:jc w:val="center"/>
        </w:trPr>
        <w:tc>
          <w:tcPr>
            <w:tcW w:w="9360" w:type="dxa"/>
            <w:tcBorders>
              <w:top w:val="single" w:sz="4" w:space="0" w:color="244061"/>
              <w:left w:val="single" w:sz="4" w:space="0" w:color="244061"/>
              <w:bottom w:val="single" w:sz="4" w:space="0" w:color="244061"/>
              <w:right w:val="single" w:sz="4" w:space="0" w:color="244061"/>
            </w:tcBorders>
          </w:tcPr>
          <w:p w14:paraId="368B362D" w14:textId="77777777" w:rsidR="00EF6294" w:rsidRPr="00845B64" w:rsidRDefault="00EF6294" w:rsidP="00EF6294">
            <w:pPr>
              <w:widowControl w:val="0"/>
              <w:ind w:left="162"/>
              <w:jc w:val="both"/>
              <w:rPr>
                <w:b/>
                <w:color w:val="000000"/>
              </w:rPr>
            </w:pPr>
            <w:r w:rsidRPr="00845B64">
              <w:rPr>
                <w:b/>
                <w:color w:val="000000"/>
              </w:rPr>
              <w:t>Terminal Evaluation Report for</w:t>
            </w:r>
            <w:r w:rsidRPr="00845B64">
              <w:rPr>
                <w:i/>
                <w:color w:val="000000"/>
              </w:rPr>
              <w:t xml:space="preserve"> (Project Title &amp; UNDP PIMS ID</w:t>
            </w:r>
            <w:r w:rsidRPr="00845B64">
              <w:rPr>
                <w:color w:val="000000"/>
              </w:rPr>
              <w:t xml:space="preserve">) </w:t>
            </w:r>
            <w:r w:rsidRPr="00845B64">
              <w:rPr>
                <w:b/>
                <w:color w:val="000000"/>
              </w:rPr>
              <w:t>Reviewed and Cleared By:</w:t>
            </w:r>
          </w:p>
          <w:p w14:paraId="15AA21A9" w14:textId="77777777" w:rsidR="00EF6294" w:rsidRPr="00845B64" w:rsidRDefault="00EF6294" w:rsidP="00EF6294">
            <w:pPr>
              <w:widowControl w:val="0"/>
              <w:ind w:left="162"/>
              <w:jc w:val="both"/>
              <w:rPr>
                <w:color w:val="000000"/>
              </w:rPr>
            </w:pPr>
          </w:p>
          <w:p w14:paraId="3ADA048C" w14:textId="77777777" w:rsidR="00EF6294" w:rsidRPr="00845B64" w:rsidRDefault="00EF6294" w:rsidP="00EF6294">
            <w:pPr>
              <w:widowControl w:val="0"/>
              <w:ind w:left="162"/>
              <w:jc w:val="both"/>
              <w:rPr>
                <w:b/>
                <w:color w:val="000000"/>
              </w:rPr>
            </w:pPr>
            <w:r w:rsidRPr="00845B64">
              <w:rPr>
                <w:b/>
                <w:color w:val="000000"/>
              </w:rPr>
              <w:t>Commissioning Unit (M&amp;E Focal Point)</w:t>
            </w:r>
          </w:p>
          <w:p w14:paraId="58ED3285" w14:textId="77777777" w:rsidR="00EF6294" w:rsidRPr="00845B64" w:rsidRDefault="00EF6294" w:rsidP="00EF6294">
            <w:pPr>
              <w:widowControl w:val="0"/>
              <w:ind w:left="162"/>
              <w:jc w:val="both"/>
              <w:rPr>
                <w:color w:val="000000"/>
              </w:rPr>
            </w:pPr>
          </w:p>
          <w:p w14:paraId="1EB7F2FB" w14:textId="77777777" w:rsidR="00EF6294" w:rsidRPr="00845B64" w:rsidRDefault="00EF6294" w:rsidP="00EF6294">
            <w:pPr>
              <w:widowControl w:val="0"/>
              <w:ind w:left="162"/>
              <w:jc w:val="both"/>
              <w:rPr>
                <w:color w:val="000000"/>
              </w:rPr>
            </w:pPr>
            <w:r w:rsidRPr="00845B64">
              <w:rPr>
                <w:color w:val="000000"/>
              </w:rPr>
              <w:t>Name: _____________________________________________</w:t>
            </w:r>
          </w:p>
          <w:p w14:paraId="11F158C9" w14:textId="77777777" w:rsidR="00EF6294" w:rsidRPr="00845B64" w:rsidRDefault="00EF6294" w:rsidP="00EF6294">
            <w:pPr>
              <w:widowControl w:val="0"/>
              <w:ind w:left="162"/>
              <w:jc w:val="both"/>
              <w:rPr>
                <w:color w:val="000000"/>
              </w:rPr>
            </w:pPr>
          </w:p>
          <w:p w14:paraId="72E7C313" w14:textId="77777777" w:rsidR="00EF6294" w:rsidRPr="00845B64" w:rsidRDefault="00EF6294" w:rsidP="00EF6294">
            <w:pPr>
              <w:widowControl w:val="0"/>
              <w:ind w:left="162"/>
              <w:jc w:val="both"/>
              <w:rPr>
                <w:color w:val="000000"/>
              </w:rPr>
            </w:pPr>
            <w:r w:rsidRPr="00845B64">
              <w:rPr>
                <w:color w:val="000000"/>
              </w:rPr>
              <w:t>Signature: __________________________________________     Date: _______________________________</w:t>
            </w:r>
          </w:p>
          <w:p w14:paraId="4033A89D" w14:textId="77777777" w:rsidR="00EF6294" w:rsidRPr="00845B64" w:rsidRDefault="00EF6294" w:rsidP="00EF6294">
            <w:pPr>
              <w:widowControl w:val="0"/>
              <w:ind w:left="162"/>
              <w:jc w:val="both"/>
              <w:rPr>
                <w:color w:val="000000"/>
              </w:rPr>
            </w:pPr>
          </w:p>
          <w:p w14:paraId="18D85A7E" w14:textId="77777777" w:rsidR="00EF6294" w:rsidRPr="00845B64" w:rsidRDefault="00EF6294" w:rsidP="00EF6294">
            <w:pPr>
              <w:widowControl w:val="0"/>
              <w:ind w:left="162"/>
              <w:jc w:val="both"/>
              <w:rPr>
                <w:b/>
                <w:color w:val="000000"/>
              </w:rPr>
            </w:pPr>
            <w:r w:rsidRPr="00845B64">
              <w:rPr>
                <w:b/>
                <w:color w:val="000000"/>
              </w:rPr>
              <w:t>Regional Technical Advisor (Nature, Climate and Energy)</w:t>
            </w:r>
          </w:p>
          <w:p w14:paraId="3F1443E1" w14:textId="77777777" w:rsidR="00EF6294" w:rsidRPr="00845B64" w:rsidRDefault="00EF6294" w:rsidP="00EF6294">
            <w:pPr>
              <w:widowControl w:val="0"/>
              <w:ind w:left="162"/>
              <w:jc w:val="both"/>
              <w:rPr>
                <w:color w:val="000000"/>
              </w:rPr>
            </w:pPr>
          </w:p>
          <w:p w14:paraId="077CD9BF" w14:textId="77777777" w:rsidR="00EF6294" w:rsidRPr="00845B64" w:rsidRDefault="00EF6294" w:rsidP="00EF6294">
            <w:pPr>
              <w:widowControl w:val="0"/>
              <w:ind w:left="162"/>
              <w:jc w:val="both"/>
              <w:rPr>
                <w:color w:val="000000"/>
              </w:rPr>
            </w:pPr>
            <w:r w:rsidRPr="00845B64">
              <w:rPr>
                <w:color w:val="000000"/>
              </w:rPr>
              <w:t>Name: _____________________________________________</w:t>
            </w:r>
          </w:p>
          <w:p w14:paraId="5BBA210B" w14:textId="77777777" w:rsidR="00EF6294" w:rsidRPr="00845B64" w:rsidRDefault="00EF6294" w:rsidP="00EF6294">
            <w:pPr>
              <w:widowControl w:val="0"/>
              <w:ind w:left="162"/>
              <w:jc w:val="both"/>
              <w:rPr>
                <w:color w:val="000000"/>
              </w:rPr>
            </w:pPr>
          </w:p>
          <w:p w14:paraId="0E9286BB" w14:textId="77777777" w:rsidR="00EF6294" w:rsidRPr="00845B64" w:rsidRDefault="00EF6294" w:rsidP="00EF6294">
            <w:pPr>
              <w:widowControl w:val="0"/>
              <w:ind w:left="162"/>
              <w:jc w:val="both"/>
              <w:rPr>
                <w:color w:val="000000"/>
              </w:rPr>
            </w:pPr>
            <w:r w:rsidRPr="00845B64">
              <w:rPr>
                <w:color w:val="000000"/>
              </w:rPr>
              <w:t>Signature: __________________________________________     Date: _______________________________</w:t>
            </w:r>
          </w:p>
          <w:p w14:paraId="26475E58" w14:textId="77777777" w:rsidR="00EF6294" w:rsidRPr="00845B64" w:rsidRDefault="00EF6294" w:rsidP="00EF6294">
            <w:pPr>
              <w:widowControl w:val="0"/>
              <w:jc w:val="both"/>
              <w:rPr>
                <w:color w:val="000000"/>
              </w:rPr>
            </w:pPr>
          </w:p>
        </w:tc>
      </w:tr>
    </w:tbl>
    <w:p w14:paraId="304C368C" w14:textId="77777777" w:rsidR="00EF6294" w:rsidRPr="00845B64" w:rsidRDefault="00EF6294" w:rsidP="00EF6294">
      <w:pPr>
        <w:widowControl w:val="0"/>
        <w:spacing w:after="0" w:line="240" w:lineRule="auto"/>
        <w:jc w:val="both"/>
        <w:rPr>
          <w:rFonts w:eastAsia="SimSun" w:cs="Times New Roman"/>
          <w:b/>
          <w:bCs/>
          <w:kern w:val="2"/>
          <w:lang w:eastAsia="zh-CN"/>
        </w:rPr>
      </w:pPr>
    </w:p>
    <w:p w14:paraId="76D5601D" w14:textId="77777777" w:rsidR="00EF6294" w:rsidRPr="00845B64" w:rsidRDefault="00EF6294" w:rsidP="00EF6294">
      <w:pPr>
        <w:widowControl w:val="0"/>
        <w:spacing w:after="0" w:line="240" w:lineRule="auto"/>
        <w:jc w:val="both"/>
        <w:rPr>
          <w:rFonts w:eastAsia="SimSun" w:cs="Times New Roman"/>
          <w:b/>
          <w:bCs/>
          <w:kern w:val="2"/>
          <w:lang w:eastAsia="zh-CN"/>
        </w:rPr>
      </w:pPr>
    </w:p>
    <w:p w14:paraId="72D52EC5" w14:textId="77777777" w:rsidR="00EF6294" w:rsidRPr="00845B64" w:rsidRDefault="00EF6294" w:rsidP="00EF6294">
      <w:pPr>
        <w:widowControl w:val="0"/>
        <w:spacing w:after="0" w:line="240" w:lineRule="auto"/>
        <w:jc w:val="both"/>
        <w:rPr>
          <w:rFonts w:eastAsia="SimSun" w:cs="Times New Roman"/>
          <w:b/>
          <w:bCs/>
          <w:kern w:val="2"/>
          <w:lang w:eastAsia="zh-CN"/>
        </w:rPr>
      </w:pPr>
      <w:r w:rsidRPr="00845B64">
        <w:rPr>
          <w:rFonts w:eastAsia="SimSun" w:cs="Times New Roman"/>
          <w:b/>
          <w:bCs/>
          <w:kern w:val="2"/>
          <w:lang w:eastAsia="zh-CN"/>
        </w:rPr>
        <w:t>ToR Annex H: TE Audit Trail</w:t>
      </w:r>
    </w:p>
    <w:p w14:paraId="77702DAE" w14:textId="77777777" w:rsidR="00EF6294" w:rsidRPr="00845B64" w:rsidRDefault="00EF6294" w:rsidP="00EF6294">
      <w:pPr>
        <w:widowControl w:val="0"/>
        <w:spacing w:after="0" w:line="240" w:lineRule="auto"/>
        <w:jc w:val="both"/>
        <w:rPr>
          <w:rFonts w:eastAsia="SimSun" w:cs="Times New Roman"/>
          <w:i/>
          <w:color w:val="000000"/>
          <w:kern w:val="2"/>
          <w:highlight w:val="lightGray"/>
          <w:lang w:eastAsia="zh-CN"/>
        </w:rPr>
      </w:pPr>
      <w:r w:rsidRPr="00845B64">
        <w:rPr>
          <w:rFonts w:eastAsia="SimSun" w:cs="Times New Roman"/>
          <w:i/>
          <w:color w:val="000000"/>
          <w:kern w:val="2"/>
          <w:highlight w:val="lightGray"/>
          <w:lang w:eastAsia="zh-CN"/>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25955EA1" w14:textId="77777777" w:rsidR="00EF6294" w:rsidRPr="00845B64" w:rsidRDefault="00EF6294" w:rsidP="00EF6294">
      <w:pPr>
        <w:widowControl w:val="0"/>
        <w:autoSpaceDE w:val="0"/>
        <w:autoSpaceDN w:val="0"/>
        <w:adjustRightInd w:val="0"/>
        <w:spacing w:after="0" w:line="240" w:lineRule="auto"/>
        <w:jc w:val="both"/>
        <w:rPr>
          <w:rFonts w:eastAsia="SimSun" w:cs="Times New Roman"/>
          <w:kern w:val="2"/>
          <w:lang w:eastAsia="zh-CN"/>
        </w:rPr>
      </w:pPr>
    </w:p>
    <w:p w14:paraId="6E5C080C" w14:textId="77777777" w:rsidR="00EF6294" w:rsidRPr="00845B64" w:rsidRDefault="00EF6294" w:rsidP="00EF6294">
      <w:pPr>
        <w:widowControl w:val="0"/>
        <w:spacing w:after="0" w:line="240" w:lineRule="auto"/>
        <w:jc w:val="both"/>
        <w:rPr>
          <w:rFonts w:eastAsia="SimSun" w:cs="Times New Roman"/>
          <w:b/>
          <w:color w:val="000000"/>
          <w:kern w:val="2"/>
          <w:lang w:eastAsia="zh-CN"/>
        </w:rPr>
      </w:pPr>
      <w:r w:rsidRPr="00845B64">
        <w:rPr>
          <w:rFonts w:eastAsia="SimSun" w:cs="Times New Roman"/>
          <w:b/>
          <w:color w:val="000000"/>
          <w:kern w:val="2"/>
          <w:lang w:eastAsia="zh-CN"/>
        </w:rPr>
        <w:t>To the comments received on</w:t>
      </w:r>
      <w:r w:rsidRPr="00845B64">
        <w:rPr>
          <w:rFonts w:eastAsia="SimSun" w:cs="Times New Roman"/>
          <w:i/>
          <w:color w:val="000000"/>
          <w:kern w:val="2"/>
          <w:lang w:eastAsia="zh-CN"/>
        </w:rPr>
        <w:t xml:space="preserve"> </w:t>
      </w:r>
      <w:r w:rsidRPr="00845B64">
        <w:rPr>
          <w:rFonts w:eastAsia="SimSun" w:cs="Times New Roman"/>
          <w:i/>
          <w:color w:val="000000"/>
          <w:kern w:val="2"/>
          <w:highlight w:val="lightGray"/>
          <w:lang w:eastAsia="zh-CN"/>
        </w:rPr>
        <w:t>(date)</w:t>
      </w:r>
      <w:r w:rsidRPr="00845B64">
        <w:rPr>
          <w:rFonts w:eastAsia="SimSun" w:cs="Times New Roman"/>
          <w:i/>
          <w:color w:val="000000"/>
          <w:kern w:val="2"/>
          <w:lang w:eastAsia="zh-CN"/>
        </w:rPr>
        <w:t xml:space="preserve"> </w:t>
      </w:r>
      <w:r w:rsidRPr="00845B64">
        <w:rPr>
          <w:rFonts w:eastAsia="SimSun" w:cs="Times New Roman"/>
          <w:b/>
          <w:color w:val="000000"/>
          <w:kern w:val="2"/>
          <w:lang w:eastAsia="zh-CN"/>
        </w:rPr>
        <w:t xml:space="preserve">from the Terminal Evaluation of </w:t>
      </w:r>
      <w:r w:rsidRPr="00845B64">
        <w:rPr>
          <w:rFonts w:eastAsia="SimSun" w:cs="Times New Roman"/>
          <w:i/>
          <w:color w:val="000000"/>
          <w:kern w:val="2"/>
          <w:highlight w:val="lightGray"/>
          <w:lang w:eastAsia="zh-CN"/>
        </w:rPr>
        <w:t>(project name) (UNDP Project PIMS #)</w:t>
      </w:r>
    </w:p>
    <w:p w14:paraId="5BADB216" w14:textId="77777777" w:rsidR="00EF6294" w:rsidRPr="00845B64" w:rsidRDefault="00EF6294" w:rsidP="00EF6294">
      <w:pPr>
        <w:widowControl w:val="0"/>
        <w:spacing w:after="0" w:line="240" w:lineRule="auto"/>
        <w:jc w:val="both"/>
        <w:rPr>
          <w:rFonts w:eastAsia="SimSun" w:cs="Times New Roman"/>
          <w:color w:val="000000"/>
          <w:kern w:val="2"/>
          <w:lang w:eastAsia="zh-CN"/>
        </w:rPr>
      </w:pPr>
    </w:p>
    <w:p w14:paraId="3195EE67" w14:textId="77777777" w:rsidR="00EF6294" w:rsidRPr="00845B64" w:rsidRDefault="00EF6294" w:rsidP="00EF6294">
      <w:pPr>
        <w:widowControl w:val="0"/>
        <w:spacing w:after="0" w:line="240" w:lineRule="auto"/>
        <w:jc w:val="both"/>
        <w:rPr>
          <w:rFonts w:eastAsia="SimSun" w:cs="Times New Roman"/>
          <w:color w:val="000000"/>
          <w:kern w:val="2"/>
          <w:lang w:eastAsia="zh-CN"/>
        </w:rPr>
      </w:pPr>
      <w:r w:rsidRPr="00845B64">
        <w:rPr>
          <w:rFonts w:eastAsia="SimSun" w:cs="Times New Roman"/>
          <w:color w:val="000000"/>
          <w:kern w:val="2"/>
          <w:lang w:eastAsia="zh-CN"/>
        </w:rPr>
        <w:t>The following comments were provided to the draft TE report; they are referenced by institution/organization (do not include the commentator’s name) and track change comment number (“#” column):</w:t>
      </w:r>
    </w:p>
    <w:p w14:paraId="5FE7BB49" w14:textId="77777777" w:rsidR="00EF6294" w:rsidRPr="00845B64" w:rsidRDefault="00EF6294" w:rsidP="00EF6294">
      <w:pPr>
        <w:widowControl w:val="0"/>
        <w:spacing w:after="0" w:line="240" w:lineRule="auto"/>
        <w:jc w:val="center"/>
        <w:rPr>
          <w:rFonts w:eastAsia="SimSun" w:cs="Times New Roman"/>
          <w:b/>
          <w:kern w:val="2"/>
          <w:lang w:eastAsia="zh-CN"/>
        </w:rPr>
      </w:pPr>
    </w:p>
    <w:tbl>
      <w:tblPr>
        <w:tblStyle w:val="TableGrid1"/>
        <w:tblW w:w="9450" w:type="dxa"/>
        <w:tblInd w:w="-5" w:type="dxa"/>
        <w:tblLook w:val="04A0" w:firstRow="1" w:lastRow="0" w:firstColumn="1" w:lastColumn="0" w:noHBand="0" w:noVBand="1"/>
      </w:tblPr>
      <w:tblGrid>
        <w:gridCol w:w="1561"/>
        <w:gridCol w:w="595"/>
        <w:gridCol w:w="1530"/>
        <w:gridCol w:w="2794"/>
        <w:gridCol w:w="2970"/>
      </w:tblGrid>
      <w:tr w:rsidR="00EF6294" w:rsidRPr="00845B64" w14:paraId="38E029A6" w14:textId="77777777" w:rsidTr="00EF6294">
        <w:trPr>
          <w:trHeight w:val="350"/>
        </w:trPr>
        <w:tc>
          <w:tcPr>
            <w:tcW w:w="1561"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5808BF80" w14:textId="77777777" w:rsidR="00EF6294" w:rsidRPr="00845B64" w:rsidRDefault="00EF6294" w:rsidP="00EF6294">
            <w:pPr>
              <w:widowControl w:val="0"/>
              <w:jc w:val="center"/>
              <w:rPr>
                <w:b/>
                <w:color w:val="FFFFFF"/>
              </w:rPr>
            </w:pPr>
            <w:r w:rsidRPr="00845B64">
              <w:rPr>
                <w:b/>
                <w:color w:val="FFFFFF"/>
              </w:rPr>
              <w:t>Institution/</w:t>
            </w:r>
          </w:p>
          <w:p w14:paraId="62A7857D" w14:textId="77777777" w:rsidR="00EF6294" w:rsidRPr="00845B64" w:rsidRDefault="00EF6294" w:rsidP="00EF6294">
            <w:pPr>
              <w:widowControl w:val="0"/>
              <w:jc w:val="center"/>
              <w:rPr>
                <w:b/>
                <w:color w:val="FFFFFF"/>
              </w:rPr>
            </w:pPr>
            <w:r w:rsidRPr="00845B64">
              <w:rPr>
                <w:b/>
                <w:color w:val="FFFFFF"/>
              </w:rPr>
              <w:t>Organization</w:t>
            </w:r>
          </w:p>
        </w:tc>
        <w:tc>
          <w:tcPr>
            <w:tcW w:w="595"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4FB8ED24" w14:textId="77777777" w:rsidR="00EF6294" w:rsidRPr="00845B64" w:rsidRDefault="00EF6294" w:rsidP="00EF6294">
            <w:pPr>
              <w:widowControl w:val="0"/>
              <w:jc w:val="center"/>
              <w:rPr>
                <w:b/>
                <w:color w:val="FFFFFF"/>
              </w:rPr>
            </w:pPr>
            <w:r w:rsidRPr="00845B64">
              <w:rPr>
                <w:b/>
                <w:color w:val="FFFFFF"/>
              </w:rPr>
              <w:t>#</w:t>
            </w:r>
          </w:p>
        </w:tc>
        <w:tc>
          <w:tcPr>
            <w:tcW w:w="1530"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046E6B07" w14:textId="77777777" w:rsidR="00EF6294" w:rsidRPr="00845B64" w:rsidRDefault="00EF6294" w:rsidP="00EF6294">
            <w:pPr>
              <w:widowControl w:val="0"/>
              <w:jc w:val="center"/>
              <w:rPr>
                <w:b/>
                <w:color w:val="FFFFFF"/>
              </w:rPr>
            </w:pPr>
            <w:r w:rsidRPr="00845B64">
              <w:rPr>
                <w:b/>
                <w:color w:val="FFFFFF"/>
              </w:rPr>
              <w:t xml:space="preserve">Para No./ comment location </w:t>
            </w:r>
          </w:p>
        </w:tc>
        <w:tc>
          <w:tcPr>
            <w:tcW w:w="2794"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1B0CA311" w14:textId="77777777" w:rsidR="00EF6294" w:rsidRPr="00845B64" w:rsidRDefault="00EF6294" w:rsidP="00EF6294">
            <w:pPr>
              <w:widowControl w:val="0"/>
              <w:jc w:val="center"/>
              <w:rPr>
                <w:b/>
                <w:color w:val="FFFFFF"/>
              </w:rPr>
            </w:pPr>
            <w:r w:rsidRPr="00845B64">
              <w:rPr>
                <w:b/>
                <w:color w:val="FFFFFF"/>
              </w:rPr>
              <w:t>Comment/Feedback on the draft TE report</w:t>
            </w:r>
          </w:p>
        </w:tc>
        <w:tc>
          <w:tcPr>
            <w:tcW w:w="2970" w:type="dxa"/>
            <w:tcBorders>
              <w:top w:val="single" w:sz="4" w:space="0" w:color="FFFFFF"/>
              <w:left w:val="single" w:sz="4" w:space="0" w:color="FFFFFF"/>
              <w:bottom w:val="single" w:sz="4" w:space="0" w:color="FFFFFF"/>
              <w:right w:val="single" w:sz="4" w:space="0" w:color="FFFFFF"/>
            </w:tcBorders>
            <w:shd w:val="clear" w:color="auto" w:fill="000000"/>
            <w:vAlign w:val="center"/>
            <w:hideMark/>
          </w:tcPr>
          <w:p w14:paraId="4ED88D81" w14:textId="77777777" w:rsidR="00EF6294" w:rsidRPr="00845B64" w:rsidRDefault="00EF6294" w:rsidP="00EF6294">
            <w:pPr>
              <w:widowControl w:val="0"/>
              <w:jc w:val="center"/>
              <w:rPr>
                <w:b/>
                <w:color w:val="FFFFFF"/>
              </w:rPr>
            </w:pPr>
            <w:r w:rsidRPr="00845B64">
              <w:rPr>
                <w:b/>
                <w:color w:val="FFFFFF"/>
              </w:rPr>
              <w:t>TE team</w:t>
            </w:r>
          </w:p>
          <w:p w14:paraId="64B96EE5" w14:textId="77777777" w:rsidR="00EF6294" w:rsidRPr="00845B64" w:rsidRDefault="00EF6294" w:rsidP="00EF6294">
            <w:pPr>
              <w:widowControl w:val="0"/>
              <w:jc w:val="center"/>
              <w:rPr>
                <w:b/>
                <w:color w:val="FFFFFF"/>
              </w:rPr>
            </w:pPr>
            <w:r w:rsidRPr="00845B64">
              <w:rPr>
                <w:b/>
                <w:color w:val="FFFFFF"/>
              </w:rPr>
              <w:t>response and actions taken</w:t>
            </w:r>
          </w:p>
        </w:tc>
      </w:tr>
      <w:tr w:rsidR="00EF6294" w:rsidRPr="00845B64" w14:paraId="280713CB" w14:textId="77777777" w:rsidTr="00EF6294">
        <w:trPr>
          <w:trHeight w:val="261"/>
        </w:trPr>
        <w:tc>
          <w:tcPr>
            <w:tcW w:w="1561" w:type="dxa"/>
            <w:tcBorders>
              <w:top w:val="single" w:sz="4" w:space="0" w:color="FFFFFF"/>
              <w:left w:val="single" w:sz="4" w:space="0" w:color="auto"/>
              <w:bottom w:val="single" w:sz="4" w:space="0" w:color="auto"/>
              <w:right w:val="single" w:sz="4" w:space="0" w:color="auto"/>
            </w:tcBorders>
          </w:tcPr>
          <w:p w14:paraId="0AAA92B6" w14:textId="77777777" w:rsidR="00EF6294" w:rsidRPr="00845B64" w:rsidRDefault="00EF6294" w:rsidP="00EF6294">
            <w:pPr>
              <w:widowControl w:val="0"/>
              <w:jc w:val="center"/>
            </w:pPr>
          </w:p>
        </w:tc>
        <w:tc>
          <w:tcPr>
            <w:tcW w:w="595" w:type="dxa"/>
            <w:tcBorders>
              <w:top w:val="single" w:sz="4" w:space="0" w:color="FFFFFF"/>
              <w:left w:val="single" w:sz="4" w:space="0" w:color="auto"/>
              <w:bottom w:val="single" w:sz="4" w:space="0" w:color="auto"/>
              <w:right w:val="single" w:sz="4" w:space="0" w:color="auto"/>
            </w:tcBorders>
          </w:tcPr>
          <w:p w14:paraId="4CCAF595" w14:textId="77777777" w:rsidR="00EF6294" w:rsidRPr="00845B64" w:rsidRDefault="00EF6294" w:rsidP="00EF6294">
            <w:pPr>
              <w:widowControl w:val="0"/>
              <w:jc w:val="center"/>
            </w:pPr>
          </w:p>
        </w:tc>
        <w:tc>
          <w:tcPr>
            <w:tcW w:w="1530" w:type="dxa"/>
            <w:tcBorders>
              <w:top w:val="single" w:sz="4" w:space="0" w:color="FFFFFF"/>
              <w:left w:val="single" w:sz="4" w:space="0" w:color="auto"/>
              <w:bottom w:val="single" w:sz="4" w:space="0" w:color="auto"/>
              <w:right w:val="single" w:sz="4" w:space="0" w:color="auto"/>
            </w:tcBorders>
          </w:tcPr>
          <w:p w14:paraId="213C2814" w14:textId="77777777" w:rsidR="00EF6294" w:rsidRPr="00845B64" w:rsidRDefault="00EF6294" w:rsidP="00EF6294">
            <w:pPr>
              <w:widowControl w:val="0"/>
              <w:jc w:val="center"/>
            </w:pPr>
          </w:p>
        </w:tc>
        <w:tc>
          <w:tcPr>
            <w:tcW w:w="2794" w:type="dxa"/>
            <w:tcBorders>
              <w:top w:val="single" w:sz="4" w:space="0" w:color="FFFFFF"/>
              <w:left w:val="single" w:sz="4" w:space="0" w:color="auto"/>
              <w:bottom w:val="single" w:sz="4" w:space="0" w:color="auto"/>
              <w:right w:val="single" w:sz="4" w:space="0" w:color="auto"/>
            </w:tcBorders>
          </w:tcPr>
          <w:p w14:paraId="1BDA3DAB" w14:textId="77777777" w:rsidR="00EF6294" w:rsidRPr="00845B64" w:rsidRDefault="00EF6294" w:rsidP="00EF6294">
            <w:pPr>
              <w:widowControl w:val="0"/>
            </w:pPr>
          </w:p>
        </w:tc>
        <w:tc>
          <w:tcPr>
            <w:tcW w:w="2970" w:type="dxa"/>
            <w:tcBorders>
              <w:top w:val="single" w:sz="4" w:space="0" w:color="FFFFFF"/>
              <w:left w:val="single" w:sz="4" w:space="0" w:color="auto"/>
              <w:bottom w:val="single" w:sz="4" w:space="0" w:color="auto"/>
              <w:right w:val="single" w:sz="4" w:space="0" w:color="auto"/>
            </w:tcBorders>
          </w:tcPr>
          <w:p w14:paraId="1E7C77A7" w14:textId="77777777" w:rsidR="00EF6294" w:rsidRPr="00845B64" w:rsidRDefault="00EF6294" w:rsidP="00EF6294">
            <w:pPr>
              <w:widowControl w:val="0"/>
              <w:jc w:val="both"/>
            </w:pPr>
          </w:p>
        </w:tc>
      </w:tr>
      <w:tr w:rsidR="00EF6294" w:rsidRPr="00845B64" w14:paraId="380F0808" w14:textId="77777777" w:rsidTr="00EF6294">
        <w:trPr>
          <w:trHeight w:val="261"/>
        </w:trPr>
        <w:tc>
          <w:tcPr>
            <w:tcW w:w="1561" w:type="dxa"/>
            <w:tcBorders>
              <w:top w:val="single" w:sz="4" w:space="0" w:color="auto"/>
              <w:left w:val="single" w:sz="4" w:space="0" w:color="auto"/>
              <w:bottom w:val="single" w:sz="4" w:space="0" w:color="auto"/>
              <w:right w:val="single" w:sz="4" w:space="0" w:color="auto"/>
            </w:tcBorders>
          </w:tcPr>
          <w:p w14:paraId="328F0938" w14:textId="77777777" w:rsidR="00EF6294" w:rsidRPr="00845B64" w:rsidRDefault="00EF6294" w:rsidP="00EF6294">
            <w:pPr>
              <w:widowControl w:val="0"/>
              <w:jc w:val="center"/>
            </w:pPr>
          </w:p>
        </w:tc>
        <w:tc>
          <w:tcPr>
            <w:tcW w:w="595" w:type="dxa"/>
            <w:tcBorders>
              <w:top w:val="single" w:sz="4" w:space="0" w:color="auto"/>
              <w:left w:val="single" w:sz="4" w:space="0" w:color="auto"/>
              <w:bottom w:val="single" w:sz="4" w:space="0" w:color="auto"/>
              <w:right w:val="single" w:sz="4" w:space="0" w:color="auto"/>
            </w:tcBorders>
          </w:tcPr>
          <w:p w14:paraId="34618535" w14:textId="77777777" w:rsidR="00EF6294" w:rsidRPr="00845B64" w:rsidRDefault="00EF6294" w:rsidP="00EF6294">
            <w:pPr>
              <w:widowControl w:val="0"/>
              <w:jc w:val="center"/>
            </w:pPr>
          </w:p>
        </w:tc>
        <w:tc>
          <w:tcPr>
            <w:tcW w:w="1530" w:type="dxa"/>
            <w:tcBorders>
              <w:top w:val="single" w:sz="4" w:space="0" w:color="auto"/>
              <w:left w:val="single" w:sz="4" w:space="0" w:color="auto"/>
              <w:bottom w:val="single" w:sz="4" w:space="0" w:color="auto"/>
              <w:right w:val="single" w:sz="4" w:space="0" w:color="auto"/>
            </w:tcBorders>
          </w:tcPr>
          <w:p w14:paraId="1C401042" w14:textId="77777777" w:rsidR="00EF6294" w:rsidRPr="00845B64" w:rsidRDefault="00EF6294" w:rsidP="00EF6294">
            <w:pPr>
              <w:widowControl w:val="0"/>
              <w:jc w:val="center"/>
            </w:pPr>
          </w:p>
        </w:tc>
        <w:tc>
          <w:tcPr>
            <w:tcW w:w="2794" w:type="dxa"/>
            <w:tcBorders>
              <w:top w:val="single" w:sz="4" w:space="0" w:color="auto"/>
              <w:left w:val="single" w:sz="4" w:space="0" w:color="auto"/>
              <w:bottom w:val="single" w:sz="4" w:space="0" w:color="auto"/>
              <w:right w:val="single" w:sz="4" w:space="0" w:color="auto"/>
            </w:tcBorders>
          </w:tcPr>
          <w:p w14:paraId="60BC6AD3" w14:textId="77777777" w:rsidR="00EF6294" w:rsidRPr="00845B64" w:rsidRDefault="00EF6294" w:rsidP="00EF6294">
            <w:pPr>
              <w:widowControl w:val="0"/>
            </w:pPr>
          </w:p>
        </w:tc>
        <w:tc>
          <w:tcPr>
            <w:tcW w:w="2970" w:type="dxa"/>
            <w:tcBorders>
              <w:top w:val="single" w:sz="4" w:space="0" w:color="auto"/>
              <w:left w:val="single" w:sz="4" w:space="0" w:color="auto"/>
              <w:bottom w:val="single" w:sz="4" w:space="0" w:color="auto"/>
              <w:right w:val="single" w:sz="4" w:space="0" w:color="auto"/>
            </w:tcBorders>
          </w:tcPr>
          <w:p w14:paraId="375AF8FE" w14:textId="77777777" w:rsidR="00EF6294" w:rsidRPr="00845B64" w:rsidRDefault="00EF6294" w:rsidP="00EF6294">
            <w:pPr>
              <w:widowControl w:val="0"/>
              <w:jc w:val="both"/>
            </w:pPr>
          </w:p>
        </w:tc>
      </w:tr>
      <w:tr w:rsidR="00EF6294" w:rsidRPr="00845B64" w14:paraId="077A1949" w14:textId="77777777" w:rsidTr="00EF6294">
        <w:trPr>
          <w:trHeight w:val="248"/>
        </w:trPr>
        <w:tc>
          <w:tcPr>
            <w:tcW w:w="1561" w:type="dxa"/>
            <w:tcBorders>
              <w:top w:val="single" w:sz="4" w:space="0" w:color="auto"/>
              <w:left w:val="single" w:sz="4" w:space="0" w:color="auto"/>
              <w:bottom w:val="single" w:sz="4" w:space="0" w:color="auto"/>
              <w:right w:val="single" w:sz="4" w:space="0" w:color="auto"/>
            </w:tcBorders>
          </w:tcPr>
          <w:p w14:paraId="33B3F9FE" w14:textId="77777777" w:rsidR="00EF6294" w:rsidRPr="00845B64" w:rsidRDefault="00EF6294" w:rsidP="00EF6294">
            <w:pPr>
              <w:widowControl w:val="0"/>
              <w:jc w:val="center"/>
            </w:pPr>
          </w:p>
        </w:tc>
        <w:tc>
          <w:tcPr>
            <w:tcW w:w="595" w:type="dxa"/>
            <w:tcBorders>
              <w:top w:val="single" w:sz="4" w:space="0" w:color="auto"/>
              <w:left w:val="single" w:sz="4" w:space="0" w:color="auto"/>
              <w:bottom w:val="single" w:sz="4" w:space="0" w:color="auto"/>
              <w:right w:val="single" w:sz="4" w:space="0" w:color="auto"/>
            </w:tcBorders>
          </w:tcPr>
          <w:p w14:paraId="1A8A4C02" w14:textId="77777777" w:rsidR="00EF6294" w:rsidRPr="00845B64" w:rsidRDefault="00EF6294" w:rsidP="00EF6294">
            <w:pPr>
              <w:widowControl w:val="0"/>
              <w:jc w:val="center"/>
            </w:pPr>
          </w:p>
        </w:tc>
        <w:tc>
          <w:tcPr>
            <w:tcW w:w="1530" w:type="dxa"/>
            <w:tcBorders>
              <w:top w:val="single" w:sz="4" w:space="0" w:color="auto"/>
              <w:left w:val="single" w:sz="4" w:space="0" w:color="auto"/>
              <w:bottom w:val="single" w:sz="4" w:space="0" w:color="auto"/>
              <w:right w:val="single" w:sz="4" w:space="0" w:color="auto"/>
            </w:tcBorders>
          </w:tcPr>
          <w:p w14:paraId="4692AE2F" w14:textId="77777777" w:rsidR="00EF6294" w:rsidRPr="00845B64" w:rsidRDefault="00EF6294" w:rsidP="00EF6294">
            <w:pPr>
              <w:widowControl w:val="0"/>
              <w:jc w:val="center"/>
            </w:pPr>
          </w:p>
        </w:tc>
        <w:tc>
          <w:tcPr>
            <w:tcW w:w="2794" w:type="dxa"/>
            <w:tcBorders>
              <w:top w:val="single" w:sz="4" w:space="0" w:color="auto"/>
              <w:left w:val="single" w:sz="4" w:space="0" w:color="auto"/>
              <w:bottom w:val="single" w:sz="4" w:space="0" w:color="auto"/>
              <w:right w:val="single" w:sz="4" w:space="0" w:color="auto"/>
            </w:tcBorders>
          </w:tcPr>
          <w:p w14:paraId="04312987" w14:textId="77777777" w:rsidR="00EF6294" w:rsidRPr="00845B64" w:rsidRDefault="00EF6294" w:rsidP="00EF6294">
            <w:pPr>
              <w:widowControl w:val="0"/>
              <w:jc w:val="both"/>
            </w:pPr>
          </w:p>
        </w:tc>
        <w:tc>
          <w:tcPr>
            <w:tcW w:w="2970" w:type="dxa"/>
            <w:tcBorders>
              <w:top w:val="single" w:sz="4" w:space="0" w:color="auto"/>
              <w:left w:val="single" w:sz="4" w:space="0" w:color="auto"/>
              <w:bottom w:val="single" w:sz="4" w:space="0" w:color="auto"/>
              <w:right w:val="single" w:sz="4" w:space="0" w:color="auto"/>
            </w:tcBorders>
          </w:tcPr>
          <w:p w14:paraId="6D12DB75" w14:textId="77777777" w:rsidR="00EF6294" w:rsidRPr="00845B64" w:rsidRDefault="00EF6294" w:rsidP="00EF6294">
            <w:pPr>
              <w:widowControl w:val="0"/>
              <w:jc w:val="both"/>
            </w:pPr>
          </w:p>
        </w:tc>
      </w:tr>
      <w:tr w:rsidR="00EF6294" w:rsidRPr="00845B64" w14:paraId="4657CC92" w14:textId="77777777" w:rsidTr="00EF6294">
        <w:trPr>
          <w:trHeight w:val="248"/>
        </w:trPr>
        <w:tc>
          <w:tcPr>
            <w:tcW w:w="1561" w:type="dxa"/>
            <w:tcBorders>
              <w:top w:val="single" w:sz="4" w:space="0" w:color="auto"/>
              <w:left w:val="single" w:sz="4" w:space="0" w:color="auto"/>
              <w:bottom w:val="single" w:sz="4" w:space="0" w:color="auto"/>
              <w:right w:val="single" w:sz="4" w:space="0" w:color="auto"/>
            </w:tcBorders>
          </w:tcPr>
          <w:p w14:paraId="7228A9B5" w14:textId="77777777" w:rsidR="00EF6294" w:rsidRPr="00845B64" w:rsidRDefault="00EF6294" w:rsidP="00EF6294">
            <w:pPr>
              <w:widowControl w:val="0"/>
              <w:jc w:val="center"/>
            </w:pPr>
          </w:p>
        </w:tc>
        <w:tc>
          <w:tcPr>
            <w:tcW w:w="595" w:type="dxa"/>
            <w:tcBorders>
              <w:top w:val="single" w:sz="4" w:space="0" w:color="auto"/>
              <w:left w:val="single" w:sz="4" w:space="0" w:color="auto"/>
              <w:bottom w:val="single" w:sz="4" w:space="0" w:color="auto"/>
              <w:right w:val="single" w:sz="4" w:space="0" w:color="auto"/>
            </w:tcBorders>
          </w:tcPr>
          <w:p w14:paraId="1D037AB2" w14:textId="77777777" w:rsidR="00EF6294" w:rsidRPr="00845B64" w:rsidRDefault="00EF6294" w:rsidP="00EF6294">
            <w:pPr>
              <w:widowControl w:val="0"/>
              <w:jc w:val="center"/>
            </w:pPr>
          </w:p>
        </w:tc>
        <w:tc>
          <w:tcPr>
            <w:tcW w:w="1530" w:type="dxa"/>
            <w:tcBorders>
              <w:top w:val="single" w:sz="4" w:space="0" w:color="auto"/>
              <w:left w:val="single" w:sz="4" w:space="0" w:color="auto"/>
              <w:bottom w:val="single" w:sz="4" w:space="0" w:color="auto"/>
              <w:right w:val="single" w:sz="4" w:space="0" w:color="auto"/>
            </w:tcBorders>
          </w:tcPr>
          <w:p w14:paraId="2986AE8C" w14:textId="77777777" w:rsidR="00EF6294" w:rsidRPr="00845B64" w:rsidRDefault="00EF6294" w:rsidP="00EF6294">
            <w:pPr>
              <w:widowControl w:val="0"/>
              <w:jc w:val="center"/>
            </w:pPr>
          </w:p>
        </w:tc>
        <w:tc>
          <w:tcPr>
            <w:tcW w:w="2794" w:type="dxa"/>
            <w:tcBorders>
              <w:top w:val="single" w:sz="4" w:space="0" w:color="auto"/>
              <w:left w:val="single" w:sz="4" w:space="0" w:color="auto"/>
              <w:bottom w:val="single" w:sz="4" w:space="0" w:color="auto"/>
              <w:right w:val="single" w:sz="4" w:space="0" w:color="auto"/>
            </w:tcBorders>
          </w:tcPr>
          <w:p w14:paraId="2EE2E6F5" w14:textId="77777777" w:rsidR="00EF6294" w:rsidRPr="00845B64" w:rsidRDefault="00EF6294" w:rsidP="00EF6294">
            <w:pPr>
              <w:widowControl w:val="0"/>
              <w:jc w:val="both"/>
            </w:pPr>
          </w:p>
        </w:tc>
        <w:tc>
          <w:tcPr>
            <w:tcW w:w="2970" w:type="dxa"/>
            <w:tcBorders>
              <w:top w:val="single" w:sz="4" w:space="0" w:color="auto"/>
              <w:left w:val="single" w:sz="4" w:space="0" w:color="auto"/>
              <w:bottom w:val="single" w:sz="4" w:space="0" w:color="auto"/>
              <w:right w:val="single" w:sz="4" w:space="0" w:color="auto"/>
            </w:tcBorders>
          </w:tcPr>
          <w:p w14:paraId="51C32463" w14:textId="77777777" w:rsidR="00EF6294" w:rsidRPr="00845B64" w:rsidRDefault="00EF6294" w:rsidP="00EF6294">
            <w:pPr>
              <w:widowControl w:val="0"/>
              <w:jc w:val="both"/>
            </w:pPr>
          </w:p>
        </w:tc>
      </w:tr>
      <w:tr w:rsidR="00EF6294" w:rsidRPr="00845B64" w14:paraId="7BFE596E" w14:textId="77777777" w:rsidTr="00EF6294">
        <w:trPr>
          <w:trHeight w:val="261"/>
        </w:trPr>
        <w:tc>
          <w:tcPr>
            <w:tcW w:w="1561" w:type="dxa"/>
            <w:tcBorders>
              <w:top w:val="single" w:sz="4" w:space="0" w:color="auto"/>
              <w:left w:val="single" w:sz="4" w:space="0" w:color="auto"/>
              <w:bottom w:val="single" w:sz="4" w:space="0" w:color="auto"/>
              <w:right w:val="single" w:sz="4" w:space="0" w:color="auto"/>
            </w:tcBorders>
          </w:tcPr>
          <w:p w14:paraId="314FD861" w14:textId="77777777" w:rsidR="00EF6294" w:rsidRPr="00845B64" w:rsidRDefault="00EF6294" w:rsidP="00EF6294">
            <w:pPr>
              <w:widowControl w:val="0"/>
              <w:jc w:val="center"/>
            </w:pPr>
          </w:p>
        </w:tc>
        <w:tc>
          <w:tcPr>
            <w:tcW w:w="595" w:type="dxa"/>
            <w:tcBorders>
              <w:top w:val="single" w:sz="4" w:space="0" w:color="auto"/>
              <w:left w:val="single" w:sz="4" w:space="0" w:color="auto"/>
              <w:bottom w:val="single" w:sz="4" w:space="0" w:color="auto"/>
              <w:right w:val="single" w:sz="4" w:space="0" w:color="auto"/>
            </w:tcBorders>
          </w:tcPr>
          <w:p w14:paraId="5F2CC4D2" w14:textId="77777777" w:rsidR="00EF6294" w:rsidRPr="00845B64" w:rsidRDefault="00EF6294" w:rsidP="00EF6294">
            <w:pPr>
              <w:widowControl w:val="0"/>
              <w:jc w:val="center"/>
            </w:pPr>
          </w:p>
        </w:tc>
        <w:tc>
          <w:tcPr>
            <w:tcW w:w="1530" w:type="dxa"/>
            <w:tcBorders>
              <w:top w:val="single" w:sz="4" w:space="0" w:color="auto"/>
              <w:left w:val="single" w:sz="4" w:space="0" w:color="auto"/>
              <w:bottom w:val="single" w:sz="4" w:space="0" w:color="auto"/>
              <w:right w:val="single" w:sz="4" w:space="0" w:color="auto"/>
            </w:tcBorders>
          </w:tcPr>
          <w:p w14:paraId="5387A659" w14:textId="77777777" w:rsidR="00EF6294" w:rsidRPr="00845B64" w:rsidRDefault="00EF6294" w:rsidP="00EF6294">
            <w:pPr>
              <w:widowControl w:val="0"/>
              <w:jc w:val="center"/>
            </w:pPr>
          </w:p>
        </w:tc>
        <w:tc>
          <w:tcPr>
            <w:tcW w:w="2794" w:type="dxa"/>
            <w:tcBorders>
              <w:top w:val="single" w:sz="4" w:space="0" w:color="auto"/>
              <w:left w:val="single" w:sz="4" w:space="0" w:color="auto"/>
              <w:bottom w:val="single" w:sz="4" w:space="0" w:color="auto"/>
              <w:right w:val="single" w:sz="4" w:space="0" w:color="auto"/>
            </w:tcBorders>
          </w:tcPr>
          <w:p w14:paraId="16057A0E" w14:textId="77777777" w:rsidR="00EF6294" w:rsidRPr="00845B64" w:rsidRDefault="00EF6294" w:rsidP="00EF6294">
            <w:pPr>
              <w:widowControl w:val="0"/>
              <w:jc w:val="both"/>
            </w:pPr>
          </w:p>
        </w:tc>
        <w:tc>
          <w:tcPr>
            <w:tcW w:w="2970" w:type="dxa"/>
            <w:tcBorders>
              <w:top w:val="single" w:sz="4" w:space="0" w:color="auto"/>
              <w:left w:val="single" w:sz="4" w:space="0" w:color="auto"/>
              <w:bottom w:val="single" w:sz="4" w:space="0" w:color="auto"/>
              <w:right w:val="single" w:sz="4" w:space="0" w:color="auto"/>
            </w:tcBorders>
          </w:tcPr>
          <w:p w14:paraId="6B2816C4" w14:textId="77777777" w:rsidR="00EF6294" w:rsidRPr="00845B64" w:rsidRDefault="00EF6294" w:rsidP="00EF6294">
            <w:pPr>
              <w:widowControl w:val="0"/>
              <w:jc w:val="both"/>
            </w:pPr>
          </w:p>
        </w:tc>
      </w:tr>
      <w:tr w:rsidR="00EF6294" w:rsidRPr="00845B64" w14:paraId="76B83C65" w14:textId="77777777" w:rsidTr="00EF6294">
        <w:trPr>
          <w:trHeight w:val="261"/>
        </w:trPr>
        <w:tc>
          <w:tcPr>
            <w:tcW w:w="1561" w:type="dxa"/>
            <w:tcBorders>
              <w:top w:val="single" w:sz="4" w:space="0" w:color="auto"/>
              <w:left w:val="single" w:sz="4" w:space="0" w:color="auto"/>
              <w:bottom w:val="single" w:sz="4" w:space="0" w:color="auto"/>
              <w:right w:val="single" w:sz="4" w:space="0" w:color="auto"/>
            </w:tcBorders>
          </w:tcPr>
          <w:p w14:paraId="67B9D775" w14:textId="77777777" w:rsidR="00EF6294" w:rsidRPr="00845B64" w:rsidRDefault="00EF6294" w:rsidP="00EF6294">
            <w:pPr>
              <w:widowControl w:val="0"/>
              <w:jc w:val="center"/>
            </w:pPr>
          </w:p>
        </w:tc>
        <w:tc>
          <w:tcPr>
            <w:tcW w:w="595" w:type="dxa"/>
            <w:tcBorders>
              <w:top w:val="single" w:sz="4" w:space="0" w:color="auto"/>
              <w:left w:val="single" w:sz="4" w:space="0" w:color="auto"/>
              <w:bottom w:val="single" w:sz="4" w:space="0" w:color="auto"/>
              <w:right w:val="single" w:sz="4" w:space="0" w:color="auto"/>
            </w:tcBorders>
          </w:tcPr>
          <w:p w14:paraId="5F8B7F24" w14:textId="77777777" w:rsidR="00EF6294" w:rsidRPr="00845B64" w:rsidRDefault="00EF6294" w:rsidP="00EF6294">
            <w:pPr>
              <w:widowControl w:val="0"/>
              <w:jc w:val="center"/>
            </w:pPr>
          </w:p>
        </w:tc>
        <w:tc>
          <w:tcPr>
            <w:tcW w:w="1530" w:type="dxa"/>
            <w:tcBorders>
              <w:top w:val="single" w:sz="4" w:space="0" w:color="auto"/>
              <w:left w:val="single" w:sz="4" w:space="0" w:color="auto"/>
              <w:bottom w:val="single" w:sz="4" w:space="0" w:color="auto"/>
              <w:right w:val="single" w:sz="4" w:space="0" w:color="auto"/>
            </w:tcBorders>
          </w:tcPr>
          <w:p w14:paraId="0599678A" w14:textId="77777777" w:rsidR="00EF6294" w:rsidRPr="00845B64" w:rsidRDefault="00EF6294" w:rsidP="00EF6294">
            <w:pPr>
              <w:widowControl w:val="0"/>
              <w:jc w:val="center"/>
            </w:pPr>
          </w:p>
        </w:tc>
        <w:tc>
          <w:tcPr>
            <w:tcW w:w="2794" w:type="dxa"/>
            <w:tcBorders>
              <w:top w:val="single" w:sz="4" w:space="0" w:color="auto"/>
              <w:left w:val="single" w:sz="4" w:space="0" w:color="auto"/>
              <w:bottom w:val="single" w:sz="4" w:space="0" w:color="auto"/>
              <w:right w:val="single" w:sz="4" w:space="0" w:color="auto"/>
            </w:tcBorders>
          </w:tcPr>
          <w:p w14:paraId="6925DC57" w14:textId="77777777" w:rsidR="00EF6294" w:rsidRPr="00845B64" w:rsidRDefault="00EF6294" w:rsidP="00EF6294">
            <w:pPr>
              <w:widowControl w:val="0"/>
            </w:pPr>
          </w:p>
        </w:tc>
        <w:tc>
          <w:tcPr>
            <w:tcW w:w="2970" w:type="dxa"/>
            <w:tcBorders>
              <w:top w:val="single" w:sz="4" w:space="0" w:color="auto"/>
              <w:left w:val="single" w:sz="4" w:space="0" w:color="auto"/>
              <w:bottom w:val="single" w:sz="4" w:space="0" w:color="auto"/>
              <w:right w:val="single" w:sz="4" w:space="0" w:color="auto"/>
            </w:tcBorders>
          </w:tcPr>
          <w:p w14:paraId="6C82F32F" w14:textId="77777777" w:rsidR="00EF6294" w:rsidRPr="00845B64" w:rsidRDefault="00EF6294" w:rsidP="00EF6294">
            <w:pPr>
              <w:widowControl w:val="0"/>
              <w:jc w:val="both"/>
            </w:pPr>
          </w:p>
        </w:tc>
      </w:tr>
      <w:tr w:rsidR="00EF6294" w:rsidRPr="00845B64" w14:paraId="44EE8E39" w14:textId="77777777" w:rsidTr="00EF6294">
        <w:trPr>
          <w:trHeight w:val="261"/>
        </w:trPr>
        <w:tc>
          <w:tcPr>
            <w:tcW w:w="1561" w:type="dxa"/>
            <w:tcBorders>
              <w:top w:val="single" w:sz="4" w:space="0" w:color="auto"/>
              <w:left w:val="single" w:sz="4" w:space="0" w:color="auto"/>
              <w:bottom w:val="single" w:sz="4" w:space="0" w:color="auto"/>
              <w:right w:val="single" w:sz="4" w:space="0" w:color="auto"/>
            </w:tcBorders>
          </w:tcPr>
          <w:p w14:paraId="14F1E54E" w14:textId="77777777" w:rsidR="00EF6294" w:rsidRPr="00845B64" w:rsidRDefault="00EF6294" w:rsidP="00EF6294">
            <w:pPr>
              <w:widowControl w:val="0"/>
              <w:jc w:val="center"/>
            </w:pPr>
          </w:p>
        </w:tc>
        <w:tc>
          <w:tcPr>
            <w:tcW w:w="595" w:type="dxa"/>
            <w:tcBorders>
              <w:top w:val="single" w:sz="4" w:space="0" w:color="auto"/>
              <w:left w:val="single" w:sz="4" w:space="0" w:color="auto"/>
              <w:bottom w:val="single" w:sz="4" w:space="0" w:color="auto"/>
              <w:right w:val="single" w:sz="4" w:space="0" w:color="auto"/>
            </w:tcBorders>
          </w:tcPr>
          <w:p w14:paraId="1EF6A97F" w14:textId="77777777" w:rsidR="00EF6294" w:rsidRPr="00845B64" w:rsidRDefault="00EF6294" w:rsidP="00EF6294">
            <w:pPr>
              <w:widowControl w:val="0"/>
              <w:jc w:val="center"/>
            </w:pPr>
          </w:p>
        </w:tc>
        <w:tc>
          <w:tcPr>
            <w:tcW w:w="1530" w:type="dxa"/>
            <w:tcBorders>
              <w:top w:val="single" w:sz="4" w:space="0" w:color="auto"/>
              <w:left w:val="single" w:sz="4" w:space="0" w:color="auto"/>
              <w:bottom w:val="single" w:sz="4" w:space="0" w:color="auto"/>
              <w:right w:val="single" w:sz="4" w:space="0" w:color="auto"/>
            </w:tcBorders>
          </w:tcPr>
          <w:p w14:paraId="77D11D8A" w14:textId="77777777" w:rsidR="00EF6294" w:rsidRPr="00845B64" w:rsidRDefault="00EF6294" w:rsidP="00EF6294">
            <w:pPr>
              <w:widowControl w:val="0"/>
              <w:jc w:val="center"/>
            </w:pPr>
          </w:p>
        </w:tc>
        <w:tc>
          <w:tcPr>
            <w:tcW w:w="2794" w:type="dxa"/>
            <w:tcBorders>
              <w:top w:val="single" w:sz="4" w:space="0" w:color="auto"/>
              <w:left w:val="single" w:sz="4" w:space="0" w:color="auto"/>
              <w:bottom w:val="single" w:sz="4" w:space="0" w:color="auto"/>
              <w:right w:val="single" w:sz="4" w:space="0" w:color="auto"/>
            </w:tcBorders>
          </w:tcPr>
          <w:p w14:paraId="2C671E03" w14:textId="77777777" w:rsidR="00EF6294" w:rsidRPr="00845B64" w:rsidRDefault="00EF6294" w:rsidP="00EF6294">
            <w:pPr>
              <w:widowControl w:val="0"/>
            </w:pPr>
          </w:p>
        </w:tc>
        <w:tc>
          <w:tcPr>
            <w:tcW w:w="2970" w:type="dxa"/>
            <w:tcBorders>
              <w:top w:val="single" w:sz="4" w:space="0" w:color="auto"/>
              <w:left w:val="single" w:sz="4" w:space="0" w:color="auto"/>
              <w:bottom w:val="single" w:sz="4" w:space="0" w:color="auto"/>
              <w:right w:val="single" w:sz="4" w:space="0" w:color="auto"/>
            </w:tcBorders>
          </w:tcPr>
          <w:p w14:paraId="0AF71BB4" w14:textId="77777777" w:rsidR="00EF6294" w:rsidRPr="00845B64" w:rsidRDefault="00EF6294" w:rsidP="00EF6294">
            <w:pPr>
              <w:widowControl w:val="0"/>
              <w:jc w:val="both"/>
            </w:pPr>
          </w:p>
        </w:tc>
      </w:tr>
      <w:tr w:rsidR="00EF6294" w:rsidRPr="00845B64" w14:paraId="38F366D8" w14:textId="77777777" w:rsidTr="00EF6294">
        <w:trPr>
          <w:trHeight w:val="248"/>
        </w:trPr>
        <w:tc>
          <w:tcPr>
            <w:tcW w:w="1561" w:type="dxa"/>
            <w:tcBorders>
              <w:top w:val="single" w:sz="4" w:space="0" w:color="auto"/>
              <w:left w:val="single" w:sz="4" w:space="0" w:color="auto"/>
              <w:bottom w:val="single" w:sz="4" w:space="0" w:color="auto"/>
              <w:right w:val="single" w:sz="4" w:space="0" w:color="auto"/>
            </w:tcBorders>
          </w:tcPr>
          <w:p w14:paraId="0ED305A4" w14:textId="77777777" w:rsidR="00EF6294" w:rsidRPr="00845B64" w:rsidRDefault="00EF6294" w:rsidP="00EF6294">
            <w:pPr>
              <w:widowControl w:val="0"/>
              <w:jc w:val="center"/>
            </w:pPr>
          </w:p>
        </w:tc>
        <w:tc>
          <w:tcPr>
            <w:tcW w:w="595" w:type="dxa"/>
            <w:tcBorders>
              <w:top w:val="single" w:sz="4" w:space="0" w:color="auto"/>
              <w:left w:val="single" w:sz="4" w:space="0" w:color="auto"/>
              <w:bottom w:val="single" w:sz="4" w:space="0" w:color="auto"/>
              <w:right w:val="single" w:sz="4" w:space="0" w:color="auto"/>
            </w:tcBorders>
          </w:tcPr>
          <w:p w14:paraId="508C0B64" w14:textId="77777777" w:rsidR="00EF6294" w:rsidRPr="00845B64" w:rsidRDefault="00EF6294" w:rsidP="00EF6294">
            <w:pPr>
              <w:widowControl w:val="0"/>
              <w:jc w:val="center"/>
            </w:pPr>
          </w:p>
        </w:tc>
        <w:tc>
          <w:tcPr>
            <w:tcW w:w="1530" w:type="dxa"/>
            <w:tcBorders>
              <w:top w:val="single" w:sz="4" w:space="0" w:color="auto"/>
              <w:left w:val="single" w:sz="4" w:space="0" w:color="auto"/>
              <w:bottom w:val="single" w:sz="4" w:space="0" w:color="auto"/>
              <w:right w:val="single" w:sz="4" w:space="0" w:color="auto"/>
            </w:tcBorders>
          </w:tcPr>
          <w:p w14:paraId="279DD89E" w14:textId="77777777" w:rsidR="00EF6294" w:rsidRPr="00845B64" w:rsidRDefault="00EF6294" w:rsidP="00EF6294">
            <w:pPr>
              <w:widowControl w:val="0"/>
              <w:jc w:val="center"/>
            </w:pPr>
          </w:p>
        </w:tc>
        <w:tc>
          <w:tcPr>
            <w:tcW w:w="2794" w:type="dxa"/>
            <w:tcBorders>
              <w:top w:val="single" w:sz="4" w:space="0" w:color="auto"/>
              <w:left w:val="single" w:sz="4" w:space="0" w:color="auto"/>
              <w:bottom w:val="single" w:sz="4" w:space="0" w:color="auto"/>
              <w:right w:val="single" w:sz="4" w:space="0" w:color="auto"/>
            </w:tcBorders>
          </w:tcPr>
          <w:p w14:paraId="6D8BDE57" w14:textId="77777777" w:rsidR="00EF6294" w:rsidRPr="00845B64" w:rsidRDefault="00EF6294" w:rsidP="00EF6294">
            <w:pPr>
              <w:widowControl w:val="0"/>
              <w:jc w:val="both"/>
            </w:pPr>
          </w:p>
        </w:tc>
        <w:tc>
          <w:tcPr>
            <w:tcW w:w="2970" w:type="dxa"/>
            <w:tcBorders>
              <w:top w:val="single" w:sz="4" w:space="0" w:color="auto"/>
              <w:left w:val="single" w:sz="4" w:space="0" w:color="auto"/>
              <w:bottom w:val="single" w:sz="4" w:space="0" w:color="auto"/>
              <w:right w:val="single" w:sz="4" w:space="0" w:color="auto"/>
            </w:tcBorders>
          </w:tcPr>
          <w:p w14:paraId="29DDB19C" w14:textId="77777777" w:rsidR="00EF6294" w:rsidRPr="00845B64" w:rsidRDefault="00EF6294" w:rsidP="00EF6294">
            <w:pPr>
              <w:widowControl w:val="0"/>
              <w:jc w:val="both"/>
            </w:pPr>
          </w:p>
        </w:tc>
      </w:tr>
      <w:tr w:rsidR="00EF6294" w:rsidRPr="00845B64" w14:paraId="48B9C0E6" w14:textId="77777777" w:rsidTr="00EF6294">
        <w:trPr>
          <w:trHeight w:val="248"/>
        </w:trPr>
        <w:tc>
          <w:tcPr>
            <w:tcW w:w="1561" w:type="dxa"/>
            <w:tcBorders>
              <w:top w:val="single" w:sz="4" w:space="0" w:color="auto"/>
              <w:left w:val="single" w:sz="4" w:space="0" w:color="auto"/>
              <w:bottom w:val="single" w:sz="4" w:space="0" w:color="auto"/>
              <w:right w:val="single" w:sz="4" w:space="0" w:color="auto"/>
            </w:tcBorders>
          </w:tcPr>
          <w:p w14:paraId="6CBD36A5" w14:textId="77777777" w:rsidR="00EF6294" w:rsidRPr="00845B64" w:rsidRDefault="00EF6294" w:rsidP="00EF6294">
            <w:pPr>
              <w:widowControl w:val="0"/>
              <w:jc w:val="center"/>
            </w:pPr>
          </w:p>
        </w:tc>
        <w:tc>
          <w:tcPr>
            <w:tcW w:w="595" w:type="dxa"/>
            <w:tcBorders>
              <w:top w:val="single" w:sz="4" w:space="0" w:color="auto"/>
              <w:left w:val="single" w:sz="4" w:space="0" w:color="auto"/>
              <w:bottom w:val="single" w:sz="4" w:space="0" w:color="auto"/>
              <w:right w:val="single" w:sz="4" w:space="0" w:color="auto"/>
            </w:tcBorders>
          </w:tcPr>
          <w:p w14:paraId="31E65167" w14:textId="77777777" w:rsidR="00EF6294" w:rsidRPr="00845B64" w:rsidRDefault="00EF6294" w:rsidP="00EF6294">
            <w:pPr>
              <w:widowControl w:val="0"/>
              <w:jc w:val="center"/>
            </w:pPr>
          </w:p>
        </w:tc>
        <w:tc>
          <w:tcPr>
            <w:tcW w:w="1530" w:type="dxa"/>
            <w:tcBorders>
              <w:top w:val="single" w:sz="4" w:space="0" w:color="auto"/>
              <w:left w:val="single" w:sz="4" w:space="0" w:color="auto"/>
              <w:bottom w:val="single" w:sz="4" w:space="0" w:color="auto"/>
              <w:right w:val="single" w:sz="4" w:space="0" w:color="auto"/>
            </w:tcBorders>
          </w:tcPr>
          <w:p w14:paraId="6BCDA0D3" w14:textId="77777777" w:rsidR="00EF6294" w:rsidRPr="00845B64" w:rsidRDefault="00EF6294" w:rsidP="00EF6294">
            <w:pPr>
              <w:widowControl w:val="0"/>
              <w:jc w:val="center"/>
            </w:pPr>
          </w:p>
        </w:tc>
        <w:tc>
          <w:tcPr>
            <w:tcW w:w="2794" w:type="dxa"/>
            <w:tcBorders>
              <w:top w:val="single" w:sz="4" w:space="0" w:color="auto"/>
              <w:left w:val="single" w:sz="4" w:space="0" w:color="auto"/>
              <w:bottom w:val="single" w:sz="4" w:space="0" w:color="auto"/>
              <w:right w:val="single" w:sz="4" w:space="0" w:color="auto"/>
            </w:tcBorders>
          </w:tcPr>
          <w:p w14:paraId="4A9FB8A3" w14:textId="77777777" w:rsidR="00EF6294" w:rsidRPr="00845B64" w:rsidRDefault="00EF6294" w:rsidP="00EF6294">
            <w:pPr>
              <w:widowControl w:val="0"/>
              <w:jc w:val="both"/>
            </w:pPr>
          </w:p>
        </w:tc>
        <w:tc>
          <w:tcPr>
            <w:tcW w:w="2970" w:type="dxa"/>
            <w:tcBorders>
              <w:top w:val="single" w:sz="4" w:space="0" w:color="auto"/>
              <w:left w:val="single" w:sz="4" w:space="0" w:color="auto"/>
              <w:bottom w:val="single" w:sz="4" w:space="0" w:color="auto"/>
              <w:right w:val="single" w:sz="4" w:space="0" w:color="auto"/>
            </w:tcBorders>
          </w:tcPr>
          <w:p w14:paraId="6C7B13F6" w14:textId="77777777" w:rsidR="00EF6294" w:rsidRPr="00845B64" w:rsidRDefault="00EF6294" w:rsidP="00EF6294">
            <w:pPr>
              <w:widowControl w:val="0"/>
              <w:jc w:val="both"/>
            </w:pPr>
          </w:p>
        </w:tc>
      </w:tr>
    </w:tbl>
    <w:p w14:paraId="192A0D33" w14:textId="77777777" w:rsidR="00EF6294" w:rsidRPr="00845B64" w:rsidRDefault="00EF6294" w:rsidP="00EF6294">
      <w:pPr>
        <w:widowControl w:val="0"/>
        <w:spacing w:after="0" w:line="240" w:lineRule="auto"/>
        <w:jc w:val="both"/>
        <w:rPr>
          <w:rFonts w:eastAsia="SimSun" w:cs="Times New Roman"/>
          <w:kern w:val="2"/>
          <w:lang w:eastAsia="zh-CN"/>
        </w:rPr>
      </w:pPr>
    </w:p>
    <w:p w14:paraId="7D49289A" w14:textId="77777777" w:rsidR="00EF6294" w:rsidRPr="00845B64" w:rsidRDefault="00EF6294" w:rsidP="00EF6294">
      <w:pPr>
        <w:widowControl w:val="0"/>
        <w:spacing w:after="0" w:line="240" w:lineRule="auto"/>
        <w:jc w:val="both"/>
        <w:rPr>
          <w:rFonts w:eastAsia="SimSun" w:cs="Times New Roman"/>
          <w:kern w:val="2"/>
          <w:lang w:eastAsia="zh-CN"/>
        </w:rPr>
      </w:pPr>
    </w:p>
    <w:p w14:paraId="7AA79C4B" w14:textId="77777777" w:rsidR="00EF6294" w:rsidRPr="00845B64" w:rsidRDefault="00EF6294" w:rsidP="00EF6294">
      <w:pPr>
        <w:widowControl w:val="0"/>
        <w:spacing w:after="0" w:line="240" w:lineRule="auto"/>
        <w:jc w:val="both"/>
        <w:rPr>
          <w:rFonts w:eastAsia="SimSun" w:cs="Times New Roman"/>
          <w:kern w:val="2"/>
          <w:lang w:eastAsia="zh-CN"/>
        </w:rPr>
      </w:pPr>
    </w:p>
    <w:p w14:paraId="0B23EF4C" w14:textId="77777777" w:rsidR="00EF6294" w:rsidRPr="00845B64" w:rsidRDefault="00EF6294" w:rsidP="00EF6294">
      <w:pPr>
        <w:widowControl w:val="0"/>
        <w:spacing w:after="0" w:line="240" w:lineRule="auto"/>
        <w:jc w:val="both"/>
        <w:rPr>
          <w:rFonts w:eastAsia="SimSun" w:cs="Times New Roman"/>
          <w:b/>
          <w:bCs/>
          <w:kern w:val="2"/>
          <w:lang w:eastAsia="zh-CN"/>
        </w:rPr>
      </w:pPr>
    </w:p>
    <w:p w14:paraId="7C9FE86F" w14:textId="77777777" w:rsidR="00EF6294" w:rsidRPr="00845B64" w:rsidRDefault="00EF6294" w:rsidP="00EF6294">
      <w:pPr>
        <w:widowControl w:val="0"/>
        <w:spacing w:after="0" w:line="240" w:lineRule="auto"/>
        <w:jc w:val="both"/>
        <w:rPr>
          <w:rFonts w:eastAsia="SimSun" w:cs="Times New Roman"/>
          <w:kern w:val="2"/>
          <w:lang w:eastAsia="zh-CN"/>
        </w:rPr>
      </w:pPr>
    </w:p>
    <w:p w14:paraId="1DA4E283" w14:textId="77777777" w:rsidR="00EF6294" w:rsidRPr="00845B64" w:rsidRDefault="00EF6294" w:rsidP="00EF6294">
      <w:pPr>
        <w:widowControl w:val="0"/>
        <w:spacing w:after="0" w:line="240" w:lineRule="auto"/>
        <w:jc w:val="both"/>
        <w:rPr>
          <w:rFonts w:eastAsia="SimSun" w:cs="Times New Roman"/>
          <w:kern w:val="2"/>
          <w:lang w:eastAsia="zh-CN"/>
        </w:rPr>
      </w:pPr>
    </w:p>
    <w:p w14:paraId="201651C3" w14:textId="77777777" w:rsidR="00EF6294" w:rsidRDefault="00EF6294" w:rsidP="00EF6294">
      <w:pPr>
        <w:sectPr w:rsidR="00EF6294">
          <w:pgSz w:w="12240" w:h="15840"/>
          <w:pgMar w:top="1440" w:right="1440" w:bottom="1440" w:left="1440" w:header="720" w:footer="720" w:gutter="0"/>
          <w:cols w:space="720"/>
          <w:docGrid w:linePitch="360"/>
        </w:sectPr>
      </w:pPr>
    </w:p>
    <w:p w14:paraId="6B299477" w14:textId="7E781F9B" w:rsidR="008E2C94" w:rsidRDefault="008E2C94" w:rsidP="00AC0D02">
      <w:pPr>
        <w:pStyle w:val="Heading1"/>
        <w:numPr>
          <w:ilvl w:val="0"/>
          <w:numId w:val="5"/>
        </w:numPr>
      </w:pPr>
      <w:bookmarkStart w:id="70" w:name="_Toc64632062"/>
      <w:r w:rsidRPr="004C1CE4">
        <w:lastRenderedPageBreak/>
        <w:t>List of persons interviewed</w:t>
      </w:r>
      <w:bookmarkEnd w:id="70"/>
    </w:p>
    <w:p w14:paraId="34DA2F70" w14:textId="482F0560" w:rsidR="004B558C" w:rsidRDefault="004B558C" w:rsidP="008A607F">
      <w:pPr>
        <w:pStyle w:val="Caption"/>
        <w:spacing w:after="120"/>
        <w:ind w:firstLine="992"/>
      </w:pPr>
      <w:r>
        <w:t>Table B.1. List of persons interviewed</w:t>
      </w:r>
    </w:p>
    <w:tbl>
      <w:tblPr>
        <w:tblStyle w:val="TableGrid"/>
        <w:tblW w:w="0" w:type="auto"/>
        <w:tblInd w:w="988" w:type="dxa"/>
        <w:tblLook w:val="04A0" w:firstRow="1" w:lastRow="0" w:firstColumn="1" w:lastColumn="0" w:noHBand="0" w:noVBand="1"/>
      </w:tblPr>
      <w:tblGrid>
        <w:gridCol w:w="1984"/>
        <w:gridCol w:w="6378"/>
      </w:tblGrid>
      <w:tr w:rsidR="00D541A0" w:rsidRPr="004F6F24" w14:paraId="2DEA7A34" w14:textId="77777777" w:rsidTr="00C84042">
        <w:tc>
          <w:tcPr>
            <w:tcW w:w="1984" w:type="dxa"/>
            <w:shd w:val="clear" w:color="auto" w:fill="77ACDC" w:themeFill="accent5" w:themeFillTint="99"/>
          </w:tcPr>
          <w:p w14:paraId="282014BD" w14:textId="1E8D3127" w:rsidR="00D541A0" w:rsidRPr="004F6F24" w:rsidRDefault="004F6F24" w:rsidP="00D541A0">
            <w:pPr>
              <w:rPr>
                <w:b/>
                <w:bCs/>
              </w:rPr>
            </w:pPr>
            <w:r w:rsidRPr="004F6F24">
              <w:rPr>
                <w:b/>
                <w:bCs/>
              </w:rPr>
              <w:t>Name</w:t>
            </w:r>
          </w:p>
        </w:tc>
        <w:tc>
          <w:tcPr>
            <w:tcW w:w="6378" w:type="dxa"/>
            <w:shd w:val="clear" w:color="auto" w:fill="77ACDC" w:themeFill="accent5" w:themeFillTint="99"/>
          </w:tcPr>
          <w:p w14:paraId="71C85825" w14:textId="17FCF8EA" w:rsidR="00D541A0" w:rsidRPr="004F6F24" w:rsidRDefault="004F6F24" w:rsidP="00D541A0">
            <w:pPr>
              <w:rPr>
                <w:b/>
                <w:bCs/>
              </w:rPr>
            </w:pPr>
            <w:r w:rsidRPr="004F6F24">
              <w:rPr>
                <w:b/>
                <w:bCs/>
              </w:rPr>
              <w:t>Affiliation</w:t>
            </w:r>
          </w:p>
        </w:tc>
      </w:tr>
      <w:tr w:rsidR="004F6F24" w14:paraId="7E50A629" w14:textId="77777777" w:rsidTr="00C84042">
        <w:tc>
          <w:tcPr>
            <w:tcW w:w="8362" w:type="dxa"/>
            <w:gridSpan w:val="2"/>
            <w:shd w:val="clear" w:color="auto" w:fill="D1E3F3" w:themeFill="accent5" w:themeFillTint="33"/>
          </w:tcPr>
          <w:p w14:paraId="309C7C13" w14:textId="65EF4AA4" w:rsidR="004F6F24" w:rsidRPr="004F6F24" w:rsidRDefault="004F6F24" w:rsidP="00C84042">
            <w:pPr>
              <w:ind w:firstLine="880"/>
              <w:rPr>
                <w:b/>
                <w:bCs/>
              </w:rPr>
            </w:pPr>
            <w:r w:rsidRPr="004F6F24">
              <w:rPr>
                <w:b/>
                <w:bCs/>
              </w:rPr>
              <w:t>Project Management Unit</w:t>
            </w:r>
          </w:p>
        </w:tc>
      </w:tr>
      <w:tr w:rsidR="00597288" w14:paraId="5EFDA840" w14:textId="77777777" w:rsidTr="00C84042">
        <w:tc>
          <w:tcPr>
            <w:tcW w:w="1984" w:type="dxa"/>
          </w:tcPr>
          <w:p w14:paraId="0CB02E4C" w14:textId="363CC3C9" w:rsidR="00597288" w:rsidRDefault="00597288" w:rsidP="003D6B85">
            <w:pPr>
              <w:ind w:firstLine="175"/>
            </w:pPr>
            <w:r>
              <w:t>Yang Shouquan</w:t>
            </w:r>
          </w:p>
        </w:tc>
        <w:tc>
          <w:tcPr>
            <w:tcW w:w="6378" w:type="dxa"/>
          </w:tcPr>
          <w:p w14:paraId="5DECC2E5" w14:textId="10E759C8" w:rsidR="00597288" w:rsidRDefault="00597288" w:rsidP="00D541A0">
            <w:r>
              <w:t>Project manager</w:t>
            </w:r>
          </w:p>
        </w:tc>
      </w:tr>
      <w:tr w:rsidR="004F470E" w14:paraId="0C0A42D5" w14:textId="77777777" w:rsidTr="00C84042">
        <w:trPr>
          <w:trHeight w:val="165"/>
        </w:trPr>
        <w:tc>
          <w:tcPr>
            <w:tcW w:w="1984" w:type="dxa"/>
          </w:tcPr>
          <w:p w14:paraId="0068128C" w14:textId="5196D1E1" w:rsidR="004F470E" w:rsidRDefault="004F470E" w:rsidP="003D6B85">
            <w:pPr>
              <w:ind w:firstLine="175"/>
            </w:pPr>
            <w:r w:rsidRPr="004F470E">
              <w:t>Zhang Yu</w:t>
            </w:r>
          </w:p>
        </w:tc>
        <w:tc>
          <w:tcPr>
            <w:tcW w:w="6378" w:type="dxa"/>
          </w:tcPr>
          <w:p w14:paraId="339C3E2E" w14:textId="166F945D" w:rsidR="004F470E" w:rsidRDefault="004F470E" w:rsidP="00D541A0">
            <w:r>
              <w:t>P</w:t>
            </w:r>
            <w:r w:rsidRPr="004F470E">
              <w:t>roject coordinator and administrator</w:t>
            </w:r>
          </w:p>
        </w:tc>
      </w:tr>
      <w:tr w:rsidR="00D541A0" w14:paraId="479E629F" w14:textId="77777777" w:rsidTr="00C84042">
        <w:tc>
          <w:tcPr>
            <w:tcW w:w="1984" w:type="dxa"/>
          </w:tcPr>
          <w:p w14:paraId="77037B1C" w14:textId="685FAD58" w:rsidR="00D541A0" w:rsidRDefault="00D541A0" w:rsidP="003D6B85">
            <w:pPr>
              <w:ind w:firstLine="175"/>
            </w:pPr>
            <w:r w:rsidRPr="00D541A0">
              <w:t>Huang Wei</w:t>
            </w:r>
          </w:p>
        </w:tc>
        <w:tc>
          <w:tcPr>
            <w:tcW w:w="6378" w:type="dxa"/>
          </w:tcPr>
          <w:p w14:paraId="5B96EA11" w14:textId="3CC75007" w:rsidR="00D541A0" w:rsidRDefault="003E69FF" w:rsidP="00D541A0">
            <w:r>
              <w:t>C</w:t>
            </w:r>
            <w:r w:rsidRPr="003E69FF">
              <w:t>hief technical consultant</w:t>
            </w:r>
          </w:p>
        </w:tc>
      </w:tr>
      <w:tr w:rsidR="00D541A0" w14:paraId="7B5DD513" w14:textId="77777777" w:rsidTr="00C84042">
        <w:trPr>
          <w:trHeight w:val="64"/>
        </w:trPr>
        <w:tc>
          <w:tcPr>
            <w:tcW w:w="1984" w:type="dxa"/>
          </w:tcPr>
          <w:p w14:paraId="223A3C70" w14:textId="4F738F0E" w:rsidR="00D541A0" w:rsidRDefault="00D541A0" w:rsidP="003D6B85">
            <w:pPr>
              <w:ind w:firstLine="175"/>
            </w:pPr>
            <w:r>
              <w:t>Wei Danqing</w:t>
            </w:r>
          </w:p>
        </w:tc>
        <w:tc>
          <w:tcPr>
            <w:tcW w:w="6378" w:type="dxa"/>
          </w:tcPr>
          <w:p w14:paraId="2F2D63E3" w14:textId="636426D0" w:rsidR="00D541A0" w:rsidRDefault="00542D32" w:rsidP="00D541A0">
            <w:r>
              <w:t>P</w:t>
            </w:r>
            <w:r w:rsidRPr="00542D32">
              <w:t>roject coordinator and administrator</w:t>
            </w:r>
          </w:p>
        </w:tc>
      </w:tr>
      <w:tr w:rsidR="00C84042" w14:paraId="422ED626" w14:textId="77777777" w:rsidTr="00C84042">
        <w:tc>
          <w:tcPr>
            <w:tcW w:w="8362" w:type="dxa"/>
            <w:gridSpan w:val="2"/>
            <w:shd w:val="clear" w:color="auto" w:fill="D1E3F3" w:themeFill="accent5" w:themeFillTint="33"/>
          </w:tcPr>
          <w:p w14:paraId="7B929A1A" w14:textId="42198AC2" w:rsidR="00C84042" w:rsidRDefault="00C84042" w:rsidP="00C84042">
            <w:pPr>
              <w:ind w:firstLine="880"/>
            </w:pPr>
            <w:r w:rsidRPr="00C84042">
              <w:rPr>
                <w:b/>
                <w:bCs/>
              </w:rPr>
              <w:t>Project Steering Committee</w:t>
            </w:r>
          </w:p>
        </w:tc>
      </w:tr>
      <w:tr w:rsidR="004F6F24" w14:paraId="40F52846" w14:textId="77777777" w:rsidTr="00C84042">
        <w:tc>
          <w:tcPr>
            <w:tcW w:w="1984" w:type="dxa"/>
          </w:tcPr>
          <w:p w14:paraId="09F82CCB" w14:textId="57B8B100" w:rsidR="004F6F24" w:rsidRDefault="004F6F24" w:rsidP="00F0435E">
            <w:pPr>
              <w:ind w:firstLine="175"/>
            </w:pPr>
            <w:r w:rsidRPr="0092074E">
              <w:t>Wu Zhitao</w:t>
            </w:r>
          </w:p>
        </w:tc>
        <w:tc>
          <w:tcPr>
            <w:tcW w:w="6378" w:type="dxa"/>
          </w:tcPr>
          <w:p w14:paraId="10DB1D06" w14:textId="636B3573" w:rsidR="004F6F24" w:rsidRDefault="004F6F24" w:rsidP="004F6F24">
            <w:r>
              <w:t>F</w:t>
            </w:r>
            <w:r w:rsidRPr="0092074E">
              <w:t>uyang Hangzhou Transfar Logistics Base Co., Ltd.</w:t>
            </w:r>
          </w:p>
        </w:tc>
      </w:tr>
      <w:tr w:rsidR="004F6F24" w14:paraId="208F1EED" w14:textId="77777777" w:rsidTr="00C84042">
        <w:tc>
          <w:tcPr>
            <w:tcW w:w="1984" w:type="dxa"/>
          </w:tcPr>
          <w:p w14:paraId="6BB347AD" w14:textId="18E74B6A" w:rsidR="004F6F24" w:rsidRDefault="004F6F24" w:rsidP="00F0435E">
            <w:pPr>
              <w:ind w:firstLine="175"/>
            </w:pPr>
            <w:r w:rsidRPr="0092074E">
              <w:t>Li Lu</w:t>
            </w:r>
          </w:p>
        </w:tc>
        <w:tc>
          <w:tcPr>
            <w:tcW w:w="6378" w:type="dxa"/>
          </w:tcPr>
          <w:p w14:paraId="57D1A40B" w14:textId="7C44E11E" w:rsidR="004F6F24" w:rsidRDefault="004F6F24" w:rsidP="004F6F24">
            <w:r w:rsidRPr="0092074E">
              <w:t>Zhejiang Fuyang Port International Co. Ltd.</w:t>
            </w:r>
          </w:p>
        </w:tc>
      </w:tr>
      <w:tr w:rsidR="004F6F24" w14:paraId="73C2F32F" w14:textId="77777777" w:rsidTr="00C84042">
        <w:tc>
          <w:tcPr>
            <w:tcW w:w="1984" w:type="dxa"/>
          </w:tcPr>
          <w:p w14:paraId="7BE90571" w14:textId="136EFECE" w:rsidR="004F6F24" w:rsidRPr="0092074E" w:rsidRDefault="004F6F24" w:rsidP="00F0435E">
            <w:pPr>
              <w:ind w:firstLine="175"/>
            </w:pPr>
            <w:r w:rsidRPr="00542D32">
              <w:t>Ying Qixiang</w:t>
            </w:r>
          </w:p>
        </w:tc>
        <w:tc>
          <w:tcPr>
            <w:tcW w:w="6378" w:type="dxa"/>
          </w:tcPr>
          <w:p w14:paraId="3582BE15" w14:textId="2431CF9F" w:rsidR="004F6F24" w:rsidRPr="0092074E" w:rsidRDefault="004F6F24" w:rsidP="004F6F24">
            <w:r w:rsidRPr="00542D32">
              <w:t xml:space="preserve">Zhejiang Provincial Department of </w:t>
            </w:r>
            <w:r>
              <w:t>F</w:t>
            </w:r>
            <w:r w:rsidRPr="00542D32">
              <w:t>inance</w:t>
            </w:r>
          </w:p>
        </w:tc>
      </w:tr>
      <w:tr w:rsidR="004F6F24" w14:paraId="0265A5ED" w14:textId="77777777" w:rsidTr="00C84042">
        <w:tc>
          <w:tcPr>
            <w:tcW w:w="1984" w:type="dxa"/>
          </w:tcPr>
          <w:p w14:paraId="07809DA5" w14:textId="0DC6923D" w:rsidR="004F6F24" w:rsidRPr="00542D32" w:rsidRDefault="004F6F24" w:rsidP="00F0435E">
            <w:pPr>
              <w:ind w:firstLine="175"/>
            </w:pPr>
            <w:r w:rsidRPr="004F6F24">
              <w:t>Jiang Weigang</w:t>
            </w:r>
          </w:p>
        </w:tc>
        <w:tc>
          <w:tcPr>
            <w:tcW w:w="6378" w:type="dxa"/>
          </w:tcPr>
          <w:p w14:paraId="6C2C8134" w14:textId="667D8094" w:rsidR="004F6F24" w:rsidRPr="00542D32" w:rsidRDefault="004F6F24" w:rsidP="004F6F24">
            <w:r w:rsidRPr="004F6F24">
              <w:t>Fujang City Government</w:t>
            </w:r>
          </w:p>
        </w:tc>
      </w:tr>
      <w:tr w:rsidR="00C84042" w14:paraId="75A727B5" w14:textId="77777777" w:rsidTr="00C84042">
        <w:tc>
          <w:tcPr>
            <w:tcW w:w="8362" w:type="dxa"/>
            <w:gridSpan w:val="2"/>
            <w:shd w:val="clear" w:color="auto" w:fill="D1E3F3" w:themeFill="accent5" w:themeFillTint="33"/>
          </w:tcPr>
          <w:p w14:paraId="724C56B4" w14:textId="2D733125" w:rsidR="00C84042" w:rsidRDefault="00C84042" w:rsidP="00C84042">
            <w:pPr>
              <w:ind w:firstLine="880"/>
            </w:pPr>
            <w:r w:rsidRPr="00C84042">
              <w:rPr>
                <w:b/>
                <w:bCs/>
              </w:rPr>
              <w:t>UNDP</w:t>
            </w:r>
          </w:p>
        </w:tc>
      </w:tr>
      <w:tr w:rsidR="004F6F24" w14:paraId="3B16F024" w14:textId="77777777" w:rsidTr="00C84042">
        <w:tc>
          <w:tcPr>
            <w:tcW w:w="1984" w:type="dxa"/>
          </w:tcPr>
          <w:p w14:paraId="42E866A4" w14:textId="7DD193D6" w:rsidR="004F6F24" w:rsidRDefault="004F6F24" w:rsidP="004F6F24">
            <w:pPr>
              <w:ind w:firstLine="175"/>
            </w:pPr>
            <w:r>
              <w:t>Shijun Liu</w:t>
            </w:r>
          </w:p>
        </w:tc>
        <w:tc>
          <w:tcPr>
            <w:tcW w:w="6378" w:type="dxa"/>
          </w:tcPr>
          <w:p w14:paraId="68B67798" w14:textId="2B8DDF12" w:rsidR="004F6F24" w:rsidRDefault="004F6F24" w:rsidP="004F6F24">
            <w:r>
              <w:t>Programme director climate change, UNDP China</w:t>
            </w:r>
          </w:p>
        </w:tc>
      </w:tr>
      <w:tr w:rsidR="004F6F24" w14:paraId="53CC86E4" w14:textId="77777777" w:rsidTr="00C84042">
        <w:tc>
          <w:tcPr>
            <w:tcW w:w="1984" w:type="dxa"/>
          </w:tcPr>
          <w:p w14:paraId="25C346B0" w14:textId="0F2870E2" w:rsidR="004F6F24" w:rsidRDefault="004F6F24" w:rsidP="004F6F24">
            <w:pPr>
              <w:ind w:firstLine="175"/>
            </w:pPr>
            <w:r>
              <w:t>Manuel Soriano</w:t>
            </w:r>
          </w:p>
        </w:tc>
        <w:tc>
          <w:tcPr>
            <w:tcW w:w="6378" w:type="dxa"/>
          </w:tcPr>
          <w:p w14:paraId="4F7B99EA" w14:textId="06E9D834" w:rsidR="004F6F24" w:rsidRDefault="004F6F24" w:rsidP="004F6F24">
            <w:r>
              <w:t>Regional Technical Advisor, UNDP regional centre Asia-Pacific</w:t>
            </w:r>
          </w:p>
        </w:tc>
      </w:tr>
      <w:tr w:rsidR="00C84042" w14:paraId="0437B3A5" w14:textId="77777777" w:rsidTr="00C84042">
        <w:tc>
          <w:tcPr>
            <w:tcW w:w="8362" w:type="dxa"/>
            <w:gridSpan w:val="2"/>
            <w:shd w:val="clear" w:color="auto" w:fill="D1E3F3" w:themeFill="accent5" w:themeFillTint="33"/>
          </w:tcPr>
          <w:p w14:paraId="6EFD3DC5" w14:textId="4DBE11F5" w:rsidR="00C84042" w:rsidRDefault="00C84042" w:rsidP="00C84042">
            <w:pPr>
              <w:ind w:firstLine="880"/>
            </w:pPr>
            <w:r w:rsidRPr="00C84042">
              <w:rPr>
                <w:b/>
                <w:bCs/>
              </w:rPr>
              <w:t>Project stakeholders</w:t>
            </w:r>
          </w:p>
        </w:tc>
      </w:tr>
      <w:tr w:rsidR="004F6F24" w14:paraId="54959611" w14:textId="77777777" w:rsidTr="00C84042">
        <w:tc>
          <w:tcPr>
            <w:tcW w:w="1984" w:type="dxa"/>
          </w:tcPr>
          <w:p w14:paraId="3D20C167" w14:textId="67492C81" w:rsidR="004F6F24" w:rsidRDefault="004F6F24" w:rsidP="004F6F24">
            <w:pPr>
              <w:ind w:firstLine="175"/>
            </w:pPr>
            <w:r w:rsidRPr="007D3744">
              <w:t>Ju Xuequan</w:t>
            </w:r>
          </w:p>
        </w:tc>
        <w:tc>
          <w:tcPr>
            <w:tcW w:w="6378" w:type="dxa"/>
          </w:tcPr>
          <w:p w14:paraId="2CA86E20" w14:textId="173A2B40" w:rsidR="004F6F24" w:rsidRDefault="004F6F24" w:rsidP="004F6F24">
            <w:pPr>
              <w:spacing w:line="256" w:lineRule="auto"/>
            </w:pPr>
            <w:r>
              <w:rPr>
                <w:rFonts w:eastAsia="SimSun" w:hAnsi="SimSun" w:cs="SimSun" w:hint="eastAsia"/>
                <w:lang w:eastAsia="zh-CN"/>
              </w:rPr>
              <w:t>Shanghai Economic Information Center</w:t>
            </w:r>
          </w:p>
        </w:tc>
      </w:tr>
      <w:tr w:rsidR="004F6F24" w14:paraId="13E9CC30" w14:textId="77777777" w:rsidTr="00C84042">
        <w:tc>
          <w:tcPr>
            <w:tcW w:w="1984" w:type="dxa"/>
          </w:tcPr>
          <w:p w14:paraId="665E9AFA" w14:textId="06F802A3" w:rsidR="004F6F24" w:rsidRPr="003D6B85" w:rsidRDefault="004F6F24" w:rsidP="004F6F24">
            <w:pPr>
              <w:ind w:firstLine="175"/>
            </w:pPr>
            <w:r w:rsidRPr="003D6B85">
              <w:t>Tang Wei</w:t>
            </w:r>
          </w:p>
        </w:tc>
        <w:tc>
          <w:tcPr>
            <w:tcW w:w="6378" w:type="dxa"/>
          </w:tcPr>
          <w:p w14:paraId="566C4D99" w14:textId="41906E3C" w:rsidR="004F6F24" w:rsidRPr="007D3744" w:rsidRDefault="004F6F24" w:rsidP="004F6F24">
            <w:pPr>
              <w:spacing w:line="256" w:lineRule="auto"/>
              <w:rPr>
                <w:rFonts w:eastAsia="SimSun" w:hAnsi="SimSun" w:cs="SimSun"/>
                <w:lang w:eastAsia="zh-CN"/>
              </w:rPr>
            </w:pPr>
            <w:r w:rsidRPr="007D3744">
              <w:rPr>
                <w:rFonts w:eastAsia="SimSun" w:hAnsi="SimSun" w:cs="SimSun" w:hint="eastAsia"/>
                <w:lang w:eastAsia="zh-CN"/>
              </w:rPr>
              <w:t>Shanghai Landy law Firm</w:t>
            </w:r>
          </w:p>
        </w:tc>
      </w:tr>
      <w:tr w:rsidR="004F6F24" w14:paraId="0A8CEAA2" w14:textId="77777777" w:rsidTr="00C84042">
        <w:tc>
          <w:tcPr>
            <w:tcW w:w="1984" w:type="dxa"/>
          </w:tcPr>
          <w:p w14:paraId="67F364D4" w14:textId="5AC42A43" w:rsidR="004F6F24" w:rsidRDefault="004F6F24" w:rsidP="004F6F24">
            <w:pPr>
              <w:ind w:firstLine="175"/>
            </w:pPr>
            <w:r w:rsidRPr="00ED3730">
              <w:t>Yang Yuanyi</w:t>
            </w:r>
          </w:p>
        </w:tc>
        <w:tc>
          <w:tcPr>
            <w:tcW w:w="6378" w:type="dxa"/>
          </w:tcPr>
          <w:p w14:paraId="7F701970" w14:textId="6303276D" w:rsidR="004F6F24" w:rsidRDefault="004F6F24" w:rsidP="004F6F24">
            <w:pPr>
              <w:contextualSpacing/>
            </w:pPr>
            <w:r>
              <w:t>Zhejiang Economic Information Development Co., LTD</w:t>
            </w:r>
          </w:p>
        </w:tc>
      </w:tr>
      <w:tr w:rsidR="004F6F24" w14:paraId="4A275D6A" w14:textId="77777777" w:rsidTr="00C84042">
        <w:tc>
          <w:tcPr>
            <w:tcW w:w="1984" w:type="dxa"/>
          </w:tcPr>
          <w:p w14:paraId="5B11EF97" w14:textId="46FBDFF1" w:rsidR="004F6F24" w:rsidRDefault="004F6F24" w:rsidP="004F6F24">
            <w:pPr>
              <w:ind w:firstLine="175"/>
            </w:pPr>
            <w:r w:rsidRPr="00ED3730">
              <w:t>Ye Jinghong</w:t>
            </w:r>
          </w:p>
        </w:tc>
        <w:tc>
          <w:tcPr>
            <w:tcW w:w="6378" w:type="dxa"/>
          </w:tcPr>
          <w:p w14:paraId="5A214A2C" w14:textId="0B0C7E7B" w:rsidR="004F6F24" w:rsidRDefault="004F6F24" w:rsidP="004F6F24">
            <w:pPr>
              <w:contextualSpacing/>
            </w:pPr>
            <w:r>
              <w:t>Zhejiang Economic Information Development Co., LTD</w:t>
            </w:r>
          </w:p>
        </w:tc>
      </w:tr>
      <w:tr w:rsidR="004F6F24" w14:paraId="325ECF54" w14:textId="77777777" w:rsidTr="00C84042">
        <w:tc>
          <w:tcPr>
            <w:tcW w:w="1984" w:type="dxa"/>
          </w:tcPr>
          <w:p w14:paraId="6E9F5EBB" w14:textId="4DBB481A" w:rsidR="004F6F24" w:rsidRPr="00ED3730" w:rsidRDefault="004F6F24" w:rsidP="004F6F24">
            <w:pPr>
              <w:ind w:firstLine="175"/>
            </w:pPr>
            <w:r w:rsidRPr="0092074E">
              <w:t>Wu Zhitao</w:t>
            </w:r>
          </w:p>
        </w:tc>
        <w:tc>
          <w:tcPr>
            <w:tcW w:w="6378" w:type="dxa"/>
          </w:tcPr>
          <w:p w14:paraId="730217FA" w14:textId="725D9070" w:rsidR="004F6F24" w:rsidRDefault="004F6F24" w:rsidP="004F6F24">
            <w:pPr>
              <w:contextualSpacing/>
            </w:pPr>
            <w:r>
              <w:t>F</w:t>
            </w:r>
            <w:r w:rsidRPr="0092074E">
              <w:t>uyang Hangzhou Transfar Logistics Base Co., Ltd.</w:t>
            </w:r>
          </w:p>
        </w:tc>
      </w:tr>
      <w:tr w:rsidR="004F6F24" w14:paraId="7EED5833" w14:textId="77777777" w:rsidTr="00C84042">
        <w:tc>
          <w:tcPr>
            <w:tcW w:w="1984" w:type="dxa"/>
          </w:tcPr>
          <w:p w14:paraId="5F31918B" w14:textId="77FA4BC2" w:rsidR="004F6F24" w:rsidRPr="0092074E" w:rsidRDefault="004F6F24" w:rsidP="004F6F24">
            <w:pPr>
              <w:ind w:firstLine="175"/>
            </w:pPr>
            <w:r w:rsidRPr="0092074E">
              <w:t>Li Lu</w:t>
            </w:r>
          </w:p>
        </w:tc>
        <w:tc>
          <w:tcPr>
            <w:tcW w:w="6378" w:type="dxa"/>
          </w:tcPr>
          <w:p w14:paraId="0BA974AA" w14:textId="4D352752" w:rsidR="004F6F24" w:rsidRPr="0092074E" w:rsidRDefault="004F6F24" w:rsidP="004F6F24">
            <w:pPr>
              <w:contextualSpacing/>
            </w:pPr>
            <w:r w:rsidRPr="0092074E">
              <w:t>Zhejiang Fuyang Port International Co. Ltd.</w:t>
            </w:r>
          </w:p>
        </w:tc>
      </w:tr>
      <w:tr w:rsidR="004F6F24" w14:paraId="6D53B70D" w14:textId="77777777" w:rsidTr="00C84042">
        <w:tc>
          <w:tcPr>
            <w:tcW w:w="1984" w:type="dxa"/>
          </w:tcPr>
          <w:p w14:paraId="7E1B81B2" w14:textId="1FD2961A" w:rsidR="004F6F24" w:rsidRPr="0092074E" w:rsidRDefault="004F6F24" w:rsidP="004F6F24">
            <w:pPr>
              <w:ind w:firstLine="175"/>
            </w:pPr>
            <w:r w:rsidRPr="00B16663">
              <w:t>Chen Yufeng</w:t>
            </w:r>
          </w:p>
        </w:tc>
        <w:tc>
          <w:tcPr>
            <w:tcW w:w="6378" w:type="dxa"/>
          </w:tcPr>
          <w:p w14:paraId="004B8C58" w14:textId="7197AD74" w:rsidR="004F6F24" w:rsidRPr="0092074E" w:rsidRDefault="004F6F24" w:rsidP="004F6F24">
            <w:pPr>
              <w:contextualSpacing/>
            </w:pPr>
            <w:r w:rsidRPr="00B16663">
              <w:t>Zhejiang Gongshang University</w:t>
            </w:r>
          </w:p>
        </w:tc>
      </w:tr>
      <w:tr w:rsidR="004F6F24" w14:paraId="7276CAF3" w14:textId="77777777" w:rsidTr="00C84042">
        <w:tc>
          <w:tcPr>
            <w:tcW w:w="1984" w:type="dxa"/>
          </w:tcPr>
          <w:p w14:paraId="1A1BD94A" w14:textId="1C06E16F" w:rsidR="004F6F24" w:rsidRPr="0092074E" w:rsidRDefault="004F6F24" w:rsidP="004F6F24">
            <w:pPr>
              <w:ind w:firstLine="175"/>
            </w:pPr>
            <w:r w:rsidRPr="00B16663">
              <w:t>Zhu Zhitao</w:t>
            </w:r>
          </w:p>
        </w:tc>
        <w:tc>
          <w:tcPr>
            <w:tcW w:w="6378" w:type="dxa"/>
          </w:tcPr>
          <w:p w14:paraId="396BAA73" w14:textId="68518DA8" w:rsidR="004F6F24" w:rsidRPr="0092074E" w:rsidRDefault="004F6F24" w:rsidP="004F6F24">
            <w:pPr>
              <w:contextualSpacing/>
            </w:pPr>
            <w:r w:rsidRPr="00B16663">
              <w:t>Zhejiang Gongshang University</w:t>
            </w:r>
          </w:p>
        </w:tc>
      </w:tr>
      <w:tr w:rsidR="004F6F24" w14:paraId="624E8430" w14:textId="77777777" w:rsidTr="00C84042">
        <w:tc>
          <w:tcPr>
            <w:tcW w:w="1984" w:type="dxa"/>
          </w:tcPr>
          <w:p w14:paraId="56DF3585" w14:textId="7FFB31B7" w:rsidR="004F6F24" w:rsidRPr="00B16663" w:rsidRDefault="004F6F24" w:rsidP="004F6F24">
            <w:pPr>
              <w:ind w:firstLine="175"/>
            </w:pPr>
            <w:r w:rsidRPr="00A81AB1">
              <w:t>Luo Guozheng</w:t>
            </w:r>
          </w:p>
        </w:tc>
        <w:tc>
          <w:tcPr>
            <w:tcW w:w="6378" w:type="dxa"/>
          </w:tcPr>
          <w:p w14:paraId="4C15258E" w14:textId="379E191A" w:rsidR="004F6F24" w:rsidRPr="00B16663" w:rsidRDefault="004F6F24" w:rsidP="004F6F24">
            <w:pPr>
              <w:contextualSpacing/>
            </w:pPr>
            <w:r w:rsidRPr="00A81AB1">
              <w:t>Zhejiang International Freight Forwarding and Logistics Association</w:t>
            </w:r>
          </w:p>
        </w:tc>
      </w:tr>
      <w:tr w:rsidR="004F6F24" w14:paraId="77C0C52C" w14:textId="77777777" w:rsidTr="00C84042">
        <w:tc>
          <w:tcPr>
            <w:tcW w:w="1984" w:type="dxa"/>
          </w:tcPr>
          <w:p w14:paraId="738ACF2B" w14:textId="79DBD81B" w:rsidR="004F6F24" w:rsidRPr="00A81AB1" w:rsidRDefault="004F6F24" w:rsidP="004F6F24">
            <w:pPr>
              <w:ind w:firstLine="175"/>
            </w:pPr>
            <w:r w:rsidRPr="00A81AB1">
              <w:t>Cheng Hong</w:t>
            </w:r>
            <w:r>
              <w:t xml:space="preserve"> </w:t>
            </w:r>
          </w:p>
        </w:tc>
        <w:tc>
          <w:tcPr>
            <w:tcW w:w="6378" w:type="dxa"/>
          </w:tcPr>
          <w:p w14:paraId="2F3AA460" w14:textId="570E9297" w:rsidR="004F6F24" w:rsidRPr="00A81AB1" w:rsidRDefault="004F6F24" w:rsidP="004F6F24">
            <w:pPr>
              <w:contextualSpacing/>
            </w:pPr>
            <w:r w:rsidRPr="00EA0F34">
              <w:t>Zhejiang Logistics Association</w:t>
            </w:r>
          </w:p>
        </w:tc>
      </w:tr>
      <w:tr w:rsidR="004F6F24" w14:paraId="5FBBE58D" w14:textId="77777777" w:rsidTr="00C84042">
        <w:tc>
          <w:tcPr>
            <w:tcW w:w="1984" w:type="dxa"/>
          </w:tcPr>
          <w:p w14:paraId="36F04CBF" w14:textId="189A7DE1" w:rsidR="004F6F24" w:rsidRPr="00A81AB1" w:rsidRDefault="004F6F24" w:rsidP="004F6F24">
            <w:pPr>
              <w:ind w:firstLine="175"/>
            </w:pPr>
            <w:r w:rsidRPr="00A81AB1">
              <w:t>Wu Yin</w:t>
            </w:r>
          </w:p>
        </w:tc>
        <w:tc>
          <w:tcPr>
            <w:tcW w:w="6378" w:type="dxa"/>
          </w:tcPr>
          <w:p w14:paraId="3BBD142D" w14:textId="651A80B9" w:rsidR="004F6F24" w:rsidRPr="00A81AB1" w:rsidRDefault="004F6F24" w:rsidP="004F6F24">
            <w:pPr>
              <w:contextualSpacing/>
            </w:pPr>
            <w:r w:rsidRPr="00EA0F34">
              <w:t>Zhejiang Logistics Association</w:t>
            </w:r>
          </w:p>
        </w:tc>
      </w:tr>
      <w:tr w:rsidR="004F6F24" w14:paraId="34D7A964" w14:textId="77777777" w:rsidTr="00C84042">
        <w:tc>
          <w:tcPr>
            <w:tcW w:w="1984" w:type="dxa"/>
          </w:tcPr>
          <w:p w14:paraId="441B2E17" w14:textId="655C7169" w:rsidR="004F6F24" w:rsidRPr="00A81AB1" w:rsidRDefault="004F6F24" w:rsidP="004F6F24">
            <w:pPr>
              <w:ind w:firstLine="175"/>
            </w:pPr>
            <w:r w:rsidRPr="007D3744">
              <w:t>Ma Jun</w:t>
            </w:r>
          </w:p>
        </w:tc>
        <w:tc>
          <w:tcPr>
            <w:tcW w:w="6378" w:type="dxa"/>
          </w:tcPr>
          <w:p w14:paraId="61C3EFE9" w14:textId="2506643C" w:rsidR="004F6F24" w:rsidRPr="00EA0F34" w:rsidRDefault="004F6F24" w:rsidP="004F6F24">
            <w:pPr>
              <w:contextualSpacing/>
            </w:pPr>
            <w:r w:rsidRPr="007D3744">
              <w:t>Zhejiang Standardization Research Institute</w:t>
            </w:r>
          </w:p>
        </w:tc>
      </w:tr>
    </w:tbl>
    <w:p w14:paraId="4B769EF8" w14:textId="77777777" w:rsidR="00D541A0" w:rsidRDefault="00D541A0" w:rsidP="00D541A0"/>
    <w:p w14:paraId="76053153" w14:textId="77777777" w:rsidR="00D541A0" w:rsidRDefault="00D541A0" w:rsidP="00D541A0"/>
    <w:p w14:paraId="0D05BB50" w14:textId="71BA7286" w:rsidR="007C3FD3" w:rsidRDefault="007C3FD3" w:rsidP="00D541A0">
      <w:r>
        <w:br w:type="page"/>
      </w:r>
    </w:p>
    <w:p w14:paraId="69E1C61E" w14:textId="38A336C7" w:rsidR="008E2C94" w:rsidRDefault="008E2C94" w:rsidP="00AC0D02">
      <w:pPr>
        <w:pStyle w:val="Heading1"/>
        <w:numPr>
          <w:ilvl w:val="0"/>
          <w:numId w:val="5"/>
        </w:numPr>
      </w:pPr>
      <w:bookmarkStart w:id="71" w:name="_Toc64632063"/>
      <w:r>
        <w:lastRenderedPageBreak/>
        <w:t>L</w:t>
      </w:r>
      <w:r w:rsidRPr="004C1CE4">
        <w:t>ist of documents reviewed</w:t>
      </w:r>
      <w:bookmarkEnd w:id="71"/>
    </w:p>
    <w:p w14:paraId="5B572658" w14:textId="2AB48E79" w:rsidR="006B7222" w:rsidRDefault="006B7222" w:rsidP="00C80BAF">
      <w:pPr>
        <w:pStyle w:val="ListParagraph"/>
        <w:numPr>
          <w:ilvl w:val="3"/>
          <w:numId w:val="13"/>
        </w:numPr>
        <w:ind w:left="142"/>
      </w:pPr>
      <w:r w:rsidRPr="006B7222">
        <w:t xml:space="preserve">China Quality Certification Centre. Energy Efficiency Evaluation Program and Plan for Small and Medium sized Logistics Enterprises in Zhejiang Province. November, 2020. </w:t>
      </w:r>
    </w:p>
    <w:p w14:paraId="7272AC7C" w14:textId="745C9A95" w:rsidR="00533A0B" w:rsidRDefault="00533A0B" w:rsidP="00C80BAF">
      <w:pPr>
        <w:pStyle w:val="ListParagraph"/>
        <w:numPr>
          <w:ilvl w:val="3"/>
          <w:numId w:val="13"/>
        </w:numPr>
        <w:ind w:left="142"/>
      </w:pPr>
      <w:r w:rsidRPr="00533A0B">
        <w:t>GLIZP</w:t>
      </w:r>
      <w:r>
        <w:t>. Inception report. June, 2017</w:t>
      </w:r>
    </w:p>
    <w:p w14:paraId="5361188F" w14:textId="61FE4A7F" w:rsidR="00564E66" w:rsidRDefault="00564E66" w:rsidP="00C80BAF">
      <w:pPr>
        <w:pStyle w:val="ListParagraph"/>
        <w:numPr>
          <w:ilvl w:val="3"/>
          <w:numId w:val="13"/>
        </w:numPr>
        <w:ind w:left="142"/>
      </w:pPr>
      <w:r w:rsidRPr="00533A0B">
        <w:t>GLIZP</w:t>
      </w:r>
      <w:r>
        <w:t>. Management response to mid-term review. No date.</w:t>
      </w:r>
    </w:p>
    <w:p w14:paraId="74E719D2" w14:textId="4B91E57F" w:rsidR="00845D82" w:rsidRDefault="00845D82" w:rsidP="00C80BAF">
      <w:pPr>
        <w:pStyle w:val="ListParagraph"/>
        <w:numPr>
          <w:ilvl w:val="3"/>
          <w:numId w:val="13"/>
        </w:numPr>
        <w:ind w:left="142"/>
      </w:pPr>
      <w:r w:rsidRPr="00533A0B">
        <w:t>GLIZP</w:t>
      </w:r>
      <w:r>
        <w:t xml:space="preserve">. Minutes of meetings of the </w:t>
      </w:r>
      <w:r w:rsidR="00E52BD7">
        <w:t>P</w:t>
      </w:r>
      <w:r>
        <w:t xml:space="preserve">roject </w:t>
      </w:r>
      <w:r w:rsidR="00E52BD7">
        <w:t>S</w:t>
      </w:r>
      <w:r>
        <w:t xml:space="preserve">teering </w:t>
      </w:r>
      <w:r w:rsidR="00E52BD7">
        <w:t>C</w:t>
      </w:r>
      <w:r>
        <w:t>ommittee</w:t>
      </w:r>
      <w:r w:rsidR="00E52BD7">
        <w:t xml:space="preserve"> on:</w:t>
      </w:r>
    </w:p>
    <w:p w14:paraId="2602F15B" w14:textId="086B27BD" w:rsidR="00845D82" w:rsidRDefault="00845D82" w:rsidP="001F0D97">
      <w:pPr>
        <w:pStyle w:val="ListParagraph"/>
        <w:numPr>
          <w:ilvl w:val="0"/>
          <w:numId w:val="61"/>
        </w:numPr>
      </w:pPr>
      <w:r>
        <w:t>24 March 2017</w:t>
      </w:r>
      <w:r w:rsidR="00E52BD7">
        <w:t>;</w:t>
      </w:r>
    </w:p>
    <w:p w14:paraId="59F1E914" w14:textId="11E045D2" w:rsidR="00845D82" w:rsidRDefault="00845D82" w:rsidP="001F0D97">
      <w:pPr>
        <w:pStyle w:val="ListParagraph"/>
        <w:numPr>
          <w:ilvl w:val="0"/>
          <w:numId w:val="61"/>
        </w:numPr>
      </w:pPr>
      <w:r>
        <w:t>16 March 2018</w:t>
      </w:r>
      <w:r w:rsidR="00E52BD7">
        <w:t>;</w:t>
      </w:r>
    </w:p>
    <w:p w14:paraId="308786DF" w14:textId="30326F4C" w:rsidR="00845D82" w:rsidRDefault="00845D82" w:rsidP="001F0D97">
      <w:pPr>
        <w:pStyle w:val="ListParagraph"/>
        <w:numPr>
          <w:ilvl w:val="0"/>
          <w:numId w:val="61"/>
        </w:numPr>
      </w:pPr>
      <w:r>
        <w:t>25 March 2019</w:t>
      </w:r>
      <w:r w:rsidR="00E52BD7">
        <w:t>; and,</w:t>
      </w:r>
    </w:p>
    <w:p w14:paraId="718E6AB9" w14:textId="19E4710E" w:rsidR="00845D82" w:rsidRDefault="00845D82" w:rsidP="001F0D97">
      <w:pPr>
        <w:pStyle w:val="ListParagraph"/>
        <w:numPr>
          <w:ilvl w:val="0"/>
          <w:numId w:val="61"/>
        </w:numPr>
      </w:pPr>
      <w:r>
        <w:t>11 September 2020</w:t>
      </w:r>
      <w:r w:rsidR="00E52BD7">
        <w:t>.</w:t>
      </w:r>
    </w:p>
    <w:p w14:paraId="40AECAEB" w14:textId="7D259552" w:rsidR="003F033A" w:rsidRDefault="003F033A" w:rsidP="00C80BAF">
      <w:pPr>
        <w:pStyle w:val="ListParagraph"/>
        <w:numPr>
          <w:ilvl w:val="3"/>
          <w:numId w:val="13"/>
        </w:numPr>
        <w:ind w:left="142"/>
      </w:pPr>
      <w:r>
        <w:t>GLIZP. Summary of green logistics capacity building training. 2019</w:t>
      </w:r>
      <w:r w:rsidR="00C80BAF">
        <w:t>.</w:t>
      </w:r>
    </w:p>
    <w:p w14:paraId="2737681F" w14:textId="25DE6FA4" w:rsidR="00B33C19" w:rsidRDefault="00B33C19" w:rsidP="00C80BAF">
      <w:pPr>
        <w:pStyle w:val="ListParagraph"/>
        <w:numPr>
          <w:ilvl w:val="3"/>
          <w:numId w:val="13"/>
        </w:numPr>
        <w:ind w:left="142"/>
      </w:pPr>
      <w:r>
        <w:t>GLIZP. Summary of green logistics capacity building training. 2020.</w:t>
      </w:r>
    </w:p>
    <w:p w14:paraId="6841CE1F" w14:textId="68F70457" w:rsidR="00C80BAF" w:rsidRDefault="008E466C" w:rsidP="007B6387">
      <w:pPr>
        <w:pStyle w:val="ListParagraph"/>
        <w:numPr>
          <w:ilvl w:val="3"/>
          <w:numId w:val="13"/>
        </w:numPr>
        <w:ind w:left="142"/>
      </w:pPr>
      <w:r>
        <w:t>UNDP. Mid-term review report. 2019.</w:t>
      </w:r>
    </w:p>
    <w:p w14:paraId="39429EED" w14:textId="371E0F74" w:rsidR="00263043" w:rsidRDefault="0094095E" w:rsidP="00C80BAF">
      <w:pPr>
        <w:pStyle w:val="ListParagraph"/>
        <w:numPr>
          <w:ilvl w:val="3"/>
          <w:numId w:val="13"/>
        </w:numPr>
        <w:ind w:left="142"/>
      </w:pPr>
      <w:r>
        <w:t>UNDP. Project implementation review (PIR) report</w:t>
      </w:r>
      <w:r w:rsidR="00263043">
        <w:t>s for</w:t>
      </w:r>
      <w:r w:rsidR="00E52BD7">
        <w:t>:</w:t>
      </w:r>
    </w:p>
    <w:p w14:paraId="2B8DECFB" w14:textId="2516D236" w:rsidR="0094095E" w:rsidRDefault="0094095E" w:rsidP="001F0D97">
      <w:pPr>
        <w:pStyle w:val="ListParagraph"/>
        <w:numPr>
          <w:ilvl w:val="0"/>
          <w:numId w:val="58"/>
        </w:numPr>
      </w:pPr>
      <w:r>
        <w:t>2019</w:t>
      </w:r>
      <w:r w:rsidR="00263043">
        <w:t>; and,</w:t>
      </w:r>
    </w:p>
    <w:p w14:paraId="1FF4BAF4" w14:textId="33698F07" w:rsidR="0094095E" w:rsidRDefault="0094095E" w:rsidP="001F0D97">
      <w:pPr>
        <w:pStyle w:val="ListParagraph"/>
        <w:numPr>
          <w:ilvl w:val="0"/>
          <w:numId w:val="58"/>
        </w:numPr>
      </w:pPr>
      <w:r>
        <w:t>202</w:t>
      </w:r>
      <w:r w:rsidR="00263043">
        <w:t>.</w:t>
      </w:r>
    </w:p>
    <w:p w14:paraId="53EC26DA" w14:textId="23DD072D" w:rsidR="00263043" w:rsidRDefault="00091EDC" w:rsidP="00C80BAF">
      <w:pPr>
        <w:pStyle w:val="ListParagraph"/>
        <w:numPr>
          <w:ilvl w:val="3"/>
          <w:numId w:val="13"/>
        </w:numPr>
        <w:ind w:left="142"/>
      </w:pPr>
      <w:r>
        <w:t xml:space="preserve">UNDP. Annual </w:t>
      </w:r>
      <w:r w:rsidR="008E466C">
        <w:t>progress</w:t>
      </w:r>
      <w:r>
        <w:t xml:space="preserve"> report</w:t>
      </w:r>
      <w:r w:rsidR="00263043">
        <w:t>s for:</w:t>
      </w:r>
    </w:p>
    <w:p w14:paraId="757461DC" w14:textId="259FB8AA" w:rsidR="00091EDC" w:rsidRDefault="00091EDC" w:rsidP="001F0D97">
      <w:pPr>
        <w:pStyle w:val="ListParagraph"/>
        <w:numPr>
          <w:ilvl w:val="0"/>
          <w:numId w:val="59"/>
        </w:numPr>
      </w:pPr>
      <w:r>
        <w:t>201</w:t>
      </w:r>
      <w:r w:rsidR="00564E66">
        <w:t>7</w:t>
      </w:r>
      <w:r w:rsidR="00263043">
        <w:t>;</w:t>
      </w:r>
    </w:p>
    <w:p w14:paraId="72D09E6E" w14:textId="3E7CFBF4" w:rsidR="00564E66" w:rsidRDefault="00564E66" w:rsidP="001F0D97">
      <w:pPr>
        <w:pStyle w:val="ListParagraph"/>
        <w:numPr>
          <w:ilvl w:val="0"/>
          <w:numId w:val="59"/>
        </w:numPr>
      </w:pPr>
      <w:r>
        <w:t>2018</w:t>
      </w:r>
      <w:r w:rsidR="00263043">
        <w:t>; and,</w:t>
      </w:r>
    </w:p>
    <w:p w14:paraId="68586FB0" w14:textId="77777777" w:rsidR="00C80BAF" w:rsidRDefault="00564E66" w:rsidP="007B6387">
      <w:pPr>
        <w:pStyle w:val="ListParagraph"/>
        <w:numPr>
          <w:ilvl w:val="0"/>
          <w:numId w:val="59"/>
        </w:numPr>
      </w:pPr>
      <w:r>
        <w:t>2019</w:t>
      </w:r>
      <w:r w:rsidR="00263043">
        <w:t>.</w:t>
      </w:r>
    </w:p>
    <w:p w14:paraId="3DE9005B" w14:textId="686AE823" w:rsidR="008E466C" w:rsidRDefault="008E466C" w:rsidP="00C80BAF">
      <w:pPr>
        <w:pStyle w:val="ListParagraph"/>
        <w:numPr>
          <w:ilvl w:val="3"/>
          <w:numId w:val="13"/>
        </w:numPr>
        <w:ind w:left="142"/>
      </w:pPr>
      <w:r>
        <w:t>UNDP. Quarterly progress reports for:</w:t>
      </w:r>
    </w:p>
    <w:p w14:paraId="2EBF8524" w14:textId="43BA0A99" w:rsidR="008E466C" w:rsidRDefault="008E466C" w:rsidP="001F0D97">
      <w:pPr>
        <w:pStyle w:val="ListParagraph"/>
        <w:numPr>
          <w:ilvl w:val="0"/>
          <w:numId w:val="59"/>
        </w:numPr>
      </w:pPr>
      <w:r>
        <w:t>First quarter of 2018;</w:t>
      </w:r>
    </w:p>
    <w:p w14:paraId="45874330" w14:textId="4256AEB3" w:rsidR="008E466C" w:rsidRDefault="008E466C" w:rsidP="001F0D97">
      <w:pPr>
        <w:pStyle w:val="ListParagraph"/>
        <w:numPr>
          <w:ilvl w:val="0"/>
          <w:numId w:val="59"/>
        </w:numPr>
      </w:pPr>
      <w:r>
        <w:t>Second quarter of 2018;</w:t>
      </w:r>
    </w:p>
    <w:p w14:paraId="43CE16CC" w14:textId="44535CEC" w:rsidR="008E466C" w:rsidRDefault="008E466C" w:rsidP="001F0D97">
      <w:pPr>
        <w:pStyle w:val="ListParagraph"/>
        <w:numPr>
          <w:ilvl w:val="0"/>
          <w:numId w:val="59"/>
        </w:numPr>
      </w:pPr>
      <w:r>
        <w:t>Third quarter of 2018;</w:t>
      </w:r>
    </w:p>
    <w:p w14:paraId="3AB03892" w14:textId="31431652" w:rsidR="008E466C" w:rsidRDefault="008E466C" w:rsidP="001F0D97">
      <w:pPr>
        <w:pStyle w:val="ListParagraph"/>
        <w:numPr>
          <w:ilvl w:val="0"/>
          <w:numId w:val="59"/>
        </w:numPr>
      </w:pPr>
      <w:r>
        <w:t>First quarter of 2019;</w:t>
      </w:r>
    </w:p>
    <w:p w14:paraId="157706F8" w14:textId="4D3D90D7" w:rsidR="008E466C" w:rsidRDefault="008E466C" w:rsidP="001F0D97">
      <w:pPr>
        <w:pStyle w:val="ListParagraph"/>
        <w:numPr>
          <w:ilvl w:val="0"/>
          <w:numId w:val="59"/>
        </w:numPr>
      </w:pPr>
      <w:r>
        <w:t>Second quarter of 2019;</w:t>
      </w:r>
    </w:p>
    <w:p w14:paraId="125307FA" w14:textId="35F578FB" w:rsidR="008E466C" w:rsidRDefault="008E466C" w:rsidP="001F0D97">
      <w:pPr>
        <w:pStyle w:val="ListParagraph"/>
        <w:numPr>
          <w:ilvl w:val="0"/>
          <w:numId w:val="59"/>
        </w:numPr>
      </w:pPr>
      <w:r>
        <w:t>Third quarter of 2019;</w:t>
      </w:r>
    </w:p>
    <w:p w14:paraId="22DA1985" w14:textId="180B11D4" w:rsidR="008E466C" w:rsidRDefault="008E466C" w:rsidP="001F0D97">
      <w:pPr>
        <w:pStyle w:val="ListParagraph"/>
        <w:numPr>
          <w:ilvl w:val="0"/>
          <w:numId w:val="59"/>
        </w:numPr>
      </w:pPr>
      <w:r>
        <w:t>First quarter of 2020;</w:t>
      </w:r>
    </w:p>
    <w:p w14:paraId="2411D777" w14:textId="5930F346" w:rsidR="008E466C" w:rsidRDefault="008E466C" w:rsidP="001F0D97">
      <w:pPr>
        <w:pStyle w:val="ListParagraph"/>
        <w:numPr>
          <w:ilvl w:val="0"/>
          <w:numId w:val="59"/>
        </w:numPr>
      </w:pPr>
      <w:r>
        <w:t>Second quarter of 2020; and,</w:t>
      </w:r>
    </w:p>
    <w:p w14:paraId="5B83A308" w14:textId="559413B0" w:rsidR="008E466C" w:rsidRDefault="008E466C" w:rsidP="001F0D97">
      <w:pPr>
        <w:pStyle w:val="ListParagraph"/>
        <w:numPr>
          <w:ilvl w:val="0"/>
          <w:numId w:val="59"/>
        </w:numPr>
      </w:pPr>
      <w:r>
        <w:t>Third quarter of 2020</w:t>
      </w:r>
      <w:r w:rsidR="00C80BAF">
        <w:t>.</w:t>
      </w:r>
    </w:p>
    <w:p w14:paraId="2E866010" w14:textId="387D9067" w:rsidR="00965F9E" w:rsidRDefault="00965F9E" w:rsidP="00C80BAF">
      <w:pPr>
        <w:pStyle w:val="ListParagraph"/>
        <w:numPr>
          <w:ilvl w:val="3"/>
          <w:numId w:val="13"/>
        </w:numPr>
        <w:ind w:left="142"/>
      </w:pPr>
      <w:r w:rsidRPr="00965F9E">
        <w:t>UNDP Country Programme Document (CPD) for China (2016 – 2020)</w:t>
      </w:r>
      <w:r>
        <w:t>. 2016.</w:t>
      </w:r>
    </w:p>
    <w:p w14:paraId="084C2776" w14:textId="77777777" w:rsidR="00CB141A" w:rsidRDefault="00CB141A" w:rsidP="00C80BAF">
      <w:pPr>
        <w:pStyle w:val="ListParagraph"/>
        <w:numPr>
          <w:ilvl w:val="3"/>
          <w:numId w:val="13"/>
        </w:numPr>
        <w:ind w:left="142"/>
      </w:pPr>
      <w:r>
        <w:t>Tianjin Climate Exchange Co., Ltd. Green Finance for Green Logistics in Logistics SME: Support Assessment and Suggestions. December 2019.</w:t>
      </w:r>
    </w:p>
    <w:p w14:paraId="67B43649" w14:textId="3ABAD6DF" w:rsidR="004720D3" w:rsidRDefault="004720D3" w:rsidP="00C80BAF">
      <w:pPr>
        <w:pStyle w:val="ListParagraph"/>
        <w:numPr>
          <w:ilvl w:val="3"/>
          <w:numId w:val="13"/>
        </w:numPr>
        <w:ind w:left="142"/>
      </w:pPr>
      <w:r w:rsidRPr="004720D3">
        <w:t>Zhejiang Economic Information Center, Zhejiang Gongshang University. Evaluation Standard</w:t>
      </w:r>
      <w:r w:rsidR="00661A04">
        <w:t xml:space="preserve"> </w:t>
      </w:r>
      <w:r w:rsidRPr="004720D3">
        <w:t>of Implementation Effect of Green Logistics Project. April, 2020.</w:t>
      </w:r>
    </w:p>
    <w:p w14:paraId="6CE9D220" w14:textId="0ECBAAC0" w:rsidR="00CB141A" w:rsidRDefault="00CB141A" w:rsidP="00C80BAF">
      <w:pPr>
        <w:pStyle w:val="ListParagraph"/>
        <w:numPr>
          <w:ilvl w:val="3"/>
          <w:numId w:val="13"/>
        </w:numPr>
        <w:ind w:left="142"/>
      </w:pPr>
      <w:r>
        <w:t>Zhejiang Economic Information Center. Green Technology Application and Practice Guide for Zhejiang Logistics Enterprises. No date.</w:t>
      </w:r>
    </w:p>
    <w:p w14:paraId="518636BF" w14:textId="77777777" w:rsidR="00C80BAF" w:rsidRDefault="00051D18" w:rsidP="007B6387">
      <w:pPr>
        <w:pStyle w:val="ListParagraph"/>
        <w:numPr>
          <w:ilvl w:val="3"/>
          <w:numId w:val="13"/>
        </w:numPr>
        <w:ind w:left="142"/>
      </w:pPr>
      <w:r w:rsidRPr="00051D18">
        <w:t>Zhejiang Economic Information Development Co., Ltd. Energy Consumption and Carbon Emission Report of Green logistics demonstration project</w:t>
      </w:r>
      <w:r>
        <w:t xml:space="preserve">. January, </w:t>
      </w:r>
      <w:r w:rsidRPr="00051D18">
        <w:t xml:space="preserve">2020.  </w:t>
      </w:r>
    </w:p>
    <w:p w14:paraId="54FF7497" w14:textId="09CDAEBE" w:rsidR="00E52BD7" w:rsidRDefault="000B132B" w:rsidP="007B6387">
      <w:pPr>
        <w:pStyle w:val="ListParagraph"/>
        <w:numPr>
          <w:ilvl w:val="3"/>
          <w:numId w:val="13"/>
        </w:numPr>
        <w:ind w:left="142"/>
      </w:pPr>
      <w:r w:rsidRPr="00051D18">
        <w:t xml:space="preserve">Zhejiang Economic Information Development Co., Ltd. </w:t>
      </w:r>
      <w:r w:rsidRPr="000B132B">
        <w:t>Green logistics policy promotion plan</w:t>
      </w:r>
      <w:r>
        <w:t xml:space="preserve">. March, </w:t>
      </w:r>
      <w:r w:rsidRPr="00051D18">
        <w:t xml:space="preserve">2020.  </w:t>
      </w:r>
      <w:r w:rsidR="00E52BD7">
        <w:br w:type="page"/>
      </w:r>
    </w:p>
    <w:p w14:paraId="157A5E1E" w14:textId="123DF442" w:rsidR="008E2C94" w:rsidRDefault="008E2C94" w:rsidP="00AC0D02">
      <w:pPr>
        <w:pStyle w:val="Heading1"/>
        <w:numPr>
          <w:ilvl w:val="0"/>
          <w:numId w:val="5"/>
        </w:numPr>
      </w:pPr>
      <w:bookmarkStart w:id="72" w:name="_Ref58946285"/>
      <w:bookmarkStart w:id="73" w:name="_Toc64632064"/>
      <w:r w:rsidRPr="004C1CE4">
        <w:lastRenderedPageBreak/>
        <w:t xml:space="preserve">Evaluation </w:t>
      </w:r>
      <w:r w:rsidR="00F0435E">
        <w:t>criteria</w:t>
      </w:r>
      <w:r w:rsidRPr="004C1CE4">
        <w:t xml:space="preserve"> </w:t>
      </w:r>
      <w:r>
        <w:t>m</w:t>
      </w:r>
      <w:r w:rsidRPr="004C1CE4">
        <w:t>atrix</w:t>
      </w:r>
      <w:bookmarkEnd w:id="72"/>
      <w:bookmarkEnd w:id="73"/>
    </w:p>
    <w:p w14:paraId="74BCE5C1" w14:textId="012FB750" w:rsidR="009717BB" w:rsidRPr="009717BB" w:rsidRDefault="009717BB" w:rsidP="009717BB">
      <w:pPr>
        <w:jc w:val="both"/>
      </w:pPr>
      <w:r w:rsidRPr="009717BB">
        <w:t xml:space="preserve">Since the TE ToRs did not include an evaluation matrix and key evaluation questions, the TE team prepared the evaluation criteria matrix (Table </w:t>
      </w:r>
      <w:r>
        <w:t>D.</w:t>
      </w:r>
      <w:r w:rsidRPr="009717BB">
        <w:t>1</w:t>
      </w:r>
      <w:r>
        <w:t>.</w:t>
      </w:r>
      <w:r w:rsidRPr="009717BB">
        <w:t xml:space="preserve">), proposing the criteria and questions to be addressed during the TE. </w:t>
      </w:r>
      <w:r>
        <w:t>The evaluation matrix was finalized during the review and approval of the TE inception report</w:t>
      </w:r>
      <w:r w:rsidRPr="009717BB">
        <w:t>.</w:t>
      </w:r>
    </w:p>
    <w:p w14:paraId="668F000E" w14:textId="4E96647F" w:rsidR="00BF426D" w:rsidRPr="004C1CE4" w:rsidRDefault="00BF426D" w:rsidP="00BF426D">
      <w:pPr>
        <w:pStyle w:val="Caption"/>
      </w:pPr>
      <w:bookmarkStart w:id="74" w:name="_Ref58326751"/>
      <w:r w:rsidRPr="004C1CE4">
        <w:t xml:space="preserve">Table </w:t>
      </w:r>
      <w:r>
        <w:t>D.1.</w:t>
      </w:r>
      <w:bookmarkEnd w:id="74"/>
      <w:r w:rsidRPr="004C1CE4">
        <w:t xml:space="preserve"> Evaluation criteria matrix</w:t>
      </w:r>
    </w:p>
    <w:tbl>
      <w:tblPr>
        <w:tblStyle w:val="TableGrid"/>
        <w:tblW w:w="0" w:type="auto"/>
        <w:tblLook w:val="04A0" w:firstRow="1" w:lastRow="0" w:firstColumn="1" w:lastColumn="0" w:noHBand="0" w:noVBand="1"/>
      </w:tblPr>
      <w:tblGrid>
        <w:gridCol w:w="2689"/>
        <w:gridCol w:w="2551"/>
        <w:gridCol w:w="1772"/>
        <w:gridCol w:w="2338"/>
      </w:tblGrid>
      <w:tr w:rsidR="00BF426D" w:rsidRPr="00B370A5" w14:paraId="56A19373" w14:textId="77777777" w:rsidTr="00EF6294">
        <w:trPr>
          <w:tblHeader/>
        </w:trPr>
        <w:tc>
          <w:tcPr>
            <w:tcW w:w="2689" w:type="dxa"/>
            <w:shd w:val="clear" w:color="auto" w:fill="2E75B6" w:themeFill="accent5"/>
          </w:tcPr>
          <w:p w14:paraId="736E6063" w14:textId="77777777" w:rsidR="00BF426D" w:rsidRPr="00B370A5" w:rsidRDefault="00BF426D" w:rsidP="00EF6294">
            <w:pPr>
              <w:rPr>
                <w:b/>
                <w:bCs/>
                <w:color w:val="FFFFFF" w:themeColor="background1"/>
              </w:rPr>
            </w:pPr>
            <w:r w:rsidRPr="00B370A5">
              <w:rPr>
                <w:b/>
                <w:bCs/>
                <w:color w:val="FFFFFF" w:themeColor="background1"/>
              </w:rPr>
              <w:t>Evaluative Criteria</w:t>
            </w:r>
          </w:p>
          <w:p w14:paraId="6C74AD19" w14:textId="77777777" w:rsidR="00BF426D" w:rsidRPr="00B370A5" w:rsidRDefault="00BF426D" w:rsidP="00EF6294">
            <w:pPr>
              <w:rPr>
                <w:b/>
                <w:bCs/>
                <w:color w:val="FFFFFF" w:themeColor="background1"/>
              </w:rPr>
            </w:pPr>
            <w:r w:rsidRPr="00B370A5">
              <w:rPr>
                <w:b/>
                <w:bCs/>
                <w:color w:val="FFFFFF" w:themeColor="background1"/>
              </w:rPr>
              <w:t>Questions</w:t>
            </w:r>
          </w:p>
        </w:tc>
        <w:tc>
          <w:tcPr>
            <w:tcW w:w="2551" w:type="dxa"/>
            <w:shd w:val="clear" w:color="auto" w:fill="2E75B6" w:themeFill="accent5"/>
          </w:tcPr>
          <w:p w14:paraId="53219117" w14:textId="77777777" w:rsidR="00BF426D" w:rsidRPr="00B370A5" w:rsidRDefault="00BF426D" w:rsidP="00EF6294">
            <w:pPr>
              <w:rPr>
                <w:b/>
                <w:bCs/>
                <w:color w:val="FFFFFF" w:themeColor="background1"/>
              </w:rPr>
            </w:pPr>
            <w:r w:rsidRPr="00B370A5">
              <w:rPr>
                <w:b/>
                <w:bCs/>
                <w:color w:val="FFFFFF" w:themeColor="background1"/>
              </w:rPr>
              <w:t>Indicators</w:t>
            </w:r>
          </w:p>
        </w:tc>
        <w:tc>
          <w:tcPr>
            <w:tcW w:w="1772" w:type="dxa"/>
            <w:shd w:val="clear" w:color="auto" w:fill="2E75B6" w:themeFill="accent5"/>
          </w:tcPr>
          <w:p w14:paraId="49C806AE" w14:textId="77777777" w:rsidR="00BF426D" w:rsidRPr="00B370A5" w:rsidRDefault="00BF426D" w:rsidP="00EF6294">
            <w:pPr>
              <w:rPr>
                <w:b/>
                <w:bCs/>
                <w:color w:val="FFFFFF" w:themeColor="background1"/>
              </w:rPr>
            </w:pPr>
            <w:r w:rsidRPr="00B370A5">
              <w:rPr>
                <w:b/>
                <w:bCs/>
                <w:color w:val="FFFFFF" w:themeColor="background1"/>
              </w:rPr>
              <w:t>Sources</w:t>
            </w:r>
          </w:p>
        </w:tc>
        <w:tc>
          <w:tcPr>
            <w:tcW w:w="2338" w:type="dxa"/>
            <w:shd w:val="clear" w:color="auto" w:fill="2E75B6" w:themeFill="accent5"/>
          </w:tcPr>
          <w:p w14:paraId="19B52D8F" w14:textId="77777777" w:rsidR="00BF426D" w:rsidRPr="00B370A5" w:rsidRDefault="00BF426D" w:rsidP="00EF6294">
            <w:pPr>
              <w:rPr>
                <w:b/>
                <w:bCs/>
                <w:color w:val="FFFFFF" w:themeColor="background1"/>
              </w:rPr>
            </w:pPr>
            <w:r w:rsidRPr="00B370A5">
              <w:rPr>
                <w:b/>
                <w:bCs/>
                <w:color w:val="FFFFFF" w:themeColor="background1"/>
              </w:rPr>
              <w:t>Methodology</w:t>
            </w:r>
          </w:p>
        </w:tc>
      </w:tr>
      <w:tr w:rsidR="00BF426D" w:rsidRPr="00B370A5" w14:paraId="6A314CEF" w14:textId="77777777" w:rsidTr="00EF6294">
        <w:tc>
          <w:tcPr>
            <w:tcW w:w="9350" w:type="dxa"/>
            <w:gridSpan w:val="4"/>
            <w:shd w:val="clear" w:color="auto" w:fill="77ACDC" w:themeFill="accent5" w:themeFillTint="99"/>
          </w:tcPr>
          <w:p w14:paraId="0FA28E14" w14:textId="77777777" w:rsidR="00BF426D" w:rsidRPr="00B370A5" w:rsidRDefault="00BF426D" w:rsidP="00EF6294">
            <w:pPr>
              <w:rPr>
                <w:b/>
                <w:bCs/>
              </w:rPr>
            </w:pPr>
            <w:r w:rsidRPr="00B370A5">
              <w:rPr>
                <w:b/>
                <w:bCs/>
              </w:rPr>
              <w:t>Project design</w:t>
            </w:r>
          </w:p>
        </w:tc>
      </w:tr>
      <w:tr w:rsidR="00BF426D" w14:paraId="68B7EFA5" w14:textId="77777777" w:rsidTr="00EF6294">
        <w:tc>
          <w:tcPr>
            <w:tcW w:w="2689" w:type="dxa"/>
          </w:tcPr>
          <w:p w14:paraId="00616B75" w14:textId="77777777" w:rsidR="00BF426D" w:rsidRDefault="00BF426D" w:rsidP="00EF6294">
            <w:r w:rsidRPr="00EB73AA">
              <w:rPr>
                <w:u w:val="single"/>
              </w:rPr>
              <w:t>Lessons from other projects</w:t>
            </w:r>
            <w:r>
              <w:t>:</w:t>
            </w:r>
          </w:p>
          <w:p w14:paraId="346419EF" w14:textId="77777777" w:rsidR="00BF426D" w:rsidRPr="001C65BB" w:rsidRDefault="00BF426D" w:rsidP="00EF6294">
            <w:r>
              <w:t>Did the project design incorporate lessons from other, similar projects?</w:t>
            </w:r>
          </w:p>
        </w:tc>
        <w:tc>
          <w:tcPr>
            <w:tcW w:w="2551" w:type="dxa"/>
          </w:tcPr>
          <w:p w14:paraId="7F43A2AA" w14:textId="77777777" w:rsidR="00BF426D" w:rsidRDefault="00BF426D" w:rsidP="00EF6294">
            <w:r>
              <w:t>Evidence of lessons from other projects in project design</w:t>
            </w:r>
          </w:p>
          <w:p w14:paraId="60C44EDD" w14:textId="77777777" w:rsidR="00BF426D" w:rsidRDefault="00BF426D" w:rsidP="00EF6294"/>
        </w:tc>
        <w:tc>
          <w:tcPr>
            <w:tcW w:w="1772" w:type="dxa"/>
          </w:tcPr>
          <w:p w14:paraId="66125EE8" w14:textId="77777777" w:rsidR="00BF426D" w:rsidRDefault="00BF426D" w:rsidP="00EF6294">
            <w:r>
              <w:t>ProDoc</w:t>
            </w:r>
          </w:p>
          <w:p w14:paraId="69CFD653" w14:textId="77777777" w:rsidR="00BF426D" w:rsidRDefault="00BF426D" w:rsidP="00EF6294"/>
        </w:tc>
        <w:tc>
          <w:tcPr>
            <w:tcW w:w="2338" w:type="dxa"/>
          </w:tcPr>
          <w:p w14:paraId="655E2B81" w14:textId="77777777" w:rsidR="00BF426D" w:rsidRPr="001C65BB" w:rsidRDefault="00BF426D" w:rsidP="00EF6294">
            <w:r w:rsidRPr="001C65BB">
              <w:t>Documents analysis</w:t>
            </w:r>
          </w:p>
        </w:tc>
      </w:tr>
      <w:tr w:rsidR="00BF426D" w14:paraId="5BF62ADB" w14:textId="77777777" w:rsidTr="00EF6294">
        <w:tc>
          <w:tcPr>
            <w:tcW w:w="2689" w:type="dxa"/>
          </w:tcPr>
          <w:p w14:paraId="7371697A" w14:textId="77777777" w:rsidR="00BF426D" w:rsidRDefault="00BF426D" w:rsidP="00EF6294">
            <w:r>
              <w:rPr>
                <w:u w:val="single"/>
              </w:rPr>
              <w:t>Project l</w:t>
            </w:r>
            <w:r w:rsidRPr="00EB73AA">
              <w:rPr>
                <w:u w:val="single"/>
              </w:rPr>
              <w:t>ogic and strategy</w:t>
            </w:r>
            <w:r>
              <w:t>:</w:t>
            </w:r>
          </w:p>
          <w:p w14:paraId="60E853AC" w14:textId="77777777" w:rsidR="00BF426D" w:rsidRDefault="00BF426D" w:rsidP="00EF6294">
            <w:r>
              <w:t>Were project objectives clear and feasible?</w:t>
            </w:r>
          </w:p>
          <w:p w14:paraId="4BDECC1E" w14:textId="77777777" w:rsidR="00BF426D" w:rsidRPr="001C65BB" w:rsidRDefault="00BF426D" w:rsidP="00EF6294">
            <w:r>
              <w:t>Were project outcomes and outputs internally coherent and consistent with the definition of the project objective?</w:t>
            </w:r>
          </w:p>
        </w:tc>
        <w:tc>
          <w:tcPr>
            <w:tcW w:w="2551" w:type="dxa"/>
          </w:tcPr>
          <w:p w14:paraId="3D49848C" w14:textId="77777777" w:rsidR="00BF426D" w:rsidRDefault="00BF426D" w:rsidP="00EF6294">
            <w:r>
              <w:t xml:space="preserve">Coherence and consistency between outputs, outcomes, and objective  </w:t>
            </w:r>
          </w:p>
        </w:tc>
        <w:tc>
          <w:tcPr>
            <w:tcW w:w="1772" w:type="dxa"/>
          </w:tcPr>
          <w:p w14:paraId="486ECD0B" w14:textId="77777777" w:rsidR="00BF426D" w:rsidRDefault="00BF426D" w:rsidP="00EF6294">
            <w:r>
              <w:t>ProDoc</w:t>
            </w:r>
          </w:p>
          <w:p w14:paraId="5DBD0532" w14:textId="77777777" w:rsidR="00BF426D" w:rsidRDefault="00BF426D" w:rsidP="00EF6294"/>
        </w:tc>
        <w:tc>
          <w:tcPr>
            <w:tcW w:w="2338" w:type="dxa"/>
          </w:tcPr>
          <w:p w14:paraId="377D4613" w14:textId="77777777" w:rsidR="00BF426D" w:rsidRPr="001C65BB" w:rsidRDefault="00BF426D" w:rsidP="00EF6294">
            <w:r w:rsidRPr="001C65BB">
              <w:t>Documents analysis</w:t>
            </w:r>
          </w:p>
        </w:tc>
      </w:tr>
      <w:tr w:rsidR="00BF426D" w14:paraId="2E3B86C9" w14:textId="77777777" w:rsidTr="00EF6294">
        <w:tc>
          <w:tcPr>
            <w:tcW w:w="2689" w:type="dxa"/>
          </w:tcPr>
          <w:p w14:paraId="0DD6F93D" w14:textId="77777777" w:rsidR="00BF426D" w:rsidRDefault="00BF426D" w:rsidP="00EF6294">
            <w:r w:rsidRPr="00EB73AA">
              <w:rPr>
                <w:u w:val="single"/>
              </w:rPr>
              <w:t>Gender responsiveness</w:t>
            </w:r>
            <w:r>
              <w:t>:</w:t>
            </w:r>
          </w:p>
          <w:p w14:paraId="0B245F4C" w14:textId="77777777" w:rsidR="00BF426D" w:rsidRDefault="00BF426D" w:rsidP="00EF6294">
            <w:r>
              <w:t>How were gender considerations incorporated in project design?</w:t>
            </w:r>
          </w:p>
        </w:tc>
        <w:tc>
          <w:tcPr>
            <w:tcW w:w="2551" w:type="dxa"/>
          </w:tcPr>
          <w:p w14:paraId="0D689AB0" w14:textId="77777777" w:rsidR="00BF426D" w:rsidRDefault="00BF426D" w:rsidP="00EF6294">
            <w:r>
              <w:t xml:space="preserve">Evidence of planned activities with considerations on gender issues </w:t>
            </w:r>
          </w:p>
          <w:p w14:paraId="01030EA2" w14:textId="77777777" w:rsidR="00BF426D" w:rsidRDefault="00BF426D" w:rsidP="00EF6294">
            <w:r>
              <w:t>Evidence of gender-disaggregated indicators</w:t>
            </w:r>
          </w:p>
        </w:tc>
        <w:tc>
          <w:tcPr>
            <w:tcW w:w="1772" w:type="dxa"/>
          </w:tcPr>
          <w:p w14:paraId="6D551545" w14:textId="77777777" w:rsidR="00BF426D" w:rsidRDefault="00BF426D" w:rsidP="00EF6294">
            <w:r>
              <w:t>ProDoc</w:t>
            </w:r>
          </w:p>
          <w:p w14:paraId="741DEFA6" w14:textId="77777777" w:rsidR="00BF426D" w:rsidRDefault="00BF426D" w:rsidP="00EF6294"/>
        </w:tc>
        <w:tc>
          <w:tcPr>
            <w:tcW w:w="2338" w:type="dxa"/>
          </w:tcPr>
          <w:p w14:paraId="3B7FBB26" w14:textId="77777777" w:rsidR="00BF426D" w:rsidRPr="001C65BB" w:rsidRDefault="00BF426D" w:rsidP="00EF6294">
            <w:r w:rsidRPr="001C65BB">
              <w:t>Documents analysis</w:t>
            </w:r>
          </w:p>
        </w:tc>
      </w:tr>
      <w:tr w:rsidR="00BF426D" w14:paraId="3A148971" w14:textId="77777777" w:rsidTr="00EF6294">
        <w:tc>
          <w:tcPr>
            <w:tcW w:w="2689" w:type="dxa"/>
          </w:tcPr>
          <w:p w14:paraId="3CAE88AA" w14:textId="77777777" w:rsidR="00BF426D" w:rsidRDefault="00BF426D" w:rsidP="00EF6294">
            <w:r>
              <w:rPr>
                <w:u w:val="single"/>
              </w:rPr>
              <w:t>Stakeholder participation</w:t>
            </w:r>
            <w:r>
              <w:t>:</w:t>
            </w:r>
          </w:p>
          <w:p w14:paraId="0EBDABB7" w14:textId="77777777" w:rsidR="00BF426D" w:rsidRPr="00EB73AA" w:rsidRDefault="00BF426D" w:rsidP="00EF6294">
            <w:r>
              <w:t>Was there participation from stakeholders in the project design process?</w:t>
            </w:r>
          </w:p>
        </w:tc>
        <w:tc>
          <w:tcPr>
            <w:tcW w:w="2551" w:type="dxa"/>
          </w:tcPr>
          <w:p w14:paraId="1D7149AC" w14:textId="77777777" w:rsidR="00BF426D" w:rsidRDefault="00BF426D" w:rsidP="00EF6294">
            <w:r>
              <w:t>Level of participation of stakeholders in project design</w:t>
            </w:r>
          </w:p>
        </w:tc>
        <w:tc>
          <w:tcPr>
            <w:tcW w:w="1772" w:type="dxa"/>
          </w:tcPr>
          <w:p w14:paraId="1E241C2F" w14:textId="77777777" w:rsidR="00BF426D" w:rsidRDefault="00BF426D" w:rsidP="00EF6294">
            <w:r>
              <w:t>ProDoc</w:t>
            </w:r>
          </w:p>
          <w:p w14:paraId="6A5A029A" w14:textId="77777777" w:rsidR="00BF426D" w:rsidRDefault="00BF426D" w:rsidP="00EF6294"/>
        </w:tc>
        <w:tc>
          <w:tcPr>
            <w:tcW w:w="2338" w:type="dxa"/>
          </w:tcPr>
          <w:p w14:paraId="1A22AB62" w14:textId="77777777" w:rsidR="00BF426D" w:rsidRDefault="00BF426D" w:rsidP="00EF6294">
            <w:r w:rsidRPr="001C65BB">
              <w:t>Documents analysis</w:t>
            </w:r>
          </w:p>
          <w:p w14:paraId="3F15957C" w14:textId="77777777" w:rsidR="00BF426D" w:rsidRPr="001C65BB" w:rsidRDefault="00BF426D" w:rsidP="00EF6294">
            <w:r>
              <w:t>Interviews</w:t>
            </w:r>
          </w:p>
        </w:tc>
      </w:tr>
      <w:tr w:rsidR="00BF426D" w:rsidRPr="00B370A5" w14:paraId="5BE98A82" w14:textId="77777777" w:rsidTr="00EF6294">
        <w:tc>
          <w:tcPr>
            <w:tcW w:w="9350" w:type="dxa"/>
            <w:gridSpan w:val="4"/>
            <w:shd w:val="clear" w:color="auto" w:fill="77ACDC" w:themeFill="accent5" w:themeFillTint="99"/>
          </w:tcPr>
          <w:p w14:paraId="40E99442" w14:textId="77777777" w:rsidR="00BF426D" w:rsidRPr="00B370A5" w:rsidRDefault="00BF426D" w:rsidP="00EF6294">
            <w:pPr>
              <w:rPr>
                <w:b/>
                <w:bCs/>
              </w:rPr>
            </w:pPr>
            <w:r w:rsidRPr="00B370A5">
              <w:rPr>
                <w:b/>
                <w:bCs/>
              </w:rPr>
              <w:t>Implementation and execution</w:t>
            </w:r>
          </w:p>
        </w:tc>
      </w:tr>
      <w:tr w:rsidR="00BF426D" w:rsidRPr="00171FA1" w14:paraId="4CD9C24A" w14:textId="77777777" w:rsidTr="00EF6294">
        <w:tc>
          <w:tcPr>
            <w:tcW w:w="9350" w:type="dxa"/>
            <w:gridSpan w:val="4"/>
            <w:shd w:val="clear" w:color="auto" w:fill="A4C7E8" w:themeFill="accent5" w:themeFillTint="66"/>
          </w:tcPr>
          <w:p w14:paraId="29737199" w14:textId="77777777" w:rsidR="00BF426D" w:rsidRPr="00171FA1" w:rsidRDefault="00BF426D" w:rsidP="00EF6294">
            <w:r w:rsidRPr="00171FA1">
              <w:t>Stakeholder participation and partnerships</w:t>
            </w:r>
          </w:p>
        </w:tc>
      </w:tr>
      <w:tr w:rsidR="00BF426D" w14:paraId="278DC295" w14:textId="77777777" w:rsidTr="00EF6294">
        <w:tc>
          <w:tcPr>
            <w:tcW w:w="2689" w:type="dxa"/>
          </w:tcPr>
          <w:p w14:paraId="58FF6434" w14:textId="77777777" w:rsidR="00BF426D" w:rsidRDefault="00BF426D" w:rsidP="00EF6294">
            <w:r>
              <w:t>Did the project develop effective partnerships?</w:t>
            </w:r>
          </w:p>
          <w:p w14:paraId="58B3F821" w14:textId="77777777" w:rsidR="00BF426D" w:rsidRPr="001C65BB" w:rsidRDefault="00BF426D" w:rsidP="00EF6294">
            <w:r>
              <w:t>Did these partnerships contribute to project results?</w:t>
            </w:r>
          </w:p>
        </w:tc>
        <w:tc>
          <w:tcPr>
            <w:tcW w:w="2551" w:type="dxa"/>
          </w:tcPr>
          <w:p w14:paraId="0B42F0A5" w14:textId="77777777" w:rsidR="00BF426D" w:rsidRDefault="00BF426D" w:rsidP="00EF6294">
            <w:r>
              <w:t>Evidence of resources committed by partners to project activities</w:t>
            </w:r>
          </w:p>
          <w:p w14:paraId="22169793" w14:textId="77777777" w:rsidR="00BF426D" w:rsidRDefault="00BF426D" w:rsidP="00EF6294">
            <w:r>
              <w:t>Evidence of commitment by partners to take over project activities after project end</w:t>
            </w:r>
          </w:p>
        </w:tc>
        <w:tc>
          <w:tcPr>
            <w:tcW w:w="1772" w:type="dxa"/>
          </w:tcPr>
          <w:p w14:paraId="57C1ADA1" w14:textId="77777777" w:rsidR="00BF426D" w:rsidRDefault="00BF426D" w:rsidP="00EF6294">
            <w:r>
              <w:t>APRs, PIRs</w:t>
            </w:r>
          </w:p>
          <w:p w14:paraId="3C2EE16A" w14:textId="77777777" w:rsidR="00BF426D" w:rsidRDefault="00BF426D" w:rsidP="00EF6294">
            <w:r>
              <w:t>Press releases</w:t>
            </w:r>
          </w:p>
          <w:p w14:paraId="6D8A76DF" w14:textId="77777777" w:rsidR="00BF426D" w:rsidRDefault="00BF426D" w:rsidP="00EF6294"/>
        </w:tc>
        <w:tc>
          <w:tcPr>
            <w:tcW w:w="2338" w:type="dxa"/>
          </w:tcPr>
          <w:p w14:paraId="73FF4145" w14:textId="77777777" w:rsidR="00BF426D" w:rsidRDefault="00BF426D" w:rsidP="00EF6294">
            <w:r w:rsidRPr="001C65BB">
              <w:t>Documents analysis</w:t>
            </w:r>
          </w:p>
          <w:p w14:paraId="2277E270" w14:textId="77777777" w:rsidR="00BF426D" w:rsidRDefault="00BF426D" w:rsidP="00EF6294">
            <w:r>
              <w:t>Semi-structured interviews</w:t>
            </w:r>
          </w:p>
          <w:p w14:paraId="6C36AB97" w14:textId="77777777" w:rsidR="00BF426D" w:rsidRDefault="00BF426D" w:rsidP="00EF6294">
            <w:r>
              <w:t>Interviews with project team</w:t>
            </w:r>
          </w:p>
          <w:p w14:paraId="0861B5F2" w14:textId="77777777" w:rsidR="00BF426D" w:rsidRPr="001C65BB" w:rsidRDefault="00BF426D" w:rsidP="00EF6294"/>
        </w:tc>
      </w:tr>
      <w:tr w:rsidR="00BF426D" w14:paraId="21406886" w14:textId="77777777" w:rsidTr="00EF6294">
        <w:tc>
          <w:tcPr>
            <w:tcW w:w="9350" w:type="dxa"/>
            <w:gridSpan w:val="4"/>
            <w:shd w:val="clear" w:color="auto" w:fill="A4C7E8" w:themeFill="accent5" w:themeFillTint="66"/>
          </w:tcPr>
          <w:p w14:paraId="046E946A" w14:textId="77777777" w:rsidR="00BF426D" w:rsidRDefault="00BF426D" w:rsidP="00EF6294">
            <w:r w:rsidRPr="00E604CE">
              <w:t>Project finance and cofinancing:</w:t>
            </w:r>
          </w:p>
        </w:tc>
      </w:tr>
      <w:tr w:rsidR="00BF426D" w14:paraId="31A342D8" w14:textId="77777777" w:rsidTr="00EF6294">
        <w:tc>
          <w:tcPr>
            <w:tcW w:w="2689" w:type="dxa"/>
          </w:tcPr>
          <w:p w14:paraId="3EF69121" w14:textId="77777777" w:rsidR="00BF426D" w:rsidRDefault="00BF426D" w:rsidP="00EF6294">
            <w:r>
              <w:t>Were there appropriate financial controls and mechanisms to allow effective project management?</w:t>
            </w:r>
          </w:p>
        </w:tc>
        <w:tc>
          <w:tcPr>
            <w:tcW w:w="2551" w:type="dxa"/>
          </w:tcPr>
          <w:p w14:paraId="142A7E86" w14:textId="77777777" w:rsidR="00BF426D" w:rsidRDefault="00BF426D" w:rsidP="00EF6294">
            <w:r>
              <w:t xml:space="preserve">Adequacy of financial control mechanisms </w:t>
            </w:r>
          </w:p>
          <w:p w14:paraId="3D44A4DC" w14:textId="77777777" w:rsidR="00BF426D" w:rsidRDefault="00BF426D" w:rsidP="00EF6294">
            <w:r>
              <w:t>Findings from auditors</w:t>
            </w:r>
          </w:p>
        </w:tc>
        <w:tc>
          <w:tcPr>
            <w:tcW w:w="1772" w:type="dxa"/>
          </w:tcPr>
          <w:p w14:paraId="0D755F05" w14:textId="77777777" w:rsidR="00BF426D" w:rsidRDefault="00BF426D" w:rsidP="00EF6294">
            <w:r>
              <w:t>Audit reports</w:t>
            </w:r>
          </w:p>
          <w:p w14:paraId="6ACB0726" w14:textId="77777777" w:rsidR="00BF426D" w:rsidRDefault="00BF426D" w:rsidP="00EF6294">
            <w:r>
              <w:t>APRs, PIRs</w:t>
            </w:r>
          </w:p>
          <w:p w14:paraId="09DE2FD3" w14:textId="77777777" w:rsidR="00BF426D" w:rsidRDefault="00BF426D" w:rsidP="00EF6294"/>
        </w:tc>
        <w:tc>
          <w:tcPr>
            <w:tcW w:w="2338" w:type="dxa"/>
          </w:tcPr>
          <w:p w14:paraId="2BDD5E3C" w14:textId="77777777" w:rsidR="00BF426D" w:rsidRDefault="00BF426D" w:rsidP="00EF6294">
            <w:r w:rsidRPr="001C65BB">
              <w:t>Documents analysis</w:t>
            </w:r>
          </w:p>
          <w:p w14:paraId="6675008E" w14:textId="77777777" w:rsidR="00BF426D" w:rsidRPr="001C65BB" w:rsidRDefault="00BF426D" w:rsidP="00EF6294">
            <w:r>
              <w:t>Interviews with project team</w:t>
            </w:r>
          </w:p>
        </w:tc>
      </w:tr>
      <w:tr w:rsidR="00BF426D" w14:paraId="23DEB755" w14:textId="77777777" w:rsidTr="00EF6294">
        <w:tc>
          <w:tcPr>
            <w:tcW w:w="2689" w:type="dxa"/>
          </w:tcPr>
          <w:p w14:paraId="5F482A97" w14:textId="77777777" w:rsidR="00BF426D" w:rsidRDefault="00BF426D" w:rsidP="00EF6294">
            <w:r>
              <w:t>Did planned cofinancing contributions materialize?</w:t>
            </w:r>
          </w:p>
          <w:p w14:paraId="6E96BFB0" w14:textId="77777777" w:rsidR="00BF426D" w:rsidRDefault="00BF426D" w:rsidP="00EF6294">
            <w:r>
              <w:lastRenderedPageBreak/>
              <w:t>Were external resources well integrated into project strategy?</w:t>
            </w:r>
          </w:p>
        </w:tc>
        <w:tc>
          <w:tcPr>
            <w:tcW w:w="2551" w:type="dxa"/>
          </w:tcPr>
          <w:p w14:paraId="2844C52A" w14:textId="77777777" w:rsidR="00BF426D" w:rsidRDefault="00BF426D" w:rsidP="00EF6294">
            <w:r>
              <w:lastRenderedPageBreak/>
              <w:t>Levels of cofinancing reported</w:t>
            </w:r>
          </w:p>
        </w:tc>
        <w:tc>
          <w:tcPr>
            <w:tcW w:w="1772" w:type="dxa"/>
          </w:tcPr>
          <w:p w14:paraId="714CAA68" w14:textId="77777777" w:rsidR="00BF426D" w:rsidRDefault="00BF426D" w:rsidP="00EF6294">
            <w:r>
              <w:t>Audit reports</w:t>
            </w:r>
          </w:p>
          <w:p w14:paraId="253242EE" w14:textId="77777777" w:rsidR="00BF426D" w:rsidRDefault="00BF426D" w:rsidP="00EF6294">
            <w:r>
              <w:t>APRs, PIRs</w:t>
            </w:r>
          </w:p>
          <w:p w14:paraId="143E74B6" w14:textId="77777777" w:rsidR="00BF426D" w:rsidRDefault="00BF426D" w:rsidP="00EF6294">
            <w:r>
              <w:lastRenderedPageBreak/>
              <w:t>Press releases</w:t>
            </w:r>
          </w:p>
          <w:p w14:paraId="3B103233" w14:textId="77777777" w:rsidR="00BF426D" w:rsidRDefault="00BF426D" w:rsidP="00EF6294"/>
        </w:tc>
        <w:tc>
          <w:tcPr>
            <w:tcW w:w="2338" w:type="dxa"/>
          </w:tcPr>
          <w:p w14:paraId="77629E53" w14:textId="77777777" w:rsidR="00BF426D" w:rsidRDefault="00BF426D" w:rsidP="00EF6294">
            <w:r w:rsidRPr="001C65BB">
              <w:lastRenderedPageBreak/>
              <w:t>Documents analysis</w:t>
            </w:r>
          </w:p>
          <w:p w14:paraId="1D60C127" w14:textId="77777777" w:rsidR="00BF426D" w:rsidRPr="001C65BB" w:rsidRDefault="00BF426D" w:rsidP="00EF6294">
            <w:r>
              <w:lastRenderedPageBreak/>
              <w:t>Interviews with project team</w:t>
            </w:r>
          </w:p>
        </w:tc>
      </w:tr>
      <w:tr w:rsidR="00BF426D" w14:paraId="5C2CD9FE" w14:textId="77777777" w:rsidTr="00EF6294">
        <w:tc>
          <w:tcPr>
            <w:tcW w:w="9350" w:type="dxa"/>
            <w:gridSpan w:val="4"/>
            <w:shd w:val="clear" w:color="auto" w:fill="A4C7E8" w:themeFill="accent5" w:themeFillTint="66"/>
          </w:tcPr>
          <w:p w14:paraId="322BFA44" w14:textId="77777777" w:rsidR="00BF426D" w:rsidRDefault="00BF426D" w:rsidP="00EF6294">
            <w:r>
              <w:lastRenderedPageBreak/>
              <w:t>Monitoring and evaluation (M&amp;E)</w:t>
            </w:r>
          </w:p>
        </w:tc>
      </w:tr>
      <w:tr w:rsidR="00BF426D" w14:paraId="38C5129D" w14:textId="77777777" w:rsidTr="00EF6294">
        <w:tc>
          <w:tcPr>
            <w:tcW w:w="2689" w:type="dxa"/>
          </w:tcPr>
          <w:p w14:paraId="3FB3D691" w14:textId="77777777" w:rsidR="00BF426D" w:rsidRDefault="00BF426D" w:rsidP="00EF6294">
            <w:r w:rsidRPr="001C65BB">
              <w:t xml:space="preserve">Does </w:t>
            </w:r>
            <w:r>
              <w:t>the</w:t>
            </w:r>
            <w:r w:rsidRPr="001C65BB">
              <w:t xml:space="preserve"> monitoring plan have SMART indicators?</w:t>
            </w:r>
          </w:p>
        </w:tc>
        <w:tc>
          <w:tcPr>
            <w:tcW w:w="2551" w:type="dxa"/>
          </w:tcPr>
          <w:p w14:paraId="713B44BA" w14:textId="77777777" w:rsidR="00BF426D" w:rsidRDefault="00BF426D" w:rsidP="00EF6294">
            <w:r>
              <w:t>Smart indicators in PRF</w:t>
            </w:r>
          </w:p>
        </w:tc>
        <w:tc>
          <w:tcPr>
            <w:tcW w:w="1772" w:type="dxa"/>
          </w:tcPr>
          <w:p w14:paraId="09C87B6D" w14:textId="77777777" w:rsidR="00BF426D" w:rsidRDefault="00BF426D" w:rsidP="00EF6294">
            <w:r>
              <w:t>ProDoc</w:t>
            </w:r>
          </w:p>
        </w:tc>
        <w:tc>
          <w:tcPr>
            <w:tcW w:w="2338" w:type="dxa"/>
          </w:tcPr>
          <w:p w14:paraId="6B33AEC8" w14:textId="77777777" w:rsidR="00BF426D" w:rsidRDefault="00BF426D" w:rsidP="00EF6294">
            <w:r w:rsidRPr="001C65BB">
              <w:t>Documents analysis</w:t>
            </w:r>
          </w:p>
        </w:tc>
      </w:tr>
      <w:tr w:rsidR="00BF426D" w14:paraId="5B782424" w14:textId="77777777" w:rsidTr="00EF6294">
        <w:tc>
          <w:tcPr>
            <w:tcW w:w="2689" w:type="dxa"/>
          </w:tcPr>
          <w:p w14:paraId="7B67D07F" w14:textId="77777777" w:rsidR="00BF426D" w:rsidRDefault="00BF426D" w:rsidP="00EF6294">
            <w:r>
              <w:t xml:space="preserve">Was the monitoring plan implemented as intended? </w:t>
            </w:r>
          </w:p>
        </w:tc>
        <w:tc>
          <w:tcPr>
            <w:tcW w:w="2551" w:type="dxa"/>
          </w:tcPr>
          <w:p w14:paraId="58B69292" w14:textId="77777777" w:rsidR="00BF426D" w:rsidRDefault="00BF426D" w:rsidP="00EF6294">
            <w:r>
              <w:t>Project reports submitted in accordance with provisions in the monitoring plan</w:t>
            </w:r>
          </w:p>
        </w:tc>
        <w:tc>
          <w:tcPr>
            <w:tcW w:w="1772" w:type="dxa"/>
          </w:tcPr>
          <w:p w14:paraId="6F21BD62" w14:textId="77777777" w:rsidR="00BF426D" w:rsidRDefault="00BF426D" w:rsidP="00EF6294">
            <w:r>
              <w:t>ProDoc</w:t>
            </w:r>
          </w:p>
          <w:p w14:paraId="7C6B4A57" w14:textId="77777777" w:rsidR="00BF426D" w:rsidRDefault="00BF426D" w:rsidP="00EF6294">
            <w:r>
              <w:t>APRs, PIRs</w:t>
            </w:r>
          </w:p>
        </w:tc>
        <w:tc>
          <w:tcPr>
            <w:tcW w:w="2338" w:type="dxa"/>
          </w:tcPr>
          <w:p w14:paraId="3B0FE19E" w14:textId="77777777" w:rsidR="00BF426D" w:rsidRDefault="00BF426D" w:rsidP="00EF6294">
            <w:r w:rsidRPr="001C65BB">
              <w:t>Documents analysis</w:t>
            </w:r>
          </w:p>
          <w:p w14:paraId="6B4F4788" w14:textId="77777777" w:rsidR="00BF426D" w:rsidRDefault="00BF426D" w:rsidP="00EF6294">
            <w:r>
              <w:t>Interviews with project team</w:t>
            </w:r>
          </w:p>
        </w:tc>
      </w:tr>
      <w:tr w:rsidR="00BF426D" w14:paraId="0ECE2634" w14:textId="77777777" w:rsidTr="00EF6294">
        <w:tc>
          <w:tcPr>
            <w:tcW w:w="2689" w:type="dxa"/>
          </w:tcPr>
          <w:p w14:paraId="2B0F5D1C" w14:textId="77777777" w:rsidR="00BF426D" w:rsidRDefault="00BF426D" w:rsidP="00EF6294">
            <w:r>
              <w:t>Were resources allocated for M&amp;E expended as planned?</w:t>
            </w:r>
          </w:p>
        </w:tc>
        <w:tc>
          <w:tcPr>
            <w:tcW w:w="2551" w:type="dxa"/>
          </w:tcPr>
          <w:p w14:paraId="0773C175" w14:textId="77777777" w:rsidR="00BF426D" w:rsidRDefault="00BF426D" w:rsidP="00EF6294">
            <w:r>
              <w:t>Project budgets and e</w:t>
            </w:r>
            <w:r w:rsidRPr="001C65BB">
              <w:t xml:space="preserve">xpenditures </w:t>
            </w:r>
            <w:r>
              <w:t>conform to provisions in monitoring plan</w:t>
            </w:r>
          </w:p>
        </w:tc>
        <w:tc>
          <w:tcPr>
            <w:tcW w:w="1772" w:type="dxa"/>
          </w:tcPr>
          <w:p w14:paraId="7ED16783" w14:textId="77777777" w:rsidR="00BF426D" w:rsidRDefault="00BF426D" w:rsidP="00EF6294">
            <w:r>
              <w:t>ProDoc</w:t>
            </w:r>
          </w:p>
          <w:p w14:paraId="427D0DC4" w14:textId="77777777" w:rsidR="00BF426D" w:rsidRDefault="00BF426D" w:rsidP="00EF6294">
            <w:r>
              <w:t>APRs, PIRs</w:t>
            </w:r>
          </w:p>
        </w:tc>
        <w:tc>
          <w:tcPr>
            <w:tcW w:w="2338" w:type="dxa"/>
          </w:tcPr>
          <w:p w14:paraId="5285F7BC" w14:textId="77777777" w:rsidR="00BF426D" w:rsidRDefault="00BF426D" w:rsidP="00EF6294">
            <w:r w:rsidRPr="001C65BB">
              <w:t>Documents analysis</w:t>
            </w:r>
          </w:p>
          <w:p w14:paraId="787DD7D6" w14:textId="77777777" w:rsidR="00BF426D" w:rsidRDefault="00BF426D" w:rsidP="00EF6294">
            <w:r>
              <w:t>Interviews with project team</w:t>
            </w:r>
          </w:p>
        </w:tc>
      </w:tr>
      <w:tr w:rsidR="00BF426D" w14:paraId="2AB42698" w14:textId="77777777" w:rsidTr="00EF6294">
        <w:tc>
          <w:tcPr>
            <w:tcW w:w="9350" w:type="dxa"/>
            <w:gridSpan w:val="4"/>
            <w:shd w:val="clear" w:color="auto" w:fill="A4C7E8" w:themeFill="accent5" w:themeFillTint="66"/>
          </w:tcPr>
          <w:p w14:paraId="159C5D4E" w14:textId="77777777" w:rsidR="00BF426D" w:rsidRDefault="00BF426D" w:rsidP="00EF6294">
            <w:r>
              <w:t>Implementing partner execution, UNDP oversight</w:t>
            </w:r>
          </w:p>
        </w:tc>
      </w:tr>
      <w:tr w:rsidR="00BF426D" w14:paraId="2959CE55" w14:textId="77777777" w:rsidTr="00EF6294">
        <w:tc>
          <w:tcPr>
            <w:tcW w:w="2689" w:type="dxa"/>
          </w:tcPr>
          <w:p w14:paraId="5C3963F8" w14:textId="77777777" w:rsidR="00BF426D" w:rsidRDefault="00BF426D" w:rsidP="00EF6294">
            <w:r>
              <w:t>Did the IP focus on results and timeliness?</w:t>
            </w:r>
          </w:p>
        </w:tc>
        <w:tc>
          <w:tcPr>
            <w:tcW w:w="2551" w:type="dxa"/>
          </w:tcPr>
          <w:p w14:paraId="20BCF743" w14:textId="77777777" w:rsidR="00BF426D" w:rsidRDefault="00BF426D" w:rsidP="00EF6294">
            <w:r>
              <w:t>Evidence that problems were identified and analysed on time</w:t>
            </w:r>
          </w:p>
          <w:p w14:paraId="0C669AD6" w14:textId="77777777" w:rsidR="00BF426D" w:rsidRDefault="00BF426D" w:rsidP="00EF6294">
            <w:r>
              <w:t>Evidence that solutions were identified and implemented effectively to respond to emerging problems</w:t>
            </w:r>
          </w:p>
          <w:p w14:paraId="574EC0E2" w14:textId="77777777" w:rsidR="00BF426D" w:rsidRDefault="00BF426D" w:rsidP="00EF6294">
            <w:r>
              <w:t>Evidence that plans were adjusted and updated to respond to problems and agreed courses of action</w:t>
            </w:r>
          </w:p>
        </w:tc>
        <w:tc>
          <w:tcPr>
            <w:tcW w:w="1772" w:type="dxa"/>
          </w:tcPr>
          <w:p w14:paraId="034A8056" w14:textId="77777777" w:rsidR="00BF426D" w:rsidRDefault="00BF426D" w:rsidP="00EF6294">
            <w:r>
              <w:t>ProDoc</w:t>
            </w:r>
          </w:p>
          <w:p w14:paraId="5C2A1BBD" w14:textId="77777777" w:rsidR="00BF426D" w:rsidRDefault="00BF426D" w:rsidP="00EF6294">
            <w:r>
              <w:t>APRs, PIRs</w:t>
            </w:r>
          </w:p>
        </w:tc>
        <w:tc>
          <w:tcPr>
            <w:tcW w:w="2338" w:type="dxa"/>
          </w:tcPr>
          <w:p w14:paraId="5676F9DA" w14:textId="77777777" w:rsidR="00BF426D" w:rsidRDefault="00BF426D" w:rsidP="00EF6294">
            <w:r w:rsidRPr="001C65BB">
              <w:t>Documents analysis</w:t>
            </w:r>
          </w:p>
          <w:p w14:paraId="2D5C0905" w14:textId="77777777" w:rsidR="00BF426D" w:rsidRDefault="00BF426D" w:rsidP="00EF6294">
            <w:r>
              <w:t>Semi-structured interviews</w:t>
            </w:r>
          </w:p>
          <w:p w14:paraId="3ED2E314" w14:textId="77777777" w:rsidR="00BF426D" w:rsidRDefault="00BF426D" w:rsidP="00EF6294">
            <w:r>
              <w:t>Interviews with project team</w:t>
            </w:r>
          </w:p>
          <w:p w14:paraId="3B5E3D13" w14:textId="77777777" w:rsidR="00BF426D" w:rsidRPr="001C65BB" w:rsidRDefault="00BF426D" w:rsidP="00EF6294"/>
        </w:tc>
      </w:tr>
      <w:tr w:rsidR="00BF426D" w14:paraId="161BE384" w14:textId="77777777" w:rsidTr="00EF6294">
        <w:tc>
          <w:tcPr>
            <w:tcW w:w="2689" w:type="dxa"/>
          </w:tcPr>
          <w:p w14:paraId="754D50D7" w14:textId="77777777" w:rsidR="00BF426D" w:rsidRDefault="00BF426D" w:rsidP="00EF6294">
            <w:r>
              <w:t>Was there clarity regarding responsibilities over project execution?</w:t>
            </w:r>
          </w:p>
        </w:tc>
        <w:tc>
          <w:tcPr>
            <w:tcW w:w="2551" w:type="dxa"/>
          </w:tcPr>
          <w:p w14:paraId="322350A0" w14:textId="77777777" w:rsidR="00BF426D" w:rsidRDefault="00BF426D" w:rsidP="00EF6294">
            <w:r>
              <w:t>Evidence that plans adequately identified responsibilities and timelines</w:t>
            </w:r>
          </w:p>
          <w:p w14:paraId="0FD8E22B" w14:textId="77777777" w:rsidR="00BF426D" w:rsidRDefault="00BF426D" w:rsidP="00EF6294">
            <w:r>
              <w:t>Evidence that activities were implemented as planned</w:t>
            </w:r>
          </w:p>
          <w:p w14:paraId="0E694F82" w14:textId="77777777" w:rsidR="00BF426D" w:rsidRDefault="00BF426D" w:rsidP="00EF6294">
            <w:r>
              <w:t>Evidence that plans were adjusted and updated to respond to problems and agreed courses of action</w:t>
            </w:r>
          </w:p>
        </w:tc>
        <w:tc>
          <w:tcPr>
            <w:tcW w:w="1772" w:type="dxa"/>
          </w:tcPr>
          <w:p w14:paraId="791BF76E" w14:textId="77777777" w:rsidR="00BF426D" w:rsidRDefault="00BF426D" w:rsidP="00EF6294">
            <w:r>
              <w:t>ProDoc</w:t>
            </w:r>
          </w:p>
          <w:p w14:paraId="40F0228F" w14:textId="77777777" w:rsidR="00BF426D" w:rsidRDefault="00BF426D" w:rsidP="00EF6294">
            <w:r>
              <w:t>APRs, PIRs</w:t>
            </w:r>
          </w:p>
        </w:tc>
        <w:tc>
          <w:tcPr>
            <w:tcW w:w="2338" w:type="dxa"/>
          </w:tcPr>
          <w:p w14:paraId="576A9B7E" w14:textId="77777777" w:rsidR="00BF426D" w:rsidRDefault="00BF426D" w:rsidP="00EF6294">
            <w:r w:rsidRPr="001C65BB">
              <w:t>Documents analysis</w:t>
            </w:r>
          </w:p>
          <w:p w14:paraId="2FDC1EEB" w14:textId="77777777" w:rsidR="00BF426D" w:rsidRDefault="00BF426D" w:rsidP="00EF6294">
            <w:r>
              <w:t>Semi-structured interviews</w:t>
            </w:r>
          </w:p>
          <w:p w14:paraId="2A9AF7A9" w14:textId="77777777" w:rsidR="00BF426D" w:rsidRDefault="00BF426D" w:rsidP="00EF6294">
            <w:r>
              <w:t>Interviews with project team</w:t>
            </w:r>
          </w:p>
        </w:tc>
      </w:tr>
      <w:tr w:rsidR="00BF426D" w14:paraId="2E4E2C60" w14:textId="77777777" w:rsidTr="00EF6294">
        <w:tc>
          <w:tcPr>
            <w:tcW w:w="2689" w:type="dxa"/>
          </w:tcPr>
          <w:p w14:paraId="46F3FF9E" w14:textId="77777777" w:rsidR="00BF426D" w:rsidRDefault="00BF426D" w:rsidP="00EF6294">
            <w:r>
              <w:t>Were procurement processes appropriate?</w:t>
            </w:r>
          </w:p>
        </w:tc>
        <w:tc>
          <w:tcPr>
            <w:tcW w:w="2551" w:type="dxa"/>
          </w:tcPr>
          <w:p w14:paraId="19A220E0" w14:textId="77777777" w:rsidR="00BF426D" w:rsidRDefault="00BF426D" w:rsidP="00EF6294">
            <w:r>
              <w:t>Evidence that contracts were awarded in accordance with procurement plans</w:t>
            </w:r>
          </w:p>
        </w:tc>
        <w:tc>
          <w:tcPr>
            <w:tcW w:w="1772" w:type="dxa"/>
          </w:tcPr>
          <w:p w14:paraId="7BD3E7FF" w14:textId="77777777" w:rsidR="00BF426D" w:rsidRDefault="00BF426D" w:rsidP="00EF6294">
            <w:r>
              <w:t>AWP, procurement plans, lists of awarded contracts</w:t>
            </w:r>
          </w:p>
        </w:tc>
        <w:tc>
          <w:tcPr>
            <w:tcW w:w="2338" w:type="dxa"/>
          </w:tcPr>
          <w:p w14:paraId="0B780B70" w14:textId="77777777" w:rsidR="00BF426D" w:rsidRDefault="00BF426D" w:rsidP="00EF6294">
            <w:r w:rsidRPr="001C65BB">
              <w:t>Documents analysis</w:t>
            </w:r>
          </w:p>
          <w:p w14:paraId="175B8D73" w14:textId="77777777" w:rsidR="00BF426D" w:rsidRDefault="00BF426D" w:rsidP="00EF6294">
            <w:r>
              <w:t>Interviews with project team</w:t>
            </w:r>
          </w:p>
        </w:tc>
      </w:tr>
      <w:tr w:rsidR="00BF426D" w14:paraId="49A61509" w14:textId="77777777" w:rsidTr="00EF6294">
        <w:tc>
          <w:tcPr>
            <w:tcW w:w="2689" w:type="dxa"/>
          </w:tcPr>
          <w:p w14:paraId="0809302D" w14:textId="77777777" w:rsidR="00BF426D" w:rsidRDefault="00BF426D" w:rsidP="00EF6294">
            <w:r>
              <w:t xml:space="preserve">Did the IP identify and managed risks effectively? </w:t>
            </w:r>
          </w:p>
        </w:tc>
        <w:tc>
          <w:tcPr>
            <w:tcW w:w="2551" w:type="dxa"/>
          </w:tcPr>
          <w:p w14:paraId="6389E4E5" w14:textId="77777777" w:rsidR="00BF426D" w:rsidRDefault="00BF426D" w:rsidP="00EF6294">
            <w:r>
              <w:t>Risk log was kept up to date</w:t>
            </w:r>
          </w:p>
          <w:p w14:paraId="3C1F0806" w14:textId="77777777" w:rsidR="00BF426D" w:rsidRDefault="00BF426D" w:rsidP="00EF6294">
            <w:r>
              <w:t>Evidence that problems were identified and analysed on time</w:t>
            </w:r>
          </w:p>
          <w:p w14:paraId="0D839810" w14:textId="77777777" w:rsidR="00BF426D" w:rsidRDefault="00BF426D" w:rsidP="00EF6294">
            <w:r>
              <w:lastRenderedPageBreak/>
              <w:t>Evidence that solutions were identified and implemented effectively to respond to emerging problems</w:t>
            </w:r>
          </w:p>
          <w:p w14:paraId="0C6D550A" w14:textId="77777777" w:rsidR="00BF426D" w:rsidRDefault="00BF426D" w:rsidP="00EF6294">
            <w:r>
              <w:t>Evidence that plans were adjusted and updated to respond to problems and agreed courses of action</w:t>
            </w:r>
          </w:p>
        </w:tc>
        <w:tc>
          <w:tcPr>
            <w:tcW w:w="1772" w:type="dxa"/>
          </w:tcPr>
          <w:p w14:paraId="59640F16" w14:textId="77777777" w:rsidR="00BF426D" w:rsidRDefault="00BF426D" w:rsidP="00EF6294">
            <w:r>
              <w:lastRenderedPageBreak/>
              <w:t>ProDoc</w:t>
            </w:r>
          </w:p>
          <w:p w14:paraId="6EA3B082" w14:textId="77777777" w:rsidR="00BF426D" w:rsidRDefault="00BF426D" w:rsidP="00EF6294">
            <w:r>
              <w:t>APRs, PIRs</w:t>
            </w:r>
          </w:p>
        </w:tc>
        <w:tc>
          <w:tcPr>
            <w:tcW w:w="2338" w:type="dxa"/>
          </w:tcPr>
          <w:p w14:paraId="18B74C30" w14:textId="77777777" w:rsidR="00BF426D" w:rsidRDefault="00BF426D" w:rsidP="00EF6294">
            <w:r w:rsidRPr="001C65BB">
              <w:t>Documents analysis</w:t>
            </w:r>
          </w:p>
          <w:p w14:paraId="4AF282B6" w14:textId="77777777" w:rsidR="00BF426D" w:rsidRDefault="00BF426D" w:rsidP="00EF6294">
            <w:r>
              <w:t>Semi-structured interviews</w:t>
            </w:r>
          </w:p>
          <w:p w14:paraId="548D5F93" w14:textId="77777777" w:rsidR="00BF426D" w:rsidRDefault="00BF426D" w:rsidP="00EF6294">
            <w:r>
              <w:t>Interviews with project team</w:t>
            </w:r>
          </w:p>
          <w:p w14:paraId="4E9873FA" w14:textId="77777777" w:rsidR="00BF426D" w:rsidRDefault="00BF426D" w:rsidP="00EF6294"/>
        </w:tc>
      </w:tr>
      <w:tr w:rsidR="00BF426D" w14:paraId="33BE73CE" w14:textId="77777777" w:rsidTr="00EF6294">
        <w:tc>
          <w:tcPr>
            <w:tcW w:w="2689" w:type="dxa"/>
          </w:tcPr>
          <w:p w14:paraId="0381E499" w14:textId="77777777" w:rsidR="00BF426D" w:rsidRDefault="00BF426D" w:rsidP="00EF6294">
            <w:r w:rsidRPr="00FD3550">
              <w:rPr>
                <w:u w:val="single"/>
              </w:rPr>
              <w:lastRenderedPageBreak/>
              <w:t>UNDP role</w:t>
            </w:r>
            <w:r>
              <w:t>:</w:t>
            </w:r>
            <w:r>
              <w:br/>
              <w:t>Was the support provided by UNDP timely and effective?</w:t>
            </w:r>
          </w:p>
        </w:tc>
        <w:tc>
          <w:tcPr>
            <w:tcW w:w="2551" w:type="dxa"/>
          </w:tcPr>
          <w:p w14:paraId="292B6B65" w14:textId="77777777" w:rsidR="00BF426D" w:rsidRDefault="00BF426D" w:rsidP="00EF6294">
            <w:r>
              <w:t>Field visits were conducted as planned</w:t>
            </w:r>
          </w:p>
          <w:p w14:paraId="01C3C2CF" w14:textId="77777777" w:rsidR="00BF426D" w:rsidRDefault="00BF426D" w:rsidP="00EF6294">
            <w:r>
              <w:t>Evidence that responses to emerging issues were clear and timely</w:t>
            </w:r>
          </w:p>
        </w:tc>
        <w:tc>
          <w:tcPr>
            <w:tcW w:w="1772" w:type="dxa"/>
          </w:tcPr>
          <w:p w14:paraId="4E152CC1" w14:textId="77777777" w:rsidR="00BF426D" w:rsidRDefault="00BF426D" w:rsidP="00EF6294">
            <w:r>
              <w:t>APRs, PIRs</w:t>
            </w:r>
          </w:p>
          <w:p w14:paraId="1D62D2BE" w14:textId="77777777" w:rsidR="00BF426D" w:rsidRDefault="00BF426D" w:rsidP="00EF6294">
            <w:r>
              <w:t>Field missions’ reports</w:t>
            </w:r>
          </w:p>
        </w:tc>
        <w:tc>
          <w:tcPr>
            <w:tcW w:w="2338" w:type="dxa"/>
          </w:tcPr>
          <w:p w14:paraId="733B7958" w14:textId="77777777" w:rsidR="00BF426D" w:rsidRDefault="00BF426D" w:rsidP="00EF6294">
            <w:r w:rsidRPr="001C65BB">
              <w:t>Documents analysis</w:t>
            </w:r>
          </w:p>
          <w:p w14:paraId="4BAB1942" w14:textId="77777777" w:rsidR="00BF426D" w:rsidRDefault="00BF426D" w:rsidP="00EF6294">
            <w:r>
              <w:t>Semi-structured interviews</w:t>
            </w:r>
          </w:p>
          <w:p w14:paraId="7DF4CF37" w14:textId="77777777" w:rsidR="00BF426D" w:rsidRDefault="00BF426D" w:rsidP="00EF6294">
            <w:r>
              <w:t>Interviews with project team</w:t>
            </w:r>
          </w:p>
        </w:tc>
      </w:tr>
      <w:tr w:rsidR="00BF426D" w:rsidRPr="00B370A5" w14:paraId="00A257B2" w14:textId="77777777" w:rsidTr="00EF6294">
        <w:tc>
          <w:tcPr>
            <w:tcW w:w="9350" w:type="dxa"/>
            <w:gridSpan w:val="4"/>
            <w:shd w:val="clear" w:color="auto" w:fill="77ACDC" w:themeFill="accent5" w:themeFillTint="99"/>
          </w:tcPr>
          <w:p w14:paraId="2C6D855F" w14:textId="77777777" w:rsidR="00BF426D" w:rsidRPr="00B370A5" w:rsidRDefault="00BF426D" w:rsidP="00EF6294">
            <w:pPr>
              <w:rPr>
                <w:b/>
                <w:bCs/>
              </w:rPr>
            </w:pPr>
            <w:r w:rsidRPr="00B370A5">
              <w:rPr>
                <w:b/>
                <w:bCs/>
              </w:rPr>
              <w:t>Assessment of project outcomes</w:t>
            </w:r>
          </w:p>
        </w:tc>
      </w:tr>
      <w:tr w:rsidR="00BF426D" w14:paraId="124EB165" w14:textId="77777777" w:rsidTr="00EF6294">
        <w:tc>
          <w:tcPr>
            <w:tcW w:w="9350" w:type="dxa"/>
            <w:gridSpan w:val="4"/>
            <w:shd w:val="clear" w:color="auto" w:fill="A4C7E8" w:themeFill="accent5" w:themeFillTint="66"/>
          </w:tcPr>
          <w:p w14:paraId="6F0AF465" w14:textId="77777777" w:rsidR="00BF426D" w:rsidRDefault="00BF426D" w:rsidP="00EF6294">
            <w:r w:rsidRPr="008C7630">
              <w:t>Relevance: How does the project relate to the main objectives of the GEF Focal area, and to the environment and development priorities a the local, regional and national level?</w:t>
            </w:r>
          </w:p>
        </w:tc>
      </w:tr>
      <w:tr w:rsidR="00BF426D" w14:paraId="12E9E257" w14:textId="77777777" w:rsidTr="00EF6294">
        <w:tc>
          <w:tcPr>
            <w:tcW w:w="2689" w:type="dxa"/>
          </w:tcPr>
          <w:p w14:paraId="6FF82184" w14:textId="77777777" w:rsidR="00BF426D" w:rsidRDefault="00BF426D" w:rsidP="00EF6294">
            <w:r>
              <w:t>Was the project relevant to national priorities, including the nationally determined contribution (NDC) under the Paris Agreement?</w:t>
            </w:r>
          </w:p>
        </w:tc>
        <w:tc>
          <w:tcPr>
            <w:tcW w:w="2551" w:type="dxa"/>
          </w:tcPr>
          <w:p w14:paraId="1D2ABD24" w14:textId="77777777" w:rsidR="00BF426D" w:rsidRDefault="00BF426D" w:rsidP="00EF6294">
            <w:r>
              <w:t>Consistency between project objectives/results and national development priorities</w:t>
            </w:r>
          </w:p>
          <w:p w14:paraId="0BA6CF0B" w14:textId="77777777" w:rsidR="00BF426D" w:rsidRDefault="00BF426D" w:rsidP="00EF6294"/>
        </w:tc>
        <w:tc>
          <w:tcPr>
            <w:tcW w:w="1772" w:type="dxa"/>
          </w:tcPr>
          <w:p w14:paraId="19619EFB" w14:textId="77777777" w:rsidR="00BF426D" w:rsidRDefault="00BF426D" w:rsidP="00EF6294">
            <w:r>
              <w:t>ProDoc</w:t>
            </w:r>
          </w:p>
          <w:p w14:paraId="511CCFAF" w14:textId="77777777" w:rsidR="00BF426D" w:rsidRDefault="00BF426D" w:rsidP="00EF6294">
            <w:r>
              <w:t>APRs, PIRs</w:t>
            </w:r>
          </w:p>
          <w:p w14:paraId="595857DF" w14:textId="77777777" w:rsidR="00BF426D" w:rsidRDefault="00BF426D" w:rsidP="00EF6294">
            <w:r>
              <w:t>Published policy documents (e.g. NDC)</w:t>
            </w:r>
          </w:p>
          <w:p w14:paraId="2D2FE40C" w14:textId="77777777" w:rsidR="00BF426D" w:rsidRDefault="00BF426D" w:rsidP="00EF6294"/>
        </w:tc>
        <w:tc>
          <w:tcPr>
            <w:tcW w:w="2338" w:type="dxa"/>
          </w:tcPr>
          <w:p w14:paraId="214C78A1" w14:textId="77777777" w:rsidR="00BF426D" w:rsidRDefault="00BF426D" w:rsidP="00EF6294">
            <w:r w:rsidRPr="001C65BB">
              <w:t>Documents analysis</w:t>
            </w:r>
          </w:p>
          <w:p w14:paraId="0DBC6AEB" w14:textId="77777777" w:rsidR="00BF426D" w:rsidRDefault="00BF426D" w:rsidP="00EF6294">
            <w:r>
              <w:t>Semi-structured interviews</w:t>
            </w:r>
          </w:p>
          <w:p w14:paraId="105E7637" w14:textId="77777777" w:rsidR="00BF426D" w:rsidRDefault="00BF426D" w:rsidP="00EF6294">
            <w:r>
              <w:t>Interviews with project team</w:t>
            </w:r>
          </w:p>
        </w:tc>
      </w:tr>
      <w:tr w:rsidR="00BF426D" w14:paraId="40293A36" w14:textId="77777777" w:rsidTr="00EF6294">
        <w:tc>
          <w:tcPr>
            <w:tcW w:w="2689" w:type="dxa"/>
          </w:tcPr>
          <w:p w14:paraId="319CEC96" w14:textId="77777777" w:rsidR="00BF426D" w:rsidRDefault="00BF426D" w:rsidP="00EF6294">
            <w:r>
              <w:t>To what extent was the project aligned to GEF´s climate change focal area strategy and operational programme?</w:t>
            </w:r>
          </w:p>
        </w:tc>
        <w:tc>
          <w:tcPr>
            <w:tcW w:w="2551" w:type="dxa"/>
          </w:tcPr>
          <w:p w14:paraId="6C2D0D2F" w14:textId="77777777" w:rsidR="00BF426D" w:rsidRDefault="00BF426D" w:rsidP="00EF6294">
            <w:r>
              <w:t>Consistency between project objectives/results and GEF’s strategy</w:t>
            </w:r>
          </w:p>
          <w:p w14:paraId="175FA3FC" w14:textId="77777777" w:rsidR="00BF426D" w:rsidRDefault="00BF426D" w:rsidP="00EF6294"/>
        </w:tc>
        <w:tc>
          <w:tcPr>
            <w:tcW w:w="1772" w:type="dxa"/>
          </w:tcPr>
          <w:p w14:paraId="4B22C134" w14:textId="77777777" w:rsidR="00BF426D" w:rsidRDefault="00BF426D" w:rsidP="00EF6294">
            <w:r>
              <w:t>ProDoc</w:t>
            </w:r>
          </w:p>
          <w:p w14:paraId="0F5ACCBF" w14:textId="77777777" w:rsidR="00BF426D" w:rsidRDefault="00BF426D" w:rsidP="00EF6294">
            <w:r>
              <w:t>APRs, PIRs</w:t>
            </w:r>
          </w:p>
          <w:p w14:paraId="296D8199" w14:textId="77777777" w:rsidR="00BF426D" w:rsidRDefault="00BF426D" w:rsidP="00EF6294">
            <w:r>
              <w:t>GEF strategies and programming directions</w:t>
            </w:r>
          </w:p>
          <w:p w14:paraId="691185A0" w14:textId="77777777" w:rsidR="00BF426D" w:rsidRDefault="00BF426D" w:rsidP="00EF6294"/>
        </w:tc>
        <w:tc>
          <w:tcPr>
            <w:tcW w:w="2338" w:type="dxa"/>
          </w:tcPr>
          <w:p w14:paraId="60402A0F" w14:textId="77777777" w:rsidR="00BF426D" w:rsidRDefault="00BF426D" w:rsidP="00EF6294">
            <w:r w:rsidRPr="001C65BB">
              <w:t>Documents analysis</w:t>
            </w:r>
          </w:p>
          <w:p w14:paraId="189A609C" w14:textId="77777777" w:rsidR="00BF426D" w:rsidRDefault="00BF426D" w:rsidP="00EF6294">
            <w:r>
              <w:t>Semi-structured interviews</w:t>
            </w:r>
          </w:p>
          <w:p w14:paraId="75790E5F" w14:textId="77777777" w:rsidR="00BF426D" w:rsidRDefault="00BF426D" w:rsidP="00EF6294">
            <w:r>
              <w:t>Interviews with project team</w:t>
            </w:r>
          </w:p>
        </w:tc>
      </w:tr>
      <w:tr w:rsidR="00BF426D" w14:paraId="422B3BF6" w14:textId="77777777" w:rsidTr="00EF6294">
        <w:tc>
          <w:tcPr>
            <w:tcW w:w="2689" w:type="dxa"/>
          </w:tcPr>
          <w:p w14:paraId="08AB1272" w14:textId="77777777" w:rsidR="00BF426D" w:rsidRDefault="00BF426D" w:rsidP="00EF6294">
            <w:r>
              <w:t>To what extent was the project aligned to UNDP´s strategic priorities in China?</w:t>
            </w:r>
          </w:p>
        </w:tc>
        <w:tc>
          <w:tcPr>
            <w:tcW w:w="2551" w:type="dxa"/>
          </w:tcPr>
          <w:p w14:paraId="25EF5750" w14:textId="77777777" w:rsidR="00BF426D" w:rsidRDefault="00BF426D" w:rsidP="00EF6294">
            <w:r>
              <w:t>Consistency between project objectives and results and UNDP priorities in China</w:t>
            </w:r>
          </w:p>
          <w:p w14:paraId="69F55EDE" w14:textId="77777777" w:rsidR="00BF426D" w:rsidRDefault="00BF426D" w:rsidP="00EF6294"/>
        </w:tc>
        <w:tc>
          <w:tcPr>
            <w:tcW w:w="1772" w:type="dxa"/>
          </w:tcPr>
          <w:p w14:paraId="05455D71" w14:textId="77777777" w:rsidR="00BF426D" w:rsidRDefault="00BF426D" w:rsidP="00EF6294">
            <w:r>
              <w:t>ProDoc</w:t>
            </w:r>
          </w:p>
          <w:p w14:paraId="511E7604" w14:textId="77777777" w:rsidR="00BF426D" w:rsidRDefault="00BF426D" w:rsidP="00EF6294">
            <w:r>
              <w:t>APRs, PIRs</w:t>
            </w:r>
          </w:p>
          <w:p w14:paraId="18A2599D" w14:textId="77777777" w:rsidR="00BF426D" w:rsidRPr="00832283" w:rsidRDefault="00BF426D" w:rsidP="00EF6294">
            <w:r w:rsidRPr="00832283">
              <w:t xml:space="preserve">UNDP Strategic Plan </w:t>
            </w:r>
          </w:p>
          <w:p w14:paraId="27548D91" w14:textId="77777777" w:rsidR="00BF426D" w:rsidRDefault="00BF426D" w:rsidP="00EF6294">
            <w:r>
              <w:t>UNDP Country Programme Document</w:t>
            </w:r>
          </w:p>
        </w:tc>
        <w:tc>
          <w:tcPr>
            <w:tcW w:w="2338" w:type="dxa"/>
          </w:tcPr>
          <w:p w14:paraId="71C7A99F" w14:textId="77777777" w:rsidR="00BF426D" w:rsidRDefault="00BF426D" w:rsidP="00EF6294">
            <w:r w:rsidRPr="001C65BB">
              <w:t>Documents analysis</w:t>
            </w:r>
          </w:p>
          <w:p w14:paraId="13C33093" w14:textId="77777777" w:rsidR="00BF426D" w:rsidRPr="001C65BB" w:rsidRDefault="00BF426D" w:rsidP="00EF6294">
            <w:r>
              <w:t>Semi-structured interviews</w:t>
            </w:r>
          </w:p>
        </w:tc>
      </w:tr>
      <w:tr w:rsidR="00BF426D" w14:paraId="41F6A39B" w14:textId="77777777" w:rsidTr="00EF6294">
        <w:tc>
          <w:tcPr>
            <w:tcW w:w="9350" w:type="dxa"/>
            <w:gridSpan w:val="4"/>
            <w:shd w:val="clear" w:color="auto" w:fill="A4C7E8" w:themeFill="accent5" w:themeFillTint="66"/>
          </w:tcPr>
          <w:p w14:paraId="0FA82DED" w14:textId="77777777" w:rsidR="00BF426D" w:rsidRDefault="00BF426D" w:rsidP="00EF6294">
            <w:r w:rsidRPr="008C7630">
              <w:t>Effectiveness: To what extent have the expected outcomes and objectives of the project been achieved?</w:t>
            </w:r>
          </w:p>
        </w:tc>
      </w:tr>
      <w:tr w:rsidR="00BF426D" w14:paraId="2FEFE1F5" w14:textId="77777777" w:rsidTr="00EF6294">
        <w:tc>
          <w:tcPr>
            <w:tcW w:w="2689" w:type="dxa"/>
          </w:tcPr>
          <w:p w14:paraId="2DEF483A" w14:textId="77777777" w:rsidR="00BF426D" w:rsidRDefault="00BF426D" w:rsidP="00EF6294">
            <w:r>
              <w:t>Were all expected project outcomes and targets achieved?</w:t>
            </w:r>
          </w:p>
        </w:tc>
        <w:tc>
          <w:tcPr>
            <w:tcW w:w="2551" w:type="dxa"/>
          </w:tcPr>
          <w:p w14:paraId="4FB2A785" w14:textId="77777777" w:rsidR="00BF426D" w:rsidRDefault="00BF426D" w:rsidP="00EF6294">
            <w:r>
              <w:t xml:space="preserve">PRF indicators </w:t>
            </w:r>
          </w:p>
        </w:tc>
        <w:tc>
          <w:tcPr>
            <w:tcW w:w="1772" w:type="dxa"/>
          </w:tcPr>
          <w:p w14:paraId="13D179FA" w14:textId="77777777" w:rsidR="00BF426D" w:rsidRDefault="00BF426D" w:rsidP="00EF6294">
            <w:r>
              <w:t>ProDoc</w:t>
            </w:r>
          </w:p>
          <w:p w14:paraId="66412B6F" w14:textId="77777777" w:rsidR="00BF426D" w:rsidRDefault="00BF426D" w:rsidP="00EF6294">
            <w:r>
              <w:t>APRs, PIRs</w:t>
            </w:r>
          </w:p>
          <w:p w14:paraId="6D2C2354" w14:textId="77777777" w:rsidR="00BF426D" w:rsidRDefault="00BF426D" w:rsidP="00EF6294">
            <w:r>
              <w:t>Press releases</w:t>
            </w:r>
          </w:p>
          <w:p w14:paraId="51543DD5" w14:textId="77777777" w:rsidR="00BF426D" w:rsidRDefault="00BF426D" w:rsidP="00EF6294"/>
        </w:tc>
        <w:tc>
          <w:tcPr>
            <w:tcW w:w="2338" w:type="dxa"/>
          </w:tcPr>
          <w:p w14:paraId="27D4F902" w14:textId="77777777" w:rsidR="00BF426D" w:rsidRDefault="00BF426D" w:rsidP="00F124B3">
            <w:r w:rsidRPr="001C65BB">
              <w:t>Documents analysis</w:t>
            </w:r>
          </w:p>
          <w:p w14:paraId="30619965" w14:textId="77777777" w:rsidR="00BF426D" w:rsidRDefault="00BF426D" w:rsidP="00F124B3">
            <w:r>
              <w:t>Semi-structured interviews</w:t>
            </w:r>
          </w:p>
          <w:p w14:paraId="2B467F1A" w14:textId="77777777" w:rsidR="00BF426D" w:rsidRDefault="00BF426D" w:rsidP="00F124B3">
            <w:r>
              <w:t>Interviews with project team</w:t>
            </w:r>
          </w:p>
          <w:p w14:paraId="4A86BFE4" w14:textId="77777777" w:rsidR="00BF426D" w:rsidRPr="00B705C8" w:rsidRDefault="00BF426D" w:rsidP="00F124B3">
            <w:pPr>
              <w:rPr>
                <w:lang w:val="en-GB"/>
              </w:rPr>
            </w:pPr>
            <w:r w:rsidRPr="00B705C8">
              <w:t xml:space="preserve">Interviews with representatives from </w:t>
            </w:r>
            <w:r w:rsidRPr="00B705C8">
              <w:rPr>
                <w:lang w:val="en-GB"/>
              </w:rPr>
              <w:t>Zhejiang Fuyang Port International Co. Ltd.</w:t>
            </w:r>
          </w:p>
          <w:p w14:paraId="2E7C778E" w14:textId="50AD6AFA" w:rsidR="00BF426D" w:rsidRPr="00B705C8" w:rsidRDefault="00BF426D" w:rsidP="00F124B3">
            <w:pPr>
              <w:rPr>
                <w:lang w:val="en-GB"/>
              </w:rPr>
            </w:pPr>
            <w:r>
              <w:rPr>
                <w:lang w:val="en-GB"/>
              </w:rPr>
              <w:lastRenderedPageBreak/>
              <w:t xml:space="preserve">and </w:t>
            </w:r>
            <w:r w:rsidRPr="00B705C8">
              <w:rPr>
                <w:lang w:val="en-GB"/>
              </w:rPr>
              <w:t xml:space="preserve">Fuyang Hangzhou </w:t>
            </w:r>
            <w:r w:rsidR="009442F5">
              <w:rPr>
                <w:lang w:val="en-GB"/>
              </w:rPr>
              <w:t>Transf</w:t>
            </w:r>
            <w:r w:rsidR="00F124B3">
              <w:rPr>
                <w:lang w:val="en-GB"/>
              </w:rPr>
              <w:t>a</w:t>
            </w:r>
            <w:r w:rsidR="009442F5">
              <w:rPr>
                <w:lang w:val="en-GB"/>
              </w:rPr>
              <w:t>r</w:t>
            </w:r>
            <w:r w:rsidR="00F124B3">
              <w:rPr>
                <w:lang w:val="en-GB"/>
              </w:rPr>
              <w:t xml:space="preserve"> </w:t>
            </w:r>
            <w:r w:rsidRPr="00B705C8">
              <w:rPr>
                <w:lang w:val="en-GB"/>
              </w:rPr>
              <w:t>Logistics Base Co., Ltd.</w:t>
            </w:r>
          </w:p>
          <w:p w14:paraId="7803415F" w14:textId="77777777" w:rsidR="00BF426D" w:rsidRDefault="00BF426D" w:rsidP="00F124B3">
            <w:r>
              <w:t>Survey to LSPs</w:t>
            </w:r>
          </w:p>
        </w:tc>
      </w:tr>
      <w:tr w:rsidR="00BF426D" w14:paraId="02530B41" w14:textId="77777777" w:rsidTr="00EF6294">
        <w:tc>
          <w:tcPr>
            <w:tcW w:w="2689" w:type="dxa"/>
          </w:tcPr>
          <w:p w14:paraId="20BC4501" w14:textId="77777777" w:rsidR="00BF426D" w:rsidRDefault="00BF426D" w:rsidP="00EF6294">
            <w:r>
              <w:lastRenderedPageBreak/>
              <w:t>Were the demonstration projects implemented as planned?</w:t>
            </w:r>
          </w:p>
          <w:p w14:paraId="71AFF866" w14:textId="77777777" w:rsidR="00BF426D" w:rsidRDefault="00BF426D" w:rsidP="00EF6294">
            <w:r>
              <w:t>Were the barriers removal actions by the project effective enablers for these demonstration projects?</w:t>
            </w:r>
          </w:p>
        </w:tc>
        <w:tc>
          <w:tcPr>
            <w:tcW w:w="2551" w:type="dxa"/>
          </w:tcPr>
          <w:p w14:paraId="06D95460" w14:textId="77777777" w:rsidR="00BF426D" w:rsidRDefault="00BF426D" w:rsidP="00EF6294">
            <w:r>
              <w:t>Consistency between proposed demonstration projects and actual project activities</w:t>
            </w:r>
          </w:p>
          <w:p w14:paraId="5A8688F7" w14:textId="77777777" w:rsidR="00BF426D" w:rsidRDefault="00BF426D" w:rsidP="00EF6294">
            <w:r>
              <w:t>Degree to which barriers to the implementation of these projects were removed by the project</w:t>
            </w:r>
          </w:p>
          <w:p w14:paraId="76415E5E" w14:textId="77777777" w:rsidR="00BF426D" w:rsidRDefault="00BF426D" w:rsidP="00EF6294"/>
        </w:tc>
        <w:tc>
          <w:tcPr>
            <w:tcW w:w="1772" w:type="dxa"/>
          </w:tcPr>
          <w:p w14:paraId="44CE38E7" w14:textId="77777777" w:rsidR="00BF426D" w:rsidRDefault="00BF426D" w:rsidP="00EF6294">
            <w:r>
              <w:t>ProDoc</w:t>
            </w:r>
          </w:p>
          <w:p w14:paraId="3669E064" w14:textId="77777777" w:rsidR="00BF426D" w:rsidRDefault="00BF426D" w:rsidP="00EF6294">
            <w:r>
              <w:t>APRs, PIRs</w:t>
            </w:r>
          </w:p>
          <w:p w14:paraId="16D23A71" w14:textId="77777777" w:rsidR="00BF426D" w:rsidRDefault="00BF426D" w:rsidP="00EF6294"/>
        </w:tc>
        <w:tc>
          <w:tcPr>
            <w:tcW w:w="2338" w:type="dxa"/>
          </w:tcPr>
          <w:p w14:paraId="1A18B9ED" w14:textId="77777777" w:rsidR="00BF426D" w:rsidRDefault="00BF426D" w:rsidP="00EF6294">
            <w:r w:rsidRPr="001C65BB">
              <w:t>Documents analysis</w:t>
            </w:r>
          </w:p>
          <w:p w14:paraId="41A16767" w14:textId="77777777" w:rsidR="00BF426D" w:rsidRDefault="00BF426D" w:rsidP="00EF6294">
            <w:r>
              <w:t>Semi-structured interviews</w:t>
            </w:r>
          </w:p>
          <w:p w14:paraId="6808BDFF" w14:textId="77777777" w:rsidR="00BF426D" w:rsidRPr="00B705C8" w:rsidRDefault="00BF426D" w:rsidP="00EF6294">
            <w:pPr>
              <w:rPr>
                <w:lang w:val="en-GB"/>
              </w:rPr>
            </w:pPr>
            <w:r w:rsidRPr="00B705C8">
              <w:t xml:space="preserve">Interviews with representatives from </w:t>
            </w:r>
            <w:r w:rsidRPr="00B705C8">
              <w:rPr>
                <w:lang w:val="en-GB"/>
              </w:rPr>
              <w:t>Zhejiang Fuyang Port International Co. Ltd.</w:t>
            </w:r>
          </w:p>
          <w:p w14:paraId="326DC8D6" w14:textId="6AA60454" w:rsidR="00BF426D" w:rsidRPr="00B705C8" w:rsidRDefault="00BF426D" w:rsidP="00EF6294">
            <w:pPr>
              <w:rPr>
                <w:lang w:val="en-GB"/>
              </w:rPr>
            </w:pPr>
            <w:r>
              <w:rPr>
                <w:lang w:val="en-GB"/>
              </w:rPr>
              <w:t xml:space="preserve">and </w:t>
            </w:r>
            <w:r w:rsidRPr="00B705C8">
              <w:rPr>
                <w:lang w:val="en-GB"/>
              </w:rPr>
              <w:t xml:space="preserve">Fuyang Hangzhou </w:t>
            </w:r>
            <w:r w:rsidR="009442F5">
              <w:rPr>
                <w:lang w:val="en-GB"/>
              </w:rPr>
              <w:t>Transf</w:t>
            </w:r>
            <w:r w:rsidR="00F124B3">
              <w:rPr>
                <w:lang w:val="en-GB"/>
              </w:rPr>
              <w:t>a</w:t>
            </w:r>
            <w:r w:rsidR="009442F5">
              <w:rPr>
                <w:lang w:val="en-GB"/>
              </w:rPr>
              <w:t>r</w:t>
            </w:r>
            <w:r w:rsidR="00F124B3">
              <w:rPr>
                <w:lang w:val="en-GB"/>
              </w:rPr>
              <w:t xml:space="preserve"> </w:t>
            </w:r>
            <w:r w:rsidRPr="00B705C8">
              <w:rPr>
                <w:lang w:val="en-GB"/>
              </w:rPr>
              <w:t>Logistics Base Co., Ltd.</w:t>
            </w:r>
          </w:p>
          <w:p w14:paraId="38BE947B" w14:textId="77777777" w:rsidR="00BF426D" w:rsidRPr="001C65BB" w:rsidRDefault="00BF426D" w:rsidP="00EF6294">
            <w:r>
              <w:t>Interviews with project team</w:t>
            </w:r>
          </w:p>
        </w:tc>
      </w:tr>
      <w:tr w:rsidR="00BF426D" w14:paraId="09F2438C" w14:textId="77777777" w:rsidTr="00EF6294">
        <w:tc>
          <w:tcPr>
            <w:tcW w:w="2689" w:type="dxa"/>
          </w:tcPr>
          <w:p w14:paraId="46E3648D" w14:textId="77777777" w:rsidR="00BF426D" w:rsidRDefault="00BF426D" w:rsidP="00EF6294">
            <w:r>
              <w:t>Did LSPs changed practices in accordance with the project´s intended objectives?</w:t>
            </w:r>
          </w:p>
          <w:p w14:paraId="1C9547F3" w14:textId="77777777" w:rsidR="00BF426D" w:rsidRDefault="00BF426D" w:rsidP="00EF6294">
            <w:r>
              <w:t xml:space="preserve">Was the support provided by the project to LSPs effective? </w:t>
            </w:r>
          </w:p>
        </w:tc>
        <w:tc>
          <w:tcPr>
            <w:tcW w:w="2551" w:type="dxa"/>
          </w:tcPr>
          <w:p w14:paraId="25F5EDC6" w14:textId="77777777" w:rsidR="00BF426D" w:rsidRDefault="00BF426D" w:rsidP="00EF6294">
            <w:r>
              <w:t>Fraction of LSPs that report changes in practices</w:t>
            </w:r>
          </w:p>
          <w:p w14:paraId="66AF9D1E" w14:textId="77777777" w:rsidR="00BF426D" w:rsidRDefault="00BF426D" w:rsidP="00EF6294">
            <w:r>
              <w:t>Fraction of LSPs that report that support was effective</w:t>
            </w:r>
          </w:p>
        </w:tc>
        <w:tc>
          <w:tcPr>
            <w:tcW w:w="1772" w:type="dxa"/>
          </w:tcPr>
          <w:p w14:paraId="7A2B8015" w14:textId="77777777" w:rsidR="00BF426D" w:rsidRDefault="00BF426D" w:rsidP="00EF6294">
            <w:r>
              <w:t>ProDoc</w:t>
            </w:r>
          </w:p>
          <w:p w14:paraId="71DD8CF4" w14:textId="77777777" w:rsidR="00BF426D" w:rsidRDefault="00BF426D" w:rsidP="00EF6294">
            <w:r>
              <w:t>APRs, PIRs</w:t>
            </w:r>
          </w:p>
          <w:p w14:paraId="5B75590F" w14:textId="77777777" w:rsidR="00BF426D" w:rsidRDefault="00BF426D" w:rsidP="00EF6294">
            <w:r>
              <w:t>Survey results</w:t>
            </w:r>
          </w:p>
          <w:p w14:paraId="3FE68E5C" w14:textId="77777777" w:rsidR="00BF426D" w:rsidRDefault="00BF426D" w:rsidP="00EF6294"/>
        </w:tc>
        <w:tc>
          <w:tcPr>
            <w:tcW w:w="2338" w:type="dxa"/>
          </w:tcPr>
          <w:p w14:paraId="0AF02735" w14:textId="77777777" w:rsidR="00BF426D" w:rsidRDefault="00BF426D" w:rsidP="00EF6294">
            <w:r w:rsidRPr="001C65BB">
              <w:t>Documents analysis</w:t>
            </w:r>
          </w:p>
          <w:p w14:paraId="3A1CD02E" w14:textId="77777777" w:rsidR="00BF426D" w:rsidRDefault="00BF426D" w:rsidP="00EF6294">
            <w:pPr>
              <w:rPr>
                <w:lang w:val="en-GB"/>
              </w:rPr>
            </w:pPr>
            <w:r>
              <w:rPr>
                <w:lang w:val="en-GB"/>
              </w:rPr>
              <w:t>Survey to LSPs</w:t>
            </w:r>
          </w:p>
          <w:p w14:paraId="7E6B49D3" w14:textId="77777777" w:rsidR="00BF426D" w:rsidRPr="00B705C8" w:rsidRDefault="00BF426D" w:rsidP="00EF6294">
            <w:pPr>
              <w:rPr>
                <w:lang w:val="en-GB"/>
              </w:rPr>
            </w:pPr>
            <w:r>
              <w:t>Interviews with project team</w:t>
            </w:r>
          </w:p>
          <w:p w14:paraId="74FC310A" w14:textId="77777777" w:rsidR="00BF426D" w:rsidRPr="001C65BB" w:rsidRDefault="00BF426D" w:rsidP="00EF6294"/>
        </w:tc>
      </w:tr>
      <w:tr w:rsidR="00BF426D" w14:paraId="3000A053" w14:textId="77777777" w:rsidTr="00EF6294">
        <w:tc>
          <w:tcPr>
            <w:tcW w:w="2689" w:type="dxa"/>
          </w:tcPr>
          <w:p w14:paraId="2E160F87" w14:textId="77777777" w:rsidR="00BF426D" w:rsidRDefault="00BF426D" w:rsidP="00EF6294">
            <w:r>
              <w:t>Are there any relevant lessons or recommendations regarding effectiveness to be codified?</w:t>
            </w:r>
          </w:p>
        </w:tc>
        <w:tc>
          <w:tcPr>
            <w:tcW w:w="2551" w:type="dxa"/>
          </w:tcPr>
          <w:p w14:paraId="1F5E7454" w14:textId="77777777" w:rsidR="00BF426D" w:rsidRDefault="00BF426D" w:rsidP="00EF6294">
            <w:r>
              <w:t xml:space="preserve">Lessons and recommendations identified by stakeholders </w:t>
            </w:r>
          </w:p>
        </w:tc>
        <w:tc>
          <w:tcPr>
            <w:tcW w:w="1772" w:type="dxa"/>
          </w:tcPr>
          <w:p w14:paraId="05A17C88" w14:textId="77777777" w:rsidR="00BF426D" w:rsidRDefault="00BF426D" w:rsidP="00EF6294">
            <w:r>
              <w:t>APRs, PIRs</w:t>
            </w:r>
          </w:p>
          <w:p w14:paraId="1F3321DC" w14:textId="77777777" w:rsidR="00BF426D" w:rsidRDefault="00BF426D" w:rsidP="00EF6294"/>
        </w:tc>
        <w:tc>
          <w:tcPr>
            <w:tcW w:w="2338" w:type="dxa"/>
          </w:tcPr>
          <w:p w14:paraId="07A6AE19" w14:textId="77777777" w:rsidR="00BF426D" w:rsidRDefault="00BF426D" w:rsidP="00EF6294">
            <w:r w:rsidRPr="001C65BB">
              <w:t>Documents analysis</w:t>
            </w:r>
          </w:p>
          <w:p w14:paraId="207198E6" w14:textId="77777777" w:rsidR="00BF426D" w:rsidRDefault="00BF426D" w:rsidP="00EF6294">
            <w:r>
              <w:t>Semi-structured interviews</w:t>
            </w:r>
          </w:p>
          <w:p w14:paraId="410382A7" w14:textId="77777777" w:rsidR="00BF426D" w:rsidRPr="00B705C8" w:rsidRDefault="00BF426D" w:rsidP="00EF6294">
            <w:pPr>
              <w:rPr>
                <w:lang w:val="en-GB"/>
              </w:rPr>
            </w:pPr>
            <w:r w:rsidRPr="00B705C8">
              <w:t xml:space="preserve">Interviews with representatives from </w:t>
            </w:r>
            <w:r w:rsidRPr="00B705C8">
              <w:rPr>
                <w:lang w:val="en-GB"/>
              </w:rPr>
              <w:t>Zhejiang Fuyang Port International Co. Ltd.</w:t>
            </w:r>
          </w:p>
          <w:p w14:paraId="3EB80501" w14:textId="11051D60" w:rsidR="00BF426D" w:rsidRDefault="00BF426D" w:rsidP="00EF6294">
            <w:r>
              <w:rPr>
                <w:lang w:val="en-GB"/>
              </w:rPr>
              <w:t xml:space="preserve">and </w:t>
            </w:r>
            <w:r w:rsidRPr="00B705C8">
              <w:rPr>
                <w:lang w:val="en-GB"/>
              </w:rPr>
              <w:t xml:space="preserve">Fuyang Hangzhou </w:t>
            </w:r>
            <w:r w:rsidR="009442F5">
              <w:rPr>
                <w:lang w:val="en-GB"/>
              </w:rPr>
              <w:t>Transf</w:t>
            </w:r>
            <w:r w:rsidR="00F124B3">
              <w:rPr>
                <w:lang w:val="en-GB"/>
              </w:rPr>
              <w:t>a</w:t>
            </w:r>
            <w:r w:rsidR="009442F5">
              <w:rPr>
                <w:lang w:val="en-GB"/>
              </w:rPr>
              <w:t>r</w:t>
            </w:r>
            <w:r w:rsidR="00F124B3">
              <w:rPr>
                <w:lang w:val="en-GB"/>
              </w:rPr>
              <w:t xml:space="preserve"> </w:t>
            </w:r>
            <w:r w:rsidRPr="00B705C8">
              <w:rPr>
                <w:lang w:val="en-GB"/>
              </w:rPr>
              <w:t>Logistics Base Co., Ltd.</w:t>
            </w:r>
          </w:p>
          <w:p w14:paraId="34A4C404" w14:textId="77777777" w:rsidR="00BF426D" w:rsidRPr="001C65BB" w:rsidRDefault="00BF426D" w:rsidP="00EF6294">
            <w:r>
              <w:t>Interviews with project team</w:t>
            </w:r>
          </w:p>
        </w:tc>
      </w:tr>
      <w:tr w:rsidR="00BF426D" w14:paraId="3A3ACDEE" w14:textId="77777777" w:rsidTr="00EF6294">
        <w:tc>
          <w:tcPr>
            <w:tcW w:w="9350" w:type="dxa"/>
            <w:gridSpan w:val="4"/>
            <w:shd w:val="clear" w:color="auto" w:fill="A4C7E8" w:themeFill="accent5" w:themeFillTint="66"/>
          </w:tcPr>
          <w:p w14:paraId="231365F3" w14:textId="77777777" w:rsidR="00BF426D" w:rsidRDefault="00BF426D" w:rsidP="00EF6294">
            <w:r w:rsidRPr="008C7630">
              <w:t>Efficiency: Was the project implemented efficiently, in line with international and national norms and standards?</w:t>
            </w:r>
          </w:p>
        </w:tc>
      </w:tr>
      <w:tr w:rsidR="00BF426D" w14:paraId="63A5F2D2" w14:textId="77777777" w:rsidTr="00EF6294">
        <w:tc>
          <w:tcPr>
            <w:tcW w:w="2689" w:type="dxa"/>
          </w:tcPr>
          <w:p w14:paraId="7CFAF534" w14:textId="77777777" w:rsidR="00BF426D" w:rsidRDefault="00BF426D" w:rsidP="00EF6294">
            <w:r>
              <w:t>Where project funds spent according to plans?</w:t>
            </w:r>
          </w:p>
        </w:tc>
        <w:tc>
          <w:tcPr>
            <w:tcW w:w="2551" w:type="dxa"/>
          </w:tcPr>
          <w:p w14:paraId="429DD29D" w14:textId="77777777" w:rsidR="00BF426D" w:rsidRDefault="00BF426D" w:rsidP="00EF6294">
            <w:r>
              <w:t>Consistency between project expenditures and project budget and AWPs</w:t>
            </w:r>
          </w:p>
        </w:tc>
        <w:tc>
          <w:tcPr>
            <w:tcW w:w="1772" w:type="dxa"/>
          </w:tcPr>
          <w:p w14:paraId="3BA59B4A" w14:textId="77777777" w:rsidR="00BF426D" w:rsidRDefault="00BF426D" w:rsidP="00EF6294">
            <w:r>
              <w:t>ProDoc</w:t>
            </w:r>
          </w:p>
          <w:p w14:paraId="5B433FF2" w14:textId="77777777" w:rsidR="00BF426D" w:rsidRDefault="00BF426D" w:rsidP="00EF6294">
            <w:r>
              <w:t>AWPs, APRs, PIRs</w:t>
            </w:r>
          </w:p>
        </w:tc>
        <w:tc>
          <w:tcPr>
            <w:tcW w:w="2338" w:type="dxa"/>
          </w:tcPr>
          <w:p w14:paraId="3DF90D7E" w14:textId="77777777" w:rsidR="00BF426D" w:rsidRDefault="00BF426D" w:rsidP="00EF6294">
            <w:r w:rsidRPr="001C65BB">
              <w:t>Documents analysis</w:t>
            </w:r>
          </w:p>
          <w:p w14:paraId="168767CD" w14:textId="77777777" w:rsidR="00BF426D" w:rsidRDefault="00BF426D" w:rsidP="00EF6294">
            <w:r>
              <w:t>Interviews with project team</w:t>
            </w:r>
          </w:p>
        </w:tc>
      </w:tr>
      <w:tr w:rsidR="00BF426D" w14:paraId="31CACAFA" w14:textId="77777777" w:rsidTr="00EF6294">
        <w:tc>
          <w:tcPr>
            <w:tcW w:w="2689" w:type="dxa"/>
          </w:tcPr>
          <w:p w14:paraId="706149D6" w14:textId="77777777" w:rsidR="00BF426D" w:rsidRPr="00590622" w:rsidRDefault="00BF426D" w:rsidP="00EF6294">
            <w:r w:rsidRPr="00590622">
              <w:t xml:space="preserve">To what extent </w:t>
            </w:r>
            <w:r>
              <w:t>w</w:t>
            </w:r>
            <w:r w:rsidRPr="00590622">
              <w:t>as the project implemented in a cost-effective and timely manner?</w:t>
            </w:r>
          </w:p>
        </w:tc>
        <w:tc>
          <w:tcPr>
            <w:tcW w:w="2551" w:type="dxa"/>
          </w:tcPr>
          <w:p w14:paraId="5F5A97FE" w14:textId="77777777" w:rsidR="00BF426D" w:rsidRDefault="00BF426D" w:rsidP="00EF6294">
            <w:r>
              <w:t>Adherence of project activities to project budget and schedules</w:t>
            </w:r>
          </w:p>
        </w:tc>
        <w:tc>
          <w:tcPr>
            <w:tcW w:w="1772" w:type="dxa"/>
          </w:tcPr>
          <w:p w14:paraId="3185D1DA" w14:textId="77777777" w:rsidR="00BF426D" w:rsidRDefault="00BF426D" w:rsidP="00EF6294">
            <w:r>
              <w:t>ProDoc</w:t>
            </w:r>
          </w:p>
          <w:p w14:paraId="75D06538" w14:textId="77777777" w:rsidR="00BF426D" w:rsidRDefault="00BF426D" w:rsidP="00EF6294">
            <w:r>
              <w:t>AWPs, APRs, PIRs</w:t>
            </w:r>
          </w:p>
        </w:tc>
        <w:tc>
          <w:tcPr>
            <w:tcW w:w="2338" w:type="dxa"/>
          </w:tcPr>
          <w:p w14:paraId="56C80B0E" w14:textId="77777777" w:rsidR="00BF426D" w:rsidRDefault="00BF426D" w:rsidP="00EF6294">
            <w:r w:rsidRPr="001C65BB">
              <w:t>Documents analysis</w:t>
            </w:r>
          </w:p>
          <w:p w14:paraId="535CFFB6" w14:textId="77777777" w:rsidR="00BF426D" w:rsidRDefault="00BF426D" w:rsidP="00EF6294">
            <w:r>
              <w:t>Interviews with project team</w:t>
            </w:r>
          </w:p>
        </w:tc>
      </w:tr>
      <w:tr w:rsidR="00BF426D" w14:paraId="5305587C" w14:textId="77777777" w:rsidTr="00EF6294">
        <w:tc>
          <w:tcPr>
            <w:tcW w:w="2689" w:type="dxa"/>
          </w:tcPr>
          <w:p w14:paraId="4BD994D6" w14:textId="77777777" w:rsidR="00BF426D" w:rsidRPr="00590622" w:rsidRDefault="00BF426D" w:rsidP="00EF6294">
            <w:r>
              <w:t>Are there any relevant lessons or recommendations regarding efficiency to be codified?</w:t>
            </w:r>
          </w:p>
        </w:tc>
        <w:tc>
          <w:tcPr>
            <w:tcW w:w="2551" w:type="dxa"/>
          </w:tcPr>
          <w:p w14:paraId="752FC289" w14:textId="77777777" w:rsidR="00BF426D" w:rsidRDefault="00BF426D" w:rsidP="00EF6294">
            <w:r>
              <w:t>Lessons and recommendations identified by stakeholders</w:t>
            </w:r>
          </w:p>
        </w:tc>
        <w:tc>
          <w:tcPr>
            <w:tcW w:w="1772" w:type="dxa"/>
          </w:tcPr>
          <w:p w14:paraId="4446F815" w14:textId="77777777" w:rsidR="00BF426D" w:rsidRDefault="00BF426D" w:rsidP="00EF6294">
            <w:r>
              <w:t>APRs, PIRs</w:t>
            </w:r>
          </w:p>
        </w:tc>
        <w:tc>
          <w:tcPr>
            <w:tcW w:w="2338" w:type="dxa"/>
          </w:tcPr>
          <w:p w14:paraId="71A81046" w14:textId="77777777" w:rsidR="00BF426D" w:rsidRDefault="00BF426D" w:rsidP="00EF6294">
            <w:r w:rsidRPr="001C65BB">
              <w:t>Documents analysis</w:t>
            </w:r>
          </w:p>
          <w:p w14:paraId="578534AE" w14:textId="77777777" w:rsidR="00BF426D" w:rsidRDefault="00BF426D" w:rsidP="00EF6294">
            <w:r>
              <w:t>Semi-structured interviews</w:t>
            </w:r>
          </w:p>
          <w:p w14:paraId="2C42DCBE" w14:textId="77777777" w:rsidR="00BF426D" w:rsidRPr="00B705C8" w:rsidRDefault="00BF426D" w:rsidP="00EF6294">
            <w:pPr>
              <w:rPr>
                <w:lang w:val="en-GB"/>
              </w:rPr>
            </w:pPr>
            <w:r w:rsidRPr="00B705C8">
              <w:lastRenderedPageBreak/>
              <w:t xml:space="preserve">Interviews with representatives from </w:t>
            </w:r>
            <w:r w:rsidRPr="00B705C8">
              <w:rPr>
                <w:lang w:val="en-GB"/>
              </w:rPr>
              <w:t>Zhejiang Fuyang Port International Co. Ltd.</w:t>
            </w:r>
          </w:p>
          <w:p w14:paraId="1C1B1D39" w14:textId="54DB314C" w:rsidR="00BF426D" w:rsidRPr="00B705C8" w:rsidRDefault="00BF426D" w:rsidP="00EF6294">
            <w:pPr>
              <w:rPr>
                <w:lang w:val="en-GB"/>
              </w:rPr>
            </w:pPr>
            <w:r>
              <w:rPr>
                <w:lang w:val="en-GB"/>
              </w:rPr>
              <w:t xml:space="preserve">and </w:t>
            </w:r>
            <w:r w:rsidRPr="00B705C8">
              <w:rPr>
                <w:lang w:val="en-GB"/>
              </w:rPr>
              <w:t xml:space="preserve">Fuyang Hangzhou </w:t>
            </w:r>
            <w:r w:rsidR="009442F5">
              <w:rPr>
                <w:lang w:val="en-GB"/>
              </w:rPr>
              <w:t>Transf</w:t>
            </w:r>
            <w:r w:rsidR="00F124B3">
              <w:rPr>
                <w:lang w:val="en-GB"/>
              </w:rPr>
              <w:t>a</w:t>
            </w:r>
            <w:r w:rsidR="009442F5">
              <w:rPr>
                <w:lang w:val="en-GB"/>
              </w:rPr>
              <w:t>r</w:t>
            </w:r>
            <w:r w:rsidR="00F124B3">
              <w:rPr>
                <w:lang w:val="en-GB"/>
              </w:rPr>
              <w:t xml:space="preserve"> </w:t>
            </w:r>
            <w:r w:rsidRPr="00B705C8">
              <w:rPr>
                <w:lang w:val="en-GB"/>
              </w:rPr>
              <w:t>Logistics Base Co., Ltd.</w:t>
            </w:r>
          </w:p>
          <w:p w14:paraId="573CD006" w14:textId="77777777" w:rsidR="00BF426D" w:rsidRPr="001C65BB" w:rsidRDefault="00BF426D" w:rsidP="00EF6294">
            <w:r>
              <w:t>Interviews with project team</w:t>
            </w:r>
          </w:p>
        </w:tc>
      </w:tr>
      <w:tr w:rsidR="00BF426D" w14:paraId="6AE3CF71" w14:textId="77777777" w:rsidTr="00EF6294">
        <w:tc>
          <w:tcPr>
            <w:tcW w:w="9350" w:type="dxa"/>
            <w:gridSpan w:val="4"/>
            <w:shd w:val="clear" w:color="auto" w:fill="A4C7E8" w:themeFill="accent5" w:themeFillTint="66"/>
          </w:tcPr>
          <w:p w14:paraId="0F2072E1" w14:textId="77777777" w:rsidR="00BF426D" w:rsidRDefault="00BF426D" w:rsidP="00EF6294">
            <w:r w:rsidRPr="008C7630">
              <w:lastRenderedPageBreak/>
              <w:t>Sustainability: To what extent are there financial, institutional, socio-political, and/or environmental risks to sustaining long-term project results?</w:t>
            </w:r>
          </w:p>
        </w:tc>
      </w:tr>
      <w:tr w:rsidR="00BF426D" w14:paraId="2F0C13B9" w14:textId="77777777" w:rsidTr="00EF6294">
        <w:tc>
          <w:tcPr>
            <w:tcW w:w="2689" w:type="dxa"/>
          </w:tcPr>
          <w:p w14:paraId="409A1A9C" w14:textId="77777777" w:rsidR="00BF426D" w:rsidRDefault="00BF426D" w:rsidP="00EF6294">
            <w:r>
              <w:rPr>
                <w:u w:val="single"/>
              </w:rPr>
              <w:t>Financial</w:t>
            </w:r>
            <w:r>
              <w:t xml:space="preserve">: What </w:t>
            </w:r>
            <w:r w:rsidRPr="009251D3">
              <w:t xml:space="preserve">government </w:t>
            </w:r>
            <w:r>
              <w:t>mechanisms</w:t>
            </w:r>
            <w:r w:rsidRPr="009251D3">
              <w:t xml:space="preserve"> are available to sustain </w:t>
            </w:r>
            <w:r>
              <w:t xml:space="preserve">the </w:t>
            </w:r>
            <w:r w:rsidRPr="009251D3">
              <w:t xml:space="preserve">transformation of the </w:t>
            </w:r>
            <w:r>
              <w:t>logistics sector after the project’s closure</w:t>
            </w:r>
            <w:r w:rsidRPr="009251D3">
              <w:t>?</w:t>
            </w:r>
          </w:p>
          <w:p w14:paraId="72FBB68C" w14:textId="77777777" w:rsidR="00BF426D" w:rsidRPr="009251D3" w:rsidRDefault="00BF426D" w:rsidP="00EF6294">
            <w:r>
              <w:t>Are the financial resources for these mechanisms confirmed?</w:t>
            </w:r>
          </w:p>
        </w:tc>
        <w:tc>
          <w:tcPr>
            <w:tcW w:w="2551" w:type="dxa"/>
          </w:tcPr>
          <w:p w14:paraId="3D971DEF" w14:textId="77777777" w:rsidR="00BF426D" w:rsidRDefault="00BF426D" w:rsidP="00EF6294">
            <w:r>
              <w:t>Financing/cofinancing resources for follow-up activities</w:t>
            </w:r>
          </w:p>
        </w:tc>
        <w:tc>
          <w:tcPr>
            <w:tcW w:w="1772" w:type="dxa"/>
          </w:tcPr>
          <w:p w14:paraId="69642413" w14:textId="77777777" w:rsidR="00BF426D" w:rsidRDefault="00BF426D" w:rsidP="00EF6294">
            <w:r>
              <w:t>APRs, PIRs</w:t>
            </w:r>
          </w:p>
          <w:p w14:paraId="41C8ED54" w14:textId="77777777" w:rsidR="00BF426D" w:rsidRDefault="00BF426D" w:rsidP="00EF6294">
            <w:r>
              <w:t>Press releases</w:t>
            </w:r>
          </w:p>
          <w:p w14:paraId="54459617" w14:textId="77777777" w:rsidR="00BF426D" w:rsidRDefault="00BF426D" w:rsidP="00EF6294"/>
        </w:tc>
        <w:tc>
          <w:tcPr>
            <w:tcW w:w="2338" w:type="dxa"/>
          </w:tcPr>
          <w:p w14:paraId="0C9BE3C0" w14:textId="77777777" w:rsidR="00BF426D" w:rsidRDefault="00BF426D" w:rsidP="00EF6294">
            <w:r w:rsidRPr="001C65BB">
              <w:t>Documents analysis</w:t>
            </w:r>
          </w:p>
          <w:p w14:paraId="537CE5BC" w14:textId="77777777" w:rsidR="00BF426D" w:rsidRDefault="00BF426D" w:rsidP="00EF6294">
            <w:r>
              <w:t>Semi-structured interviews</w:t>
            </w:r>
          </w:p>
          <w:p w14:paraId="798644D8" w14:textId="77777777" w:rsidR="00BF426D" w:rsidRDefault="00BF426D" w:rsidP="00EF6294">
            <w:r>
              <w:t>Interviews with project team</w:t>
            </w:r>
          </w:p>
        </w:tc>
      </w:tr>
      <w:tr w:rsidR="00BF426D" w14:paraId="4E92B7D8" w14:textId="77777777" w:rsidTr="00EF6294">
        <w:tc>
          <w:tcPr>
            <w:tcW w:w="2689" w:type="dxa"/>
          </w:tcPr>
          <w:p w14:paraId="7D5D606B" w14:textId="77777777" w:rsidR="00BF426D" w:rsidRDefault="00BF426D" w:rsidP="00EF6294">
            <w:r>
              <w:rPr>
                <w:u w:val="single"/>
              </w:rPr>
              <w:t>Financial</w:t>
            </w:r>
            <w:r>
              <w:t>: What private sector mechanisms</w:t>
            </w:r>
            <w:r w:rsidRPr="009251D3">
              <w:t xml:space="preserve"> are available to sustain </w:t>
            </w:r>
            <w:r>
              <w:t xml:space="preserve">the </w:t>
            </w:r>
            <w:r w:rsidRPr="009251D3">
              <w:t xml:space="preserve">transformation of the </w:t>
            </w:r>
            <w:r>
              <w:t>logistics sector after the project’s closure</w:t>
            </w:r>
            <w:r w:rsidRPr="009251D3">
              <w:t>?</w:t>
            </w:r>
          </w:p>
          <w:p w14:paraId="0248DC44" w14:textId="77777777" w:rsidR="00BF426D" w:rsidRDefault="00BF426D" w:rsidP="00EF6294">
            <w:r>
              <w:t>Are the financial resources for these mechanisms confirmed?</w:t>
            </w:r>
          </w:p>
        </w:tc>
        <w:tc>
          <w:tcPr>
            <w:tcW w:w="2551" w:type="dxa"/>
          </w:tcPr>
          <w:p w14:paraId="4036C5B0" w14:textId="77777777" w:rsidR="00BF426D" w:rsidRDefault="00BF426D" w:rsidP="00EF6294">
            <w:r>
              <w:t>Financing/cofinancing resources for follow-up activities</w:t>
            </w:r>
          </w:p>
        </w:tc>
        <w:tc>
          <w:tcPr>
            <w:tcW w:w="1772" w:type="dxa"/>
          </w:tcPr>
          <w:p w14:paraId="104AD87E" w14:textId="77777777" w:rsidR="00BF426D" w:rsidRDefault="00BF426D" w:rsidP="00EF6294">
            <w:r>
              <w:t xml:space="preserve">APRs, PIRs </w:t>
            </w:r>
          </w:p>
          <w:p w14:paraId="2260254E" w14:textId="77777777" w:rsidR="00BF426D" w:rsidRDefault="00BF426D" w:rsidP="00EF6294">
            <w:r>
              <w:t>Press releases</w:t>
            </w:r>
          </w:p>
          <w:p w14:paraId="5D83D868" w14:textId="77777777" w:rsidR="00BF426D" w:rsidRDefault="00BF426D" w:rsidP="00EF6294"/>
        </w:tc>
        <w:tc>
          <w:tcPr>
            <w:tcW w:w="2338" w:type="dxa"/>
          </w:tcPr>
          <w:p w14:paraId="2611FB07" w14:textId="77777777" w:rsidR="00BF426D" w:rsidRDefault="00BF426D" w:rsidP="00EF6294">
            <w:r w:rsidRPr="001C65BB">
              <w:t>Documents analysis</w:t>
            </w:r>
          </w:p>
          <w:p w14:paraId="1AD80EF1" w14:textId="77777777" w:rsidR="00BF426D" w:rsidRDefault="00BF426D" w:rsidP="00EF6294">
            <w:r>
              <w:t>Semi-structured interviews</w:t>
            </w:r>
          </w:p>
          <w:p w14:paraId="6DC1ED65" w14:textId="77777777" w:rsidR="00BF426D" w:rsidRPr="00B705C8" w:rsidRDefault="00BF426D" w:rsidP="00EF6294">
            <w:pPr>
              <w:rPr>
                <w:lang w:val="en-GB"/>
              </w:rPr>
            </w:pPr>
            <w:r w:rsidRPr="00B705C8">
              <w:t xml:space="preserve">Interviews with representatives from </w:t>
            </w:r>
            <w:r w:rsidRPr="00B705C8">
              <w:rPr>
                <w:lang w:val="en-GB"/>
              </w:rPr>
              <w:t>Zhejiang Fuyang Port International Co. Ltd.</w:t>
            </w:r>
          </w:p>
          <w:p w14:paraId="43BD1E39" w14:textId="1037B8D2" w:rsidR="00BF426D" w:rsidRDefault="00BF426D" w:rsidP="00EF6294">
            <w:r>
              <w:rPr>
                <w:lang w:val="en-GB"/>
              </w:rPr>
              <w:t xml:space="preserve">and </w:t>
            </w:r>
            <w:r w:rsidRPr="00B705C8">
              <w:rPr>
                <w:lang w:val="en-GB"/>
              </w:rPr>
              <w:t xml:space="preserve">Fuyang Hangzhou </w:t>
            </w:r>
            <w:r w:rsidR="009442F5">
              <w:rPr>
                <w:lang w:val="en-GB"/>
              </w:rPr>
              <w:t>Transf</w:t>
            </w:r>
            <w:r w:rsidR="00F124B3">
              <w:rPr>
                <w:lang w:val="en-GB"/>
              </w:rPr>
              <w:t>a</w:t>
            </w:r>
            <w:r w:rsidR="009442F5">
              <w:rPr>
                <w:lang w:val="en-GB"/>
              </w:rPr>
              <w:t>r</w:t>
            </w:r>
            <w:r w:rsidR="00F124B3">
              <w:rPr>
                <w:lang w:val="en-GB"/>
              </w:rPr>
              <w:t xml:space="preserve"> </w:t>
            </w:r>
            <w:r w:rsidRPr="00B705C8">
              <w:rPr>
                <w:lang w:val="en-GB"/>
              </w:rPr>
              <w:t>Logistics Base Co., Ltd.</w:t>
            </w:r>
          </w:p>
          <w:p w14:paraId="493D4527" w14:textId="77777777" w:rsidR="00BF426D" w:rsidRDefault="00BF426D" w:rsidP="00EF6294">
            <w:r>
              <w:t>Interviews with project team</w:t>
            </w:r>
          </w:p>
        </w:tc>
      </w:tr>
      <w:tr w:rsidR="00BF426D" w14:paraId="5F91F4D3" w14:textId="77777777" w:rsidTr="00EF6294">
        <w:tc>
          <w:tcPr>
            <w:tcW w:w="2689" w:type="dxa"/>
          </w:tcPr>
          <w:p w14:paraId="6DA3A8AA" w14:textId="77777777" w:rsidR="00BF426D" w:rsidRPr="00231072" w:rsidRDefault="00BF426D" w:rsidP="00EF6294">
            <w:r w:rsidRPr="00231072">
              <w:rPr>
                <w:u w:val="single"/>
              </w:rPr>
              <w:t>Institutional</w:t>
            </w:r>
            <w:r>
              <w:t>: Did the policy/regulatory reforms remove barriers to green logistics?</w:t>
            </w:r>
          </w:p>
        </w:tc>
        <w:tc>
          <w:tcPr>
            <w:tcW w:w="2551" w:type="dxa"/>
          </w:tcPr>
          <w:p w14:paraId="3A8A81BC" w14:textId="77777777" w:rsidR="00BF426D" w:rsidRDefault="00BF426D" w:rsidP="00EF6294">
            <w:r>
              <w:t>Fraction of LSPs that report that new/updated policies and regulations enable changes towards green practices</w:t>
            </w:r>
          </w:p>
        </w:tc>
        <w:tc>
          <w:tcPr>
            <w:tcW w:w="1772" w:type="dxa"/>
          </w:tcPr>
          <w:p w14:paraId="6E9FEC6D" w14:textId="77777777" w:rsidR="00BF426D" w:rsidRDefault="00BF426D" w:rsidP="00EF6294">
            <w:r>
              <w:t>APRs, PIRs</w:t>
            </w:r>
          </w:p>
          <w:p w14:paraId="083DF75B" w14:textId="77777777" w:rsidR="00BF426D" w:rsidRDefault="00BF426D" w:rsidP="00EF6294">
            <w:r>
              <w:t>Survey results</w:t>
            </w:r>
          </w:p>
          <w:p w14:paraId="4C4704F2" w14:textId="77777777" w:rsidR="00BF426D" w:rsidRDefault="00BF426D" w:rsidP="00EF6294">
            <w:r>
              <w:t>Press releases</w:t>
            </w:r>
          </w:p>
          <w:p w14:paraId="5B959C2B" w14:textId="77777777" w:rsidR="00BF426D" w:rsidRDefault="00BF426D" w:rsidP="00EF6294"/>
        </w:tc>
        <w:tc>
          <w:tcPr>
            <w:tcW w:w="2338" w:type="dxa"/>
          </w:tcPr>
          <w:p w14:paraId="1594F8D0" w14:textId="77777777" w:rsidR="00BF426D" w:rsidRDefault="00BF426D" w:rsidP="00EF6294">
            <w:r w:rsidRPr="001C65BB">
              <w:t>Documents analysis</w:t>
            </w:r>
          </w:p>
          <w:p w14:paraId="0F19F937" w14:textId="77777777" w:rsidR="00BF426D" w:rsidRDefault="00BF426D" w:rsidP="00EF6294">
            <w:pPr>
              <w:rPr>
                <w:lang w:val="en-GB"/>
              </w:rPr>
            </w:pPr>
            <w:r>
              <w:rPr>
                <w:lang w:val="en-GB"/>
              </w:rPr>
              <w:t>Survey to LSPs</w:t>
            </w:r>
          </w:p>
          <w:p w14:paraId="727A688D" w14:textId="77777777" w:rsidR="00BF426D" w:rsidRPr="00B705C8" w:rsidRDefault="00BF426D" w:rsidP="00EF6294">
            <w:pPr>
              <w:rPr>
                <w:lang w:val="en-GB"/>
              </w:rPr>
            </w:pPr>
            <w:r>
              <w:t>Interviews with project team</w:t>
            </w:r>
          </w:p>
          <w:p w14:paraId="5D09E48E" w14:textId="77777777" w:rsidR="00BF426D" w:rsidRDefault="00BF426D" w:rsidP="00EF6294"/>
        </w:tc>
      </w:tr>
      <w:tr w:rsidR="00BF426D" w14:paraId="09278229" w14:textId="77777777" w:rsidTr="00EF6294">
        <w:tc>
          <w:tcPr>
            <w:tcW w:w="2689" w:type="dxa"/>
          </w:tcPr>
          <w:p w14:paraId="7D6A294D" w14:textId="77777777" w:rsidR="00BF426D" w:rsidRDefault="00BF426D" w:rsidP="00EF6294">
            <w:r w:rsidRPr="00231072">
              <w:rPr>
                <w:u w:val="single"/>
              </w:rPr>
              <w:t>Institutional</w:t>
            </w:r>
            <w:r>
              <w:t xml:space="preserve">: Did the personnel at LSPs acquire the required skills to adopt green logistic practices? </w:t>
            </w:r>
          </w:p>
        </w:tc>
        <w:tc>
          <w:tcPr>
            <w:tcW w:w="2551" w:type="dxa"/>
          </w:tcPr>
          <w:p w14:paraId="6CBF6954" w14:textId="77777777" w:rsidR="00BF426D" w:rsidRDefault="00BF426D" w:rsidP="00EF6294">
            <w:r>
              <w:t>Fraction of LSPs that report that personnel has gained the required skills to adopt green logistic practices.</w:t>
            </w:r>
          </w:p>
        </w:tc>
        <w:tc>
          <w:tcPr>
            <w:tcW w:w="1772" w:type="dxa"/>
          </w:tcPr>
          <w:p w14:paraId="0638AD30" w14:textId="77777777" w:rsidR="00BF426D" w:rsidRDefault="00BF426D" w:rsidP="00EF6294">
            <w:r>
              <w:t>APRs, PIRs</w:t>
            </w:r>
          </w:p>
          <w:p w14:paraId="4758ACAE" w14:textId="77777777" w:rsidR="00BF426D" w:rsidRDefault="00BF426D" w:rsidP="00EF6294">
            <w:r>
              <w:t>Survey results</w:t>
            </w:r>
          </w:p>
        </w:tc>
        <w:tc>
          <w:tcPr>
            <w:tcW w:w="2338" w:type="dxa"/>
          </w:tcPr>
          <w:p w14:paraId="2FE5696D" w14:textId="77777777" w:rsidR="00BF426D" w:rsidRDefault="00BF426D" w:rsidP="00EF6294">
            <w:r w:rsidRPr="001C65BB">
              <w:t>Documents analysis</w:t>
            </w:r>
          </w:p>
          <w:p w14:paraId="0F0A48C0" w14:textId="77777777" w:rsidR="00BF426D" w:rsidRDefault="00BF426D" w:rsidP="00EF6294">
            <w:pPr>
              <w:rPr>
                <w:lang w:val="en-GB"/>
              </w:rPr>
            </w:pPr>
            <w:r>
              <w:rPr>
                <w:lang w:val="en-GB"/>
              </w:rPr>
              <w:t>Survey to LSPs</w:t>
            </w:r>
          </w:p>
          <w:p w14:paraId="1895B289" w14:textId="77777777" w:rsidR="00BF426D" w:rsidRPr="00B705C8" w:rsidRDefault="00BF426D" w:rsidP="00EF6294">
            <w:pPr>
              <w:rPr>
                <w:lang w:val="en-GB"/>
              </w:rPr>
            </w:pPr>
            <w:r>
              <w:t>Interviews with project team</w:t>
            </w:r>
          </w:p>
          <w:p w14:paraId="41EF01DE" w14:textId="77777777" w:rsidR="00BF426D" w:rsidRDefault="00BF426D" w:rsidP="00EF6294"/>
        </w:tc>
      </w:tr>
      <w:tr w:rsidR="00BF426D" w14:paraId="5040EF06" w14:textId="77777777" w:rsidTr="00EF6294">
        <w:tc>
          <w:tcPr>
            <w:tcW w:w="2689" w:type="dxa"/>
          </w:tcPr>
          <w:p w14:paraId="4BB91092" w14:textId="77777777" w:rsidR="00BF426D" w:rsidRPr="00916DF0" w:rsidRDefault="00BF426D" w:rsidP="00EF6294">
            <w:r w:rsidRPr="00916DF0">
              <w:rPr>
                <w:u w:val="single"/>
              </w:rPr>
              <w:t>Socio-political</w:t>
            </w:r>
            <w:r>
              <w:t>: Are there any social or political risks to the permanence of project outcomes?</w:t>
            </w:r>
          </w:p>
        </w:tc>
        <w:tc>
          <w:tcPr>
            <w:tcW w:w="2551" w:type="dxa"/>
          </w:tcPr>
          <w:p w14:paraId="15BD9B4A" w14:textId="77777777" w:rsidR="00BF426D" w:rsidRDefault="00BF426D" w:rsidP="00EF6294">
            <w:r>
              <w:t>Risks identified by stakeholders</w:t>
            </w:r>
          </w:p>
        </w:tc>
        <w:tc>
          <w:tcPr>
            <w:tcW w:w="1772" w:type="dxa"/>
          </w:tcPr>
          <w:p w14:paraId="25FB2F17" w14:textId="77777777" w:rsidR="00BF426D" w:rsidRDefault="00BF426D" w:rsidP="00EF6294">
            <w:r>
              <w:t>APRs, PIRs</w:t>
            </w:r>
          </w:p>
        </w:tc>
        <w:tc>
          <w:tcPr>
            <w:tcW w:w="2338" w:type="dxa"/>
          </w:tcPr>
          <w:p w14:paraId="304A4A97" w14:textId="77777777" w:rsidR="00BF426D" w:rsidRDefault="00BF426D" w:rsidP="00EF6294">
            <w:r w:rsidRPr="001C65BB">
              <w:t>Documents analysis</w:t>
            </w:r>
          </w:p>
          <w:p w14:paraId="2D1C5667" w14:textId="77777777" w:rsidR="00BF426D" w:rsidRDefault="00BF426D" w:rsidP="00EF6294">
            <w:r>
              <w:t>Semi-structured interviews</w:t>
            </w:r>
          </w:p>
          <w:p w14:paraId="332B7533" w14:textId="77777777" w:rsidR="00BF426D" w:rsidRPr="00B705C8" w:rsidRDefault="00BF426D" w:rsidP="00EF6294">
            <w:pPr>
              <w:rPr>
                <w:lang w:val="en-GB"/>
              </w:rPr>
            </w:pPr>
            <w:r w:rsidRPr="00B705C8">
              <w:t xml:space="preserve">Interviews with representatives from </w:t>
            </w:r>
            <w:r w:rsidRPr="00B705C8">
              <w:rPr>
                <w:lang w:val="en-GB"/>
              </w:rPr>
              <w:lastRenderedPageBreak/>
              <w:t>Zhejiang Fuyang Port International Co. Ltd.</w:t>
            </w:r>
          </w:p>
          <w:p w14:paraId="253BFFD1" w14:textId="6EB65502" w:rsidR="00BF426D" w:rsidRPr="00B705C8" w:rsidRDefault="00BF426D" w:rsidP="00EF6294">
            <w:pPr>
              <w:rPr>
                <w:lang w:val="en-GB"/>
              </w:rPr>
            </w:pPr>
            <w:r>
              <w:rPr>
                <w:lang w:val="en-GB"/>
              </w:rPr>
              <w:t xml:space="preserve">and </w:t>
            </w:r>
            <w:r w:rsidRPr="00B705C8">
              <w:rPr>
                <w:lang w:val="en-GB"/>
              </w:rPr>
              <w:t xml:space="preserve">Fuyang Hangzhou </w:t>
            </w:r>
            <w:r w:rsidR="009442F5">
              <w:rPr>
                <w:lang w:val="en-GB"/>
              </w:rPr>
              <w:t>Transf</w:t>
            </w:r>
            <w:r w:rsidR="00F124B3">
              <w:rPr>
                <w:lang w:val="en-GB"/>
              </w:rPr>
              <w:t>a</w:t>
            </w:r>
            <w:r w:rsidR="009442F5">
              <w:rPr>
                <w:lang w:val="en-GB"/>
              </w:rPr>
              <w:t>r</w:t>
            </w:r>
            <w:r w:rsidR="00F124B3">
              <w:rPr>
                <w:lang w:val="en-GB"/>
              </w:rPr>
              <w:t xml:space="preserve"> </w:t>
            </w:r>
            <w:r w:rsidRPr="00B705C8">
              <w:rPr>
                <w:lang w:val="en-GB"/>
              </w:rPr>
              <w:t>Logistics Base Co., Ltd.</w:t>
            </w:r>
          </w:p>
          <w:p w14:paraId="09D1CA0C" w14:textId="77777777" w:rsidR="00BF426D" w:rsidRPr="001C65BB" w:rsidRDefault="00BF426D" w:rsidP="00EF6294">
            <w:r>
              <w:t>Interviews with project team</w:t>
            </w:r>
          </w:p>
        </w:tc>
      </w:tr>
      <w:tr w:rsidR="00BF426D" w14:paraId="33F8A7BB" w14:textId="77777777" w:rsidTr="00EF6294">
        <w:tc>
          <w:tcPr>
            <w:tcW w:w="2689" w:type="dxa"/>
          </w:tcPr>
          <w:p w14:paraId="661E89A7" w14:textId="77777777" w:rsidR="00BF426D" w:rsidRDefault="00BF426D" w:rsidP="00EF6294">
            <w:r>
              <w:rPr>
                <w:u w:val="single"/>
              </w:rPr>
              <w:lastRenderedPageBreak/>
              <w:t>Environmental</w:t>
            </w:r>
            <w:r>
              <w:t>: Are there any environmental risks to the permanence of project outcomes?</w:t>
            </w:r>
          </w:p>
        </w:tc>
        <w:tc>
          <w:tcPr>
            <w:tcW w:w="2551" w:type="dxa"/>
          </w:tcPr>
          <w:p w14:paraId="3C93A8A8" w14:textId="77777777" w:rsidR="00BF426D" w:rsidRDefault="00BF426D" w:rsidP="00EF6294">
            <w:r>
              <w:t>Risks identified by stakeholders</w:t>
            </w:r>
          </w:p>
        </w:tc>
        <w:tc>
          <w:tcPr>
            <w:tcW w:w="1772" w:type="dxa"/>
          </w:tcPr>
          <w:p w14:paraId="07B9F878" w14:textId="77777777" w:rsidR="00BF426D" w:rsidRDefault="00BF426D" w:rsidP="00EF6294">
            <w:r>
              <w:t>APRs, PIRs</w:t>
            </w:r>
          </w:p>
        </w:tc>
        <w:tc>
          <w:tcPr>
            <w:tcW w:w="2338" w:type="dxa"/>
          </w:tcPr>
          <w:p w14:paraId="047DD95B" w14:textId="77777777" w:rsidR="00BF426D" w:rsidRDefault="00BF426D" w:rsidP="00EF6294">
            <w:r w:rsidRPr="001C65BB">
              <w:t>Documents analysis</w:t>
            </w:r>
          </w:p>
          <w:p w14:paraId="6B082FA7" w14:textId="77777777" w:rsidR="00BF426D" w:rsidRDefault="00BF426D" w:rsidP="00EF6294">
            <w:r>
              <w:t>Semi-structured interviews</w:t>
            </w:r>
          </w:p>
          <w:p w14:paraId="34191154" w14:textId="77777777" w:rsidR="00BF426D" w:rsidRPr="00B705C8" w:rsidRDefault="00BF426D" w:rsidP="00EF6294">
            <w:pPr>
              <w:rPr>
                <w:lang w:val="en-GB"/>
              </w:rPr>
            </w:pPr>
            <w:r w:rsidRPr="00B705C8">
              <w:t xml:space="preserve">Interviews with representatives from </w:t>
            </w:r>
            <w:r w:rsidRPr="00B705C8">
              <w:rPr>
                <w:lang w:val="en-GB"/>
              </w:rPr>
              <w:t>Zhejiang Fuyang Port International Co. Ltd.</w:t>
            </w:r>
          </w:p>
          <w:p w14:paraId="40BAA080" w14:textId="062A299E" w:rsidR="00BF426D" w:rsidRPr="00B705C8" w:rsidRDefault="00BF426D" w:rsidP="00EF6294">
            <w:pPr>
              <w:rPr>
                <w:lang w:val="en-GB"/>
              </w:rPr>
            </w:pPr>
            <w:r>
              <w:rPr>
                <w:lang w:val="en-GB"/>
              </w:rPr>
              <w:t xml:space="preserve">and </w:t>
            </w:r>
            <w:r w:rsidRPr="00B705C8">
              <w:rPr>
                <w:lang w:val="en-GB"/>
              </w:rPr>
              <w:t xml:space="preserve">Fuyang Hangzhou </w:t>
            </w:r>
            <w:r w:rsidR="009442F5">
              <w:rPr>
                <w:lang w:val="en-GB"/>
              </w:rPr>
              <w:t>Transf</w:t>
            </w:r>
            <w:r w:rsidR="00F124B3">
              <w:rPr>
                <w:lang w:val="en-GB"/>
              </w:rPr>
              <w:t>a</w:t>
            </w:r>
            <w:r w:rsidR="009442F5">
              <w:rPr>
                <w:lang w:val="en-GB"/>
              </w:rPr>
              <w:t>r</w:t>
            </w:r>
            <w:r w:rsidR="00F124B3">
              <w:rPr>
                <w:lang w:val="en-GB"/>
              </w:rPr>
              <w:t xml:space="preserve"> </w:t>
            </w:r>
            <w:r w:rsidRPr="00B705C8">
              <w:rPr>
                <w:lang w:val="en-GB"/>
              </w:rPr>
              <w:t>Logistics Base Co., Ltd.</w:t>
            </w:r>
          </w:p>
          <w:p w14:paraId="52AC384C" w14:textId="77777777" w:rsidR="00BF426D" w:rsidRDefault="00BF426D" w:rsidP="00EF6294">
            <w:r>
              <w:t>Interviews with project team</w:t>
            </w:r>
          </w:p>
        </w:tc>
      </w:tr>
      <w:tr w:rsidR="00BF426D" w14:paraId="0541B87E" w14:textId="77777777" w:rsidTr="00EF6294">
        <w:tc>
          <w:tcPr>
            <w:tcW w:w="9350" w:type="dxa"/>
            <w:gridSpan w:val="4"/>
            <w:shd w:val="clear" w:color="auto" w:fill="A4C7E8" w:themeFill="accent5" w:themeFillTint="66"/>
          </w:tcPr>
          <w:p w14:paraId="65478EE4" w14:textId="77777777" w:rsidR="00BF426D" w:rsidRDefault="00BF426D" w:rsidP="00EF6294">
            <w:r w:rsidRPr="002225DE">
              <w:t>Gender equality and women’s empowerment: How did the project contribute to gender equality and women’s empowerment?</w:t>
            </w:r>
          </w:p>
        </w:tc>
      </w:tr>
      <w:tr w:rsidR="00BF426D" w14:paraId="7A3DE38C" w14:textId="77777777" w:rsidTr="00EF6294">
        <w:tc>
          <w:tcPr>
            <w:tcW w:w="2689" w:type="dxa"/>
          </w:tcPr>
          <w:p w14:paraId="454F7052" w14:textId="77777777" w:rsidR="00BF426D" w:rsidRDefault="00BF426D" w:rsidP="00EF6294">
            <w:r>
              <w:t>How did the project contribute to gender equality and women’s empowerment?</w:t>
            </w:r>
          </w:p>
        </w:tc>
        <w:tc>
          <w:tcPr>
            <w:tcW w:w="2551" w:type="dxa"/>
          </w:tcPr>
          <w:p w14:paraId="1394DC9F" w14:textId="77777777" w:rsidR="00BF426D" w:rsidRDefault="00BF426D" w:rsidP="00EF6294">
            <w:r>
              <w:t>Levels of participation of women in project implementation</w:t>
            </w:r>
          </w:p>
          <w:p w14:paraId="50E089A4" w14:textId="77777777" w:rsidR="00BF426D" w:rsidRDefault="00BF426D" w:rsidP="00EF6294">
            <w:r>
              <w:t>Incorporation of gender considerations in the planning and execution of project activities</w:t>
            </w:r>
          </w:p>
          <w:p w14:paraId="510D362A" w14:textId="77777777" w:rsidR="00BF426D" w:rsidRDefault="00BF426D" w:rsidP="00EF6294"/>
          <w:p w14:paraId="02E3BE15" w14:textId="77777777" w:rsidR="00BF426D" w:rsidRDefault="00BF426D" w:rsidP="00EF6294"/>
        </w:tc>
        <w:tc>
          <w:tcPr>
            <w:tcW w:w="1772" w:type="dxa"/>
          </w:tcPr>
          <w:p w14:paraId="75FFD06A" w14:textId="77777777" w:rsidR="00BF426D" w:rsidRDefault="00BF426D" w:rsidP="00EF6294">
            <w:r>
              <w:t>ProDoc</w:t>
            </w:r>
          </w:p>
          <w:p w14:paraId="71EB79D4" w14:textId="77777777" w:rsidR="00BF426D" w:rsidRDefault="00BF426D" w:rsidP="00EF6294">
            <w:r>
              <w:t>AWPs, APRs, PIRs</w:t>
            </w:r>
          </w:p>
        </w:tc>
        <w:tc>
          <w:tcPr>
            <w:tcW w:w="2338" w:type="dxa"/>
          </w:tcPr>
          <w:p w14:paraId="71ADAC94" w14:textId="77777777" w:rsidR="00BF426D" w:rsidRDefault="00BF426D" w:rsidP="00EF6294">
            <w:r w:rsidRPr="001C65BB">
              <w:t>Documents analysis</w:t>
            </w:r>
          </w:p>
          <w:p w14:paraId="2EC29FA1" w14:textId="77777777" w:rsidR="00BF426D" w:rsidRDefault="00BF426D" w:rsidP="00EF6294">
            <w:r>
              <w:t>Semi-structured interviews</w:t>
            </w:r>
          </w:p>
          <w:p w14:paraId="7B72B2AF" w14:textId="77777777" w:rsidR="00BF426D" w:rsidRDefault="00BF426D" w:rsidP="00EF6294">
            <w:r>
              <w:t>Interviews with project team</w:t>
            </w:r>
          </w:p>
        </w:tc>
      </w:tr>
      <w:tr w:rsidR="00BF426D" w14:paraId="0B3C1187" w14:textId="77777777" w:rsidTr="00EF6294">
        <w:tc>
          <w:tcPr>
            <w:tcW w:w="9350" w:type="dxa"/>
            <w:gridSpan w:val="4"/>
            <w:shd w:val="clear" w:color="auto" w:fill="A4C7E8" w:themeFill="accent5" w:themeFillTint="66"/>
          </w:tcPr>
          <w:p w14:paraId="334F7B5B" w14:textId="77777777" w:rsidR="00BF426D" w:rsidRDefault="00BF426D" w:rsidP="00EF6294">
            <w:r w:rsidRPr="002225DE">
              <w:t>Impact: Are there indications that the project has contributed to, or enabled progress toward reduced environmental stress and/or improved ecological status?</w:t>
            </w:r>
          </w:p>
        </w:tc>
      </w:tr>
      <w:tr w:rsidR="00BF426D" w14:paraId="2FB78251" w14:textId="77777777" w:rsidTr="00EF6294">
        <w:tc>
          <w:tcPr>
            <w:tcW w:w="2689" w:type="dxa"/>
          </w:tcPr>
          <w:p w14:paraId="1A7915C0" w14:textId="77777777" w:rsidR="00BF426D" w:rsidRDefault="00BF426D" w:rsidP="00EF6294">
            <w:r>
              <w:t>Did the project achieve the expected levels of fuel savings and GHG emissions reductions?</w:t>
            </w:r>
          </w:p>
        </w:tc>
        <w:tc>
          <w:tcPr>
            <w:tcW w:w="2551" w:type="dxa"/>
          </w:tcPr>
          <w:p w14:paraId="324438F3" w14:textId="77777777" w:rsidR="00BF426D" w:rsidRDefault="00BF426D" w:rsidP="00EF6294">
            <w:r>
              <w:t>PRF indicators</w:t>
            </w:r>
          </w:p>
        </w:tc>
        <w:tc>
          <w:tcPr>
            <w:tcW w:w="1772" w:type="dxa"/>
          </w:tcPr>
          <w:p w14:paraId="7E497FB7" w14:textId="77777777" w:rsidR="00BF426D" w:rsidRDefault="00BF426D" w:rsidP="00EF6294">
            <w:r>
              <w:t>ProDoc</w:t>
            </w:r>
          </w:p>
          <w:p w14:paraId="64B58D95" w14:textId="77777777" w:rsidR="00BF426D" w:rsidRDefault="00BF426D" w:rsidP="00EF6294">
            <w:r>
              <w:t>GEF Tracking Tool</w:t>
            </w:r>
          </w:p>
          <w:p w14:paraId="240581F2" w14:textId="77777777" w:rsidR="00BF426D" w:rsidRDefault="00BF426D" w:rsidP="00EF6294">
            <w:r>
              <w:t>APRs, PIRs</w:t>
            </w:r>
          </w:p>
          <w:p w14:paraId="0256DB36" w14:textId="77777777" w:rsidR="00BF426D" w:rsidRDefault="00BF426D" w:rsidP="00EF6294"/>
        </w:tc>
        <w:tc>
          <w:tcPr>
            <w:tcW w:w="2338" w:type="dxa"/>
          </w:tcPr>
          <w:p w14:paraId="5924663B" w14:textId="77777777" w:rsidR="00BF426D" w:rsidRDefault="00BF426D" w:rsidP="00EF6294">
            <w:r w:rsidRPr="001C65BB">
              <w:t>Documents analysis</w:t>
            </w:r>
          </w:p>
          <w:p w14:paraId="6472C771" w14:textId="77777777" w:rsidR="00BF426D" w:rsidRDefault="00BF426D" w:rsidP="00EF6294">
            <w:r>
              <w:t>Semi-structured interviews</w:t>
            </w:r>
          </w:p>
          <w:p w14:paraId="225A1B03" w14:textId="77777777" w:rsidR="00BF426D" w:rsidRPr="00B705C8" w:rsidRDefault="00BF426D" w:rsidP="00EF6294">
            <w:pPr>
              <w:rPr>
                <w:lang w:val="en-GB"/>
              </w:rPr>
            </w:pPr>
            <w:r w:rsidRPr="00B705C8">
              <w:t xml:space="preserve">Interviews with representatives from </w:t>
            </w:r>
            <w:r w:rsidRPr="00B705C8">
              <w:rPr>
                <w:lang w:val="en-GB"/>
              </w:rPr>
              <w:t>Zhejiang Fuyang Port International Co. Ltd.</w:t>
            </w:r>
          </w:p>
          <w:p w14:paraId="75CAF736" w14:textId="245F094E" w:rsidR="00BF426D" w:rsidRPr="00B705C8" w:rsidRDefault="00BF426D" w:rsidP="00EF6294">
            <w:pPr>
              <w:rPr>
                <w:lang w:val="en-GB"/>
              </w:rPr>
            </w:pPr>
            <w:r>
              <w:rPr>
                <w:lang w:val="en-GB"/>
              </w:rPr>
              <w:t xml:space="preserve">and </w:t>
            </w:r>
            <w:r w:rsidRPr="00B705C8">
              <w:rPr>
                <w:lang w:val="en-GB"/>
              </w:rPr>
              <w:t xml:space="preserve">Fuyang Hangzhou </w:t>
            </w:r>
            <w:r w:rsidR="009442F5">
              <w:rPr>
                <w:lang w:val="en-GB"/>
              </w:rPr>
              <w:t>Transf</w:t>
            </w:r>
            <w:r w:rsidR="00F124B3">
              <w:rPr>
                <w:lang w:val="en-GB"/>
              </w:rPr>
              <w:t>a</w:t>
            </w:r>
            <w:r w:rsidR="009442F5">
              <w:rPr>
                <w:lang w:val="en-GB"/>
              </w:rPr>
              <w:t>r</w:t>
            </w:r>
            <w:r w:rsidR="00F124B3">
              <w:rPr>
                <w:lang w:val="en-GB"/>
              </w:rPr>
              <w:t xml:space="preserve"> </w:t>
            </w:r>
            <w:r w:rsidRPr="00B705C8">
              <w:rPr>
                <w:lang w:val="en-GB"/>
              </w:rPr>
              <w:t>Logistics Base Co., Ltd.</w:t>
            </w:r>
          </w:p>
          <w:p w14:paraId="067ACA82" w14:textId="77777777" w:rsidR="00BF426D" w:rsidRDefault="00BF426D" w:rsidP="00EF6294">
            <w:r>
              <w:t>Interviews with project team</w:t>
            </w:r>
          </w:p>
        </w:tc>
      </w:tr>
      <w:tr w:rsidR="00BF426D" w14:paraId="4AB6D9A0" w14:textId="77777777" w:rsidTr="00EF6294">
        <w:tc>
          <w:tcPr>
            <w:tcW w:w="2689" w:type="dxa"/>
          </w:tcPr>
          <w:p w14:paraId="2E0F33E5" w14:textId="77777777" w:rsidR="00BF426D" w:rsidRDefault="00BF426D" w:rsidP="00EF6294">
            <w:r>
              <w:t xml:space="preserve">To what extent are the changes in policies and regulations conducive to the adoption of green </w:t>
            </w:r>
            <w:r>
              <w:lastRenderedPageBreak/>
              <w:t xml:space="preserve">logistics practices in </w:t>
            </w:r>
            <w:r w:rsidRPr="00BB2069">
              <w:t>Zhejiang Province</w:t>
            </w:r>
            <w:r>
              <w:t>?</w:t>
            </w:r>
          </w:p>
          <w:p w14:paraId="1846A333" w14:textId="77777777" w:rsidR="00BF426D" w:rsidRDefault="00BF426D" w:rsidP="00EF6294">
            <w:r>
              <w:t>Are these changes enough to promote change over time?</w:t>
            </w:r>
          </w:p>
        </w:tc>
        <w:tc>
          <w:tcPr>
            <w:tcW w:w="2551" w:type="dxa"/>
          </w:tcPr>
          <w:p w14:paraId="68EF882F" w14:textId="77777777" w:rsidR="00BF426D" w:rsidRDefault="00BF426D" w:rsidP="00EF6294">
            <w:r>
              <w:lastRenderedPageBreak/>
              <w:t xml:space="preserve">Consistency between identified barriers and effects from policy and regulatory changes </w:t>
            </w:r>
          </w:p>
        </w:tc>
        <w:tc>
          <w:tcPr>
            <w:tcW w:w="1772" w:type="dxa"/>
          </w:tcPr>
          <w:p w14:paraId="484856CE" w14:textId="77777777" w:rsidR="00BF426D" w:rsidRDefault="00BF426D" w:rsidP="00EF6294">
            <w:r>
              <w:t>ProDoc</w:t>
            </w:r>
          </w:p>
          <w:p w14:paraId="1A36ED9C" w14:textId="77777777" w:rsidR="00BF426D" w:rsidRDefault="00BF426D" w:rsidP="00EF6294">
            <w:r>
              <w:t>APRs, PIRs</w:t>
            </w:r>
          </w:p>
          <w:p w14:paraId="48464C2B" w14:textId="77777777" w:rsidR="00BF426D" w:rsidRDefault="00BF426D" w:rsidP="00EF6294">
            <w:r>
              <w:t>Press releases</w:t>
            </w:r>
          </w:p>
          <w:p w14:paraId="4BE4E6EF" w14:textId="77777777" w:rsidR="00BF426D" w:rsidRDefault="00BF426D" w:rsidP="00EF6294"/>
        </w:tc>
        <w:tc>
          <w:tcPr>
            <w:tcW w:w="2338" w:type="dxa"/>
          </w:tcPr>
          <w:p w14:paraId="277C4C72" w14:textId="77777777" w:rsidR="00BF426D" w:rsidRDefault="00BF426D" w:rsidP="00EF6294">
            <w:r w:rsidRPr="001C65BB">
              <w:t>Documents analysis</w:t>
            </w:r>
          </w:p>
          <w:p w14:paraId="668D8149" w14:textId="77777777" w:rsidR="00BF426D" w:rsidRDefault="00BF426D" w:rsidP="00EF6294">
            <w:r>
              <w:t>Semi-structured interviews</w:t>
            </w:r>
          </w:p>
          <w:p w14:paraId="5DA5BF7C" w14:textId="77777777" w:rsidR="00BF426D" w:rsidRPr="00B705C8" w:rsidRDefault="00BF426D" w:rsidP="00EF6294">
            <w:pPr>
              <w:rPr>
                <w:lang w:val="en-GB"/>
              </w:rPr>
            </w:pPr>
            <w:r w:rsidRPr="00B705C8">
              <w:lastRenderedPageBreak/>
              <w:t xml:space="preserve">Interviews with representatives from </w:t>
            </w:r>
            <w:r w:rsidRPr="00B705C8">
              <w:rPr>
                <w:lang w:val="en-GB"/>
              </w:rPr>
              <w:t>Zhejiang Fuyang Port International Co. Ltd.</w:t>
            </w:r>
          </w:p>
          <w:p w14:paraId="3AAFDC74" w14:textId="37F24301" w:rsidR="00BF426D" w:rsidRDefault="00BF426D" w:rsidP="00EF6294">
            <w:pPr>
              <w:rPr>
                <w:lang w:val="en-GB"/>
              </w:rPr>
            </w:pPr>
            <w:r>
              <w:rPr>
                <w:lang w:val="en-GB"/>
              </w:rPr>
              <w:t xml:space="preserve">and </w:t>
            </w:r>
            <w:r w:rsidRPr="00B705C8">
              <w:rPr>
                <w:lang w:val="en-GB"/>
              </w:rPr>
              <w:t xml:space="preserve">Fuyang Hangzhou </w:t>
            </w:r>
            <w:r w:rsidR="009442F5">
              <w:rPr>
                <w:lang w:val="en-GB"/>
              </w:rPr>
              <w:t>Transf</w:t>
            </w:r>
            <w:r w:rsidR="00F124B3">
              <w:rPr>
                <w:lang w:val="en-GB"/>
              </w:rPr>
              <w:t>a</w:t>
            </w:r>
            <w:r w:rsidR="009442F5">
              <w:rPr>
                <w:lang w:val="en-GB"/>
              </w:rPr>
              <w:t>r</w:t>
            </w:r>
            <w:r w:rsidR="00F124B3">
              <w:rPr>
                <w:lang w:val="en-GB"/>
              </w:rPr>
              <w:t xml:space="preserve"> </w:t>
            </w:r>
            <w:r w:rsidRPr="00B705C8">
              <w:rPr>
                <w:lang w:val="en-GB"/>
              </w:rPr>
              <w:t>Logistics Base Co., Ltd.</w:t>
            </w:r>
          </w:p>
          <w:p w14:paraId="07A910E8" w14:textId="77777777" w:rsidR="00BF426D" w:rsidRPr="00B705C8" w:rsidRDefault="00BF426D" w:rsidP="00EF6294">
            <w:pPr>
              <w:rPr>
                <w:lang w:val="en-GB"/>
              </w:rPr>
            </w:pPr>
            <w:r>
              <w:t>Survey to LSPs</w:t>
            </w:r>
          </w:p>
          <w:p w14:paraId="7BFA41AF" w14:textId="77777777" w:rsidR="00BF426D" w:rsidRDefault="00BF426D" w:rsidP="00EF6294">
            <w:r>
              <w:t>Interviews with project team</w:t>
            </w:r>
          </w:p>
        </w:tc>
      </w:tr>
    </w:tbl>
    <w:p w14:paraId="76643A9D" w14:textId="73B3189E" w:rsidR="00C80BAF" w:rsidRDefault="00C80BAF" w:rsidP="00BF426D">
      <w:r>
        <w:lastRenderedPageBreak/>
        <w:br w:type="page"/>
      </w:r>
    </w:p>
    <w:p w14:paraId="56E3AE27" w14:textId="07B2FDB4" w:rsidR="008E2C94" w:rsidRDefault="008E2C94" w:rsidP="00AC0D02">
      <w:pPr>
        <w:pStyle w:val="Heading1"/>
        <w:numPr>
          <w:ilvl w:val="0"/>
          <w:numId w:val="5"/>
        </w:numPr>
      </w:pPr>
      <w:bookmarkStart w:id="75" w:name="_Ref61533923"/>
      <w:bookmarkStart w:id="76" w:name="_Toc64632065"/>
      <w:r w:rsidRPr="004C1CE4">
        <w:lastRenderedPageBreak/>
        <w:t xml:space="preserve">TE </w:t>
      </w:r>
      <w:r>
        <w:t>r</w:t>
      </w:r>
      <w:r w:rsidRPr="004C1CE4">
        <w:t>ating scales</w:t>
      </w:r>
      <w:bookmarkEnd w:id="75"/>
      <w:bookmarkEnd w:id="76"/>
    </w:p>
    <w:p w14:paraId="6A035CDE" w14:textId="7456F8CD" w:rsidR="00DB0475" w:rsidRDefault="00DB0475" w:rsidP="00DB0475">
      <w:pPr>
        <w:pStyle w:val="Caption"/>
      </w:pPr>
      <w:r>
        <w:t xml:space="preserve">Table </w:t>
      </w:r>
      <w:r w:rsidR="00C80BAF">
        <w:t>E</w:t>
      </w:r>
      <w:r>
        <w:t>.1. Monitoring and evaluation ratings scale</w:t>
      </w:r>
    </w:p>
    <w:tbl>
      <w:tblPr>
        <w:tblStyle w:val="TableGrid"/>
        <w:tblW w:w="0" w:type="auto"/>
        <w:tblLook w:val="04A0" w:firstRow="1" w:lastRow="0" w:firstColumn="1" w:lastColumn="0" w:noHBand="0" w:noVBand="1"/>
      </w:tblPr>
      <w:tblGrid>
        <w:gridCol w:w="4675"/>
        <w:gridCol w:w="4675"/>
      </w:tblGrid>
      <w:tr w:rsidR="00DB0475" w:rsidRPr="00DB0475" w14:paraId="651BE94F" w14:textId="77777777" w:rsidTr="00DB0475">
        <w:tc>
          <w:tcPr>
            <w:tcW w:w="4675" w:type="dxa"/>
            <w:shd w:val="clear" w:color="auto" w:fill="173A5B" w:themeFill="accent5" w:themeFillShade="80"/>
          </w:tcPr>
          <w:p w14:paraId="3898F755" w14:textId="41D9E2AE" w:rsidR="00DB0475" w:rsidRPr="00DB0475" w:rsidRDefault="00DB0475" w:rsidP="00DB0475">
            <w:pPr>
              <w:jc w:val="center"/>
              <w:rPr>
                <w:b/>
                <w:bCs/>
                <w:color w:val="FFFFFF" w:themeColor="background1"/>
              </w:rPr>
            </w:pPr>
            <w:r w:rsidRPr="00DB0475">
              <w:rPr>
                <w:b/>
                <w:bCs/>
                <w:color w:val="FFFFFF" w:themeColor="background1"/>
              </w:rPr>
              <w:t>Rating</w:t>
            </w:r>
          </w:p>
        </w:tc>
        <w:tc>
          <w:tcPr>
            <w:tcW w:w="4675" w:type="dxa"/>
            <w:shd w:val="clear" w:color="auto" w:fill="173A5B" w:themeFill="accent5" w:themeFillShade="80"/>
          </w:tcPr>
          <w:p w14:paraId="5F5543EE" w14:textId="0607214F" w:rsidR="00DB0475" w:rsidRPr="00DB0475" w:rsidRDefault="00DB0475" w:rsidP="00DB0475">
            <w:pPr>
              <w:jc w:val="center"/>
              <w:rPr>
                <w:b/>
                <w:bCs/>
                <w:color w:val="FFFFFF" w:themeColor="background1"/>
              </w:rPr>
            </w:pPr>
            <w:r w:rsidRPr="00DB0475">
              <w:rPr>
                <w:b/>
                <w:bCs/>
                <w:color w:val="FFFFFF" w:themeColor="background1"/>
              </w:rPr>
              <w:t>Description</w:t>
            </w:r>
          </w:p>
        </w:tc>
      </w:tr>
      <w:tr w:rsidR="00DB0475" w14:paraId="58424205" w14:textId="77777777" w:rsidTr="00DB0475">
        <w:tc>
          <w:tcPr>
            <w:tcW w:w="4675" w:type="dxa"/>
          </w:tcPr>
          <w:p w14:paraId="177D9EE0" w14:textId="77777777" w:rsidR="00DB0475" w:rsidRDefault="00DB0475" w:rsidP="00DB0475">
            <w:r>
              <w:t>6 = Highly Satisfactory (HS)</w:t>
            </w:r>
          </w:p>
          <w:p w14:paraId="7AD27275" w14:textId="77777777" w:rsidR="00DB0475" w:rsidRDefault="00DB0475" w:rsidP="00DB0475"/>
        </w:tc>
        <w:tc>
          <w:tcPr>
            <w:tcW w:w="4675" w:type="dxa"/>
          </w:tcPr>
          <w:p w14:paraId="767DEEE2" w14:textId="16D9E5BD" w:rsidR="00DB0475" w:rsidRDefault="00DB0475" w:rsidP="00DB0475">
            <w:r>
              <w:t>There were no short comings; quality of M&amp;E design/implementation exceeded expectations</w:t>
            </w:r>
          </w:p>
        </w:tc>
      </w:tr>
      <w:tr w:rsidR="00DB0475" w14:paraId="4F29C98A" w14:textId="77777777" w:rsidTr="00DB0475">
        <w:tc>
          <w:tcPr>
            <w:tcW w:w="4675" w:type="dxa"/>
          </w:tcPr>
          <w:p w14:paraId="5ED76720" w14:textId="77777777" w:rsidR="00DB0475" w:rsidRDefault="00DB0475" w:rsidP="00DB0475">
            <w:r>
              <w:t>5 = Satisfactory (S)</w:t>
            </w:r>
          </w:p>
          <w:p w14:paraId="00EBA5A4" w14:textId="77777777" w:rsidR="00DB0475" w:rsidRDefault="00DB0475" w:rsidP="00DB0475"/>
        </w:tc>
        <w:tc>
          <w:tcPr>
            <w:tcW w:w="4675" w:type="dxa"/>
          </w:tcPr>
          <w:p w14:paraId="6B3E46AA" w14:textId="404F3A5C" w:rsidR="00DB0475" w:rsidRDefault="00DB0475" w:rsidP="00DB0475">
            <w:r>
              <w:t>There were minor shortcomings; quality of M&amp;E design/implementation met expectations</w:t>
            </w:r>
          </w:p>
        </w:tc>
      </w:tr>
      <w:tr w:rsidR="00DB0475" w14:paraId="6093DE22" w14:textId="77777777" w:rsidTr="00DB0475">
        <w:tc>
          <w:tcPr>
            <w:tcW w:w="4675" w:type="dxa"/>
          </w:tcPr>
          <w:p w14:paraId="1CA758D6" w14:textId="77777777" w:rsidR="00DB0475" w:rsidRDefault="00DB0475" w:rsidP="00DB0475">
            <w:r>
              <w:t>4 = Moderately Satisfactory (MS)</w:t>
            </w:r>
          </w:p>
          <w:p w14:paraId="11259A2A" w14:textId="77777777" w:rsidR="00DB0475" w:rsidRDefault="00DB0475" w:rsidP="00DB0475"/>
        </w:tc>
        <w:tc>
          <w:tcPr>
            <w:tcW w:w="4675" w:type="dxa"/>
          </w:tcPr>
          <w:p w14:paraId="6A97E75E" w14:textId="3A7EA5D4" w:rsidR="00DB0475" w:rsidRDefault="00DB0475" w:rsidP="00DB0475">
            <w:r>
              <w:t>There were moderate shortcomings; quality of M&amp;E design/implementation more or less met expectations</w:t>
            </w:r>
          </w:p>
        </w:tc>
      </w:tr>
      <w:tr w:rsidR="00DB0475" w14:paraId="2132530F" w14:textId="77777777" w:rsidTr="00DB0475">
        <w:tc>
          <w:tcPr>
            <w:tcW w:w="4675" w:type="dxa"/>
          </w:tcPr>
          <w:p w14:paraId="1B539360" w14:textId="77777777" w:rsidR="00DB0475" w:rsidRDefault="00DB0475" w:rsidP="00DB0475">
            <w:r>
              <w:t>3 = Moderately Unsatisfactory (MU)</w:t>
            </w:r>
          </w:p>
          <w:p w14:paraId="23BDA827" w14:textId="77777777" w:rsidR="00DB0475" w:rsidRDefault="00DB0475" w:rsidP="00DB0475"/>
        </w:tc>
        <w:tc>
          <w:tcPr>
            <w:tcW w:w="4675" w:type="dxa"/>
          </w:tcPr>
          <w:p w14:paraId="3DE8A5ED" w14:textId="27AC77A8" w:rsidR="00DB0475" w:rsidRDefault="00DB0475" w:rsidP="00DB0475">
            <w:r>
              <w:t>There were significant shortcomings; quality of M&amp;E design/implementation was somewhat lower than expected</w:t>
            </w:r>
          </w:p>
        </w:tc>
      </w:tr>
      <w:tr w:rsidR="00DB0475" w14:paraId="4F098170" w14:textId="77777777" w:rsidTr="00DB0475">
        <w:tc>
          <w:tcPr>
            <w:tcW w:w="4675" w:type="dxa"/>
          </w:tcPr>
          <w:p w14:paraId="3B626D40" w14:textId="77777777" w:rsidR="00DB0475" w:rsidRDefault="00DB0475" w:rsidP="00DB0475">
            <w:r>
              <w:t>2 = Unsatisfactory (U)</w:t>
            </w:r>
          </w:p>
          <w:p w14:paraId="22A937C0" w14:textId="77777777" w:rsidR="00DB0475" w:rsidRDefault="00DB0475" w:rsidP="00DB0475"/>
        </w:tc>
        <w:tc>
          <w:tcPr>
            <w:tcW w:w="4675" w:type="dxa"/>
          </w:tcPr>
          <w:p w14:paraId="50CC774C" w14:textId="1E772001" w:rsidR="00DB0475" w:rsidRDefault="00DB0475" w:rsidP="00DB0475">
            <w:r>
              <w:t>There were major shortcomings; quality of M&amp;E design/implementation was substantially lower than expected</w:t>
            </w:r>
          </w:p>
        </w:tc>
      </w:tr>
      <w:tr w:rsidR="00DB0475" w14:paraId="7E05062D" w14:textId="77777777" w:rsidTr="00DB0475">
        <w:tc>
          <w:tcPr>
            <w:tcW w:w="4675" w:type="dxa"/>
          </w:tcPr>
          <w:p w14:paraId="6BAA0C8D" w14:textId="77777777" w:rsidR="00DB0475" w:rsidRDefault="00DB0475" w:rsidP="00DB0475">
            <w:r>
              <w:t>1 = Highly Unsatisfactory (HU)</w:t>
            </w:r>
          </w:p>
          <w:p w14:paraId="3AB795EE" w14:textId="77777777" w:rsidR="00DB0475" w:rsidRDefault="00DB0475" w:rsidP="00DB0475"/>
        </w:tc>
        <w:tc>
          <w:tcPr>
            <w:tcW w:w="4675" w:type="dxa"/>
          </w:tcPr>
          <w:p w14:paraId="2FFFA90C" w14:textId="5B139423" w:rsidR="00DB0475" w:rsidRDefault="00DB0475" w:rsidP="00DB0475">
            <w:r>
              <w:t>There were severe shortcomings in M&amp;E design/implementation</w:t>
            </w:r>
          </w:p>
        </w:tc>
      </w:tr>
      <w:tr w:rsidR="00DB0475" w14:paraId="327F143A" w14:textId="77777777" w:rsidTr="00DB0475">
        <w:tc>
          <w:tcPr>
            <w:tcW w:w="4675" w:type="dxa"/>
          </w:tcPr>
          <w:p w14:paraId="7739184C" w14:textId="77777777" w:rsidR="00DB0475" w:rsidRDefault="00DB0475" w:rsidP="00DB0475">
            <w:r>
              <w:t>Unable to Assess (UA)</w:t>
            </w:r>
          </w:p>
          <w:p w14:paraId="1284BACC" w14:textId="77777777" w:rsidR="00DB0475" w:rsidRDefault="00DB0475" w:rsidP="00DB0475"/>
        </w:tc>
        <w:tc>
          <w:tcPr>
            <w:tcW w:w="4675" w:type="dxa"/>
          </w:tcPr>
          <w:p w14:paraId="08FED005" w14:textId="1926F163" w:rsidR="00DB0475" w:rsidRDefault="00DB0475" w:rsidP="00DB0475">
            <w:r>
              <w:t>The available information does not allow an assessment</w:t>
            </w:r>
          </w:p>
        </w:tc>
      </w:tr>
    </w:tbl>
    <w:p w14:paraId="0E0773D8" w14:textId="4FD39C0C" w:rsidR="00DB0475" w:rsidRDefault="00DB0475" w:rsidP="00DB0475"/>
    <w:p w14:paraId="3253582A" w14:textId="087ABF7C" w:rsidR="00DB0475" w:rsidRDefault="00DB0475" w:rsidP="00DB0475">
      <w:pPr>
        <w:pStyle w:val="Caption"/>
      </w:pPr>
      <w:r>
        <w:t xml:space="preserve">Table </w:t>
      </w:r>
      <w:r w:rsidR="00C80BAF">
        <w:t>E</w:t>
      </w:r>
      <w:r>
        <w:t xml:space="preserve">.2. </w:t>
      </w:r>
      <w:r w:rsidRPr="00DB0475">
        <w:t>Implementation/Oversight and Execution Ratings Scale</w:t>
      </w:r>
    </w:p>
    <w:tbl>
      <w:tblPr>
        <w:tblStyle w:val="TableGrid"/>
        <w:tblW w:w="0" w:type="auto"/>
        <w:tblLook w:val="04A0" w:firstRow="1" w:lastRow="0" w:firstColumn="1" w:lastColumn="0" w:noHBand="0" w:noVBand="1"/>
      </w:tblPr>
      <w:tblGrid>
        <w:gridCol w:w="4675"/>
        <w:gridCol w:w="4675"/>
      </w:tblGrid>
      <w:tr w:rsidR="00DB0475" w:rsidRPr="00DB0475" w14:paraId="27509716" w14:textId="77777777" w:rsidTr="008A2329">
        <w:tc>
          <w:tcPr>
            <w:tcW w:w="4675" w:type="dxa"/>
            <w:shd w:val="clear" w:color="auto" w:fill="173A5B" w:themeFill="accent5" w:themeFillShade="80"/>
          </w:tcPr>
          <w:p w14:paraId="426A06C5" w14:textId="77777777" w:rsidR="00DB0475" w:rsidRPr="00DB0475" w:rsidRDefault="00DB0475" w:rsidP="008A2329">
            <w:pPr>
              <w:jc w:val="center"/>
              <w:rPr>
                <w:b/>
                <w:bCs/>
                <w:color w:val="FFFFFF" w:themeColor="background1"/>
              </w:rPr>
            </w:pPr>
            <w:r w:rsidRPr="00DB0475">
              <w:rPr>
                <w:b/>
                <w:bCs/>
                <w:color w:val="FFFFFF" w:themeColor="background1"/>
              </w:rPr>
              <w:t>Rating</w:t>
            </w:r>
          </w:p>
        </w:tc>
        <w:tc>
          <w:tcPr>
            <w:tcW w:w="4675" w:type="dxa"/>
            <w:shd w:val="clear" w:color="auto" w:fill="173A5B" w:themeFill="accent5" w:themeFillShade="80"/>
          </w:tcPr>
          <w:p w14:paraId="7892804A" w14:textId="77777777" w:rsidR="00DB0475" w:rsidRPr="00DB0475" w:rsidRDefault="00DB0475" w:rsidP="008A2329">
            <w:pPr>
              <w:jc w:val="center"/>
              <w:rPr>
                <w:b/>
                <w:bCs/>
                <w:color w:val="FFFFFF" w:themeColor="background1"/>
              </w:rPr>
            </w:pPr>
            <w:r w:rsidRPr="00DB0475">
              <w:rPr>
                <w:b/>
                <w:bCs/>
                <w:color w:val="FFFFFF" w:themeColor="background1"/>
              </w:rPr>
              <w:t>Description</w:t>
            </w:r>
          </w:p>
        </w:tc>
      </w:tr>
      <w:tr w:rsidR="00DB0475" w14:paraId="26F5D1DD" w14:textId="77777777" w:rsidTr="008A2329">
        <w:tc>
          <w:tcPr>
            <w:tcW w:w="4675" w:type="dxa"/>
          </w:tcPr>
          <w:p w14:paraId="59C0F8BD" w14:textId="77777777" w:rsidR="00DB0475" w:rsidRDefault="00DB0475" w:rsidP="008A2329">
            <w:r>
              <w:t>6 = Highly Satisfactory (HS)</w:t>
            </w:r>
          </w:p>
          <w:p w14:paraId="5B134B04" w14:textId="77777777" w:rsidR="00DB0475" w:rsidRDefault="00DB0475" w:rsidP="008A2329"/>
        </w:tc>
        <w:tc>
          <w:tcPr>
            <w:tcW w:w="4675" w:type="dxa"/>
          </w:tcPr>
          <w:p w14:paraId="0E31C8ED" w14:textId="0B65B0F8" w:rsidR="00DB0475" w:rsidRDefault="00DB0475" w:rsidP="008A2329">
            <w:r w:rsidRPr="00DB0475">
              <w:t>There were no shortcomings; quality of implementation/execution exceeded expectations</w:t>
            </w:r>
          </w:p>
        </w:tc>
      </w:tr>
      <w:tr w:rsidR="00DB0475" w14:paraId="22EA062F" w14:textId="77777777" w:rsidTr="008A2329">
        <w:tc>
          <w:tcPr>
            <w:tcW w:w="4675" w:type="dxa"/>
          </w:tcPr>
          <w:p w14:paraId="3F80D3BE" w14:textId="77777777" w:rsidR="00DB0475" w:rsidRDefault="00DB0475" w:rsidP="008A2329">
            <w:r>
              <w:t>5 = Satisfactory (S)</w:t>
            </w:r>
          </w:p>
          <w:p w14:paraId="4C47EC4D" w14:textId="77777777" w:rsidR="00DB0475" w:rsidRDefault="00DB0475" w:rsidP="008A2329"/>
        </w:tc>
        <w:tc>
          <w:tcPr>
            <w:tcW w:w="4675" w:type="dxa"/>
          </w:tcPr>
          <w:p w14:paraId="7E411C5D" w14:textId="608F886E" w:rsidR="00DB0475" w:rsidRDefault="00DB0475" w:rsidP="008A2329">
            <w:r w:rsidRPr="00DB0475">
              <w:t>There were no or minor shortcomings; quality of implementation/execution met expectations.</w:t>
            </w:r>
          </w:p>
        </w:tc>
      </w:tr>
      <w:tr w:rsidR="00DB0475" w14:paraId="000322E0" w14:textId="77777777" w:rsidTr="008A2329">
        <w:tc>
          <w:tcPr>
            <w:tcW w:w="4675" w:type="dxa"/>
          </w:tcPr>
          <w:p w14:paraId="06FC1038" w14:textId="77777777" w:rsidR="00DB0475" w:rsidRDefault="00DB0475" w:rsidP="008A2329">
            <w:r>
              <w:t>4 = Moderately Satisfactory (MS)</w:t>
            </w:r>
          </w:p>
          <w:p w14:paraId="0F06F157" w14:textId="77777777" w:rsidR="00DB0475" w:rsidRDefault="00DB0475" w:rsidP="008A2329"/>
        </w:tc>
        <w:tc>
          <w:tcPr>
            <w:tcW w:w="4675" w:type="dxa"/>
          </w:tcPr>
          <w:p w14:paraId="1865448A" w14:textId="61AC2032" w:rsidR="00DB0475" w:rsidRDefault="00DB0475" w:rsidP="008A2329">
            <w:r w:rsidRPr="00DB0475">
              <w:t>There were some shortcomings; quality of implementation/execution more or less met expectations.</w:t>
            </w:r>
          </w:p>
        </w:tc>
      </w:tr>
      <w:tr w:rsidR="00DB0475" w14:paraId="1951F783" w14:textId="77777777" w:rsidTr="008A2329">
        <w:tc>
          <w:tcPr>
            <w:tcW w:w="4675" w:type="dxa"/>
          </w:tcPr>
          <w:p w14:paraId="135D9C75" w14:textId="77777777" w:rsidR="00DB0475" w:rsidRDefault="00DB0475" w:rsidP="008A2329">
            <w:r>
              <w:t>3 = Moderately Unsatisfactory (MU)</w:t>
            </w:r>
          </w:p>
          <w:p w14:paraId="0947E703" w14:textId="77777777" w:rsidR="00DB0475" w:rsidRDefault="00DB0475" w:rsidP="008A2329"/>
        </w:tc>
        <w:tc>
          <w:tcPr>
            <w:tcW w:w="4675" w:type="dxa"/>
          </w:tcPr>
          <w:p w14:paraId="2676095D" w14:textId="54CF745B" w:rsidR="00DB0475" w:rsidRDefault="00DB0475" w:rsidP="008A2329">
            <w:r w:rsidRPr="00DB0475">
              <w:t>There were significant shortcomings; quality of implementation/execution was somewhat lower than expected</w:t>
            </w:r>
            <w:r>
              <w:t>.</w:t>
            </w:r>
          </w:p>
        </w:tc>
      </w:tr>
      <w:tr w:rsidR="00DB0475" w14:paraId="776565DE" w14:textId="77777777" w:rsidTr="008A2329">
        <w:tc>
          <w:tcPr>
            <w:tcW w:w="4675" w:type="dxa"/>
          </w:tcPr>
          <w:p w14:paraId="789119B1" w14:textId="77777777" w:rsidR="00DB0475" w:rsidRDefault="00DB0475" w:rsidP="008A2329">
            <w:r>
              <w:t>2 = Unsatisfactory (U)</w:t>
            </w:r>
          </w:p>
          <w:p w14:paraId="71938D3A" w14:textId="77777777" w:rsidR="00DB0475" w:rsidRDefault="00DB0475" w:rsidP="008A2329"/>
        </w:tc>
        <w:tc>
          <w:tcPr>
            <w:tcW w:w="4675" w:type="dxa"/>
          </w:tcPr>
          <w:p w14:paraId="449DDE49" w14:textId="35AFA94A" w:rsidR="00DB0475" w:rsidRDefault="00DB0475" w:rsidP="008A2329">
            <w:r w:rsidRPr="00DB0475">
              <w:t>There were major shortcomings; quality of implementation/execution was substantially lower than expected</w:t>
            </w:r>
            <w:r>
              <w:t>.</w:t>
            </w:r>
          </w:p>
        </w:tc>
      </w:tr>
      <w:tr w:rsidR="00DB0475" w14:paraId="007119EF" w14:textId="77777777" w:rsidTr="008A2329">
        <w:tc>
          <w:tcPr>
            <w:tcW w:w="4675" w:type="dxa"/>
          </w:tcPr>
          <w:p w14:paraId="0801DD34" w14:textId="77777777" w:rsidR="00DB0475" w:rsidRDefault="00DB0475" w:rsidP="008A2329">
            <w:r>
              <w:t>1 = Highly Unsatisfactory (HU)</w:t>
            </w:r>
          </w:p>
          <w:p w14:paraId="4A8FC891" w14:textId="77777777" w:rsidR="00DB0475" w:rsidRDefault="00DB0475" w:rsidP="008A2329"/>
        </w:tc>
        <w:tc>
          <w:tcPr>
            <w:tcW w:w="4675" w:type="dxa"/>
          </w:tcPr>
          <w:p w14:paraId="090E30C1" w14:textId="2EFE5ABE" w:rsidR="00DB0475" w:rsidRDefault="00DB0475" w:rsidP="008A2329">
            <w:r w:rsidRPr="00DB0475">
              <w:t>There were severe shortcomings in quality of implementation/execution</w:t>
            </w:r>
            <w:r>
              <w:t>.</w:t>
            </w:r>
          </w:p>
        </w:tc>
      </w:tr>
      <w:tr w:rsidR="00DB0475" w14:paraId="74B51F0B" w14:textId="77777777" w:rsidTr="008A2329">
        <w:tc>
          <w:tcPr>
            <w:tcW w:w="4675" w:type="dxa"/>
          </w:tcPr>
          <w:p w14:paraId="0DFC93AF" w14:textId="77777777" w:rsidR="00DB0475" w:rsidRDefault="00DB0475" w:rsidP="008A2329">
            <w:r>
              <w:t>Unable to Assess (UA)</w:t>
            </w:r>
          </w:p>
          <w:p w14:paraId="2DBA5A59" w14:textId="77777777" w:rsidR="00DB0475" w:rsidRDefault="00DB0475" w:rsidP="008A2329"/>
        </w:tc>
        <w:tc>
          <w:tcPr>
            <w:tcW w:w="4675" w:type="dxa"/>
          </w:tcPr>
          <w:p w14:paraId="6128C908" w14:textId="6EEC0336" w:rsidR="00DB0475" w:rsidRDefault="00DB0475" w:rsidP="008A2329">
            <w:r w:rsidRPr="00DB0475">
              <w:t>The available information does not allow an assessment of the quality of implementation and execution</w:t>
            </w:r>
            <w:r>
              <w:t>.</w:t>
            </w:r>
          </w:p>
        </w:tc>
      </w:tr>
    </w:tbl>
    <w:p w14:paraId="607CCD9F" w14:textId="77777777" w:rsidR="00924EC2" w:rsidRDefault="00924EC2" w:rsidP="00DB0475"/>
    <w:p w14:paraId="02505681" w14:textId="61467439" w:rsidR="00DB0475" w:rsidRDefault="00DB0475" w:rsidP="00DB0475">
      <w:pPr>
        <w:pStyle w:val="Caption"/>
      </w:pPr>
      <w:r>
        <w:t xml:space="preserve">Table </w:t>
      </w:r>
      <w:r w:rsidR="00C80BAF">
        <w:t>E</w:t>
      </w:r>
      <w:r>
        <w:t xml:space="preserve">.3. </w:t>
      </w:r>
      <w:r w:rsidRPr="00DB0475">
        <w:t>Outcome Ratings Scale - Relevance, Effectiveness, Efficiency</w:t>
      </w:r>
    </w:p>
    <w:tbl>
      <w:tblPr>
        <w:tblStyle w:val="TableGrid"/>
        <w:tblW w:w="0" w:type="auto"/>
        <w:tblLook w:val="04A0" w:firstRow="1" w:lastRow="0" w:firstColumn="1" w:lastColumn="0" w:noHBand="0" w:noVBand="1"/>
      </w:tblPr>
      <w:tblGrid>
        <w:gridCol w:w="4675"/>
        <w:gridCol w:w="4675"/>
      </w:tblGrid>
      <w:tr w:rsidR="00DB0475" w:rsidRPr="00DB0475" w14:paraId="411CB2C1" w14:textId="77777777" w:rsidTr="008A2329">
        <w:tc>
          <w:tcPr>
            <w:tcW w:w="4675" w:type="dxa"/>
            <w:shd w:val="clear" w:color="auto" w:fill="173A5B" w:themeFill="accent5" w:themeFillShade="80"/>
          </w:tcPr>
          <w:p w14:paraId="5F13503A" w14:textId="77777777" w:rsidR="00DB0475" w:rsidRPr="00DB0475" w:rsidRDefault="00DB0475" w:rsidP="008A2329">
            <w:pPr>
              <w:jc w:val="center"/>
              <w:rPr>
                <w:b/>
                <w:bCs/>
                <w:color w:val="FFFFFF" w:themeColor="background1"/>
              </w:rPr>
            </w:pPr>
            <w:r w:rsidRPr="00DB0475">
              <w:rPr>
                <w:b/>
                <w:bCs/>
                <w:color w:val="FFFFFF" w:themeColor="background1"/>
              </w:rPr>
              <w:t>Rating</w:t>
            </w:r>
          </w:p>
        </w:tc>
        <w:tc>
          <w:tcPr>
            <w:tcW w:w="4675" w:type="dxa"/>
            <w:shd w:val="clear" w:color="auto" w:fill="173A5B" w:themeFill="accent5" w:themeFillShade="80"/>
          </w:tcPr>
          <w:p w14:paraId="02F9B836" w14:textId="77777777" w:rsidR="00DB0475" w:rsidRPr="00DB0475" w:rsidRDefault="00DB0475" w:rsidP="008A2329">
            <w:pPr>
              <w:jc w:val="center"/>
              <w:rPr>
                <w:b/>
                <w:bCs/>
                <w:color w:val="FFFFFF" w:themeColor="background1"/>
              </w:rPr>
            </w:pPr>
            <w:r w:rsidRPr="00DB0475">
              <w:rPr>
                <w:b/>
                <w:bCs/>
                <w:color w:val="FFFFFF" w:themeColor="background1"/>
              </w:rPr>
              <w:t>Description</w:t>
            </w:r>
          </w:p>
        </w:tc>
      </w:tr>
      <w:tr w:rsidR="00DB0475" w14:paraId="2514EDD9" w14:textId="77777777" w:rsidTr="008A2329">
        <w:tc>
          <w:tcPr>
            <w:tcW w:w="4675" w:type="dxa"/>
          </w:tcPr>
          <w:p w14:paraId="0502665E" w14:textId="77777777" w:rsidR="00DB0475" w:rsidRDefault="00DB0475" w:rsidP="008A2329">
            <w:r>
              <w:t>6 = Highly Satisfactory (HS)</w:t>
            </w:r>
          </w:p>
          <w:p w14:paraId="481DDCDE" w14:textId="77777777" w:rsidR="00DB0475" w:rsidRDefault="00DB0475" w:rsidP="008A2329"/>
        </w:tc>
        <w:tc>
          <w:tcPr>
            <w:tcW w:w="4675" w:type="dxa"/>
          </w:tcPr>
          <w:p w14:paraId="3CAF1DBF" w14:textId="277E145B" w:rsidR="00DB0475" w:rsidRDefault="00DB0475" w:rsidP="008A2329">
            <w:r w:rsidRPr="00DB0475">
              <w:t>Level of outcomes achieved clearly exceeds expectations and/or there were no shortcomings</w:t>
            </w:r>
          </w:p>
        </w:tc>
      </w:tr>
      <w:tr w:rsidR="00DB0475" w14:paraId="23BBA1AF" w14:textId="77777777" w:rsidTr="008A2329">
        <w:tc>
          <w:tcPr>
            <w:tcW w:w="4675" w:type="dxa"/>
          </w:tcPr>
          <w:p w14:paraId="2EF55FEC" w14:textId="77777777" w:rsidR="00DB0475" w:rsidRDefault="00DB0475" w:rsidP="008A2329">
            <w:r>
              <w:lastRenderedPageBreak/>
              <w:t>5 = Satisfactory (S)</w:t>
            </w:r>
          </w:p>
          <w:p w14:paraId="166D9C28" w14:textId="77777777" w:rsidR="00DB0475" w:rsidRDefault="00DB0475" w:rsidP="008A2329"/>
        </w:tc>
        <w:tc>
          <w:tcPr>
            <w:tcW w:w="4675" w:type="dxa"/>
          </w:tcPr>
          <w:p w14:paraId="060C5F96" w14:textId="22561B8A" w:rsidR="00DB0475" w:rsidRDefault="00DB0475" w:rsidP="008A2329">
            <w:r w:rsidRPr="00DB0475">
              <w:t>Level of outcomes achieved was as expected and/or there were no or minor shortcomings</w:t>
            </w:r>
          </w:p>
        </w:tc>
      </w:tr>
      <w:tr w:rsidR="00DB0475" w14:paraId="639AD1D6" w14:textId="77777777" w:rsidTr="008A2329">
        <w:tc>
          <w:tcPr>
            <w:tcW w:w="4675" w:type="dxa"/>
          </w:tcPr>
          <w:p w14:paraId="70368625" w14:textId="77777777" w:rsidR="00DB0475" w:rsidRDefault="00DB0475" w:rsidP="008A2329">
            <w:r>
              <w:t>4 = Moderately Satisfactory (MS)</w:t>
            </w:r>
          </w:p>
          <w:p w14:paraId="76C535E5" w14:textId="77777777" w:rsidR="00DB0475" w:rsidRDefault="00DB0475" w:rsidP="008A2329"/>
        </w:tc>
        <w:tc>
          <w:tcPr>
            <w:tcW w:w="4675" w:type="dxa"/>
          </w:tcPr>
          <w:p w14:paraId="06B18729" w14:textId="072E5321" w:rsidR="00DB0475" w:rsidRDefault="00DB0475" w:rsidP="008A2329">
            <w:r w:rsidRPr="00DB0475">
              <w:t>Level of outcomes achieved more or less as expected and/or there were moderate shortcomings.</w:t>
            </w:r>
          </w:p>
        </w:tc>
      </w:tr>
      <w:tr w:rsidR="00DB0475" w14:paraId="379E4BEA" w14:textId="77777777" w:rsidTr="008A2329">
        <w:tc>
          <w:tcPr>
            <w:tcW w:w="4675" w:type="dxa"/>
          </w:tcPr>
          <w:p w14:paraId="4570E372" w14:textId="77777777" w:rsidR="00DB0475" w:rsidRDefault="00DB0475" w:rsidP="008A2329">
            <w:r>
              <w:t>3 = Moderately Unsatisfactory (MU)</w:t>
            </w:r>
          </w:p>
          <w:p w14:paraId="16D26B0D" w14:textId="77777777" w:rsidR="00DB0475" w:rsidRDefault="00DB0475" w:rsidP="008A2329"/>
        </w:tc>
        <w:tc>
          <w:tcPr>
            <w:tcW w:w="4675" w:type="dxa"/>
          </w:tcPr>
          <w:p w14:paraId="21619503" w14:textId="7586F0C4" w:rsidR="00DB0475" w:rsidRDefault="00DB0475" w:rsidP="008A2329">
            <w:r w:rsidRPr="00DB0475">
              <w:t>Level of outcomes achieved somewhat lower than expected and/or there were significant shortcomings</w:t>
            </w:r>
            <w:r>
              <w:t>.</w:t>
            </w:r>
          </w:p>
        </w:tc>
      </w:tr>
      <w:tr w:rsidR="00DB0475" w14:paraId="0A68DE7B" w14:textId="77777777" w:rsidTr="008A2329">
        <w:tc>
          <w:tcPr>
            <w:tcW w:w="4675" w:type="dxa"/>
          </w:tcPr>
          <w:p w14:paraId="4ED30FD9" w14:textId="77777777" w:rsidR="00DB0475" w:rsidRDefault="00DB0475" w:rsidP="008A2329">
            <w:r>
              <w:t>2 = Unsatisfactory (U)</w:t>
            </w:r>
          </w:p>
          <w:p w14:paraId="1213C862" w14:textId="77777777" w:rsidR="00DB0475" w:rsidRDefault="00DB0475" w:rsidP="008A2329"/>
        </w:tc>
        <w:tc>
          <w:tcPr>
            <w:tcW w:w="4675" w:type="dxa"/>
          </w:tcPr>
          <w:p w14:paraId="1BFB1532" w14:textId="704CA02A" w:rsidR="00DB0475" w:rsidRDefault="00DB0475" w:rsidP="008A2329">
            <w:r w:rsidRPr="00DB0475">
              <w:t>Level of outcomes achieved substantially lower than expected and/or there were major shortcomings.</w:t>
            </w:r>
          </w:p>
        </w:tc>
      </w:tr>
      <w:tr w:rsidR="00DB0475" w14:paraId="6A700EC2" w14:textId="77777777" w:rsidTr="008A2329">
        <w:tc>
          <w:tcPr>
            <w:tcW w:w="4675" w:type="dxa"/>
          </w:tcPr>
          <w:p w14:paraId="742BDAD0" w14:textId="77777777" w:rsidR="00DB0475" w:rsidRDefault="00DB0475" w:rsidP="008A2329">
            <w:r>
              <w:t>1 = Highly Unsatisfactory (HU)</w:t>
            </w:r>
          </w:p>
          <w:p w14:paraId="51765E5D" w14:textId="77777777" w:rsidR="00DB0475" w:rsidRDefault="00DB0475" w:rsidP="008A2329"/>
        </w:tc>
        <w:tc>
          <w:tcPr>
            <w:tcW w:w="4675" w:type="dxa"/>
          </w:tcPr>
          <w:p w14:paraId="450EF8EA" w14:textId="30883C88" w:rsidR="00DB0475" w:rsidRDefault="00DB0475" w:rsidP="008A2329">
            <w:r w:rsidRPr="00DB0475">
              <w:t>Only a negligible level of outcomes achieved and/or there were severe shortcomings</w:t>
            </w:r>
            <w:r>
              <w:t>.</w:t>
            </w:r>
          </w:p>
        </w:tc>
      </w:tr>
      <w:tr w:rsidR="00DB0475" w14:paraId="5471B49A" w14:textId="77777777" w:rsidTr="00DB0475">
        <w:trPr>
          <w:trHeight w:val="96"/>
        </w:trPr>
        <w:tc>
          <w:tcPr>
            <w:tcW w:w="4675" w:type="dxa"/>
          </w:tcPr>
          <w:p w14:paraId="67F31BF0" w14:textId="77777777" w:rsidR="00DB0475" w:rsidRDefault="00DB0475" w:rsidP="008A2329">
            <w:r>
              <w:t>Unable to Assess (UA)</w:t>
            </w:r>
          </w:p>
          <w:p w14:paraId="7483C2DE" w14:textId="77777777" w:rsidR="00DB0475" w:rsidRDefault="00DB0475" w:rsidP="008A2329"/>
        </w:tc>
        <w:tc>
          <w:tcPr>
            <w:tcW w:w="4675" w:type="dxa"/>
          </w:tcPr>
          <w:p w14:paraId="7DD7A213" w14:textId="01644152" w:rsidR="00DB0475" w:rsidRDefault="00DB0475" w:rsidP="008A2329">
            <w:r w:rsidRPr="00DB0475">
              <w:t>The available information does not allow an assessment of the level of outcome achievements</w:t>
            </w:r>
            <w:r>
              <w:t>.</w:t>
            </w:r>
          </w:p>
        </w:tc>
      </w:tr>
    </w:tbl>
    <w:p w14:paraId="292A61F8" w14:textId="25CE13AF" w:rsidR="00DB0475" w:rsidRDefault="00DB0475" w:rsidP="00DB0475"/>
    <w:p w14:paraId="3C3E882B" w14:textId="10AB3DE7" w:rsidR="00DB0475" w:rsidRDefault="00DB0475" w:rsidP="00DB0475">
      <w:pPr>
        <w:pStyle w:val="Caption"/>
      </w:pPr>
      <w:r>
        <w:t xml:space="preserve">Table </w:t>
      </w:r>
      <w:r w:rsidR="00C80BAF">
        <w:t>E</w:t>
      </w:r>
      <w:r>
        <w:t xml:space="preserve">.4. </w:t>
      </w:r>
      <w:r w:rsidRPr="00DB0475">
        <w:t>Sustainability Ratings Scale</w:t>
      </w:r>
    </w:p>
    <w:tbl>
      <w:tblPr>
        <w:tblStyle w:val="TableGrid"/>
        <w:tblW w:w="0" w:type="auto"/>
        <w:tblLook w:val="04A0" w:firstRow="1" w:lastRow="0" w:firstColumn="1" w:lastColumn="0" w:noHBand="0" w:noVBand="1"/>
      </w:tblPr>
      <w:tblGrid>
        <w:gridCol w:w="4675"/>
        <w:gridCol w:w="4675"/>
      </w:tblGrid>
      <w:tr w:rsidR="00DB0475" w:rsidRPr="00DB0475" w14:paraId="28FF2C25" w14:textId="77777777" w:rsidTr="008A2329">
        <w:tc>
          <w:tcPr>
            <w:tcW w:w="4675" w:type="dxa"/>
            <w:shd w:val="clear" w:color="auto" w:fill="173A5B" w:themeFill="accent5" w:themeFillShade="80"/>
          </w:tcPr>
          <w:p w14:paraId="45FAACDE" w14:textId="77777777" w:rsidR="00DB0475" w:rsidRPr="00DB0475" w:rsidRDefault="00DB0475" w:rsidP="008A2329">
            <w:pPr>
              <w:jc w:val="center"/>
              <w:rPr>
                <w:b/>
                <w:bCs/>
                <w:color w:val="FFFFFF" w:themeColor="background1"/>
              </w:rPr>
            </w:pPr>
            <w:r w:rsidRPr="00DB0475">
              <w:rPr>
                <w:b/>
                <w:bCs/>
                <w:color w:val="FFFFFF" w:themeColor="background1"/>
              </w:rPr>
              <w:t>Rating</w:t>
            </w:r>
          </w:p>
        </w:tc>
        <w:tc>
          <w:tcPr>
            <w:tcW w:w="4675" w:type="dxa"/>
            <w:shd w:val="clear" w:color="auto" w:fill="173A5B" w:themeFill="accent5" w:themeFillShade="80"/>
          </w:tcPr>
          <w:p w14:paraId="3CC692EC" w14:textId="77777777" w:rsidR="00DB0475" w:rsidRPr="00DB0475" w:rsidRDefault="00DB0475" w:rsidP="008A2329">
            <w:pPr>
              <w:jc w:val="center"/>
              <w:rPr>
                <w:b/>
                <w:bCs/>
                <w:color w:val="FFFFFF" w:themeColor="background1"/>
              </w:rPr>
            </w:pPr>
            <w:r w:rsidRPr="00DB0475">
              <w:rPr>
                <w:b/>
                <w:bCs/>
                <w:color w:val="FFFFFF" w:themeColor="background1"/>
              </w:rPr>
              <w:t>Description</w:t>
            </w:r>
          </w:p>
        </w:tc>
      </w:tr>
      <w:tr w:rsidR="00DB0475" w14:paraId="284A612E" w14:textId="77777777" w:rsidTr="008A2329">
        <w:tc>
          <w:tcPr>
            <w:tcW w:w="4675" w:type="dxa"/>
          </w:tcPr>
          <w:p w14:paraId="12AB4391" w14:textId="6D2E2666" w:rsidR="00DB0475" w:rsidRDefault="00DB0475" w:rsidP="00924EC2">
            <w:r>
              <w:t>4 = Likely (L)</w:t>
            </w:r>
          </w:p>
        </w:tc>
        <w:tc>
          <w:tcPr>
            <w:tcW w:w="4675" w:type="dxa"/>
          </w:tcPr>
          <w:p w14:paraId="4F4BC17B" w14:textId="6EF96B1E" w:rsidR="00DB0475" w:rsidRDefault="00DB0475" w:rsidP="00924EC2">
            <w:r>
              <w:t>There are little or no risks to sustainability.</w:t>
            </w:r>
          </w:p>
        </w:tc>
      </w:tr>
      <w:tr w:rsidR="00DB0475" w14:paraId="77394FB1" w14:textId="77777777" w:rsidTr="008A2329">
        <w:tc>
          <w:tcPr>
            <w:tcW w:w="4675" w:type="dxa"/>
          </w:tcPr>
          <w:p w14:paraId="4638336D" w14:textId="1E83F6F7" w:rsidR="00DB0475" w:rsidRDefault="00DB0475" w:rsidP="00924EC2">
            <w:r>
              <w:t>3 = Moderately Likely (ML)</w:t>
            </w:r>
          </w:p>
        </w:tc>
        <w:tc>
          <w:tcPr>
            <w:tcW w:w="4675" w:type="dxa"/>
          </w:tcPr>
          <w:p w14:paraId="7519BB74" w14:textId="7007661A" w:rsidR="00DB0475" w:rsidRDefault="00DB0475" w:rsidP="00DB0475">
            <w:r>
              <w:t>There are moderate risks to sustainability.</w:t>
            </w:r>
          </w:p>
        </w:tc>
      </w:tr>
      <w:tr w:rsidR="00DB0475" w14:paraId="7C9D3762" w14:textId="77777777" w:rsidTr="008A2329">
        <w:tc>
          <w:tcPr>
            <w:tcW w:w="4675" w:type="dxa"/>
          </w:tcPr>
          <w:p w14:paraId="31812952" w14:textId="47A62863" w:rsidR="00DB0475" w:rsidRDefault="00DB0475" w:rsidP="00924EC2">
            <w:r>
              <w:t>2 = Moderately Unlikely (MU)</w:t>
            </w:r>
          </w:p>
        </w:tc>
        <w:tc>
          <w:tcPr>
            <w:tcW w:w="4675" w:type="dxa"/>
          </w:tcPr>
          <w:p w14:paraId="431AF7B2" w14:textId="4B6B506E" w:rsidR="00DB0475" w:rsidRDefault="00DB0475" w:rsidP="00924EC2">
            <w:r>
              <w:t>There are significant risks to sustainability.</w:t>
            </w:r>
          </w:p>
        </w:tc>
      </w:tr>
      <w:tr w:rsidR="00DB0475" w14:paraId="1A268718" w14:textId="77777777" w:rsidTr="008A2329">
        <w:tc>
          <w:tcPr>
            <w:tcW w:w="4675" w:type="dxa"/>
          </w:tcPr>
          <w:p w14:paraId="03C66100" w14:textId="4C6842D1" w:rsidR="00DB0475" w:rsidRDefault="00924EC2" w:rsidP="00924EC2">
            <w:r>
              <w:t>1 = Unlikely (U)</w:t>
            </w:r>
          </w:p>
        </w:tc>
        <w:tc>
          <w:tcPr>
            <w:tcW w:w="4675" w:type="dxa"/>
          </w:tcPr>
          <w:p w14:paraId="6C83DF9D" w14:textId="3FFC418B" w:rsidR="00DB0475" w:rsidRDefault="00924EC2" w:rsidP="00924EC2">
            <w:r>
              <w:t>There are severe risks to sustainability.</w:t>
            </w:r>
          </w:p>
        </w:tc>
      </w:tr>
      <w:tr w:rsidR="00924EC2" w14:paraId="0672B035" w14:textId="77777777" w:rsidTr="008A2329">
        <w:tc>
          <w:tcPr>
            <w:tcW w:w="4675" w:type="dxa"/>
          </w:tcPr>
          <w:p w14:paraId="0F1EA03C" w14:textId="718F51F6" w:rsidR="00924EC2" w:rsidRDefault="00924EC2" w:rsidP="00924EC2">
            <w:r>
              <w:t>Unable to Assess (UA)</w:t>
            </w:r>
          </w:p>
        </w:tc>
        <w:tc>
          <w:tcPr>
            <w:tcW w:w="4675" w:type="dxa"/>
          </w:tcPr>
          <w:p w14:paraId="24F5D82B" w14:textId="56D8387F" w:rsidR="00924EC2" w:rsidRDefault="00924EC2" w:rsidP="00924EC2">
            <w:pPr>
              <w:spacing w:after="160" w:line="259" w:lineRule="auto"/>
            </w:pPr>
            <w:r>
              <w:t>Unable to assess the expected incidence and magnitude of risks to sustainability.</w:t>
            </w:r>
          </w:p>
        </w:tc>
      </w:tr>
    </w:tbl>
    <w:p w14:paraId="77487F26" w14:textId="4563069D" w:rsidR="00924EC2" w:rsidRDefault="00924EC2" w:rsidP="00DB0475">
      <w:r>
        <w:br w:type="page"/>
      </w:r>
    </w:p>
    <w:p w14:paraId="5DC49520" w14:textId="2E224751" w:rsidR="008E2C94" w:rsidRDefault="008E2C94" w:rsidP="00AC0D02">
      <w:pPr>
        <w:pStyle w:val="Heading1"/>
        <w:numPr>
          <w:ilvl w:val="0"/>
          <w:numId w:val="5"/>
        </w:numPr>
      </w:pPr>
      <w:bookmarkStart w:id="77" w:name="_Ref58945920"/>
      <w:bookmarkStart w:id="78" w:name="_Toc64632066"/>
      <w:r w:rsidRPr="004C1CE4">
        <w:lastRenderedPageBreak/>
        <w:t>Signed UNEG Code of Conduct form</w:t>
      </w:r>
      <w:bookmarkEnd w:id="77"/>
      <w:bookmarkEnd w:id="78"/>
    </w:p>
    <w:p w14:paraId="2A891191" w14:textId="27E24E1E" w:rsidR="00164A08" w:rsidRDefault="00164A08" w:rsidP="00164A08">
      <w:r>
        <w:rPr>
          <w:noProof/>
        </w:rPr>
        <w:drawing>
          <wp:inline distT="0" distB="0" distL="0" distR="0" wp14:anchorId="2FDB9078" wp14:editId="7BADBAE5">
            <wp:extent cx="5839460" cy="6547104"/>
            <wp:effectExtent l="0" t="0" r="889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12589" t="10663" r="6758" b="4120"/>
                    <a:stretch/>
                  </pic:blipFill>
                  <pic:spPr bwMode="auto">
                    <a:xfrm>
                      <a:off x="0" y="0"/>
                      <a:ext cx="5897946" cy="6612678"/>
                    </a:xfrm>
                    <a:prstGeom prst="rect">
                      <a:avLst/>
                    </a:prstGeom>
                    <a:ln>
                      <a:noFill/>
                    </a:ln>
                    <a:extLst>
                      <a:ext uri="{53640926-AAD7-44D8-BBD7-CCE9431645EC}">
                        <a14:shadowObscured xmlns:a14="http://schemas.microsoft.com/office/drawing/2010/main"/>
                      </a:ext>
                    </a:extLst>
                  </pic:spPr>
                </pic:pic>
              </a:graphicData>
            </a:graphic>
          </wp:inline>
        </w:drawing>
      </w:r>
    </w:p>
    <w:p w14:paraId="4EC38859" w14:textId="77777777" w:rsidR="00035A4C" w:rsidRDefault="00035A4C" w:rsidP="00164A08"/>
    <w:p w14:paraId="599832E4" w14:textId="30552D9C" w:rsidR="00164A08" w:rsidRDefault="00164A08" w:rsidP="00164A08">
      <w:r>
        <w:br w:type="page"/>
      </w:r>
    </w:p>
    <w:p w14:paraId="31C3D828" w14:textId="644F3DA6" w:rsidR="008E2C94" w:rsidRDefault="008E2C94" w:rsidP="00AC0D02">
      <w:pPr>
        <w:pStyle w:val="Heading1"/>
        <w:numPr>
          <w:ilvl w:val="0"/>
          <w:numId w:val="5"/>
        </w:numPr>
        <w:ind w:left="2127" w:hanging="1767"/>
      </w:pPr>
      <w:bookmarkStart w:id="79" w:name="_Toc64632067"/>
      <w:r w:rsidRPr="004C1CE4">
        <w:lastRenderedPageBreak/>
        <w:t xml:space="preserve">Signed TE </w:t>
      </w:r>
      <w:r>
        <w:t>r</w:t>
      </w:r>
      <w:r w:rsidRPr="004C1CE4">
        <w:t xml:space="preserve">eport </w:t>
      </w:r>
      <w:r>
        <w:t>c</w:t>
      </w:r>
      <w:r w:rsidRPr="004C1CE4">
        <w:t>learance form</w:t>
      </w:r>
      <w:bookmarkEnd w:id="79"/>
    </w:p>
    <w:p w14:paraId="4EFCEBC3" w14:textId="4951C75A" w:rsidR="00B10A0F" w:rsidRDefault="00B10A0F" w:rsidP="00B10A0F">
      <w:r>
        <w:br w:type="page"/>
      </w:r>
    </w:p>
    <w:p w14:paraId="7BBB90C3" w14:textId="239E98A0" w:rsidR="008E2C94" w:rsidRDefault="008E2C94" w:rsidP="00AC0D02">
      <w:pPr>
        <w:pStyle w:val="Heading1"/>
        <w:numPr>
          <w:ilvl w:val="0"/>
          <w:numId w:val="5"/>
        </w:numPr>
      </w:pPr>
      <w:bookmarkStart w:id="80" w:name="_Toc64632068"/>
      <w:r w:rsidRPr="004C1CE4">
        <w:lastRenderedPageBreak/>
        <w:t xml:space="preserve">TE </w:t>
      </w:r>
      <w:r w:rsidR="00BF6528">
        <w:t>a</w:t>
      </w:r>
      <w:r w:rsidRPr="004C1CE4">
        <w:t xml:space="preserve">udit </w:t>
      </w:r>
      <w:r w:rsidR="00BF6528">
        <w:t>t</w:t>
      </w:r>
      <w:r w:rsidRPr="004C1CE4">
        <w:t xml:space="preserve">rail </w:t>
      </w:r>
      <w:r>
        <w:t xml:space="preserve">(in </w:t>
      </w:r>
      <w:r w:rsidRPr="004C1CE4">
        <w:t>separate file</w:t>
      </w:r>
      <w:r>
        <w:t>)</w:t>
      </w:r>
      <w:bookmarkEnd w:id="80"/>
    </w:p>
    <w:p w14:paraId="1651E89A" w14:textId="60FD88B6" w:rsidR="00B10A0F" w:rsidRDefault="00B10A0F" w:rsidP="00B10A0F">
      <w:r>
        <w:br w:type="page"/>
      </w:r>
    </w:p>
    <w:p w14:paraId="27992B70" w14:textId="7347967B" w:rsidR="008E2C94" w:rsidRDefault="008E2C94" w:rsidP="00AC0D02">
      <w:pPr>
        <w:pStyle w:val="Heading1"/>
        <w:numPr>
          <w:ilvl w:val="0"/>
          <w:numId w:val="5"/>
        </w:numPr>
      </w:pPr>
      <w:bookmarkStart w:id="81" w:name="_Toc64632069"/>
      <w:r w:rsidRPr="004C1CE4">
        <w:lastRenderedPageBreak/>
        <w:t xml:space="preserve">GEF </w:t>
      </w:r>
      <w:r>
        <w:t>CCM T</w:t>
      </w:r>
      <w:r w:rsidRPr="004C1CE4">
        <w:t>racking Tool</w:t>
      </w:r>
      <w:r>
        <w:t xml:space="preserve"> (in </w:t>
      </w:r>
      <w:r w:rsidRPr="004C1CE4">
        <w:t>separate file</w:t>
      </w:r>
      <w:r>
        <w:t>)</w:t>
      </w:r>
      <w:bookmarkEnd w:id="81"/>
    </w:p>
    <w:p w14:paraId="1C64D12A" w14:textId="6E90F66D" w:rsidR="00B10A0F" w:rsidRDefault="00B10A0F" w:rsidP="00B10A0F">
      <w:r>
        <w:br w:type="page"/>
      </w:r>
    </w:p>
    <w:p w14:paraId="77B3D9D3" w14:textId="3E4A9E18" w:rsidR="00936BDA" w:rsidRDefault="00BF6528" w:rsidP="000F1B83">
      <w:pPr>
        <w:pStyle w:val="Heading1"/>
        <w:numPr>
          <w:ilvl w:val="0"/>
          <w:numId w:val="0"/>
        </w:numPr>
        <w:ind w:left="360"/>
      </w:pPr>
      <w:bookmarkStart w:id="82" w:name="_Toc64632070"/>
      <w:r>
        <w:lastRenderedPageBreak/>
        <w:t xml:space="preserve">Annex </w:t>
      </w:r>
      <w:r w:rsidR="003D2ADB">
        <w:t>J</w:t>
      </w:r>
      <w:r>
        <w:t>. Terminal evalu</w:t>
      </w:r>
      <w:r w:rsidR="00E87478">
        <w:t>a</w:t>
      </w:r>
      <w:r>
        <w:t>tion s</w:t>
      </w:r>
      <w:r w:rsidR="00936BDA">
        <w:t>chedule</w:t>
      </w:r>
      <w:bookmarkEnd w:id="82"/>
    </w:p>
    <w:p w14:paraId="68A3FD20" w14:textId="01D99DFC" w:rsidR="002E401C" w:rsidRDefault="002E401C" w:rsidP="00302D9A">
      <w:pPr>
        <w:jc w:val="both"/>
      </w:pPr>
      <w:r>
        <w:t>The schedule for the TE t</w:t>
      </w:r>
      <w:r w:rsidR="00E87478">
        <w:t>ook</w:t>
      </w:r>
      <w:r>
        <w:t xml:space="preserve"> into consideration that no TE mission </w:t>
      </w:r>
      <w:r w:rsidR="00E87478">
        <w:t>was</w:t>
      </w:r>
      <w:r>
        <w:t xml:space="preserve"> conducted</w:t>
      </w:r>
      <w:r w:rsidR="00493AE4">
        <w:t>. The schedule also t</w:t>
      </w:r>
      <w:r w:rsidR="00E87478">
        <w:t>ook</w:t>
      </w:r>
      <w:r w:rsidR="00493AE4">
        <w:t xml:space="preserve"> into account </w:t>
      </w:r>
      <w:r>
        <w:t xml:space="preserve">the time required by UNDP and the project team to submit documents and information requested by the evaluation team. The </w:t>
      </w:r>
      <w:r w:rsidR="00E87478">
        <w:t xml:space="preserve">evaluation </w:t>
      </w:r>
      <w:r>
        <w:t>schedule is provided in</w:t>
      </w:r>
      <w:r w:rsidR="003D2ADB">
        <w:t xml:space="preserve"> Table </w:t>
      </w:r>
      <w:r w:rsidR="00E87478">
        <w:t>J</w:t>
      </w:r>
      <w:r w:rsidR="003D2ADB">
        <w:t>.1.</w:t>
      </w:r>
      <w:r w:rsidR="00302D9A">
        <w:t xml:space="preserve">, below. </w:t>
      </w:r>
    </w:p>
    <w:p w14:paraId="216F3824" w14:textId="374E54D3" w:rsidR="002E401C" w:rsidRDefault="002E401C" w:rsidP="004C1CE4">
      <w:pPr>
        <w:pStyle w:val="Caption"/>
      </w:pPr>
      <w:bookmarkStart w:id="83" w:name="_Ref58336462"/>
      <w:r>
        <w:t xml:space="preserve">Table </w:t>
      </w:r>
      <w:r w:rsidR="003F2DAA">
        <w:fldChar w:fldCharType="begin"/>
      </w:r>
      <w:r w:rsidR="003F2DAA">
        <w:instrText xml:space="preserve"> SEQ Table \* ARABIC </w:instrText>
      </w:r>
      <w:r w:rsidR="003F2DAA">
        <w:fldChar w:fldCharType="separate"/>
      </w:r>
      <w:r w:rsidR="00E87478">
        <w:rPr>
          <w:noProof/>
        </w:rPr>
        <w:t>J</w:t>
      </w:r>
      <w:r w:rsidR="003D2ADB">
        <w:rPr>
          <w:noProof/>
        </w:rPr>
        <w:t xml:space="preserve">.1. </w:t>
      </w:r>
      <w:r w:rsidR="003F2DAA">
        <w:rPr>
          <w:noProof/>
        </w:rPr>
        <w:fldChar w:fldCharType="end"/>
      </w:r>
      <w:bookmarkEnd w:id="83"/>
      <w:r>
        <w:t xml:space="preserve"> Tentative schedule for the evaluation</w:t>
      </w:r>
    </w:p>
    <w:tbl>
      <w:tblPr>
        <w:tblStyle w:val="TableGrid"/>
        <w:tblW w:w="0" w:type="auto"/>
        <w:tblLook w:val="04A0" w:firstRow="1" w:lastRow="0" w:firstColumn="1" w:lastColumn="0" w:noHBand="0" w:noVBand="1"/>
      </w:tblPr>
      <w:tblGrid>
        <w:gridCol w:w="5807"/>
        <w:gridCol w:w="3543"/>
      </w:tblGrid>
      <w:tr w:rsidR="002E401C" w:rsidRPr="002E401C" w14:paraId="57061E94" w14:textId="77777777" w:rsidTr="00C81E72">
        <w:tc>
          <w:tcPr>
            <w:tcW w:w="5807" w:type="dxa"/>
            <w:shd w:val="clear" w:color="auto" w:fill="2E75B6" w:themeFill="accent5"/>
          </w:tcPr>
          <w:p w14:paraId="6E31AEB1" w14:textId="2C3A35D8" w:rsidR="002E401C" w:rsidRPr="002E401C" w:rsidRDefault="002E401C" w:rsidP="00936BDA">
            <w:pPr>
              <w:rPr>
                <w:b/>
                <w:bCs/>
                <w:color w:val="FFFFFF" w:themeColor="background1"/>
              </w:rPr>
            </w:pPr>
            <w:r w:rsidRPr="002E401C">
              <w:rPr>
                <w:b/>
                <w:bCs/>
                <w:color w:val="FFFFFF" w:themeColor="background1"/>
              </w:rPr>
              <w:t>Milestones</w:t>
            </w:r>
          </w:p>
        </w:tc>
        <w:tc>
          <w:tcPr>
            <w:tcW w:w="3543" w:type="dxa"/>
            <w:shd w:val="clear" w:color="auto" w:fill="2E75B6" w:themeFill="accent5"/>
          </w:tcPr>
          <w:p w14:paraId="0307A308" w14:textId="128D3E2F" w:rsidR="002E401C" w:rsidRPr="002E401C" w:rsidRDefault="002E401C" w:rsidP="00302D9A">
            <w:pPr>
              <w:jc w:val="center"/>
              <w:rPr>
                <w:b/>
                <w:bCs/>
                <w:color w:val="FFFFFF" w:themeColor="background1"/>
              </w:rPr>
            </w:pPr>
            <w:r w:rsidRPr="002E401C">
              <w:rPr>
                <w:b/>
                <w:bCs/>
                <w:color w:val="FFFFFF" w:themeColor="background1"/>
              </w:rPr>
              <w:t>Tentative schedule</w:t>
            </w:r>
          </w:p>
        </w:tc>
      </w:tr>
      <w:tr w:rsidR="002E401C" w14:paraId="2363CF92" w14:textId="77777777" w:rsidTr="00C81E72">
        <w:tc>
          <w:tcPr>
            <w:tcW w:w="5807" w:type="dxa"/>
          </w:tcPr>
          <w:p w14:paraId="57E32C0B" w14:textId="7657BFED" w:rsidR="002E401C" w:rsidRDefault="00A64F37" w:rsidP="00936BDA">
            <w:r>
              <w:t>Inception report</w:t>
            </w:r>
          </w:p>
        </w:tc>
        <w:tc>
          <w:tcPr>
            <w:tcW w:w="3543" w:type="dxa"/>
          </w:tcPr>
          <w:p w14:paraId="411D7D7C" w14:textId="37CD2A7D" w:rsidR="002E401C" w:rsidRDefault="00A64F37" w:rsidP="00A64F37">
            <w:pPr>
              <w:jc w:val="center"/>
            </w:pPr>
            <w:r>
              <w:t>December</w:t>
            </w:r>
            <w:r w:rsidR="00B10A0F">
              <w:t xml:space="preserve"> 14, 2020</w:t>
            </w:r>
          </w:p>
        </w:tc>
      </w:tr>
      <w:tr w:rsidR="002E401C" w14:paraId="2DCC0487" w14:textId="77777777" w:rsidTr="00C81E72">
        <w:tc>
          <w:tcPr>
            <w:tcW w:w="5807" w:type="dxa"/>
          </w:tcPr>
          <w:p w14:paraId="471EDF7E" w14:textId="7A300C0C" w:rsidR="002E401C" w:rsidRDefault="00A64F37" w:rsidP="00936BDA">
            <w:r>
              <w:t>Document review</w:t>
            </w:r>
          </w:p>
        </w:tc>
        <w:tc>
          <w:tcPr>
            <w:tcW w:w="3543" w:type="dxa"/>
          </w:tcPr>
          <w:p w14:paraId="0670BB3F" w14:textId="2ABB1900" w:rsidR="002E401C" w:rsidRPr="00327CCB" w:rsidRDefault="00A64F37" w:rsidP="00A64F37">
            <w:pPr>
              <w:jc w:val="center"/>
            </w:pPr>
            <w:r w:rsidRPr="00327CCB">
              <w:t>January 15, 2021</w:t>
            </w:r>
          </w:p>
        </w:tc>
      </w:tr>
      <w:tr w:rsidR="002E401C" w14:paraId="4A509166" w14:textId="77777777" w:rsidTr="00C81E72">
        <w:tc>
          <w:tcPr>
            <w:tcW w:w="5807" w:type="dxa"/>
          </w:tcPr>
          <w:p w14:paraId="5173F5B6" w14:textId="4A05D281" w:rsidR="002E401C" w:rsidRDefault="00C81E72" w:rsidP="00936BDA">
            <w:r>
              <w:t>Draft TE report to UNDP for comments</w:t>
            </w:r>
          </w:p>
        </w:tc>
        <w:tc>
          <w:tcPr>
            <w:tcW w:w="3543" w:type="dxa"/>
          </w:tcPr>
          <w:p w14:paraId="68A62E71" w14:textId="6B13DC91" w:rsidR="002E401C" w:rsidRPr="00327CCB" w:rsidRDefault="003D2ADB" w:rsidP="00C81E72">
            <w:pPr>
              <w:jc w:val="center"/>
            </w:pPr>
            <w:r w:rsidRPr="00327CCB">
              <w:t>February</w:t>
            </w:r>
            <w:r w:rsidR="00C81E72" w:rsidRPr="00327CCB">
              <w:t xml:space="preserve"> </w:t>
            </w:r>
            <w:r w:rsidRPr="00327CCB">
              <w:t>19</w:t>
            </w:r>
            <w:r w:rsidR="00C81E72" w:rsidRPr="00327CCB">
              <w:t>, 2021</w:t>
            </w:r>
          </w:p>
        </w:tc>
      </w:tr>
      <w:tr w:rsidR="00C81E72" w14:paraId="17A8ACF4" w14:textId="77777777" w:rsidTr="00C81E72">
        <w:tc>
          <w:tcPr>
            <w:tcW w:w="5807" w:type="dxa"/>
          </w:tcPr>
          <w:p w14:paraId="5A9669FF" w14:textId="1E11CABE" w:rsidR="00C81E72" w:rsidRDefault="00C81E72" w:rsidP="00C81E72">
            <w:r>
              <w:t>Revised draft report submitted to project team</w:t>
            </w:r>
          </w:p>
        </w:tc>
        <w:tc>
          <w:tcPr>
            <w:tcW w:w="3543" w:type="dxa"/>
          </w:tcPr>
          <w:p w14:paraId="576D5026" w14:textId="5DF9FFA1" w:rsidR="00C81E72" w:rsidRPr="00327CCB" w:rsidRDefault="00C81E72" w:rsidP="00C81E72">
            <w:pPr>
              <w:jc w:val="center"/>
            </w:pPr>
            <w:r w:rsidRPr="00327CCB">
              <w:t>February, 2021</w:t>
            </w:r>
          </w:p>
        </w:tc>
      </w:tr>
      <w:tr w:rsidR="00C81E72" w14:paraId="0F5A5185" w14:textId="77777777" w:rsidTr="00C81E72">
        <w:tc>
          <w:tcPr>
            <w:tcW w:w="5807" w:type="dxa"/>
          </w:tcPr>
          <w:p w14:paraId="6E8C3953" w14:textId="0394E2AF" w:rsidR="00C81E72" w:rsidRDefault="00302D9A" w:rsidP="00C81E72">
            <w:r>
              <w:t>TE final report</w:t>
            </w:r>
          </w:p>
        </w:tc>
        <w:tc>
          <w:tcPr>
            <w:tcW w:w="3543" w:type="dxa"/>
          </w:tcPr>
          <w:p w14:paraId="14800C08" w14:textId="76FBF749" w:rsidR="00C81E72" w:rsidRPr="00327CCB" w:rsidRDefault="00611CBE" w:rsidP="00C81E72">
            <w:pPr>
              <w:jc w:val="center"/>
            </w:pPr>
            <w:r w:rsidRPr="00327CCB">
              <w:t>March 23</w:t>
            </w:r>
            <w:r w:rsidR="00493AE4" w:rsidRPr="00327CCB">
              <w:t>,</w:t>
            </w:r>
            <w:r w:rsidR="00302D9A" w:rsidRPr="00327CCB">
              <w:t xml:space="preserve"> 2021</w:t>
            </w:r>
          </w:p>
        </w:tc>
      </w:tr>
    </w:tbl>
    <w:p w14:paraId="625FCF2D" w14:textId="109BCEDD" w:rsidR="002E401C" w:rsidRDefault="002E401C" w:rsidP="00936BDA"/>
    <w:p w14:paraId="69B0C63B" w14:textId="77777777" w:rsidR="00936BDA" w:rsidRPr="004C1CE4" w:rsidRDefault="00936BDA" w:rsidP="004C1CE4">
      <w:pPr>
        <w:tabs>
          <w:tab w:val="left" w:pos="1620"/>
        </w:tabs>
        <w:spacing w:after="0" w:line="240" w:lineRule="auto"/>
        <w:rPr>
          <w:rFonts w:cs="Calibri"/>
          <w:color w:val="58646C" w:themeColor="text1"/>
        </w:rPr>
      </w:pPr>
    </w:p>
    <w:p w14:paraId="0DE27D70" w14:textId="7A0FE3A1" w:rsidR="00B3127D" w:rsidRDefault="00B3127D" w:rsidP="00936BDA">
      <w:r>
        <w:br w:type="page"/>
      </w:r>
    </w:p>
    <w:p w14:paraId="6765FF34" w14:textId="02D37665" w:rsidR="00B3127D" w:rsidRDefault="00B3127D" w:rsidP="00B82EA3">
      <w:pPr>
        <w:pStyle w:val="Heading1"/>
        <w:numPr>
          <w:ilvl w:val="0"/>
          <w:numId w:val="0"/>
        </w:numPr>
      </w:pPr>
      <w:bookmarkStart w:id="84" w:name="_Toc64632071"/>
      <w:r>
        <w:lastRenderedPageBreak/>
        <w:t>A</w:t>
      </w:r>
      <w:r w:rsidR="005E1E85">
        <w:t>nnex</w:t>
      </w:r>
      <w:r>
        <w:t xml:space="preserve"> </w:t>
      </w:r>
      <w:r w:rsidR="003D2ADB">
        <w:t>K</w:t>
      </w:r>
      <w:r>
        <w:t>. Project components, outcomes, outputs, and activities</w:t>
      </w:r>
      <w:bookmarkEnd w:id="84"/>
    </w:p>
    <w:p w14:paraId="0227377C" w14:textId="776FB7E7" w:rsidR="00B3127D" w:rsidRPr="00B3127D" w:rsidRDefault="00B3127D" w:rsidP="00B82EA3">
      <w:pPr>
        <w:pStyle w:val="Caption"/>
      </w:pPr>
      <w:r w:rsidRPr="00B3127D">
        <w:t xml:space="preserve">Table </w:t>
      </w:r>
      <w:r w:rsidR="003D2ADB">
        <w:t>K</w:t>
      </w:r>
      <w:r w:rsidRPr="00B3127D">
        <w:t>.1. Project components, outcomes, outputs and activities</w:t>
      </w:r>
    </w:p>
    <w:tbl>
      <w:tblPr>
        <w:tblStyle w:val="TableGrid"/>
        <w:tblW w:w="0" w:type="auto"/>
        <w:tblLook w:val="04A0" w:firstRow="1" w:lastRow="0" w:firstColumn="1" w:lastColumn="0" w:noHBand="0" w:noVBand="1"/>
      </w:tblPr>
      <w:tblGrid>
        <w:gridCol w:w="3724"/>
        <w:gridCol w:w="5626"/>
      </w:tblGrid>
      <w:tr w:rsidR="00B3127D" w14:paraId="40E270E3" w14:textId="77777777" w:rsidTr="008A4910">
        <w:tc>
          <w:tcPr>
            <w:tcW w:w="9549" w:type="dxa"/>
            <w:gridSpan w:val="2"/>
            <w:shd w:val="clear" w:color="auto" w:fill="225788" w:themeFill="accent5" w:themeFillShade="BF"/>
          </w:tcPr>
          <w:p w14:paraId="4EFC51FF" w14:textId="77777777" w:rsidR="00B3127D" w:rsidRPr="005B17BF" w:rsidRDefault="00B3127D" w:rsidP="00E90328">
            <w:pPr>
              <w:rPr>
                <w:rFonts w:cs="Times New Roman"/>
                <w:b/>
                <w:bCs/>
                <w:sz w:val="20"/>
                <w:szCs w:val="20"/>
              </w:rPr>
            </w:pPr>
            <w:r w:rsidRPr="005B17BF">
              <w:rPr>
                <w:rFonts w:cs="Times New Roman"/>
                <w:b/>
                <w:bCs/>
                <w:color w:val="FFFFFF" w:themeColor="background1"/>
                <w:sz w:val="20"/>
                <w:szCs w:val="20"/>
              </w:rPr>
              <w:t>Project outcomes, outputs and activities</w:t>
            </w:r>
          </w:p>
        </w:tc>
      </w:tr>
      <w:tr w:rsidR="00B3127D" w14:paraId="061A5CEC" w14:textId="77777777" w:rsidTr="00E90328">
        <w:tc>
          <w:tcPr>
            <w:tcW w:w="9549" w:type="dxa"/>
            <w:gridSpan w:val="2"/>
            <w:shd w:val="clear" w:color="auto" w:fill="A4C7E8" w:themeFill="accent5" w:themeFillTint="66"/>
          </w:tcPr>
          <w:p w14:paraId="4A1198B8" w14:textId="77777777" w:rsidR="00B3127D" w:rsidRPr="004F6ABE" w:rsidRDefault="00B3127D" w:rsidP="00E90328">
            <w:pPr>
              <w:pStyle w:val="Numberedpara"/>
              <w:rPr>
                <w:b/>
                <w:bCs/>
              </w:rPr>
            </w:pPr>
            <w:r w:rsidRPr="004F6ABE">
              <w:rPr>
                <w:b/>
                <w:bCs/>
              </w:rPr>
              <w:t>Component 1. Policy and Regulatory Support for Green Logistics</w:t>
            </w:r>
          </w:p>
          <w:p w14:paraId="201CA609" w14:textId="77777777" w:rsidR="00B3127D" w:rsidRPr="004F6ABE" w:rsidRDefault="00B3127D" w:rsidP="00E90328">
            <w:pPr>
              <w:pStyle w:val="Numberedpara"/>
            </w:pPr>
            <w:r w:rsidRPr="004F6ABE">
              <w:t>Outcome 1. Established and enforced policy and regulations on the application and operation of green logistics systems in the logistics industry in Zhejiang Province</w:t>
            </w:r>
          </w:p>
        </w:tc>
      </w:tr>
      <w:tr w:rsidR="00B3127D" w:rsidRPr="005874C0" w14:paraId="2AA84F36" w14:textId="77777777" w:rsidTr="00E90328">
        <w:tc>
          <w:tcPr>
            <w:tcW w:w="3794" w:type="dxa"/>
            <w:shd w:val="clear" w:color="auto" w:fill="D1E3F3" w:themeFill="accent5" w:themeFillTint="33"/>
          </w:tcPr>
          <w:p w14:paraId="3C6B7F4F" w14:textId="77777777" w:rsidR="00B3127D" w:rsidRPr="005B17BF" w:rsidRDefault="00B3127D" w:rsidP="00E90328">
            <w:pPr>
              <w:pStyle w:val="Numberedpara"/>
            </w:pPr>
            <w:r w:rsidRPr="005B17BF">
              <w:t>Outputs</w:t>
            </w:r>
          </w:p>
        </w:tc>
        <w:tc>
          <w:tcPr>
            <w:tcW w:w="5755" w:type="dxa"/>
            <w:shd w:val="clear" w:color="auto" w:fill="D1E3F3" w:themeFill="accent5" w:themeFillTint="33"/>
          </w:tcPr>
          <w:p w14:paraId="02FFCEAC" w14:textId="77777777" w:rsidR="00B3127D" w:rsidRPr="005B17BF" w:rsidRDefault="00B3127D" w:rsidP="00E90328">
            <w:pPr>
              <w:pStyle w:val="Numberedpara"/>
            </w:pPr>
            <w:r w:rsidRPr="005B17BF">
              <w:t>Activities</w:t>
            </w:r>
          </w:p>
        </w:tc>
      </w:tr>
      <w:tr w:rsidR="00B3127D" w14:paraId="7C2851AC" w14:textId="77777777" w:rsidTr="00E90328">
        <w:tc>
          <w:tcPr>
            <w:tcW w:w="3794" w:type="dxa"/>
            <w:vMerge w:val="restart"/>
          </w:tcPr>
          <w:p w14:paraId="15F3A356" w14:textId="77777777" w:rsidR="00B3127D" w:rsidRPr="005B17BF" w:rsidRDefault="00B3127D" w:rsidP="00E90328">
            <w:pPr>
              <w:pStyle w:val="Numberedpara"/>
            </w:pPr>
            <w:r w:rsidRPr="005B17BF">
              <w:t>Output 1.1</w:t>
            </w:r>
            <w:r>
              <w:t>.</w:t>
            </w:r>
            <w:r w:rsidRPr="005B17BF">
              <w:t xml:space="preserve"> Completed analysis of: (1) the energy use trends and GHG emissions from the operation of the logistics industry (materials management and physical distribution) in Zhejiang Province as basis for formulating policies; and, (2) green logistics systems developed and implemented in other countries and the performance and results of their applications.</w:t>
            </w:r>
          </w:p>
        </w:tc>
        <w:tc>
          <w:tcPr>
            <w:tcW w:w="5755" w:type="dxa"/>
          </w:tcPr>
          <w:p w14:paraId="3ECDE71E" w14:textId="77777777" w:rsidR="00B3127D" w:rsidRPr="005B17BF" w:rsidRDefault="00B3127D" w:rsidP="00E90328">
            <w:pPr>
              <w:pStyle w:val="Numberedpara"/>
            </w:pPr>
            <w:r w:rsidRPr="005B17BF">
              <w:t>1.1.1</w:t>
            </w:r>
            <w:r>
              <w:t>.</w:t>
            </w:r>
            <w:r w:rsidRPr="005B17BF">
              <w:t xml:space="preserve"> Survey and analysis of the policy status and the innovative developments in enhancing energy efficiency and environment conservation improvement in the logistics industry in China and other countries.</w:t>
            </w:r>
          </w:p>
        </w:tc>
      </w:tr>
      <w:tr w:rsidR="00B3127D" w14:paraId="4E1B7C01" w14:textId="77777777" w:rsidTr="00E90328">
        <w:tc>
          <w:tcPr>
            <w:tcW w:w="3794" w:type="dxa"/>
            <w:vMerge/>
          </w:tcPr>
          <w:p w14:paraId="31D22347" w14:textId="77777777" w:rsidR="00B3127D" w:rsidRPr="005B17BF" w:rsidRDefault="00B3127D" w:rsidP="00E90328">
            <w:pPr>
              <w:pStyle w:val="Numberedpara"/>
            </w:pPr>
          </w:p>
        </w:tc>
        <w:tc>
          <w:tcPr>
            <w:tcW w:w="5755" w:type="dxa"/>
          </w:tcPr>
          <w:p w14:paraId="65A034EE" w14:textId="77777777" w:rsidR="00B3127D" w:rsidRPr="005B17BF" w:rsidRDefault="00B3127D" w:rsidP="00E90328">
            <w:pPr>
              <w:pStyle w:val="Numberedpara"/>
            </w:pPr>
            <w:r w:rsidRPr="005B17BF">
              <w:t>1.1.2</w:t>
            </w:r>
            <w:r>
              <w:t>.</w:t>
            </w:r>
            <w:r w:rsidRPr="005B17BF">
              <w:t xml:space="preserve"> Evaluation of existing policies on the logistics industry and determination of necessary policies and regulations applicable to materials management and physical distribution operations in the logistics industry in Zhejiang Province.</w:t>
            </w:r>
          </w:p>
        </w:tc>
      </w:tr>
      <w:tr w:rsidR="00B3127D" w14:paraId="3D0FD26F" w14:textId="77777777" w:rsidTr="00E90328">
        <w:tc>
          <w:tcPr>
            <w:tcW w:w="3794" w:type="dxa"/>
            <w:vMerge w:val="restart"/>
          </w:tcPr>
          <w:p w14:paraId="0F7121A3" w14:textId="77777777" w:rsidR="00B3127D" w:rsidRPr="005B17BF" w:rsidRDefault="00B3127D" w:rsidP="00E90328">
            <w:pPr>
              <w:pStyle w:val="Numberedpara"/>
            </w:pPr>
            <w:r w:rsidRPr="005B17BF">
              <w:t>Output 1.2</w:t>
            </w:r>
            <w:r>
              <w:t>.</w:t>
            </w:r>
            <w:r w:rsidRPr="005B17BF">
              <w:t xml:space="preserve"> Formulated, recommended, and implemented standards, policies, incentive schemes and implementing rules and regulations on the promotion and adoption of green logistics the logistics industry in Zhejiang Province.</w:t>
            </w:r>
          </w:p>
        </w:tc>
        <w:tc>
          <w:tcPr>
            <w:tcW w:w="5755" w:type="dxa"/>
          </w:tcPr>
          <w:p w14:paraId="02241394" w14:textId="77777777" w:rsidR="00B3127D" w:rsidRPr="005B17BF" w:rsidRDefault="00B3127D" w:rsidP="00E90328">
            <w:pPr>
              <w:pStyle w:val="Numberedpara"/>
            </w:pPr>
            <w:r w:rsidRPr="005B17BF">
              <w:t>1.2.1</w:t>
            </w:r>
            <w:r>
              <w:t>.</w:t>
            </w:r>
            <w:r w:rsidRPr="005B17BF">
              <w:t xml:space="preserve"> Adoption and establishment of the recommended system for the promotion and practice of green logistics in the logistics industry in Zhejiang Province.</w:t>
            </w:r>
          </w:p>
        </w:tc>
      </w:tr>
      <w:tr w:rsidR="00B3127D" w14:paraId="1303A8B0" w14:textId="77777777" w:rsidTr="00E90328">
        <w:tc>
          <w:tcPr>
            <w:tcW w:w="3794" w:type="dxa"/>
            <w:vMerge/>
          </w:tcPr>
          <w:p w14:paraId="2308B29D" w14:textId="77777777" w:rsidR="00B3127D" w:rsidRPr="005B17BF" w:rsidRDefault="00B3127D" w:rsidP="00E90328">
            <w:pPr>
              <w:pStyle w:val="Numberedpara"/>
            </w:pPr>
          </w:p>
        </w:tc>
        <w:tc>
          <w:tcPr>
            <w:tcW w:w="5755" w:type="dxa"/>
          </w:tcPr>
          <w:p w14:paraId="1FB8E3B0" w14:textId="77777777" w:rsidR="00B3127D" w:rsidRPr="005B17BF" w:rsidRDefault="00B3127D" w:rsidP="00E90328">
            <w:pPr>
              <w:pStyle w:val="Numberedpara"/>
            </w:pPr>
            <w:r w:rsidRPr="005B17BF">
              <w:t>1.2.2</w:t>
            </w:r>
            <w:r>
              <w:t>.</w:t>
            </w:r>
            <w:r w:rsidRPr="005B17BF">
              <w:t xml:space="preserve"> Design and implementation of a pilot financial incentives scheme for small-to-medium size to encourage them to adopt EC&amp;EE technologies and green logistic techniques.</w:t>
            </w:r>
          </w:p>
        </w:tc>
      </w:tr>
      <w:tr w:rsidR="00B3127D" w14:paraId="3B2E5197" w14:textId="77777777" w:rsidTr="00E90328">
        <w:tc>
          <w:tcPr>
            <w:tcW w:w="3794" w:type="dxa"/>
            <w:vMerge/>
          </w:tcPr>
          <w:p w14:paraId="0E6B21EF" w14:textId="77777777" w:rsidR="00B3127D" w:rsidRPr="005B17BF" w:rsidRDefault="00B3127D" w:rsidP="00E90328">
            <w:pPr>
              <w:pStyle w:val="Numberedpara"/>
            </w:pPr>
          </w:p>
        </w:tc>
        <w:tc>
          <w:tcPr>
            <w:tcW w:w="5755" w:type="dxa"/>
          </w:tcPr>
          <w:p w14:paraId="3F0197EE" w14:textId="77777777" w:rsidR="00B3127D" w:rsidRPr="005B17BF" w:rsidRDefault="00B3127D" w:rsidP="00E90328">
            <w:pPr>
              <w:pStyle w:val="Numberedpara"/>
            </w:pPr>
            <w:r w:rsidRPr="005B17BF">
              <w:t>1.2.3</w:t>
            </w:r>
            <w:r>
              <w:t>.</w:t>
            </w:r>
            <w:r w:rsidRPr="005B17BF">
              <w:t xml:space="preserve"> </w:t>
            </w:r>
            <w:r w:rsidRPr="005B17BF">
              <w:rPr>
                <w:lang w:eastAsia="zh-CN"/>
              </w:rPr>
              <w:t>Development and f</w:t>
            </w:r>
            <w:r w:rsidRPr="005B17BF">
              <w:t>ormulation</w:t>
            </w:r>
            <w:r w:rsidRPr="005B17BF">
              <w:rPr>
                <w:lang w:eastAsia="zh-CN"/>
              </w:rPr>
              <w:t xml:space="preserve"> of policies and implementing rules and regulations on the development and support of the logistics industry in Zhejiang Province</w:t>
            </w:r>
          </w:p>
        </w:tc>
      </w:tr>
      <w:tr w:rsidR="00B3127D" w14:paraId="0572EB27" w14:textId="77777777" w:rsidTr="00E90328">
        <w:tc>
          <w:tcPr>
            <w:tcW w:w="3794" w:type="dxa"/>
            <w:vMerge w:val="restart"/>
          </w:tcPr>
          <w:p w14:paraId="7AFCD64F" w14:textId="77777777" w:rsidR="00B3127D" w:rsidRPr="005B17BF" w:rsidRDefault="00B3127D" w:rsidP="00E90328">
            <w:pPr>
              <w:pStyle w:val="Numberedpara"/>
            </w:pPr>
            <w:r w:rsidRPr="005B17BF">
              <w:t>Output 1.3</w:t>
            </w:r>
            <w:r>
              <w:t>.</w:t>
            </w:r>
            <w:r w:rsidRPr="005B17BF">
              <w:t xml:space="preserve">  Published and disseminated guides and reference documents for the application of energy conserving and energy efficient practices in the logistics industry</w:t>
            </w:r>
          </w:p>
        </w:tc>
        <w:tc>
          <w:tcPr>
            <w:tcW w:w="5755" w:type="dxa"/>
          </w:tcPr>
          <w:p w14:paraId="50B68757" w14:textId="77777777" w:rsidR="00B3127D" w:rsidRPr="005B17BF" w:rsidRDefault="00B3127D" w:rsidP="00E90328">
            <w:pPr>
              <w:pStyle w:val="Numberedpara"/>
            </w:pPr>
            <w:r w:rsidRPr="005B17BF">
              <w:t>1.3.1</w:t>
            </w:r>
            <w:r>
              <w:t>.</w:t>
            </w:r>
            <w:r w:rsidRPr="005B17BF">
              <w:t xml:space="preserve"> Development of guides and reference documents for the application of energy conserving and energy efficient practices in the logistics industry</w:t>
            </w:r>
            <w:r w:rsidRPr="005B17BF">
              <w:rPr>
                <w:lang w:eastAsia="zh-CN"/>
              </w:rPr>
              <w:t>.</w:t>
            </w:r>
          </w:p>
        </w:tc>
      </w:tr>
      <w:tr w:rsidR="00B3127D" w14:paraId="0A8D2AE9" w14:textId="77777777" w:rsidTr="00E90328">
        <w:tc>
          <w:tcPr>
            <w:tcW w:w="3794" w:type="dxa"/>
            <w:vMerge/>
          </w:tcPr>
          <w:p w14:paraId="24B3E2C7" w14:textId="77777777" w:rsidR="00B3127D" w:rsidRPr="005B17BF" w:rsidRDefault="00B3127D" w:rsidP="00E90328">
            <w:pPr>
              <w:pStyle w:val="Numberedpara"/>
            </w:pPr>
          </w:p>
        </w:tc>
        <w:tc>
          <w:tcPr>
            <w:tcW w:w="5755" w:type="dxa"/>
          </w:tcPr>
          <w:p w14:paraId="240FBB32" w14:textId="77777777" w:rsidR="00B3127D" w:rsidRPr="005B17BF" w:rsidRDefault="00B3127D" w:rsidP="00E90328">
            <w:pPr>
              <w:pStyle w:val="Numberedpara"/>
            </w:pPr>
            <w:r w:rsidRPr="005B17BF">
              <w:t>1.3.2</w:t>
            </w:r>
            <w:r>
              <w:t>.</w:t>
            </w:r>
            <w:r w:rsidRPr="005B17BF">
              <w:t xml:space="preserve"> Dissemination of guides and reference documents for the application of energy conserving and energy efficient practices in the logistics industry in Zhejiang Province, in particular, and in China</w:t>
            </w:r>
          </w:p>
        </w:tc>
      </w:tr>
      <w:tr w:rsidR="00B3127D" w14:paraId="2771EA96" w14:textId="77777777" w:rsidTr="00E90328">
        <w:tc>
          <w:tcPr>
            <w:tcW w:w="3794" w:type="dxa"/>
            <w:vMerge w:val="restart"/>
          </w:tcPr>
          <w:p w14:paraId="64B3D388" w14:textId="77777777" w:rsidR="00B3127D" w:rsidRPr="005B17BF" w:rsidRDefault="00B3127D" w:rsidP="00E90328">
            <w:pPr>
              <w:pStyle w:val="Numberedpara"/>
            </w:pPr>
            <w:r w:rsidRPr="005B17BF">
              <w:t>Output 1.4</w:t>
            </w:r>
            <w:r>
              <w:t>.</w:t>
            </w:r>
            <w:r w:rsidRPr="005B17BF">
              <w:t xml:space="preserve"> Approved follow-up plan for the replication of the applications of the piloted green logistics policies in Zhejiang Province in other provinces and cities</w:t>
            </w:r>
          </w:p>
        </w:tc>
        <w:tc>
          <w:tcPr>
            <w:tcW w:w="5755" w:type="dxa"/>
          </w:tcPr>
          <w:p w14:paraId="61C6ECA9" w14:textId="77777777" w:rsidR="00B3127D" w:rsidRPr="005B17BF" w:rsidRDefault="00B3127D" w:rsidP="00E90328">
            <w:pPr>
              <w:pStyle w:val="Numberedpara"/>
            </w:pPr>
            <w:r w:rsidRPr="005B17BF">
              <w:t>1.4.1</w:t>
            </w:r>
            <w:r>
              <w:t>.</w:t>
            </w:r>
            <w:r w:rsidRPr="005B17BF">
              <w:t xml:space="preserve"> Design of the follow-up plan to promote and implement the replication of the successful applications of the piloted green logistics policies in Zhejiang Province to other provinces and cities.</w:t>
            </w:r>
          </w:p>
        </w:tc>
      </w:tr>
      <w:tr w:rsidR="00B3127D" w14:paraId="616F4D6C" w14:textId="77777777" w:rsidTr="00E90328">
        <w:tc>
          <w:tcPr>
            <w:tcW w:w="3794" w:type="dxa"/>
            <w:vMerge/>
          </w:tcPr>
          <w:p w14:paraId="58413224" w14:textId="77777777" w:rsidR="00B3127D" w:rsidRPr="005B17BF" w:rsidRDefault="00B3127D" w:rsidP="00E90328">
            <w:pPr>
              <w:pStyle w:val="Numberedpara"/>
            </w:pPr>
          </w:p>
        </w:tc>
        <w:tc>
          <w:tcPr>
            <w:tcW w:w="5755" w:type="dxa"/>
          </w:tcPr>
          <w:p w14:paraId="582D6B04" w14:textId="77777777" w:rsidR="00B3127D" w:rsidRPr="005B17BF" w:rsidRDefault="00B3127D" w:rsidP="00E90328">
            <w:pPr>
              <w:pStyle w:val="Numberedpara"/>
            </w:pPr>
            <w:r w:rsidRPr="005B17BF">
              <w:t>1.4.2</w:t>
            </w:r>
            <w:r>
              <w:t>.</w:t>
            </w:r>
            <w:r w:rsidRPr="005B17BF">
              <w:t xml:space="preserve"> </w:t>
            </w:r>
            <w:r w:rsidRPr="005B17BF">
              <w:rPr>
                <w:lang w:eastAsia="zh-CN"/>
              </w:rPr>
              <w:t>Promotion</w:t>
            </w:r>
            <w:r w:rsidRPr="005B17BF">
              <w:t xml:space="preserve"> of the successful applications of the piloted green logist</w:t>
            </w:r>
            <w:r>
              <w:t>i</w:t>
            </w:r>
            <w:r w:rsidRPr="005B17BF">
              <w:t>cs (materials management and physical distribution) policies in Zhejiang Province to other major Chinese provinces and cities (e.g., Dalian, Qingdao, Tianjin, Guangzhou, and Yangshan).</w:t>
            </w:r>
          </w:p>
        </w:tc>
      </w:tr>
      <w:tr w:rsidR="00B3127D" w:rsidRPr="005874C0" w14:paraId="371511E3" w14:textId="77777777" w:rsidTr="00E90328">
        <w:tc>
          <w:tcPr>
            <w:tcW w:w="9549" w:type="dxa"/>
            <w:gridSpan w:val="2"/>
            <w:shd w:val="clear" w:color="auto" w:fill="A4C7E8" w:themeFill="accent5" w:themeFillTint="66"/>
          </w:tcPr>
          <w:p w14:paraId="05FA0154" w14:textId="77777777" w:rsidR="00B3127D" w:rsidRPr="004F6ABE" w:rsidRDefault="00B3127D" w:rsidP="00E90328">
            <w:pPr>
              <w:pStyle w:val="Numberedpara"/>
              <w:rPr>
                <w:b/>
                <w:bCs/>
              </w:rPr>
            </w:pPr>
            <w:r w:rsidRPr="004F6ABE">
              <w:rPr>
                <w:b/>
                <w:bCs/>
              </w:rPr>
              <w:t>Component 2. Green Logistics Systems Demonstration</w:t>
            </w:r>
          </w:p>
          <w:p w14:paraId="6311A5DE" w14:textId="2B4BAC4D" w:rsidR="00B3127D" w:rsidRPr="005B17BF" w:rsidRDefault="00B3127D" w:rsidP="00E90328">
            <w:pPr>
              <w:pStyle w:val="Numberedpara"/>
            </w:pPr>
            <w:r w:rsidRPr="005B17BF">
              <w:lastRenderedPageBreak/>
              <w:t>Outcome 2</w:t>
            </w:r>
            <w:r>
              <w:t>.</w:t>
            </w:r>
            <w:r w:rsidRPr="005B17BF">
              <w:t xml:space="preserve"> Improved energy efficiency in the materials management and physical distribution activities in the logistics industry in Zhejiang Province</w:t>
            </w:r>
          </w:p>
        </w:tc>
      </w:tr>
      <w:tr w:rsidR="00B3127D" w:rsidRPr="005874C0" w14:paraId="67413787" w14:textId="77777777" w:rsidTr="00E90328">
        <w:tc>
          <w:tcPr>
            <w:tcW w:w="3794" w:type="dxa"/>
            <w:shd w:val="clear" w:color="auto" w:fill="D1E3F3" w:themeFill="accent5" w:themeFillTint="33"/>
          </w:tcPr>
          <w:p w14:paraId="3E5BFBF2" w14:textId="77777777" w:rsidR="00B3127D" w:rsidRPr="005B17BF" w:rsidRDefault="00B3127D" w:rsidP="00E90328">
            <w:pPr>
              <w:pStyle w:val="Numberedpara"/>
            </w:pPr>
            <w:r w:rsidRPr="005B17BF">
              <w:lastRenderedPageBreak/>
              <w:t>Outputs</w:t>
            </w:r>
          </w:p>
        </w:tc>
        <w:tc>
          <w:tcPr>
            <w:tcW w:w="5755" w:type="dxa"/>
            <w:shd w:val="clear" w:color="auto" w:fill="D1E3F3" w:themeFill="accent5" w:themeFillTint="33"/>
          </w:tcPr>
          <w:p w14:paraId="69DD3B84" w14:textId="77777777" w:rsidR="00B3127D" w:rsidRPr="005B17BF" w:rsidRDefault="00B3127D" w:rsidP="00E90328">
            <w:pPr>
              <w:pStyle w:val="Numberedpara"/>
            </w:pPr>
            <w:r w:rsidRPr="005B17BF">
              <w:t>Activities</w:t>
            </w:r>
          </w:p>
        </w:tc>
      </w:tr>
      <w:tr w:rsidR="00B3127D" w14:paraId="34002065" w14:textId="77777777" w:rsidTr="00E90328">
        <w:tc>
          <w:tcPr>
            <w:tcW w:w="3794" w:type="dxa"/>
            <w:vMerge w:val="restart"/>
          </w:tcPr>
          <w:p w14:paraId="4BFC2A8E" w14:textId="77777777" w:rsidR="00B3127D" w:rsidRPr="005B17BF" w:rsidRDefault="00B3127D" w:rsidP="00E90328">
            <w:pPr>
              <w:pStyle w:val="Numberedpara"/>
            </w:pPr>
            <w:r w:rsidRPr="005B17BF">
              <w:t>2.1</w:t>
            </w:r>
            <w:r>
              <w:t>.</w:t>
            </w:r>
            <w:r w:rsidRPr="005B17BF">
              <w:t xml:space="preserve"> Completed designs of energy efficient materials management demonstrations focusing on using energy efficient materials management systems in packaging, warehousing, cold storage, etc., in the logistics industry in Zhejiang Province</w:t>
            </w:r>
          </w:p>
        </w:tc>
        <w:tc>
          <w:tcPr>
            <w:tcW w:w="5755" w:type="dxa"/>
          </w:tcPr>
          <w:p w14:paraId="23F974BC" w14:textId="77777777" w:rsidR="00B3127D" w:rsidRPr="005B17BF" w:rsidRDefault="00B3127D" w:rsidP="00E90328">
            <w:pPr>
              <w:pStyle w:val="Numberedpara"/>
            </w:pPr>
            <w:r w:rsidRPr="005B17BF">
              <w:rPr>
                <w:rFonts w:eastAsia="SimSun"/>
                <w:lang w:eastAsia="zh-CN"/>
              </w:rPr>
              <w:t>2.1.1</w:t>
            </w:r>
            <w:r>
              <w:rPr>
                <w:rFonts w:eastAsia="SimSun"/>
                <w:lang w:eastAsia="zh-CN"/>
              </w:rPr>
              <w:t>.</w:t>
            </w:r>
            <w:r w:rsidRPr="005B17BF">
              <w:rPr>
                <w:rFonts w:eastAsia="SimSun"/>
                <w:lang w:eastAsia="zh-CN"/>
              </w:rPr>
              <w:t xml:space="preserve"> Conduct of feasibility analyses on the application and operation of energy efficient materials management systems in the logistics industry.</w:t>
            </w:r>
          </w:p>
        </w:tc>
      </w:tr>
      <w:tr w:rsidR="00B3127D" w14:paraId="2D31ABED" w14:textId="77777777" w:rsidTr="00E90328">
        <w:tc>
          <w:tcPr>
            <w:tcW w:w="3794" w:type="dxa"/>
            <w:vMerge/>
          </w:tcPr>
          <w:p w14:paraId="03E7A334" w14:textId="77777777" w:rsidR="00B3127D" w:rsidRPr="005B17BF" w:rsidRDefault="00B3127D" w:rsidP="00E90328">
            <w:pPr>
              <w:pStyle w:val="Numberedpara"/>
            </w:pPr>
          </w:p>
        </w:tc>
        <w:tc>
          <w:tcPr>
            <w:tcW w:w="5755" w:type="dxa"/>
          </w:tcPr>
          <w:p w14:paraId="686CB391" w14:textId="77777777" w:rsidR="00B3127D" w:rsidRPr="005B17BF" w:rsidRDefault="00B3127D" w:rsidP="00E90328">
            <w:pPr>
              <w:pStyle w:val="Numberedpara"/>
            </w:pPr>
            <w:r w:rsidRPr="005B17BF">
              <w:rPr>
                <w:rFonts w:eastAsia="SimSun"/>
                <w:lang w:eastAsia="zh-CN"/>
              </w:rPr>
              <w:t>2.1.2</w:t>
            </w:r>
            <w:r>
              <w:rPr>
                <w:rFonts w:eastAsia="SimSun"/>
                <w:lang w:eastAsia="zh-CN"/>
              </w:rPr>
              <w:t>.</w:t>
            </w:r>
            <w:r w:rsidRPr="005B17BF">
              <w:rPr>
                <w:rFonts w:eastAsia="SimSun"/>
                <w:lang w:eastAsia="zh-CN"/>
              </w:rPr>
              <w:t xml:space="preserve"> Design of the modified materials management system (including the associated facilities and infrastructures) in the Zhejiang Province logistics system projects. </w:t>
            </w:r>
          </w:p>
        </w:tc>
      </w:tr>
      <w:tr w:rsidR="00B3127D" w14:paraId="29B90196" w14:textId="77777777" w:rsidTr="00E90328">
        <w:tc>
          <w:tcPr>
            <w:tcW w:w="3794" w:type="dxa"/>
            <w:vMerge/>
          </w:tcPr>
          <w:p w14:paraId="659D6C4D" w14:textId="77777777" w:rsidR="00B3127D" w:rsidRPr="005B17BF" w:rsidRDefault="00B3127D" w:rsidP="00E90328">
            <w:pPr>
              <w:pStyle w:val="Numberedpara"/>
            </w:pPr>
          </w:p>
        </w:tc>
        <w:tc>
          <w:tcPr>
            <w:tcW w:w="5755" w:type="dxa"/>
          </w:tcPr>
          <w:p w14:paraId="6350B191" w14:textId="77777777" w:rsidR="00B3127D" w:rsidRPr="005B17BF" w:rsidRDefault="00B3127D" w:rsidP="00E90328">
            <w:pPr>
              <w:pStyle w:val="Numberedpara"/>
            </w:pPr>
            <w:r w:rsidRPr="005B17BF">
              <w:rPr>
                <w:rFonts w:eastAsia="SimSun"/>
                <w:lang w:eastAsia="zh-CN"/>
              </w:rPr>
              <w:t>2.1.3</w:t>
            </w:r>
            <w:r>
              <w:rPr>
                <w:rFonts w:eastAsia="SimSun"/>
                <w:lang w:eastAsia="zh-CN"/>
              </w:rPr>
              <w:t>.</w:t>
            </w:r>
            <w:r w:rsidRPr="005B17BF">
              <w:rPr>
                <w:rFonts w:eastAsia="SimSun"/>
                <w:lang w:eastAsia="zh-CN"/>
              </w:rPr>
              <w:t xml:space="preserve"> Development of the implementation plans (including financing arrangements) for each demonstration energy efficient materials management systems in the logistics industry.</w:t>
            </w:r>
          </w:p>
        </w:tc>
      </w:tr>
      <w:tr w:rsidR="00B3127D" w14:paraId="2A5AD9F7" w14:textId="77777777" w:rsidTr="00E90328">
        <w:tc>
          <w:tcPr>
            <w:tcW w:w="3794" w:type="dxa"/>
            <w:vMerge w:val="restart"/>
          </w:tcPr>
          <w:p w14:paraId="397E9F46" w14:textId="77777777" w:rsidR="00B3127D" w:rsidRPr="005B17BF" w:rsidRDefault="00B3127D" w:rsidP="00E90328">
            <w:pPr>
              <w:pStyle w:val="Numberedpara"/>
            </w:pPr>
            <w:r w:rsidRPr="005B17BF">
              <w:t>2.2</w:t>
            </w:r>
            <w:r>
              <w:t>.</w:t>
            </w:r>
            <w:r w:rsidRPr="005B17BF">
              <w:t xml:space="preserve"> Completed designs of energy efficient physical distribution demonstrations focusing on integrated multi-modal transport systems and reduction of empty load rates in the freight transport operations of the logistics in Zhejiang Province</w:t>
            </w:r>
          </w:p>
        </w:tc>
        <w:tc>
          <w:tcPr>
            <w:tcW w:w="5755" w:type="dxa"/>
          </w:tcPr>
          <w:p w14:paraId="49B11AB8" w14:textId="77777777" w:rsidR="00B3127D" w:rsidRPr="005B17BF" w:rsidRDefault="00B3127D" w:rsidP="00E90328">
            <w:pPr>
              <w:pStyle w:val="Numberedpara"/>
            </w:pPr>
            <w:r w:rsidRPr="005B17BF">
              <w:rPr>
                <w:rFonts w:eastAsia="SimSun"/>
                <w:lang w:eastAsia="zh-CN"/>
              </w:rPr>
              <w:t>2.2.1</w:t>
            </w:r>
            <w:r>
              <w:rPr>
                <w:rFonts w:eastAsia="SimSun"/>
                <w:lang w:eastAsia="zh-CN"/>
              </w:rPr>
              <w:t>.</w:t>
            </w:r>
            <w:r w:rsidRPr="005B17BF">
              <w:rPr>
                <w:rFonts w:eastAsia="SimSun"/>
                <w:lang w:eastAsia="zh-CN"/>
              </w:rPr>
              <w:t xml:space="preserve"> Conduct of feasibility analyses on the application and operation of energy efficient physical distribution systems in the logistics industry.</w:t>
            </w:r>
          </w:p>
        </w:tc>
      </w:tr>
      <w:tr w:rsidR="00B3127D" w14:paraId="16619066" w14:textId="77777777" w:rsidTr="00E90328">
        <w:tc>
          <w:tcPr>
            <w:tcW w:w="3794" w:type="dxa"/>
            <w:vMerge/>
          </w:tcPr>
          <w:p w14:paraId="7A689964" w14:textId="77777777" w:rsidR="00B3127D" w:rsidRPr="005B17BF" w:rsidRDefault="00B3127D" w:rsidP="00E90328">
            <w:pPr>
              <w:pStyle w:val="Numberedpara"/>
            </w:pPr>
          </w:p>
        </w:tc>
        <w:tc>
          <w:tcPr>
            <w:tcW w:w="5755" w:type="dxa"/>
          </w:tcPr>
          <w:p w14:paraId="19D1882B" w14:textId="77777777" w:rsidR="00B3127D" w:rsidRPr="005B17BF" w:rsidRDefault="00B3127D" w:rsidP="00E90328">
            <w:pPr>
              <w:pStyle w:val="Numberedpara"/>
            </w:pPr>
            <w:r w:rsidRPr="005B17BF">
              <w:t>2</w:t>
            </w:r>
            <w:r w:rsidRPr="005B17BF">
              <w:rPr>
                <w:rFonts w:eastAsia="SimSun"/>
                <w:lang w:eastAsia="zh-CN"/>
              </w:rPr>
              <w:t>.2.2</w:t>
            </w:r>
            <w:r>
              <w:rPr>
                <w:rFonts w:eastAsia="SimSun"/>
                <w:lang w:eastAsia="zh-CN"/>
              </w:rPr>
              <w:t>.</w:t>
            </w:r>
            <w:r w:rsidRPr="005B17BF">
              <w:rPr>
                <w:rFonts w:eastAsia="SimSun"/>
                <w:lang w:eastAsia="zh-CN"/>
              </w:rPr>
              <w:t xml:space="preserve"> Design of the physical distribution system (including the associated facilities and infrastructures for energy efficient water and water/road freight planning and management schemes) in the Zhejiang Province logistics system projects. </w:t>
            </w:r>
          </w:p>
        </w:tc>
      </w:tr>
      <w:tr w:rsidR="00B3127D" w14:paraId="05094E04" w14:textId="77777777" w:rsidTr="00E90328">
        <w:tc>
          <w:tcPr>
            <w:tcW w:w="3794" w:type="dxa"/>
            <w:vMerge/>
          </w:tcPr>
          <w:p w14:paraId="37ED4410" w14:textId="77777777" w:rsidR="00B3127D" w:rsidRPr="005B17BF" w:rsidRDefault="00B3127D" w:rsidP="00E90328">
            <w:pPr>
              <w:pStyle w:val="Numberedpara"/>
            </w:pPr>
          </w:p>
        </w:tc>
        <w:tc>
          <w:tcPr>
            <w:tcW w:w="5755" w:type="dxa"/>
          </w:tcPr>
          <w:p w14:paraId="2458FDB2" w14:textId="77777777" w:rsidR="00B3127D" w:rsidRPr="005B17BF" w:rsidRDefault="00B3127D" w:rsidP="00E90328">
            <w:pPr>
              <w:pStyle w:val="Numberedpara"/>
            </w:pPr>
            <w:r w:rsidRPr="005B17BF">
              <w:rPr>
                <w:rFonts w:eastAsia="SimSun"/>
                <w:lang w:eastAsia="zh-CN"/>
              </w:rPr>
              <w:t>2.2.3</w:t>
            </w:r>
            <w:r>
              <w:rPr>
                <w:rFonts w:eastAsia="SimSun"/>
                <w:lang w:eastAsia="zh-CN"/>
              </w:rPr>
              <w:t>.</w:t>
            </w:r>
            <w:r w:rsidRPr="005B17BF">
              <w:rPr>
                <w:rFonts w:eastAsia="SimSun"/>
                <w:lang w:eastAsia="zh-CN"/>
              </w:rPr>
              <w:t xml:space="preserve"> Development of the implementation plans (including financing arrangements) for each demonstration EE physical distribution systems in the logistics industry.</w:t>
            </w:r>
          </w:p>
        </w:tc>
      </w:tr>
      <w:tr w:rsidR="00B3127D" w14:paraId="7F8C267B" w14:textId="77777777" w:rsidTr="00E90328">
        <w:tc>
          <w:tcPr>
            <w:tcW w:w="3794" w:type="dxa"/>
            <w:vMerge w:val="restart"/>
          </w:tcPr>
          <w:p w14:paraId="51029358" w14:textId="77777777" w:rsidR="00B3127D" w:rsidRPr="005B17BF" w:rsidRDefault="00B3127D" w:rsidP="00E90328">
            <w:pPr>
              <w:pStyle w:val="Numberedpara"/>
            </w:pPr>
            <w:r w:rsidRPr="005B17BF">
              <w:t>2.3</w:t>
            </w:r>
            <w:r>
              <w:t>.</w:t>
            </w:r>
            <w:r w:rsidRPr="005B17BF">
              <w:t xml:space="preserve"> Installed and fully operational green logistics-based centralized logistic platform in Fuyang City, Zhejiang Province</w:t>
            </w:r>
          </w:p>
        </w:tc>
        <w:tc>
          <w:tcPr>
            <w:tcW w:w="5755" w:type="dxa"/>
          </w:tcPr>
          <w:p w14:paraId="6ADB7108" w14:textId="77777777" w:rsidR="00B3127D" w:rsidRPr="005B17BF" w:rsidRDefault="00B3127D" w:rsidP="00E90328">
            <w:pPr>
              <w:pStyle w:val="Numberedpara"/>
            </w:pPr>
            <w:r w:rsidRPr="005B17BF">
              <w:rPr>
                <w:rFonts w:eastAsia="SimSun"/>
                <w:lang w:eastAsia="zh-CN"/>
              </w:rPr>
              <w:t>2.3.1</w:t>
            </w:r>
            <w:r>
              <w:rPr>
                <w:rFonts w:eastAsia="SimSun"/>
                <w:lang w:eastAsia="zh-CN"/>
              </w:rPr>
              <w:t>.</w:t>
            </w:r>
            <w:r w:rsidRPr="005B17BF">
              <w:rPr>
                <w:rFonts w:eastAsia="SimSun"/>
                <w:lang w:eastAsia="zh-CN"/>
              </w:rPr>
              <w:t xml:space="preserve"> Installation of the demonstration energy efficient centralized logistic facility.</w:t>
            </w:r>
          </w:p>
        </w:tc>
      </w:tr>
      <w:tr w:rsidR="00B3127D" w14:paraId="136A8091" w14:textId="77777777" w:rsidTr="00E90328">
        <w:tc>
          <w:tcPr>
            <w:tcW w:w="3794" w:type="dxa"/>
            <w:vMerge/>
          </w:tcPr>
          <w:p w14:paraId="3EAD3026" w14:textId="77777777" w:rsidR="00B3127D" w:rsidRPr="005B17BF" w:rsidRDefault="00B3127D" w:rsidP="00E90328">
            <w:pPr>
              <w:pStyle w:val="Numberedpara"/>
            </w:pPr>
          </w:p>
        </w:tc>
        <w:tc>
          <w:tcPr>
            <w:tcW w:w="5755" w:type="dxa"/>
          </w:tcPr>
          <w:p w14:paraId="151CF833" w14:textId="77777777" w:rsidR="00B3127D" w:rsidRPr="005B17BF" w:rsidRDefault="00B3127D" w:rsidP="00E90328">
            <w:pPr>
              <w:pStyle w:val="Numberedpara"/>
            </w:pPr>
            <w:r w:rsidRPr="005B17BF">
              <w:rPr>
                <w:rFonts w:eastAsia="SimSun"/>
                <w:lang w:eastAsia="zh-CN"/>
              </w:rPr>
              <w:t>2</w:t>
            </w:r>
            <w:r w:rsidRPr="005B17BF">
              <w:t>.</w:t>
            </w:r>
            <w:r w:rsidRPr="005B17BF">
              <w:rPr>
                <w:rFonts w:eastAsia="SimSun"/>
                <w:lang w:eastAsia="zh-CN"/>
              </w:rPr>
              <w:t>3.2</w:t>
            </w:r>
            <w:r>
              <w:rPr>
                <w:rFonts w:eastAsia="SimSun"/>
                <w:lang w:eastAsia="zh-CN"/>
              </w:rPr>
              <w:t>.</w:t>
            </w:r>
            <w:r w:rsidRPr="005B17BF">
              <w:rPr>
                <w:rFonts w:eastAsia="SimSun"/>
                <w:lang w:eastAsia="zh-CN"/>
              </w:rPr>
              <w:t xml:space="preserve"> Operation of the demonstration centralized logistics facility in Zhejiang Province.</w:t>
            </w:r>
          </w:p>
        </w:tc>
      </w:tr>
      <w:tr w:rsidR="00B3127D" w14:paraId="14767095" w14:textId="77777777" w:rsidTr="00E90328">
        <w:tc>
          <w:tcPr>
            <w:tcW w:w="3794" w:type="dxa"/>
            <w:vMerge w:val="restart"/>
          </w:tcPr>
          <w:p w14:paraId="77D2EB73" w14:textId="77777777" w:rsidR="00B3127D" w:rsidRPr="005B17BF" w:rsidRDefault="00B3127D" w:rsidP="00E90328">
            <w:pPr>
              <w:pStyle w:val="Numberedpara"/>
            </w:pPr>
            <w:r w:rsidRPr="005B17BF">
              <w:t>2.4</w:t>
            </w:r>
            <w:r>
              <w:t>.</w:t>
            </w:r>
            <w:r w:rsidRPr="005B17BF">
              <w:t xml:space="preserve"> Operational green logistics-based physical distribution system demonstration project in Zhejiang Province </w:t>
            </w:r>
          </w:p>
        </w:tc>
        <w:tc>
          <w:tcPr>
            <w:tcW w:w="5755" w:type="dxa"/>
          </w:tcPr>
          <w:p w14:paraId="719FA47E" w14:textId="77777777" w:rsidR="00B3127D" w:rsidRPr="005B17BF" w:rsidRDefault="00B3127D" w:rsidP="00E90328">
            <w:pPr>
              <w:pStyle w:val="Numberedpara"/>
            </w:pPr>
            <w:r w:rsidRPr="005B17BF">
              <w:rPr>
                <w:lang w:eastAsia="zh-CN"/>
              </w:rPr>
              <w:t>2.4.1</w:t>
            </w:r>
            <w:r>
              <w:rPr>
                <w:lang w:eastAsia="zh-CN"/>
              </w:rPr>
              <w:t>.</w:t>
            </w:r>
            <w:r w:rsidRPr="005B17BF">
              <w:rPr>
                <w:lang w:eastAsia="zh-CN"/>
              </w:rPr>
              <w:t xml:space="preserve"> Installation of the demonstration energy efficient centralized freight transport facility.</w:t>
            </w:r>
          </w:p>
        </w:tc>
      </w:tr>
      <w:tr w:rsidR="00B3127D" w14:paraId="3E86B4C6" w14:textId="77777777" w:rsidTr="00E90328">
        <w:tc>
          <w:tcPr>
            <w:tcW w:w="3794" w:type="dxa"/>
            <w:vMerge/>
          </w:tcPr>
          <w:p w14:paraId="1EC9D2E2" w14:textId="77777777" w:rsidR="00B3127D" w:rsidRPr="005B17BF" w:rsidRDefault="00B3127D" w:rsidP="00E90328">
            <w:pPr>
              <w:pStyle w:val="Numberedpara"/>
            </w:pPr>
          </w:p>
        </w:tc>
        <w:tc>
          <w:tcPr>
            <w:tcW w:w="5755" w:type="dxa"/>
          </w:tcPr>
          <w:p w14:paraId="3FABD7E8" w14:textId="77777777" w:rsidR="00B3127D" w:rsidRPr="005B17BF" w:rsidRDefault="00B3127D" w:rsidP="00E90328">
            <w:pPr>
              <w:pStyle w:val="Numberedpara"/>
            </w:pPr>
            <w:r w:rsidRPr="005B17BF">
              <w:rPr>
                <w:rFonts w:eastAsia="SimSun"/>
                <w:lang w:eastAsia="zh-CN"/>
              </w:rPr>
              <w:t>2.4.2</w:t>
            </w:r>
            <w:r>
              <w:rPr>
                <w:rFonts w:eastAsia="SimSun"/>
                <w:lang w:eastAsia="zh-CN"/>
              </w:rPr>
              <w:t>.</w:t>
            </w:r>
            <w:r w:rsidRPr="005B17BF">
              <w:rPr>
                <w:rFonts w:eastAsia="SimSun"/>
                <w:lang w:eastAsia="zh-CN"/>
              </w:rPr>
              <w:t xml:space="preserve"> Operation of the demonstration centralized freight transport system in Zhejiang Province.</w:t>
            </w:r>
          </w:p>
        </w:tc>
      </w:tr>
      <w:tr w:rsidR="00B3127D" w14:paraId="18B1E573" w14:textId="77777777" w:rsidTr="00E90328">
        <w:tc>
          <w:tcPr>
            <w:tcW w:w="3794" w:type="dxa"/>
            <w:vMerge w:val="restart"/>
          </w:tcPr>
          <w:p w14:paraId="50D1F36F" w14:textId="77777777" w:rsidR="00B3127D" w:rsidRPr="005B17BF" w:rsidRDefault="00B3127D" w:rsidP="00E90328">
            <w:pPr>
              <w:pStyle w:val="Numberedpara"/>
            </w:pPr>
            <w:r w:rsidRPr="005B17BF">
              <w:t>2.5</w:t>
            </w:r>
            <w:r>
              <w:t>.</w:t>
            </w:r>
            <w:r w:rsidRPr="005B17BF">
              <w:t xml:space="preserve">  Documented annual evaluation reports on the energy performance and environmental impacts of each demo project in materials management and physical distribution, and documented and disseminated demo project results</w:t>
            </w:r>
          </w:p>
        </w:tc>
        <w:tc>
          <w:tcPr>
            <w:tcW w:w="5755" w:type="dxa"/>
          </w:tcPr>
          <w:p w14:paraId="2174CB8F" w14:textId="77777777" w:rsidR="00B3127D" w:rsidRPr="005B17BF" w:rsidRDefault="00B3127D" w:rsidP="00E90328">
            <w:pPr>
              <w:pStyle w:val="Numberedpara"/>
            </w:pPr>
            <w:r w:rsidRPr="005B17BF">
              <w:t>2.5.1</w:t>
            </w:r>
            <w:r>
              <w:t>.</w:t>
            </w:r>
            <w:r w:rsidRPr="005B17BF">
              <w:t xml:space="preserve">  </w:t>
            </w:r>
            <w:r w:rsidRPr="005B17BF">
              <w:rPr>
                <w:lang w:eastAsia="zh-CN"/>
              </w:rPr>
              <w:t xml:space="preserve">Evaluation of the </w:t>
            </w:r>
            <w:r w:rsidRPr="005B17BF">
              <w:t>energy performance and environmental impacts of each demo EE materials management project</w:t>
            </w:r>
          </w:p>
        </w:tc>
      </w:tr>
      <w:tr w:rsidR="00B3127D" w14:paraId="3BCBC351" w14:textId="77777777" w:rsidTr="00E90328">
        <w:tc>
          <w:tcPr>
            <w:tcW w:w="3794" w:type="dxa"/>
            <w:vMerge/>
          </w:tcPr>
          <w:p w14:paraId="7BBC1E9A" w14:textId="77777777" w:rsidR="00B3127D" w:rsidRPr="005B17BF" w:rsidRDefault="00B3127D" w:rsidP="00E90328">
            <w:pPr>
              <w:pStyle w:val="Numberedpara"/>
            </w:pPr>
          </w:p>
        </w:tc>
        <w:tc>
          <w:tcPr>
            <w:tcW w:w="5755" w:type="dxa"/>
          </w:tcPr>
          <w:p w14:paraId="7AEEF221" w14:textId="77777777" w:rsidR="00B3127D" w:rsidRPr="005B17BF" w:rsidRDefault="00B3127D" w:rsidP="00E90328">
            <w:pPr>
              <w:pStyle w:val="Numberedpara"/>
            </w:pPr>
            <w:r w:rsidRPr="005B17BF">
              <w:rPr>
                <w:lang w:eastAsia="zh-CN"/>
              </w:rPr>
              <w:t>2.5.2</w:t>
            </w:r>
            <w:r>
              <w:rPr>
                <w:lang w:eastAsia="zh-CN"/>
              </w:rPr>
              <w:t>.</w:t>
            </w:r>
            <w:r w:rsidRPr="005B17BF">
              <w:rPr>
                <w:lang w:eastAsia="zh-CN"/>
              </w:rPr>
              <w:t xml:space="preserve"> Documentation and dissemination of the results of </w:t>
            </w:r>
            <w:r w:rsidRPr="005B17BF">
              <w:t>each demo EE materials management project</w:t>
            </w:r>
          </w:p>
        </w:tc>
      </w:tr>
      <w:tr w:rsidR="00B3127D" w14:paraId="34E03721" w14:textId="77777777" w:rsidTr="00E90328">
        <w:tc>
          <w:tcPr>
            <w:tcW w:w="3794" w:type="dxa"/>
            <w:vMerge/>
          </w:tcPr>
          <w:p w14:paraId="1310C07D" w14:textId="77777777" w:rsidR="00B3127D" w:rsidRPr="005B17BF" w:rsidRDefault="00B3127D" w:rsidP="00E90328">
            <w:pPr>
              <w:pStyle w:val="Numberedpara"/>
            </w:pPr>
          </w:p>
        </w:tc>
        <w:tc>
          <w:tcPr>
            <w:tcW w:w="5755" w:type="dxa"/>
          </w:tcPr>
          <w:p w14:paraId="04B52885" w14:textId="77777777" w:rsidR="00B3127D" w:rsidRPr="005B17BF" w:rsidRDefault="00B3127D" w:rsidP="00E90328">
            <w:pPr>
              <w:pStyle w:val="Numberedpara"/>
            </w:pPr>
            <w:r w:rsidRPr="005B17BF">
              <w:t>2.5.3</w:t>
            </w:r>
            <w:r>
              <w:t>.</w:t>
            </w:r>
            <w:r w:rsidRPr="005B17BF">
              <w:t xml:space="preserve"> </w:t>
            </w:r>
            <w:r w:rsidRPr="005B17BF">
              <w:rPr>
                <w:lang w:eastAsia="zh-CN"/>
              </w:rPr>
              <w:t xml:space="preserve">Evaluation of the </w:t>
            </w:r>
            <w:r w:rsidRPr="005B17BF">
              <w:t>energy performance and environmental impacts of each demo EE physical distribution project</w:t>
            </w:r>
          </w:p>
        </w:tc>
      </w:tr>
      <w:tr w:rsidR="00B3127D" w14:paraId="409568A8" w14:textId="77777777" w:rsidTr="00E90328">
        <w:tc>
          <w:tcPr>
            <w:tcW w:w="3794" w:type="dxa"/>
            <w:vMerge/>
          </w:tcPr>
          <w:p w14:paraId="18AFCB67" w14:textId="77777777" w:rsidR="00B3127D" w:rsidRPr="005B17BF" w:rsidRDefault="00B3127D" w:rsidP="00E90328">
            <w:pPr>
              <w:pStyle w:val="Numberedpara"/>
            </w:pPr>
          </w:p>
        </w:tc>
        <w:tc>
          <w:tcPr>
            <w:tcW w:w="5755" w:type="dxa"/>
          </w:tcPr>
          <w:p w14:paraId="2B1ADCCD" w14:textId="77777777" w:rsidR="00B3127D" w:rsidRPr="005B17BF" w:rsidRDefault="00B3127D" w:rsidP="00E90328">
            <w:pPr>
              <w:pStyle w:val="Numberedpara"/>
            </w:pPr>
            <w:r w:rsidRPr="005B17BF">
              <w:rPr>
                <w:lang w:eastAsia="zh-CN"/>
              </w:rPr>
              <w:t>2.5.4</w:t>
            </w:r>
            <w:r>
              <w:rPr>
                <w:lang w:eastAsia="zh-CN"/>
              </w:rPr>
              <w:t>.</w:t>
            </w:r>
            <w:r w:rsidRPr="005B17BF">
              <w:rPr>
                <w:lang w:eastAsia="zh-CN"/>
              </w:rPr>
              <w:t xml:space="preserve"> Documentation and dissemination of the results of </w:t>
            </w:r>
            <w:r w:rsidRPr="005B17BF">
              <w:t>each demo EE physical distribution project</w:t>
            </w:r>
          </w:p>
        </w:tc>
      </w:tr>
      <w:tr w:rsidR="00B3127D" w14:paraId="0690A891" w14:textId="77777777" w:rsidTr="00E90328">
        <w:tc>
          <w:tcPr>
            <w:tcW w:w="3794" w:type="dxa"/>
          </w:tcPr>
          <w:p w14:paraId="3EDCDA1C" w14:textId="77777777" w:rsidR="00B3127D" w:rsidRPr="005B17BF" w:rsidRDefault="00B3127D" w:rsidP="00E90328">
            <w:pPr>
              <w:pStyle w:val="Numberedpara"/>
            </w:pPr>
            <w:r w:rsidRPr="005B17BF">
              <w:lastRenderedPageBreak/>
              <w:t>2.6</w:t>
            </w:r>
            <w:r>
              <w:t>.</w:t>
            </w:r>
            <w:r w:rsidRPr="005B17BF">
              <w:t xml:space="preserve"> Developed action plan for sustainability of the green logistics system demonstration program</w:t>
            </w:r>
          </w:p>
        </w:tc>
        <w:tc>
          <w:tcPr>
            <w:tcW w:w="5755" w:type="dxa"/>
          </w:tcPr>
          <w:p w14:paraId="39A83F49" w14:textId="77777777" w:rsidR="00B3127D" w:rsidRPr="005B17BF" w:rsidRDefault="00B3127D" w:rsidP="00E90328">
            <w:pPr>
              <w:pStyle w:val="Numberedpara"/>
            </w:pPr>
            <w:r w:rsidRPr="005B17BF">
              <w:t>2.6.1</w:t>
            </w:r>
            <w:r>
              <w:t>.</w:t>
            </w:r>
            <w:r w:rsidRPr="005B17BF">
              <w:t xml:space="preserve"> Development of the action plan for sustainability of the green logistics system demonstration program</w:t>
            </w:r>
          </w:p>
        </w:tc>
      </w:tr>
      <w:tr w:rsidR="00B3127D" w:rsidRPr="005874C0" w14:paraId="5E30717E" w14:textId="77777777" w:rsidTr="00E90328">
        <w:tc>
          <w:tcPr>
            <w:tcW w:w="9549" w:type="dxa"/>
            <w:gridSpan w:val="2"/>
            <w:shd w:val="clear" w:color="auto" w:fill="A4C7E8" w:themeFill="accent5" w:themeFillTint="66"/>
          </w:tcPr>
          <w:p w14:paraId="769F7C5E" w14:textId="77777777" w:rsidR="00B3127D" w:rsidRPr="004F6ABE" w:rsidRDefault="00B3127D" w:rsidP="00E90328">
            <w:pPr>
              <w:pStyle w:val="Numberedpara"/>
              <w:rPr>
                <w:b/>
                <w:bCs/>
              </w:rPr>
            </w:pPr>
            <w:r w:rsidRPr="004F6ABE">
              <w:rPr>
                <w:b/>
                <w:bCs/>
              </w:rPr>
              <w:t>Component 3</w:t>
            </w:r>
            <w:r>
              <w:rPr>
                <w:b/>
                <w:bCs/>
              </w:rPr>
              <w:t>.</w:t>
            </w:r>
            <w:r w:rsidRPr="004F6ABE">
              <w:rPr>
                <w:b/>
                <w:bCs/>
              </w:rPr>
              <w:t xml:space="preserve"> Capacity Building and Promotion of Green Logistics Systems</w:t>
            </w:r>
          </w:p>
          <w:p w14:paraId="5F731D1B" w14:textId="77777777" w:rsidR="00B3127D" w:rsidRPr="005B17BF" w:rsidRDefault="00B3127D" w:rsidP="00E90328">
            <w:pPr>
              <w:pStyle w:val="Numberedpara"/>
            </w:pPr>
            <w:r w:rsidRPr="005B17BF">
              <w:t>Outcome 3. Increased application and utilization of energy efficient materials management and physical distribution techniques, technologies and practices in the logistics and manufacturing industries in Zhejiang Province</w:t>
            </w:r>
          </w:p>
        </w:tc>
      </w:tr>
      <w:tr w:rsidR="00B3127D" w:rsidRPr="005874C0" w14:paraId="7BB6FC8B" w14:textId="77777777" w:rsidTr="00E90328">
        <w:tc>
          <w:tcPr>
            <w:tcW w:w="3794" w:type="dxa"/>
            <w:shd w:val="clear" w:color="auto" w:fill="D1E3F3" w:themeFill="accent5" w:themeFillTint="33"/>
          </w:tcPr>
          <w:p w14:paraId="037EE311" w14:textId="77777777" w:rsidR="00B3127D" w:rsidRPr="005B17BF" w:rsidRDefault="00B3127D" w:rsidP="00E90328">
            <w:pPr>
              <w:pStyle w:val="Numberedpara"/>
            </w:pPr>
            <w:r w:rsidRPr="005B17BF">
              <w:t>Outputs</w:t>
            </w:r>
          </w:p>
        </w:tc>
        <w:tc>
          <w:tcPr>
            <w:tcW w:w="5755" w:type="dxa"/>
            <w:shd w:val="clear" w:color="auto" w:fill="D1E3F3" w:themeFill="accent5" w:themeFillTint="33"/>
          </w:tcPr>
          <w:p w14:paraId="35D9B30E" w14:textId="77777777" w:rsidR="00B3127D" w:rsidRPr="005B17BF" w:rsidRDefault="00B3127D" w:rsidP="00E90328">
            <w:pPr>
              <w:pStyle w:val="Numberedpara"/>
            </w:pPr>
            <w:r w:rsidRPr="005B17BF">
              <w:t>Activities</w:t>
            </w:r>
          </w:p>
        </w:tc>
      </w:tr>
      <w:tr w:rsidR="00B3127D" w14:paraId="41CA1C32" w14:textId="77777777" w:rsidTr="00E90328">
        <w:tc>
          <w:tcPr>
            <w:tcW w:w="3794" w:type="dxa"/>
            <w:vMerge w:val="restart"/>
          </w:tcPr>
          <w:p w14:paraId="3603663E" w14:textId="77777777" w:rsidR="00B3127D" w:rsidRPr="005B17BF" w:rsidRDefault="00B3127D" w:rsidP="00E90328">
            <w:pPr>
              <w:pStyle w:val="Numberedpara"/>
            </w:pPr>
            <w:r w:rsidRPr="005B17BF">
              <w:t>3.1</w:t>
            </w:r>
            <w:r>
              <w:t>.</w:t>
            </w:r>
            <w:r w:rsidRPr="005B17BF">
              <w:t xml:space="preserve"> Completed assessment report on capacity development needs in the area of green logistics and developed green logistics capacity building program</w:t>
            </w:r>
          </w:p>
        </w:tc>
        <w:tc>
          <w:tcPr>
            <w:tcW w:w="5755" w:type="dxa"/>
          </w:tcPr>
          <w:p w14:paraId="3B763B34" w14:textId="4045B593" w:rsidR="00B3127D" w:rsidRPr="005B17BF" w:rsidRDefault="00B3127D" w:rsidP="00E90328">
            <w:pPr>
              <w:pStyle w:val="Numberedpara"/>
            </w:pPr>
            <w:smartTag w:uri="urn:schemas-microsoft-com:office:smarttags" w:element="chsdate">
              <w:smartTagPr>
                <w:attr w:name="Year" w:val="1899"/>
                <w:attr w:name="Month" w:val="12"/>
                <w:attr w:name="Day" w:val="30"/>
                <w:attr w:name="IsLunarDate" w:val="False"/>
                <w:attr w:name="IsROCDate" w:val="False"/>
              </w:smartTagPr>
              <w:r w:rsidRPr="005B17BF">
                <w:t>3.1.1</w:t>
              </w:r>
            </w:smartTag>
            <w:r w:rsidR="00493AE4">
              <w:t>.</w:t>
            </w:r>
            <w:r w:rsidRPr="005B17BF">
              <w:t xml:space="preserve"> Assessment of</w:t>
            </w:r>
            <w:r w:rsidRPr="005B17BF">
              <w:rPr>
                <w:lang w:eastAsia="zh-CN"/>
              </w:rPr>
              <w:t xml:space="preserve"> the</w:t>
            </w:r>
            <w:r w:rsidRPr="005B17BF">
              <w:t xml:space="preserve"> capacity development needs in the area of green logistics</w:t>
            </w:r>
          </w:p>
        </w:tc>
      </w:tr>
      <w:tr w:rsidR="00B3127D" w14:paraId="7A5A1D2A" w14:textId="77777777" w:rsidTr="00E90328">
        <w:tc>
          <w:tcPr>
            <w:tcW w:w="3794" w:type="dxa"/>
            <w:vMerge/>
          </w:tcPr>
          <w:p w14:paraId="01A88FFF" w14:textId="77777777" w:rsidR="00B3127D" w:rsidRPr="005B17BF" w:rsidRDefault="00B3127D" w:rsidP="00E90328">
            <w:pPr>
              <w:pStyle w:val="Numberedpara"/>
            </w:pPr>
          </w:p>
        </w:tc>
        <w:tc>
          <w:tcPr>
            <w:tcW w:w="5755" w:type="dxa"/>
          </w:tcPr>
          <w:p w14:paraId="3AA8D758" w14:textId="1ADD6935" w:rsidR="00B3127D" w:rsidRPr="005B17BF" w:rsidRDefault="00B3127D" w:rsidP="00E90328">
            <w:pPr>
              <w:pStyle w:val="Numberedpara"/>
            </w:pPr>
            <w:smartTag w:uri="urn:schemas-microsoft-com:office:smarttags" w:element="chsdate">
              <w:smartTagPr>
                <w:attr w:name="Year" w:val="1899"/>
                <w:attr w:name="Month" w:val="12"/>
                <w:attr w:name="Day" w:val="30"/>
                <w:attr w:name="IsLunarDate" w:val="False"/>
                <w:attr w:name="IsROCDate" w:val="False"/>
              </w:smartTagPr>
              <w:r w:rsidRPr="005B17BF">
                <w:t>3.1.2</w:t>
              </w:r>
            </w:smartTag>
            <w:r w:rsidR="00493AE4">
              <w:t>.</w:t>
            </w:r>
            <w:r w:rsidRPr="005B17BF">
              <w:t xml:space="preserve"> Development and adoption of green logistics capacity building program</w:t>
            </w:r>
            <w:r w:rsidRPr="005B17BF">
              <w:rPr>
                <w:lang w:eastAsia="zh-CN"/>
              </w:rPr>
              <w:t xml:space="preserve"> in Zhejiang</w:t>
            </w:r>
          </w:p>
        </w:tc>
      </w:tr>
      <w:tr w:rsidR="00B3127D" w14:paraId="48FEE02E" w14:textId="77777777" w:rsidTr="00E90328">
        <w:tc>
          <w:tcPr>
            <w:tcW w:w="3794" w:type="dxa"/>
            <w:vMerge w:val="restart"/>
          </w:tcPr>
          <w:p w14:paraId="6E1DC386" w14:textId="77777777" w:rsidR="00B3127D" w:rsidRPr="005B17BF" w:rsidRDefault="00B3127D" w:rsidP="00E90328">
            <w:pPr>
              <w:pStyle w:val="Numberedpara"/>
            </w:pPr>
            <w:r w:rsidRPr="005B17BF">
              <w:t>3.2 Completed green logistics training courses for government authorities and relevant stakeholders in the logistics and manufacturing industries in Zhejiang Province (e.g., concepts, practices, methodologies)</w:t>
            </w:r>
          </w:p>
        </w:tc>
        <w:tc>
          <w:tcPr>
            <w:tcW w:w="5755" w:type="dxa"/>
          </w:tcPr>
          <w:p w14:paraId="06E2E1D8" w14:textId="73DD52CB" w:rsidR="00B3127D" w:rsidRPr="005B17BF" w:rsidRDefault="00B3127D" w:rsidP="00E90328">
            <w:pPr>
              <w:pStyle w:val="Numberedpara"/>
            </w:pPr>
            <w:smartTag w:uri="urn:schemas-microsoft-com:office:smarttags" w:element="chsdate">
              <w:smartTagPr>
                <w:attr w:name="IsROCDate" w:val="False"/>
                <w:attr w:name="IsLunarDate" w:val="False"/>
                <w:attr w:name="Day" w:val="30"/>
                <w:attr w:name="Month" w:val="12"/>
                <w:attr w:name="Year" w:val="1899"/>
              </w:smartTagPr>
              <w:r w:rsidRPr="005B17BF">
                <w:t>3.2.1</w:t>
              </w:r>
            </w:smartTag>
            <w:r w:rsidR="00493AE4">
              <w:t>.</w:t>
            </w:r>
            <w:r w:rsidRPr="005B17BF">
              <w:t xml:space="preserve"> </w:t>
            </w:r>
            <w:r w:rsidRPr="005B17BF">
              <w:rPr>
                <w:lang w:eastAsia="zh-CN"/>
              </w:rPr>
              <w:t xml:space="preserve">Development of materials and scheduling of the green logistics </w:t>
            </w:r>
            <w:r w:rsidRPr="005B17BF">
              <w:t>training courses</w:t>
            </w:r>
          </w:p>
        </w:tc>
      </w:tr>
      <w:tr w:rsidR="00B3127D" w14:paraId="34DA650A" w14:textId="77777777" w:rsidTr="00E90328">
        <w:tc>
          <w:tcPr>
            <w:tcW w:w="3794" w:type="dxa"/>
            <w:vMerge/>
          </w:tcPr>
          <w:p w14:paraId="74EB0DD7" w14:textId="77777777" w:rsidR="00B3127D" w:rsidRPr="005B17BF" w:rsidRDefault="00B3127D" w:rsidP="00E90328">
            <w:pPr>
              <w:pStyle w:val="Numberedpara"/>
            </w:pPr>
          </w:p>
        </w:tc>
        <w:tc>
          <w:tcPr>
            <w:tcW w:w="5755" w:type="dxa"/>
          </w:tcPr>
          <w:p w14:paraId="787ED5BB" w14:textId="50470A12" w:rsidR="00B3127D" w:rsidRPr="005B17BF" w:rsidRDefault="00B3127D" w:rsidP="00E90328">
            <w:pPr>
              <w:pStyle w:val="Numberedpara"/>
            </w:pPr>
            <w:smartTag w:uri="urn:schemas-microsoft-com:office:smarttags" w:element="chsdate">
              <w:smartTagPr>
                <w:attr w:name="IsROCDate" w:val="False"/>
                <w:attr w:name="IsLunarDate" w:val="False"/>
                <w:attr w:name="Day" w:val="30"/>
                <w:attr w:name="Month" w:val="12"/>
                <w:attr w:name="Year" w:val="1899"/>
              </w:smartTagPr>
              <w:r w:rsidRPr="005B17BF">
                <w:rPr>
                  <w:lang w:eastAsia="zh-CN"/>
                </w:rPr>
                <w:t>3.2.2</w:t>
              </w:r>
            </w:smartTag>
            <w:r w:rsidR="00493AE4">
              <w:rPr>
                <w:lang w:eastAsia="zh-CN"/>
              </w:rPr>
              <w:t>.</w:t>
            </w:r>
            <w:r w:rsidRPr="005B17BF">
              <w:rPr>
                <w:lang w:eastAsia="zh-CN"/>
              </w:rPr>
              <w:t xml:space="preserve"> </w:t>
            </w:r>
            <w:r w:rsidRPr="005B17BF">
              <w:t xml:space="preserve"> Conduct of training courses for government authorities and relevant stakeholders in the logistics and manufacturing industries in Zhejiang</w:t>
            </w:r>
          </w:p>
        </w:tc>
      </w:tr>
      <w:tr w:rsidR="00B3127D" w14:paraId="36CB3B7F" w14:textId="77777777" w:rsidTr="00E90328">
        <w:tc>
          <w:tcPr>
            <w:tcW w:w="3794" w:type="dxa"/>
            <w:vMerge w:val="restart"/>
          </w:tcPr>
          <w:p w14:paraId="3962FF15" w14:textId="77777777" w:rsidR="00B3127D" w:rsidRPr="005B17BF" w:rsidRDefault="00B3127D" w:rsidP="00E90328">
            <w:pPr>
              <w:pStyle w:val="Numberedpara"/>
            </w:pPr>
            <w:r w:rsidRPr="005B17BF">
              <w:t xml:space="preserve">3.3: Completed technical assistance program for assisting small-to-medium size LSPs on the application of green logistics systems </w:t>
            </w:r>
          </w:p>
        </w:tc>
        <w:tc>
          <w:tcPr>
            <w:tcW w:w="5755" w:type="dxa"/>
          </w:tcPr>
          <w:p w14:paraId="25E0A94A" w14:textId="321BE999" w:rsidR="00B3127D" w:rsidRPr="005B17BF" w:rsidRDefault="00B3127D" w:rsidP="00E90328">
            <w:pPr>
              <w:pStyle w:val="Numberedpara"/>
            </w:pPr>
            <w:smartTag w:uri="urn:schemas-microsoft-com:office:smarttags" w:element="chsdate">
              <w:smartTagPr>
                <w:attr w:name="IsROCDate" w:val="False"/>
                <w:attr w:name="IsLunarDate" w:val="False"/>
                <w:attr w:name="Day" w:val="30"/>
                <w:attr w:name="Month" w:val="12"/>
                <w:attr w:name="Year" w:val="1899"/>
              </w:smartTagPr>
              <w:r w:rsidRPr="005B17BF">
                <w:t>3.3.1</w:t>
              </w:r>
            </w:smartTag>
            <w:r w:rsidR="00493AE4">
              <w:t>.</w:t>
            </w:r>
            <w:r w:rsidRPr="005B17BF">
              <w:t xml:space="preserve"> Publication of the technical guidance documents</w:t>
            </w:r>
          </w:p>
        </w:tc>
      </w:tr>
      <w:tr w:rsidR="00B3127D" w14:paraId="1443C940" w14:textId="77777777" w:rsidTr="00E90328">
        <w:tc>
          <w:tcPr>
            <w:tcW w:w="3794" w:type="dxa"/>
            <w:vMerge/>
          </w:tcPr>
          <w:p w14:paraId="2DB65925" w14:textId="77777777" w:rsidR="00B3127D" w:rsidRPr="005B17BF" w:rsidRDefault="00B3127D" w:rsidP="00E90328">
            <w:pPr>
              <w:pStyle w:val="Numberedpara"/>
            </w:pPr>
          </w:p>
        </w:tc>
        <w:tc>
          <w:tcPr>
            <w:tcW w:w="5755" w:type="dxa"/>
          </w:tcPr>
          <w:p w14:paraId="4786AA65" w14:textId="0C855BD0" w:rsidR="00B3127D" w:rsidRPr="005B17BF" w:rsidRDefault="00B3127D" w:rsidP="00E90328">
            <w:pPr>
              <w:pStyle w:val="Numberedpara"/>
            </w:pPr>
            <w:smartTag w:uri="urn:schemas-microsoft-com:office:smarttags" w:element="chsdate">
              <w:smartTagPr>
                <w:attr w:name="Year" w:val="1899"/>
                <w:attr w:name="Month" w:val="12"/>
                <w:attr w:name="Day" w:val="30"/>
                <w:attr w:name="IsLunarDate" w:val="False"/>
                <w:attr w:name="IsROCDate" w:val="False"/>
              </w:smartTagPr>
              <w:r w:rsidRPr="005B17BF">
                <w:t>3.3.2</w:t>
              </w:r>
            </w:smartTag>
            <w:r w:rsidR="002440F1">
              <w:t>.</w:t>
            </w:r>
            <w:r w:rsidRPr="005B17BF">
              <w:t xml:space="preserve"> Dissemination of technical guidance documents</w:t>
            </w:r>
          </w:p>
        </w:tc>
      </w:tr>
      <w:tr w:rsidR="00B3127D" w14:paraId="6A130140" w14:textId="77777777" w:rsidTr="00E90328">
        <w:tc>
          <w:tcPr>
            <w:tcW w:w="3794" w:type="dxa"/>
          </w:tcPr>
          <w:p w14:paraId="078C4697" w14:textId="77777777" w:rsidR="00B3127D" w:rsidRPr="005B17BF" w:rsidRDefault="00B3127D" w:rsidP="00E90328">
            <w:pPr>
              <w:pStyle w:val="Numberedpara"/>
            </w:pPr>
            <w:r w:rsidRPr="005B17BF">
              <w:t>3.4: Completed promotional workshops and/or activities to enhance awareness and knowledge in green logistics systems.</w:t>
            </w:r>
          </w:p>
        </w:tc>
        <w:tc>
          <w:tcPr>
            <w:tcW w:w="5755" w:type="dxa"/>
          </w:tcPr>
          <w:p w14:paraId="2B7CB406" w14:textId="763CF310" w:rsidR="00B3127D" w:rsidRPr="005B17BF" w:rsidRDefault="00B3127D" w:rsidP="00E90328">
            <w:pPr>
              <w:pStyle w:val="Numberedpara"/>
            </w:pPr>
            <w:r w:rsidRPr="005B17BF">
              <w:t>3.4.1</w:t>
            </w:r>
            <w:r w:rsidR="00493AE4">
              <w:t>.</w:t>
            </w:r>
            <w:r w:rsidRPr="005B17BF">
              <w:t xml:space="preserve"> Conduct of promotional workshops and related promotional activities for the dissemination of reference documents and knowledge products on the green logistics demonstration</w:t>
            </w:r>
          </w:p>
        </w:tc>
      </w:tr>
      <w:tr w:rsidR="00B3127D" w14:paraId="4E7E79B0" w14:textId="77777777" w:rsidTr="00E90328">
        <w:tc>
          <w:tcPr>
            <w:tcW w:w="3794" w:type="dxa"/>
            <w:vMerge w:val="restart"/>
          </w:tcPr>
          <w:p w14:paraId="7623E17E" w14:textId="77777777" w:rsidR="00B3127D" w:rsidRPr="005B17BF" w:rsidRDefault="00B3127D" w:rsidP="00E90328">
            <w:pPr>
              <w:pStyle w:val="Numberedpara"/>
            </w:pPr>
            <w:r w:rsidRPr="005B17BF">
              <w:t>3.5: Completed and fully evaluated program for the promotion and capacity building of green logistics systems</w:t>
            </w:r>
          </w:p>
        </w:tc>
        <w:tc>
          <w:tcPr>
            <w:tcW w:w="5755" w:type="dxa"/>
          </w:tcPr>
          <w:p w14:paraId="598E9888" w14:textId="6869C0B5" w:rsidR="00B3127D" w:rsidRPr="005B17BF" w:rsidRDefault="00B3127D" w:rsidP="00E90328">
            <w:pPr>
              <w:pStyle w:val="Numberedpara"/>
            </w:pPr>
            <w:r w:rsidRPr="005B17BF">
              <w:t>3.5.1</w:t>
            </w:r>
            <w:r w:rsidR="00493AE4">
              <w:t>.</w:t>
            </w:r>
            <w:r w:rsidRPr="005B17BF">
              <w:t xml:space="preserve"> D</w:t>
            </w:r>
            <w:r w:rsidRPr="005B17BF">
              <w:rPr>
                <w:lang w:eastAsia="zh-CN"/>
              </w:rPr>
              <w:t xml:space="preserve">evelopment of the </w:t>
            </w:r>
            <w:r w:rsidRPr="005B17BF">
              <w:t xml:space="preserve">evaluation </w:t>
            </w:r>
            <w:r w:rsidRPr="005B17BF">
              <w:rPr>
                <w:lang w:eastAsia="zh-CN"/>
              </w:rPr>
              <w:t>standard and tool</w:t>
            </w:r>
          </w:p>
        </w:tc>
      </w:tr>
      <w:tr w:rsidR="00B3127D" w14:paraId="353EA545" w14:textId="77777777" w:rsidTr="00E90328">
        <w:tc>
          <w:tcPr>
            <w:tcW w:w="3794" w:type="dxa"/>
            <w:vMerge/>
          </w:tcPr>
          <w:p w14:paraId="650F3E6F" w14:textId="77777777" w:rsidR="00B3127D" w:rsidRPr="005B17BF" w:rsidRDefault="00B3127D" w:rsidP="00E90328">
            <w:pPr>
              <w:pStyle w:val="Numberedpara"/>
            </w:pPr>
          </w:p>
        </w:tc>
        <w:tc>
          <w:tcPr>
            <w:tcW w:w="5755" w:type="dxa"/>
          </w:tcPr>
          <w:p w14:paraId="14DB1EF0" w14:textId="3C12BF37" w:rsidR="00B3127D" w:rsidRPr="005B17BF" w:rsidRDefault="00B3127D" w:rsidP="00E90328">
            <w:pPr>
              <w:pStyle w:val="Numberedpara"/>
            </w:pPr>
            <w:r w:rsidRPr="005B17BF">
              <w:rPr>
                <w:lang w:eastAsia="zh-CN"/>
              </w:rPr>
              <w:t>3.5.2</w:t>
            </w:r>
            <w:r w:rsidR="00493AE4">
              <w:rPr>
                <w:lang w:eastAsia="zh-CN"/>
              </w:rPr>
              <w:t>.</w:t>
            </w:r>
            <w:r w:rsidRPr="005B17BF">
              <w:rPr>
                <w:lang w:eastAsia="zh-CN"/>
              </w:rPr>
              <w:t xml:space="preserve"> </w:t>
            </w:r>
            <w:r w:rsidRPr="005B17BF">
              <w:t>Monitoring and evaluation of the capacity building and promotion of green logistics systems</w:t>
            </w:r>
          </w:p>
        </w:tc>
      </w:tr>
      <w:tr w:rsidR="00B3127D" w14:paraId="008306AF" w14:textId="77777777" w:rsidTr="00E90328">
        <w:tc>
          <w:tcPr>
            <w:tcW w:w="3794" w:type="dxa"/>
            <w:vMerge w:val="restart"/>
          </w:tcPr>
          <w:p w14:paraId="3F5717DE" w14:textId="77777777" w:rsidR="00B3127D" w:rsidRPr="005B17BF" w:rsidRDefault="00B3127D" w:rsidP="00E90328">
            <w:pPr>
              <w:pStyle w:val="Numberedpara"/>
            </w:pPr>
            <w:r w:rsidRPr="005B17BF">
              <w:t>3.6: Designed, endorsed and implemented an energy performance rating program and green logistics information sharing system for LSPs in Zhejiang Province</w:t>
            </w:r>
          </w:p>
        </w:tc>
        <w:tc>
          <w:tcPr>
            <w:tcW w:w="5755" w:type="dxa"/>
          </w:tcPr>
          <w:p w14:paraId="0B3B6449" w14:textId="363E6431" w:rsidR="00B3127D" w:rsidRPr="005B17BF" w:rsidRDefault="00B3127D" w:rsidP="00E90328">
            <w:pPr>
              <w:pStyle w:val="Numberedpara"/>
            </w:pPr>
            <w:smartTag w:uri="urn:schemas-microsoft-com:office:smarttags" w:element="chsdate">
              <w:smartTagPr>
                <w:attr w:name="IsROCDate" w:val="False"/>
                <w:attr w:name="IsLunarDate" w:val="False"/>
                <w:attr w:name="Day" w:val="30"/>
                <w:attr w:name="Month" w:val="12"/>
                <w:attr w:name="Year" w:val="1899"/>
              </w:smartTagPr>
              <w:r w:rsidRPr="005B17BF">
                <w:t>3.6.1</w:t>
              </w:r>
            </w:smartTag>
            <w:r w:rsidR="00493AE4">
              <w:t>.</w:t>
            </w:r>
            <w:r w:rsidRPr="005B17BF">
              <w:t xml:space="preserve"> Design of</w:t>
            </w:r>
            <w:r w:rsidRPr="005B17BF">
              <w:rPr>
                <w:lang w:eastAsia="zh-CN"/>
              </w:rPr>
              <w:t xml:space="preserve"> </w:t>
            </w:r>
            <w:r w:rsidRPr="005B17BF">
              <w:t>an energy performance rating program for LSPs in Zhejiang Province</w:t>
            </w:r>
          </w:p>
        </w:tc>
      </w:tr>
      <w:tr w:rsidR="00B3127D" w14:paraId="0C15BECA" w14:textId="77777777" w:rsidTr="00E90328">
        <w:tc>
          <w:tcPr>
            <w:tcW w:w="3794" w:type="dxa"/>
            <w:vMerge/>
          </w:tcPr>
          <w:p w14:paraId="3DA429F6" w14:textId="77777777" w:rsidR="00B3127D" w:rsidRPr="005B17BF" w:rsidRDefault="00B3127D" w:rsidP="00E90328">
            <w:pPr>
              <w:pStyle w:val="Numberedpara"/>
            </w:pPr>
          </w:p>
        </w:tc>
        <w:tc>
          <w:tcPr>
            <w:tcW w:w="5755" w:type="dxa"/>
          </w:tcPr>
          <w:p w14:paraId="5DEA99A9" w14:textId="77777777" w:rsidR="00B3127D" w:rsidRPr="005B17BF" w:rsidRDefault="00B3127D" w:rsidP="00E90328">
            <w:pPr>
              <w:pStyle w:val="Numberedpara"/>
            </w:pPr>
            <w:r w:rsidRPr="005B17BF">
              <w:t>3.6.2. Design of a provincial green logistics information sharing system for LSPs</w:t>
            </w:r>
          </w:p>
        </w:tc>
      </w:tr>
      <w:tr w:rsidR="00B3127D" w14:paraId="62167D71" w14:textId="77777777" w:rsidTr="00E90328">
        <w:tc>
          <w:tcPr>
            <w:tcW w:w="3794" w:type="dxa"/>
            <w:vMerge/>
          </w:tcPr>
          <w:p w14:paraId="39450F6B" w14:textId="77777777" w:rsidR="00B3127D" w:rsidRPr="005B17BF" w:rsidRDefault="00B3127D" w:rsidP="00E90328">
            <w:pPr>
              <w:pStyle w:val="Numberedpara"/>
            </w:pPr>
          </w:p>
        </w:tc>
        <w:tc>
          <w:tcPr>
            <w:tcW w:w="5755" w:type="dxa"/>
          </w:tcPr>
          <w:p w14:paraId="296D5304" w14:textId="77777777" w:rsidR="00B3127D" w:rsidRPr="005B17BF" w:rsidRDefault="00B3127D" w:rsidP="00E90328">
            <w:pPr>
              <w:rPr>
                <w:rFonts w:cs="Times New Roman"/>
                <w:sz w:val="20"/>
                <w:szCs w:val="20"/>
              </w:rPr>
            </w:pPr>
            <w:r w:rsidRPr="005B17BF">
              <w:rPr>
                <w:rFonts w:cs="Times New Roman"/>
                <w:sz w:val="20"/>
                <w:szCs w:val="20"/>
                <w:lang w:eastAsia="zh-CN"/>
              </w:rPr>
              <w:t>3.6.3 E</w:t>
            </w:r>
            <w:r w:rsidRPr="005B17BF">
              <w:rPr>
                <w:rFonts w:cs="Times New Roman"/>
                <w:sz w:val="20"/>
                <w:szCs w:val="20"/>
              </w:rPr>
              <w:t>ndorsement and implementation of an energy performance rating program and green logistics information sharing system for LSPs in Zhejiang Province</w:t>
            </w:r>
          </w:p>
        </w:tc>
      </w:tr>
    </w:tbl>
    <w:p w14:paraId="13D752B6" w14:textId="1B00D7F7" w:rsidR="00B3127D" w:rsidRDefault="00B3127D" w:rsidP="00B3127D">
      <w:pPr>
        <w:rPr>
          <w:sz w:val="18"/>
          <w:szCs w:val="18"/>
        </w:rPr>
      </w:pPr>
      <w:r w:rsidRPr="00493AE4">
        <w:rPr>
          <w:sz w:val="18"/>
          <w:szCs w:val="18"/>
        </w:rPr>
        <w:t xml:space="preserve">Source: Adapted from UNDP Project Document pp. 20 </w:t>
      </w:r>
      <w:r w:rsidR="00623F7E">
        <w:rPr>
          <w:sz w:val="18"/>
          <w:szCs w:val="18"/>
        </w:rPr>
        <w:t>–</w:t>
      </w:r>
      <w:r w:rsidRPr="00493AE4">
        <w:rPr>
          <w:sz w:val="18"/>
          <w:szCs w:val="18"/>
        </w:rPr>
        <w:t xml:space="preserve"> 38</w:t>
      </w:r>
    </w:p>
    <w:p w14:paraId="1C1EC57C" w14:textId="77777777" w:rsidR="00623F7E" w:rsidRDefault="00623F7E" w:rsidP="00B3127D">
      <w:pPr>
        <w:rPr>
          <w:sz w:val="18"/>
          <w:szCs w:val="18"/>
        </w:rPr>
        <w:sectPr w:rsidR="00623F7E">
          <w:pgSz w:w="12240" w:h="15840"/>
          <w:pgMar w:top="1440" w:right="1440" w:bottom="1440" w:left="1440" w:header="720" w:footer="720" w:gutter="0"/>
          <w:cols w:space="720"/>
          <w:docGrid w:linePitch="360"/>
        </w:sectPr>
      </w:pPr>
    </w:p>
    <w:p w14:paraId="3CB591BF" w14:textId="5583BCEE" w:rsidR="00623F7E" w:rsidRDefault="00623F7E" w:rsidP="00623F7E">
      <w:pPr>
        <w:pStyle w:val="Heading1"/>
        <w:numPr>
          <w:ilvl w:val="0"/>
          <w:numId w:val="0"/>
        </w:numPr>
      </w:pPr>
      <w:bookmarkStart w:id="85" w:name="_Toc64632072"/>
      <w:r>
        <w:lastRenderedPageBreak/>
        <w:t>A</w:t>
      </w:r>
      <w:r w:rsidR="005E1E85">
        <w:t>nnex</w:t>
      </w:r>
      <w:r>
        <w:t xml:space="preserve"> </w:t>
      </w:r>
      <w:r w:rsidR="003D2ADB">
        <w:t>L</w:t>
      </w:r>
      <w:r>
        <w:t>. Project results framework</w:t>
      </w:r>
      <w:bookmarkEnd w:id="85"/>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0"/>
      </w:tblGrid>
      <w:tr w:rsidR="00623F7E" w:rsidRPr="00CE39A0" w14:paraId="2E4FB187" w14:textId="77777777" w:rsidTr="004F6A58">
        <w:trPr>
          <w:trHeight w:val="737"/>
        </w:trPr>
        <w:tc>
          <w:tcPr>
            <w:tcW w:w="5000" w:type="pct"/>
            <w:shd w:val="clear" w:color="auto" w:fill="auto"/>
          </w:tcPr>
          <w:p w14:paraId="55F18A33" w14:textId="77777777" w:rsidR="00623F7E" w:rsidRPr="00CE39A0" w:rsidRDefault="00623F7E" w:rsidP="004F6A58">
            <w:pPr>
              <w:spacing w:after="0"/>
              <w:rPr>
                <w:rFonts w:cs="Arial"/>
                <w:b/>
                <w:bCs/>
                <w:sz w:val="18"/>
                <w:szCs w:val="18"/>
              </w:rPr>
            </w:pPr>
            <w:r w:rsidRPr="00CE39A0">
              <w:rPr>
                <w:rFonts w:cs="Arial"/>
                <w:b/>
                <w:bCs/>
                <w:sz w:val="18"/>
                <w:szCs w:val="18"/>
              </w:rPr>
              <w:t xml:space="preserve">This project will contribute to achieving the following Country Programme Outcome as defined in CPAP or CPD: </w:t>
            </w:r>
            <w:r w:rsidRPr="00CE39A0">
              <w:rPr>
                <w:rFonts w:cs="Arial"/>
                <w:i/>
                <w:iCs/>
              </w:rPr>
              <w:t>Low carbon and other environmentally sustainable strategies and technologies are adapted widely to meet China’s commitments and compliance with Multilateral Environmental Agreements</w:t>
            </w:r>
          </w:p>
        </w:tc>
      </w:tr>
      <w:tr w:rsidR="00623F7E" w:rsidRPr="00CE39A0" w14:paraId="1CDD95A5" w14:textId="77777777" w:rsidTr="004F6A58">
        <w:trPr>
          <w:trHeight w:val="245"/>
        </w:trPr>
        <w:tc>
          <w:tcPr>
            <w:tcW w:w="5000" w:type="pct"/>
            <w:shd w:val="clear" w:color="auto" w:fill="auto"/>
          </w:tcPr>
          <w:p w14:paraId="425A4A34" w14:textId="77777777" w:rsidR="00623F7E" w:rsidRPr="00CE39A0" w:rsidRDefault="00623F7E" w:rsidP="004F6A58">
            <w:pPr>
              <w:spacing w:after="0"/>
              <w:rPr>
                <w:rFonts w:cs="Arial"/>
                <w:b/>
                <w:bCs/>
                <w:sz w:val="18"/>
                <w:szCs w:val="18"/>
              </w:rPr>
            </w:pPr>
            <w:r w:rsidRPr="00CE39A0">
              <w:rPr>
                <w:rFonts w:cs="Arial"/>
                <w:b/>
                <w:bCs/>
                <w:sz w:val="18"/>
                <w:szCs w:val="18"/>
              </w:rPr>
              <w:t xml:space="preserve">Country Programme Outcome Indicators: </w:t>
            </w:r>
            <w:r w:rsidRPr="00CE39A0">
              <w:rPr>
                <w:rFonts w:cs="Arial"/>
                <w:i/>
                <w:iCs/>
              </w:rPr>
              <w:t>Cumulative CO</w:t>
            </w:r>
            <w:r w:rsidRPr="00CE39A0">
              <w:rPr>
                <w:rFonts w:cs="Arial"/>
                <w:i/>
                <w:iCs/>
                <w:vertAlign w:val="subscript"/>
              </w:rPr>
              <w:t>2</w:t>
            </w:r>
            <w:r w:rsidRPr="00CE39A0">
              <w:rPr>
                <w:rFonts w:cs="Arial"/>
                <w:i/>
                <w:iCs/>
              </w:rPr>
              <w:t xml:space="preserve"> emissions reductions from 2011-2015; Baseline: 2011 Zero; Target: 2015 under UNDP supported project at 70 million tons CO</w:t>
            </w:r>
            <w:r w:rsidRPr="00CE39A0">
              <w:rPr>
                <w:rFonts w:cs="Arial"/>
                <w:i/>
                <w:iCs/>
                <w:vertAlign w:val="subscript"/>
              </w:rPr>
              <w:t>2</w:t>
            </w:r>
            <w:r w:rsidRPr="00CE39A0">
              <w:rPr>
                <w:rFonts w:cs="Arial"/>
                <w:i/>
                <w:iCs/>
              </w:rPr>
              <w:t xml:space="preserve"> reduction</w:t>
            </w:r>
          </w:p>
        </w:tc>
      </w:tr>
      <w:tr w:rsidR="00623F7E" w:rsidRPr="00CE39A0" w14:paraId="717CB4F0" w14:textId="77777777" w:rsidTr="004F6A58">
        <w:trPr>
          <w:trHeight w:val="244"/>
        </w:trPr>
        <w:tc>
          <w:tcPr>
            <w:tcW w:w="5000" w:type="pct"/>
            <w:shd w:val="clear" w:color="auto" w:fill="auto"/>
          </w:tcPr>
          <w:p w14:paraId="7BC28BDE" w14:textId="77777777" w:rsidR="00623F7E" w:rsidRPr="00CE39A0" w:rsidRDefault="00623F7E" w:rsidP="004F6A58">
            <w:pPr>
              <w:spacing w:after="0"/>
              <w:rPr>
                <w:rFonts w:cs="Arial"/>
                <w:b/>
                <w:bCs/>
                <w:sz w:val="18"/>
                <w:szCs w:val="18"/>
              </w:rPr>
            </w:pPr>
            <w:r w:rsidRPr="00CE39A0">
              <w:rPr>
                <w:rFonts w:cs="Arial"/>
                <w:b/>
                <w:bCs/>
                <w:sz w:val="18"/>
                <w:szCs w:val="18"/>
              </w:rPr>
              <w:t xml:space="preserve">Primary applicable Key Environment and Sustainable Development Key Result Area (same as that on the cover page, circle one): </w:t>
            </w:r>
            <w:r w:rsidRPr="00CE39A0">
              <w:rPr>
                <w:rFonts w:cs="Arial"/>
                <w:i/>
                <w:iCs/>
              </w:rPr>
              <w:t xml:space="preserve"> Mainstreaming environment and energy</w:t>
            </w:r>
          </w:p>
        </w:tc>
      </w:tr>
      <w:tr w:rsidR="00623F7E" w:rsidRPr="00CE39A0" w14:paraId="364BF4DF" w14:textId="77777777" w:rsidTr="004F6A58">
        <w:tc>
          <w:tcPr>
            <w:tcW w:w="5000" w:type="pct"/>
            <w:shd w:val="clear" w:color="auto" w:fill="auto"/>
          </w:tcPr>
          <w:p w14:paraId="58364D9A" w14:textId="77777777" w:rsidR="00623F7E" w:rsidRPr="00CE39A0" w:rsidRDefault="00623F7E" w:rsidP="004F6A58">
            <w:pPr>
              <w:spacing w:after="0"/>
              <w:rPr>
                <w:rFonts w:cs="Arial"/>
                <w:b/>
                <w:bCs/>
                <w:sz w:val="18"/>
                <w:szCs w:val="18"/>
              </w:rPr>
            </w:pPr>
            <w:r w:rsidRPr="00CE39A0">
              <w:rPr>
                <w:rFonts w:cs="Arial"/>
                <w:b/>
                <w:bCs/>
                <w:sz w:val="18"/>
                <w:szCs w:val="18"/>
              </w:rPr>
              <w:t xml:space="preserve">Applicable GEF Strategic Objective and Program: </w:t>
            </w:r>
            <w:r w:rsidRPr="00CE39A0">
              <w:rPr>
                <w:rFonts w:cs="Arial"/>
                <w:i/>
                <w:iCs/>
              </w:rPr>
              <w:t>Promote market transformation for energy efficiency in industry and the building sector</w:t>
            </w:r>
          </w:p>
        </w:tc>
      </w:tr>
      <w:tr w:rsidR="00623F7E" w:rsidRPr="00CE39A0" w14:paraId="197BE923" w14:textId="77777777" w:rsidTr="004F6A58">
        <w:tc>
          <w:tcPr>
            <w:tcW w:w="5000" w:type="pct"/>
            <w:shd w:val="clear" w:color="auto" w:fill="auto"/>
            <w:vAlign w:val="center"/>
          </w:tcPr>
          <w:p w14:paraId="1AFDE661" w14:textId="77777777" w:rsidR="00623F7E" w:rsidRPr="00CE39A0" w:rsidRDefault="00623F7E" w:rsidP="004F6A58">
            <w:pPr>
              <w:spacing w:after="0"/>
              <w:rPr>
                <w:rFonts w:cs="Arial"/>
                <w:b/>
                <w:bCs/>
                <w:sz w:val="18"/>
                <w:szCs w:val="18"/>
              </w:rPr>
            </w:pPr>
            <w:r w:rsidRPr="00CE39A0">
              <w:rPr>
                <w:rFonts w:cs="Arial"/>
                <w:b/>
                <w:bCs/>
                <w:sz w:val="18"/>
                <w:szCs w:val="18"/>
              </w:rPr>
              <w:t>Applicable GEF Expected Outcomes:</w:t>
            </w:r>
            <w:r w:rsidRPr="00CE39A0">
              <w:rPr>
                <w:rFonts w:cs="Arial"/>
                <w:sz w:val="20"/>
                <w:szCs w:val="20"/>
              </w:rPr>
              <w:t xml:space="preserve"> </w:t>
            </w:r>
            <w:r w:rsidRPr="00CE39A0">
              <w:rPr>
                <w:rFonts w:cs="Arial"/>
                <w:i/>
                <w:iCs/>
              </w:rPr>
              <w:t xml:space="preserve">Reduction of GHG emissions from the widespread application of Green logistics in the </w:t>
            </w:r>
            <w:r w:rsidRPr="00CE39A0">
              <w:rPr>
                <w:rFonts w:cs="Arial"/>
                <w:i/>
                <w:iCs/>
              </w:rPr>
              <w:br/>
              <w:t xml:space="preserve">Zhejiang Province </w:t>
            </w:r>
          </w:p>
        </w:tc>
      </w:tr>
      <w:tr w:rsidR="00623F7E" w:rsidRPr="00CE39A0" w14:paraId="71E4C12A" w14:textId="77777777" w:rsidTr="004F6A58">
        <w:tc>
          <w:tcPr>
            <w:tcW w:w="5000" w:type="pct"/>
            <w:shd w:val="clear" w:color="auto" w:fill="auto"/>
          </w:tcPr>
          <w:p w14:paraId="41ABABA5" w14:textId="77777777" w:rsidR="00623F7E" w:rsidRPr="00CE39A0" w:rsidRDefault="00623F7E" w:rsidP="004F6A58">
            <w:pPr>
              <w:spacing w:after="0"/>
              <w:rPr>
                <w:rFonts w:cs="Arial"/>
                <w:b/>
                <w:bCs/>
                <w:sz w:val="18"/>
                <w:szCs w:val="18"/>
              </w:rPr>
            </w:pPr>
            <w:r w:rsidRPr="00CE39A0">
              <w:rPr>
                <w:rFonts w:cs="Arial"/>
                <w:b/>
                <w:bCs/>
                <w:sz w:val="18"/>
                <w:szCs w:val="18"/>
              </w:rPr>
              <w:t xml:space="preserve">Applicable GEF Outcome Indicators: </w:t>
            </w:r>
            <w:r w:rsidRPr="00CE39A0">
              <w:rPr>
                <w:rFonts w:cs="Arial"/>
                <w:i/>
                <w:iCs/>
              </w:rPr>
              <w:t>Cumulative CO2 emissions reduction by end-of-project (EOP), kt</w:t>
            </w:r>
          </w:p>
        </w:tc>
      </w:tr>
    </w:tbl>
    <w:p w14:paraId="1445F5DB" w14:textId="10EE853A" w:rsidR="00623F7E" w:rsidRDefault="00623F7E" w:rsidP="00B3127D">
      <w:pPr>
        <w:rPr>
          <w:sz w:val="18"/>
          <w:szCs w:val="18"/>
        </w:rPr>
      </w:pPr>
    </w:p>
    <w:tbl>
      <w:tblPr>
        <w:tblW w:w="12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2764"/>
        <w:gridCol w:w="2223"/>
        <w:gridCol w:w="1843"/>
        <w:gridCol w:w="1276"/>
        <w:gridCol w:w="3144"/>
        <w:gridCol w:w="1675"/>
      </w:tblGrid>
      <w:tr w:rsidR="00623F7E" w:rsidRPr="00CE39A0" w14:paraId="6B6E5A43" w14:textId="77777777" w:rsidTr="00623F7E">
        <w:trPr>
          <w:cantSplit/>
          <w:tblHeader/>
        </w:trPr>
        <w:tc>
          <w:tcPr>
            <w:tcW w:w="2764" w:type="dxa"/>
            <w:vMerge w:val="restart"/>
            <w:shd w:val="clear" w:color="auto" w:fill="F2F2F2"/>
            <w:vAlign w:val="center"/>
          </w:tcPr>
          <w:p w14:paraId="3EF4197C" w14:textId="77777777" w:rsidR="00623F7E" w:rsidRPr="00CE39A0" w:rsidRDefault="00623F7E" w:rsidP="004F6A58">
            <w:pPr>
              <w:spacing w:after="0"/>
              <w:jc w:val="center"/>
              <w:rPr>
                <w:rFonts w:cs="Arial"/>
                <w:b/>
                <w:sz w:val="20"/>
                <w:szCs w:val="20"/>
              </w:rPr>
            </w:pPr>
            <w:r w:rsidRPr="00CE39A0">
              <w:rPr>
                <w:rFonts w:cs="Arial"/>
                <w:b/>
                <w:sz w:val="20"/>
                <w:szCs w:val="20"/>
              </w:rPr>
              <w:t>Project Strategy</w:t>
            </w:r>
          </w:p>
        </w:tc>
        <w:tc>
          <w:tcPr>
            <w:tcW w:w="5342" w:type="dxa"/>
            <w:gridSpan w:val="3"/>
            <w:shd w:val="clear" w:color="auto" w:fill="F2F2F2"/>
            <w:vAlign w:val="center"/>
          </w:tcPr>
          <w:p w14:paraId="358290D9" w14:textId="77777777" w:rsidR="00623F7E" w:rsidRPr="00CE39A0" w:rsidRDefault="00623F7E" w:rsidP="004F6A58">
            <w:pPr>
              <w:spacing w:after="0"/>
              <w:jc w:val="center"/>
              <w:rPr>
                <w:rFonts w:cs="Arial"/>
                <w:b/>
                <w:sz w:val="20"/>
                <w:szCs w:val="20"/>
              </w:rPr>
            </w:pPr>
            <w:r w:rsidRPr="00CE39A0">
              <w:rPr>
                <w:rFonts w:cs="Arial"/>
                <w:b/>
                <w:sz w:val="20"/>
                <w:szCs w:val="20"/>
              </w:rPr>
              <w:t>Objectively Verifiable Indicators</w:t>
            </w:r>
          </w:p>
        </w:tc>
        <w:tc>
          <w:tcPr>
            <w:tcW w:w="3144" w:type="dxa"/>
            <w:vMerge w:val="restart"/>
            <w:shd w:val="clear" w:color="auto" w:fill="F2F2F2"/>
            <w:vAlign w:val="center"/>
          </w:tcPr>
          <w:p w14:paraId="6CFBB6C3" w14:textId="77777777" w:rsidR="00623F7E" w:rsidRPr="00CE39A0" w:rsidRDefault="00623F7E" w:rsidP="004F6A58">
            <w:pPr>
              <w:spacing w:after="0"/>
              <w:jc w:val="center"/>
              <w:rPr>
                <w:rFonts w:cs="Arial"/>
                <w:b/>
                <w:sz w:val="20"/>
                <w:szCs w:val="20"/>
              </w:rPr>
            </w:pPr>
            <w:r w:rsidRPr="00CE39A0">
              <w:rPr>
                <w:rFonts w:cs="Arial"/>
                <w:b/>
                <w:sz w:val="20"/>
                <w:szCs w:val="20"/>
              </w:rPr>
              <w:t>Means of Gauging Success</w:t>
            </w:r>
          </w:p>
        </w:tc>
        <w:tc>
          <w:tcPr>
            <w:tcW w:w="1675" w:type="dxa"/>
            <w:vMerge w:val="restart"/>
            <w:shd w:val="clear" w:color="auto" w:fill="F2F2F2"/>
            <w:vAlign w:val="center"/>
          </w:tcPr>
          <w:p w14:paraId="0F9F4031" w14:textId="77777777" w:rsidR="00623F7E" w:rsidRPr="00CE39A0" w:rsidRDefault="00623F7E" w:rsidP="004F6A58">
            <w:pPr>
              <w:spacing w:after="0"/>
              <w:jc w:val="center"/>
              <w:rPr>
                <w:rFonts w:cs="Arial"/>
                <w:b/>
                <w:sz w:val="20"/>
                <w:szCs w:val="20"/>
              </w:rPr>
            </w:pPr>
            <w:r w:rsidRPr="00CE39A0">
              <w:rPr>
                <w:rFonts w:cs="Arial"/>
                <w:b/>
                <w:sz w:val="20"/>
                <w:szCs w:val="20"/>
              </w:rPr>
              <w:t>Critical Assumptions</w:t>
            </w:r>
          </w:p>
        </w:tc>
      </w:tr>
      <w:tr w:rsidR="00623F7E" w:rsidRPr="00CE39A0" w14:paraId="6AC2E1A9" w14:textId="77777777" w:rsidTr="00623F7E">
        <w:trPr>
          <w:cantSplit/>
          <w:tblHeader/>
        </w:trPr>
        <w:tc>
          <w:tcPr>
            <w:tcW w:w="2764" w:type="dxa"/>
            <w:vMerge/>
            <w:shd w:val="clear" w:color="auto" w:fill="F2F2F2"/>
            <w:vAlign w:val="center"/>
          </w:tcPr>
          <w:p w14:paraId="03899A9B" w14:textId="77777777" w:rsidR="00623F7E" w:rsidRPr="00CE39A0" w:rsidRDefault="00623F7E" w:rsidP="004F6A58">
            <w:pPr>
              <w:spacing w:after="0"/>
              <w:jc w:val="center"/>
              <w:rPr>
                <w:rFonts w:cs="Arial"/>
                <w:b/>
                <w:sz w:val="20"/>
                <w:szCs w:val="20"/>
              </w:rPr>
            </w:pPr>
          </w:p>
        </w:tc>
        <w:tc>
          <w:tcPr>
            <w:tcW w:w="2223" w:type="dxa"/>
            <w:shd w:val="clear" w:color="auto" w:fill="F2F2F2"/>
            <w:vAlign w:val="center"/>
          </w:tcPr>
          <w:p w14:paraId="50FCCCE7" w14:textId="77777777" w:rsidR="00623F7E" w:rsidRPr="00CE39A0" w:rsidRDefault="00623F7E" w:rsidP="004F6A58">
            <w:pPr>
              <w:spacing w:after="0"/>
              <w:jc w:val="center"/>
              <w:rPr>
                <w:rFonts w:cs="Arial"/>
                <w:b/>
                <w:sz w:val="20"/>
                <w:szCs w:val="20"/>
              </w:rPr>
            </w:pPr>
            <w:r w:rsidRPr="00CE39A0">
              <w:rPr>
                <w:rFonts w:cs="Arial"/>
                <w:b/>
                <w:sz w:val="20"/>
                <w:szCs w:val="20"/>
              </w:rPr>
              <w:t>Indicator</w:t>
            </w:r>
          </w:p>
        </w:tc>
        <w:tc>
          <w:tcPr>
            <w:tcW w:w="1843" w:type="dxa"/>
            <w:shd w:val="clear" w:color="auto" w:fill="F2F2F2"/>
            <w:vAlign w:val="center"/>
          </w:tcPr>
          <w:p w14:paraId="0D4D9449" w14:textId="77777777" w:rsidR="00623F7E" w:rsidRPr="00CE39A0" w:rsidRDefault="00623F7E" w:rsidP="004F6A58">
            <w:pPr>
              <w:spacing w:after="0"/>
              <w:jc w:val="center"/>
              <w:rPr>
                <w:rFonts w:cs="Arial"/>
                <w:b/>
                <w:sz w:val="20"/>
                <w:szCs w:val="20"/>
              </w:rPr>
            </w:pPr>
            <w:r w:rsidRPr="00CE39A0">
              <w:rPr>
                <w:rFonts w:cs="Arial"/>
                <w:b/>
                <w:sz w:val="20"/>
                <w:szCs w:val="20"/>
              </w:rPr>
              <w:t>Baseline</w:t>
            </w:r>
          </w:p>
        </w:tc>
        <w:tc>
          <w:tcPr>
            <w:tcW w:w="1276" w:type="dxa"/>
            <w:shd w:val="clear" w:color="auto" w:fill="F2F2F2"/>
            <w:vAlign w:val="center"/>
          </w:tcPr>
          <w:p w14:paraId="743E6A3E" w14:textId="77777777" w:rsidR="00623F7E" w:rsidRPr="00CE39A0" w:rsidRDefault="00623F7E" w:rsidP="004F6A58">
            <w:pPr>
              <w:spacing w:after="0"/>
              <w:jc w:val="center"/>
              <w:rPr>
                <w:rFonts w:cs="Arial"/>
                <w:b/>
                <w:sz w:val="20"/>
                <w:szCs w:val="20"/>
              </w:rPr>
            </w:pPr>
            <w:r w:rsidRPr="00CE39A0">
              <w:rPr>
                <w:rFonts w:cs="Arial"/>
                <w:b/>
                <w:sz w:val="20"/>
                <w:szCs w:val="20"/>
              </w:rPr>
              <w:t>Target</w:t>
            </w:r>
          </w:p>
        </w:tc>
        <w:tc>
          <w:tcPr>
            <w:tcW w:w="3144" w:type="dxa"/>
            <w:vMerge/>
            <w:shd w:val="clear" w:color="auto" w:fill="F2F2F2"/>
            <w:vAlign w:val="center"/>
          </w:tcPr>
          <w:p w14:paraId="197EAF6E" w14:textId="77777777" w:rsidR="00623F7E" w:rsidRPr="00CE39A0" w:rsidRDefault="00623F7E" w:rsidP="004F6A58">
            <w:pPr>
              <w:spacing w:after="0"/>
              <w:jc w:val="center"/>
              <w:rPr>
                <w:rFonts w:cs="Arial"/>
                <w:b/>
                <w:sz w:val="20"/>
                <w:szCs w:val="20"/>
              </w:rPr>
            </w:pPr>
          </w:p>
        </w:tc>
        <w:tc>
          <w:tcPr>
            <w:tcW w:w="1675" w:type="dxa"/>
            <w:vMerge/>
            <w:shd w:val="clear" w:color="auto" w:fill="F2F2F2"/>
            <w:vAlign w:val="center"/>
          </w:tcPr>
          <w:p w14:paraId="2C1CDFCF" w14:textId="77777777" w:rsidR="00623F7E" w:rsidRPr="00CE39A0" w:rsidRDefault="00623F7E" w:rsidP="004F6A58">
            <w:pPr>
              <w:spacing w:after="0"/>
              <w:jc w:val="center"/>
              <w:rPr>
                <w:rFonts w:cs="Arial"/>
                <w:b/>
                <w:sz w:val="20"/>
                <w:szCs w:val="20"/>
              </w:rPr>
            </w:pPr>
          </w:p>
        </w:tc>
      </w:tr>
      <w:tr w:rsidR="00623F7E" w:rsidRPr="00CE39A0" w14:paraId="675F6D9C" w14:textId="77777777" w:rsidTr="00623F7E">
        <w:trPr>
          <w:trHeight w:val="1515"/>
        </w:trPr>
        <w:tc>
          <w:tcPr>
            <w:tcW w:w="2764" w:type="dxa"/>
            <w:vMerge w:val="restart"/>
          </w:tcPr>
          <w:p w14:paraId="51580BF3" w14:textId="77777777" w:rsidR="00623F7E" w:rsidRPr="00CE39A0" w:rsidRDefault="00623F7E" w:rsidP="004F6A58">
            <w:pPr>
              <w:spacing w:after="0"/>
              <w:ind w:right="110"/>
              <w:rPr>
                <w:rFonts w:cs="Arial"/>
                <w:sz w:val="20"/>
                <w:szCs w:val="20"/>
              </w:rPr>
            </w:pPr>
            <w:r w:rsidRPr="00CE39A0">
              <w:rPr>
                <w:rFonts w:cs="Arial"/>
                <w:b/>
                <w:sz w:val="20"/>
                <w:szCs w:val="20"/>
              </w:rPr>
              <w:t>GOAL</w:t>
            </w:r>
            <w:r w:rsidRPr="00CE39A0">
              <w:rPr>
                <w:rFonts w:cs="Arial"/>
                <w:sz w:val="20"/>
                <w:szCs w:val="20"/>
              </w:rPr>
              <w:t xml:space="preserve">: </w:t>
            </w:r>
            <w:r w:rsidRPr="00CE39A0">
              <w:rPr>
                <w:rFonts w:cs="Arial"/>
                <w:b/>
                <w:bCs/>
                <w:iCs/>
                <w:sz w:val="20"/>
                <w:szCs w:val="20"/>
              </w:rPr>
              <w:t>Reduction of greenhouse gas (GHG) emissions through the widespread application of Green Logistics in the Zhejiang Province</w:t>
            </w:r>
          </w:p>
        </w:tc>
        <w:tc>
          <w:tcPr>
            <w:tcW w:w="2223" w:type="dxa"/>
          </w:tcPr>
          <w:p w14:paraId="39CF5746"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t>Cumulative CO</w:t>
            </w:r>
            <w:r w:rsidRPr="00CE39A0">
              <w:rPr>
                <w:rFonts w:cs="Arial"/>
                <w:sz w:val="20"/>
                <w:szCs w:val="20"/>
                <w:vertAlign w:val="subscript"/>
              </w:rPr>
              <w:t>2</w:t>
            </w:r>
            <w:r w:rsidRPr="00CE39A0">
              <w:rPr>
                <w:rFonts w:cs="Arial"/>
                <w:sz w:val="20"/>
                <w:szCs w:val="20"/>
              </w:rPr>
              <w:t xml:space="preserve"> emissions reduction by end-of-project (EOP), </w:t>
            </w:r>
            <w:r w:rsidRPr="00CE39A0">
              <w:rPr>
                <w:rFonts w:cs="Arial"/>
                <w:i/>
                <w:sz w:val="20"/>
                <w:szCs w:val="20"/>
              </w:rPr>
              <w:t>ktons</w:t>
            </w:r>
          </w:p>
        </w:tc>
        <w:tc>
          <w:tcPr>
            <w:tcW w:w="1843" w:type="dxa"/>
          </w:tcPr>
          <w:p w14:paraId="6253E4C8" w14:textId="77777777" w:rsidR="00623F7E" w:rsidRPr="00CE39A0" w:rsidRDefault="00623F7E" w:rsidP="000201DC">
            <w:pPr>
              <w:numPr>
                <w:ilvl w:val="0"/>
                <w:numId w:val="48"/>
              </w:numPr>
              <w:tabs>
                <w:tab w:val="clear" w:pos="360"/>
                <w:tab w:val="num" w:pos="126"/>
                <w:tab w:val="num" w:pos="540"/>
                <w:tab w:val="num" w:pos="720"/>
              </w:tabs>
              <w:spacing w:after="0" w:line="240" w:lineRule="auto"/>
              <w:ind w:left="126" w:hanging="126"/>
              <w:rPr>
                <w:rFonts w:cs="Arial"/>
                <w:sz w:val="20"/>
                <w:szCs w:val="20"/>
              </w:rPr>
            </w:pPr>
            <w:r w:rsidRPr="00CE39A0">
              <w:rPr>
                <w:rFonts w:cs="Arial"/>
                <w:sz w:val="20"/>
                <w:szCs w:val="20"/>
                <w:lang w:eastAsia="zh-CN"/>
              </w:rPr>
              <w:t>0</w:t>
            </w:r>
          </w:p>
        </w:tc>
        <w:tc>
          <w:tcPr>
            <w:tcW w:w="1276" w:type="dxa"/>
          </w:tcPr>
          <w:p w14:paraId="477CAA04" w14:textId="77777777" w:rsidR="00623F7E" w:rsidRPr="00CE39A0" w:rsidRDefault="00623F7E" w:rsidP="000201DC">
            <w:pPr>
              <w:numPr>
                <w:ilvl w:val="0"/>
                <w:numId w:val="48"/>
              </w:numPr>
              <w:tabs>
                <w:tab w:val="clear" w:pos="360"/>
                <w:tab w:val="num" w:pos="126"/>
                <w:tab w:val="num" w:pos="540"/>
                <w:tab w:val="num" w:pos="720"/>
              </w:tabs>
              <w:spacing w:after="0" w:line="240" w:lineRule="auto"/>
              <w:ind w:left="126" w:hanging="126"/>
              <w:rPr>
                <w:rFonts w:cs="Arial"/>
                <w:sz w:val="20"/>
                <w:szCs w:val="20"/>
              </w:rPr>
            </w:pPr>
            <w:r w:rsidRPr="00CE39A0">
              <w:rPr>
                <w:rFonts w:cs="Arial"/>
                <w:sz w:val="20"/>
                <w:szCs w:val="20"/>
                <w:lang w:eastAsia="zh-CN"/>
              </w:rPr>
              <w:t xml:space="preserve">1,749.27 </w:t>
            </w:r>
          </w:p>
        </w:tc>
        <w:tc>
          <w:tcPr>
            <w:tcW w:w="3144" w:type="dxa"/>
            <w:vMerge w:val="restart"/>
          </w:tcPr>
          <w:p w14:paraId="149341BC"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lang w:eastAsia="zh-CN"/>
              </w:rPr>
              <w:t xml:space="preserve">M&amp;E reports </w:t>
            </w:r>
            <w:r w:rsidRPr="00CE39A0">
              <w:rPr>
                <w:rFonts w:cs="Arial"/>
                <w:sz w:val="20"/>
                <w:szCs w:val="20"/>
              </w:rPr>
              <w:t xml:space="preserve">produced by the project management office based on activity </w:t>
            </w:r>
            <w:r w:rsidRPr="00CE39A0">
              <w:rPr>
                <w:rFonts w:cs="Arial"/>
                <w:sz w:val="20"/>
                <w:szCs w:val="20"/>
                <w:lang w:eastAsia="zh-CN"/>
              </w:rPr>
              <w:t>and outputs reports submitted by</w:t>
            </w:r>
            <w:r w:rsidRPr="00CE39A0">
              <w:rPr>
                <w:rFonts w:cs="Arial"/>
                <w:sz w:val="20"/>
                <w:szCs w:val="20"/>
              </w:rPr>
              <w:t xml:space="preserve"> relevant provincial government agencies on the energy consumption, savings and equivalent CO</w:t>
            </w:r>
            <w:r w:rsidRPr="00CE39A0">
              <w:rPr>
                <w:rFonts w:cs="Arial"/>
                <w:sz w:val="20"/>
                <w:szCs w:val="20"/>
                <w:vertAlign w:val="subscript"/>
              </w:rPr>
              <w:t>2</w:t>
            </w:r>
            <w:r w:rsidRPr="00CE39A0">
              <w:rPr>
                <w:rFonts w:cs="Arial"/>
                <w:sz w:val="20"/>
                <w:szCs w:val="20"/>
              </w:rPr>
              <w:t xml:space="preserve"> emissions reduction in the Zhejiang province’s logistics industry</w:t>
            </w:r>
          </w:p>
        </w:tc>
        <w:tc>
          <w:tcPr>
            <w:tcW w:w="1675" w:type="dxa"/>
            <w:vMerge w:val="restart"/>
          </w:tcPr>
          <w:p w14:paraId="704D7A72" w14:textId="77777777" w:rsidR="00623F7E" w:rsidRPr="00CE39A0" w:rsidRDefault="00623F7E" w:rsidP="000201DC">
            <w:pPr>
              <w:numPr>
                <w:ilvl w:val="0"/>
                <w:numId w:val="49"/>
              </w:numPr>
              <w:tabs>
                <w:tab w:val="clear" w:pos="1440"/>
              </w:tabs>
              <w:spacing w:after="0" w:line="240" w:lineRule="auto"/>
              <w:ind w:left="130" w:right="110" w:hanging="130"/>
              <w:rPr>
                <w:rFonts w:cs="Arial"/>
                <w:sz w:val="20"/>
                <w:szCs w:val="20"/>
              </w:rPr>
            </w:pPr>
            <w:r w:rsidRPr="00CE39A0">
              <w:rPr>
                <w:rFonts w:cs="Arial"/>
                <w:sz w:val="20"/>
                <w:szCs w:val="20"/>
                <w:lang w:eastAsia="zh-CN"/>
              </w:rPr>
              <w:t>Continued commitment, support and active participation of Government of China through Zhejiang Provincial Development and Reform Commission (ZPRDC), enterprises and the public</w:t>
            </w:r>
          </w:p>
        </w:tc>
      </w:tr>
      <w:tr w:rsidR="00623F7E" w:rsidRPr="00CE39A0" w14:paraId="52B8395E" w14:textId="77777777" w:rsidTr="00623F7E">
        <w:trPr>
          <w:trHeight w:val="80"/>
        </w:trPr>
        <w:tc>
          <w:tcPr>
            <w:tcW w:w="2764" w:type="dxa"/>
            <w:vMerge/>
          </w:tcPr>
          <w:p w14:paraId="52FCDFCC" w14:textId="77777777" w:rsidR="00623F7E" w:rsidRPr="00CE39A0" w:rsidRDefault="00623F7E" w:rsidP="004F6A58">
            <w:pPr>
              <w:spacing w:after="0"/>
              <w:rPr>
                <w:rFonts w:cs="Arial"/>
                <w:b/>
                <w:sz w:val="20"/>
                <w:szCs w:val="20"/>
              </w:rPr>
            </w:pPr>
          </w:p>
        </w:tc>
        <w:tc>
          <w:tcPr>
            <w:tcW w:w="2223" w:type="dxa"/>
          </w:tcPr>
          <w:p w14:paraId="4A22850D"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t xml:space="preserve">Reduction in the annual growth rate of GHG emissions by EOP, </w:t>
            </w:r>
            <w:r w:rsidRPr="00CE39A0">
              <w:rPr>
                <w:rFonts w:cs="Arial"/>
                <w:i/>
                <w:sz w:val="20"/>
                <w:szCs w:val="20"/>
              </w:rPr>
              <w:t>%</w:t>
            </w:r>
          </w:p>
        </w:tc>
        <w:tc>
          <w:tcPr>
            <w:tcW w:w="1843" w:type="dxa"/>
          </w:tcPr>
          <w:p w14:paraId="29572BCD"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t>0</w:t>
            </w:r>
          </w:p>
        </w:tc>
        <w:tc>
          <w:tcPr>
            <w:tcW w:w="1276" w:type="dxa"/>
          </w:tcPr>
          <w:p w14:paraId="1038166A" w14:textId="77777777" w:rsidR="00623F7E" w:rsidRPr="00CE39A0" w:rsidRDefault="00623F7E" w:rsidP="000201DC">
            <w:pPr>
              <w:numPr>
                <w:ilvl w:val="0"/>
                <w:numId w:val="48"/>
              </w:numPr>
              <w:tabs>
                <w:tab w:val="clear" w:pos="360"/>
                <w:tab w:val="num" w:pos="126"/>
                <w:tab w:val="num" w:pos="540"/>
                <w:tab w:val="num" w:pos="720"/>
              </w:tabs>
              <w:spacing w:after="0" w:line="240" w:lineRule="auto"/>
              <w:ind w:left="126" w:hanging="126"/>
              <w:rPr>
                <w:rFonts w:cs="Arial"/>
                <w:sz w:val="20"/>
                <w:szCs w:val="20"/>
              </w:rPr>
            </w:pPr>
            <w:r w:rsidRPr="00CE39A0">
              <w:rPr>
                <w:rFonts w:cs="Arial"/>
                <w:sz w:val="20"/>
                <w:szCs w:val="20"/>
                <w:lang w:eastAsia="zh-CN"/>
              </w:rPr>
              <w:t>3.0 %</w:t>
            </w:r>
          </w:p>
        </w:tc>
        <w:tc>
          <w:tcPr>
            <w:tcW w:w="3144" w:type="dxa"/>
            <w:vMerge/>
          </w:tcPr>
          <w:p w14:paraId="52C0AA29" w14:textId="77777777" w:rsidR="00623F7E" w:rsidRPr="00CE39A0" w:rsidRDefault="00623F7E" w:rsidP="004F6A58">
            <w:pPr>
              <w:spacing w:after="0"/>
              <w:ind w:left="130"/>
              <w:rPr>
                <w:rFonts w:cs="Arial"/>
                <w:sz w:val="20"/>
                <w:szCs w:val="20"/>
              </w:rPr>
            </w:pPr>
          </w:p>
        </w:tc>
        <w:tc>
          <w:tcPr>
            <w:tcW w:w="1675" w:type="dxa"/>
            <w:vMerge/>
          </w:tcPr>
          <w:p w14:paraId="444CD5F0" w14:textId="77777777" w:rsidR="00623F7E" w:rsidRPr="00CE39A0" w:rsidRDefault="00623F7E" w:rsidP="004F6A58">
            <w:pPr>
              <w:spacing w:after="0"/>
              <w:ind w:left="130" w:right="110"/>
              <w:rPr>
                <w:rFonts w:cs="Arial"/>
                <w:sz w:val="20"/>
                <w:szCs w:val="20"/>
              </w:rPr>
            </w:pPr>
          </w:p>
        </w:tc>
      </w:tr>
      <w:tr w:rsidR="00623F7E" w:rsidRPr="00CE39A0" w14:paraId="00B3F89E" w14:textId="77777777" w:rsidTr="00623F7E">
        <w:trPr>
          <w:trHeight w:val="174"/>
        </w:trPr>
        <w:tc>
          <w:tcPr>
            <w:tcW w:w="2764" w:type="dxa"/>
          </w:tcPr>
          <w:p w14:paraId="007DBB8C" w14:textId="77777777" w:rsidR="00623F7E" w:rsidRPr="00CE39A0" w:rsidRDefault="00623F7E" w:rsidP="004F6A58">
            <w:pPr>
              <w:spacing w:after="0"/>
              <w:ind w:right="110"/>
              <w:rPr>
                <w:rFonts w:cs="Arial"/>
                <w:sz w:val="20"/>
                <w:szCs w:val="20"/>
              </w:rPr>
            </w:pPr>
            <w:r w:rsidRPr="00CE39A0">
              <w:rPr>
                <w:rFonts w:cs="Arial"/>
                <w:b/>
                <w:sz w:val="20"/>
                <w:szCs w:val="20"/>
              </w:rPr>
              <w:t>OBJECTIVE</w:t>
            </w:r>
            <w:r w:rsidRPr="00CE39A0">
              <w:rPr>
                <w:rFonts w:cs="Arial"/>
                <w:sz w:val="20"/>
                <w:szCs w:val="20"/>
              </w:rPr>
              <w:t xml:space="preserve">: </w:t>
            </w:r>
            <w:r w:rsidRPr="00CE39A0">
              <w:rPr>
                <w:rFonts w:cs="Arial"/>
                <w:b/>
                <w:bCs/>
                <w:iCs/>
                <w:sz w:val="20"/>
                <w:szCs w:val="20"/>
              </w:rPr>
              <w:t xml:space="preserve">Widespread application of energy </w:t>
            </w:r>
            <w:r w:rsidRPr="00CE39A0">
              <w:rPr>
                <w:rFonts w:cs="Arial"/>
                <w:b/>
                <w:bCs/>
                <w:iCs/>
                <w:sz w:val="20"/>
                <w:szCs w:val="20"/>
              </w:rPr>
              <w:lastRenderedPageBreak/>
              <w:t>efficient green logistics</w:t>
            </w:r>
            <w:r w:rsidRPr="00CE39A0">
              <w:rPr>
                <w:rStyle w:val="FootnoteReference"/>
                <w:rFonts w:cs="Arial"/>
                <w:b/>
                <w:bCs/>
                <w:iCs/>
                <w:sz w:val="20"/>
                <w:szCs w:val="20"/>
              </w:rPr>
              <w:footnoteReference w:id="93"/>
            </w:r>
            <w:r w:rsidRPr="00CE39A0">
              <w:rPr>
                <w:rFonts w:cs="Arial"/>
                <w:b/>
                <w:bCs/>
                <w:iCs/>
                <w:sz w:val="20"/>
                <w:szCs w:val="20"/>
              </w:rPr>
              <w:t xml:space="preserve"> techniques and practices in the logistics industry in Zhejiang Province</w:t>
            </w:r>
          </w:p>
        </w:tc>
        <w:tc>
          <w:tcPr>
            <w:tcW w:w="2223" w:type="dxa"/>
          </w:tcPr>
          <w:p w14:paraId="729088A7"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lang w:eastAsia="zh-CN"/>
              </w:rPr>
              <w:lastRenderedPageBreak/>
              <w:t>Cumulative fuel</w:t>
            </w:r>
            <w:r w:rsidRPr="00CE39A0">
              <w:rPr>
                <w:rFonts w:cs="Arial"/>
                <w:sz w:val="20"/>
                <w:szCs w:val="20"/>
              </w:rPr>
              <w:t xml:space="preserve"> savings due to project intervention by EOP, </w:t>
            </w:r>
            <w:r w:rsidRPr="00CE39A0">
              <w:rPr>
                <w:rFonts w:cs="Arial"/>
                <w:i/>
                <w:sz w:val="20"/>
                <w:szCs w:val="20"/>
              </w:rPr>
              <w:t>ktoe</w:t>
            </w:r>
          </w:p>
          <w:p w14:paraId="2DD7619C"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lastRenderedPageBreak/>
              <w:t xml:space="preserve">No. of new jobs created with the application of green logistics techniques in the logistics industry in Zhejiang Province by EOP </w:t>
            </w:r>
          </w:p>
          <w:p w14:paraId="3AC8751D" w14:textId="77777777" w:rsidR="00623F7E" w:rsidRPr="00CE39A0" w:rsidRDefault="00623F7E" w:rsidP="004F6A58">
            <w:pPr>
              <w:spacing w:after="0"/>
              <w:rPr>
                <w:rFonts w:cs="Arial"/>
                <w:sz w:val="20"/>
                <w:szCs w:val="20"/>
              </w:rPr>
            </w:pPr>
          </w:p>
        </w:tc>
        <w:tc>
          <w:tcPr>
            <w:tcW w:w="1843" w:type="dxa"/>
          </w:tcPr>
          <w:p w14:paraId="3741B267"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lastRenderedPageBreak/>
              <w:t>0</w:t>
            </w:r>
          </w:p>
          <w:p w14:paraId="6E65DD3A" w14:textId="77777777" w:rsidR="00623F7E" w:rsidRPr="00CE39A0" w:rsidRDefault="00623F7E" w:rsidP="004F6A58">
            <w:pPr>
              <w:spacing w:after="0"/>
              <w:ind w:left="130"/>
              <w:rPr>
                <w:rFonts w:cs="Arial"/>
                <w:sz w:val="20"/>
                <w:szCs w:val="20"/>
              </w:rPr>
            </w:pPr>
          </w:p>
          <w:p w14:paraId="54E4E2AB" w14:textId="77777777" w:rsidR="00623F7E" w:rsidRPr="00CE39A0" w:rsidRDefault="00623F7E" w:rsidP="004F6A58">
            <w:pPr>
              <w:spacing w:after="0"/>
              <w:ind w:left="130"/>
              <w:rPr>
                <w:rFonts w:cs="Arial"/>
                <w:sz w:val="20"/>
                <w:szCs w:val="20"/>
              </w:rPr>
            </w:pPr>
          </w:p>
          <w:p w14:paraId="6BD8A9D6"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lastRenderedPageBreak/>
              <w:t>0</w:t>
            </w:r>
          </w:p>
        </w:tc>
        <w:tc>
          <w:tcPr>
            <w:tcW w:w="1276" w:type="dxa"/>
          </w:tcPr>
          <w:p w14:paraId="71F87046" w14:textId="77777777" w:rsidR="00623F7E" w:rsidRPr="00CE39A0" w:rsidRDefault="00623F7E" w:rsidP="000201DC">
            <w:pPr>
              <w:numPr>
                <w:ilvl w:val="0"/>
                <w:numId w:val="48"/>
              </w:numPr>
              <w:tabs>
                <w:tab w:val="clear" w:pos="360"/>
                <w:tab w:val="num" w:pos="126"/>
                <w:tab w:val="num" w:pos="540"/>
                <w:tab w:val="num" w:pos="720"/>
              </w:tabs>
              <w:spacing w:after="0" w:line="240" w:lineRule="auto"/>
              <w:ind w:left="126" w:hanging="126"/>
              <w:rPr>
                <w:rFonts w:cs="Arial"/>
                <w:sz w:val="20"/>
                <w:szCs w:val="20"/>
              </w:rPr>
            </w:pPr>
            <w:r w:rsidRPr="00CE39A0">
              <w:rPr>
                <w:rFonts w:cs="Arial"/>
                <w:sz w:val="20"/>
                <w:szCs w:val="20"/>
                <w:lang w:eastAsia="zh-CN"/>
              </w:rPr>
              <w:lastRenderedPageBreak/>
              <w:t>296.24</w:t>
            </w:r>
          </w:p>
          <w:p w14:paraId="62F81F3E" w14:textId="77777777" w:rsidR="00623F7E" w:rsidRPr="00CE39A0" w:rsidRDefault="00623F7E" w:rsidP="004F6A58">
            <w:pPr>
              <w:tabs>
                <w:tab w:val="num" w:pos="540"/>
              </w:tabs>
              <w:spacing w:after="0"/>
              <w:rPr>
                <w:rFonts w:cs="Arial"/>
                <w:sz w:val="20"/>
                <w:szCs w:val="20"/>
                <w:lang w:eastAsia="zh-CN"/>
              </w:rPr>
            </w:pPr>
          </w:p>
          <w:p w14:paraId="63D38A6D" w14:textId="77777777" w:rsidR="00623F7E" w:rsidRPr="00CE39A0" w:rsidRDefault="00623F7E" w:rsidP="004F6A58">
            <w:pPr>
              <w:tabs>
                <w:tab w:val="num" w:pos="540"/>
              </w:tabs>
              <w:spacing w:after="0"/>
              <w:rPr>
                <w:rFonts w:cs="Arial"/>
                <w:sz w:val="20"/>
                <w:szCs w:val="20"/>
              </w:rPr>
            </w:pPr>
          </w:p>
          <w:p w14:paraId="45726FEF" w14:textId="77777777" w:rsidR="00623F7E" w:rsidRPr="00CE39A0" w:rsidRDefault="00623F7E" w:rsidP="000201DC">
            <w:pPr>
              <w:numPr>
                <w:ilvl w:val="0"/>
                <w:numId w:val="48"/>
              </w:numPr>
              <w:tabs>
                <w:tab w:val="clear" w:pos="360"/>
                <w:tab w:val="num" w:pos="126"/>
                <w:tab w:val="num" w:pos="540"/>
                <w:tab w:val="num" w:pos="720"/>
              </w:tabs>
              <w:spacing w:after="0" w:line="240" w:lineRule="auto"/>
              <w:ind w:left="126" w:hanging="126"/>
              <w:rPr>
                <w:rFonts w:cs="Arial"/>
                <w:sz w:val="20"/>
                <w:szCs w:val="20"/>
              </w:rPr>
            </w:pPr>
            <w:r w:rsidRPr="00CE39A0">
              <w:rPr>
                <w:rFonts w:cs="Arial"/>
              </w:rPr>
              <w:lastRenderedPageBreak/>
              <w:t>At least 1,000.</w:t>
            </w:r>
            <w:r w:rsidRPr="00CE39A0">
              <w:rPr>
                <w:rFonts w:cs="Arial"/>
                <w:sz w:val="20"/>
                <w:szCs w:val="20"/>
                <w:lang w:eastAsia="zh-CN"/>
              </w:rPr>
              <w:t xml:space="preserve"> </w:t>
            </w:r>
          </w:p>
        </w:tc>
        <w:tc>
          <w:tcPr>
            <w:tcW w:w="3144" w:type="dxa"/>
          </w:tcPr>
          <w:p w14:paraId="523CF2B9"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lang w:eastAsia="zh-CN"/>
              </w:rPr>
              <w:lastRenderedPageBreak/>
              <w:t>Reports on energy used and saved</w:t>
            </w:r>
          </w:p>
          <w:p w14:paraId="07388751" w14:textId="77777777" w:rsidR="00623F7E" w:rsidRPr="00CE39A0" w:rsidRDefault="00623F7E" w:rsidP="004F6A58">
            <w:pPr>
              <w:spacing w:after="0"/>
              <w:ind w:left="130"/>
              <w:rPr>
                <w:rFonts w:cs="Arial"/>
                <w:sz w:val="20"/>
                <w:szCs w:val="20"/>
              </w:rPr>
            </w:pPr>
          </w:p>
          <w:p w14:paraId="1EABD551"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lang w:eastAsia="zh-CN"/>
              </w:rPr>
              <w:lastRenderedPageBreak/>
              <w:t>Consolidated report from annual reports of ZPDRC, the Zhejiang Provincial Government and local logistics industry association,</w:t>
            </w:r>
          </w:p>
        </w:tc>
        <w:tc>
          <w:tcPr>
            <w:tcW w:w="1675" w:type="dxa"/>
          </w:tcPr>
          <w:p w14:paraId="41234251" w14:textId="77777777" w:rsidR="00623F7E" w:rsidRPr="00CE39A0" w:rsidRDefault="00623F7E" w:rsidP="000201DC">
            <w:pPr>
              <w:numPr>
                <w:ilvl w:val="0"/>
                <w:numId w:val="49"/>
              </w:numPr>
              <w:tabs>
                <w:tab w:val="clear" w:pos="1440"/>
              </w:tabs>
              <w:spacing w:after="0" w:line="240" w:lineRule="auto"/>
              <w:ind w:left="130" w:right="110" w:hanging="130"/>
              <w:rPr>
                <w:rFonts w:cs="Arial"/>
                <w:sz w:val="20"/>
                <w:szCs w:val="20"/>
              </w:rPr>
            </w:pPr>
            <w:r w:rsidRPr="00CE39A0">
              <w:rPr>
                <w:rFonts w:cs="Arial"/>
                <w:sz w:val="20"/>
                <w:szCs w:val="20"/>
                <w:lang w:eastAsia="zh-CN"/>
              </w:rPr>
              <w:lastRenderedPageBreak/>
              <w:t xml:space="preserve">High level of commitment of stakeholders (including the </w:t>
            </w:r>
            <w:r w:rsidRPr="00CE39A0">
              <w:rPr>
                <w:rFonts w:cs="Arial"/>
                <w:sz w:val="20"/>
                <w:szCs w:val="20"/>
                <w:lang w:eastAsia="zh-CN"/>
              </w:rPr>
              <w:lastRenderedPageBreak/>
              <w:t>necessary co-financing from government agencies and LSPs) in the implementation of project activities and monitoring systems</w:t>
            </w:r>
          </w:p>
        </w:tc>
      </w:tr>
      <w:tr w:rsidR="00623F7E" w:rsidRPr="00CE39A0" w14:paraId="515E574C" w14:textId="77777777" w:rsidTr="00623F7E">
        <w:tc>
          <w:tcPr>
            <w:tcW w:w="12925" w:type="dxa"/>
            <w:gridSpan w:val="6"/>
          </w:tcPr>
          <w:p w14:paraId="13557B0D" w14:textId="77777777" w:rsidR="00623F7E" w:rsidRPr="00CE39A0" w:rsidRDefault="00623F7E" w:rsidP="004F6A58">
            <w:pPr>
              <w:spacing w:after="0"/>
              <w:rPr>
                <w:rFonts w:cs="Arial"/>
                <w:b/>
                <w:caps/>
                <w:sz w:val="20"/>
                <w:szCs w:val="20"/>
              </w:rPr>
            </w:pPr>
            <w:r w:rsidRPr="00CE39A0">
              <w:rPr>
                <w:rFonts w:cs="Arial"/>
                <w:b/>
                <w:caps/>
                <w:sz w:val="20"/>
                <w:szCs w:val="20"/>
              </w:rPr>
              <w:lastRenderedPageBreak/>
              <w:t>Component 1: Policy and Regulatory Support for Green Logistics</w:t>
            </w:r>
          </w:p>
        </w:tc>
      </w:tr>
      <w:tr w:rsidR="00623F7E" w:rsidRPr="00CE39A0" w14:paraId="3CDD8440" w14:textId="77777777" w:rsidTr="00623F7E">
        <w:trPr>
          <w:trHeight w:val="631"/>
        </w:trPr>
        <w:tc>
          <w:tcPr>
            <w:tcW w:w="2764" w:type="dxa"/>
          </w:tcPr>
          <w:p w14:paraId="2B47DF15" w14:textId="77777777" w:rsidR="00623F7E" w:rsidRPr="00CE39A0" w:rsidRDefault="00623F7E" w:rsidP="004F6A58">
            <w:pPr>
              <w:spacing w:after="0"/>
              <w:rPr>
                <w:rFonts w:cs="Arial"/>
                <w:sz w:val="20"/>
                <w:szCs w:val="20"/>
              </w:rPr>
            </w:pPr>
            <w:r w:rsidRPr="00CE39A0">
              <w:rPr>
                <w:rFonts w:cs="Arial"/>
                <w:sz w:val="20"/>
                <w:szCs w:val="20"/>
              </w:rPr>
              <w:t>Outcome 1: Established and enforced policy and regulations on the application and operation of green logistics systems in the logistics industry in Zhejiang Province</w:t>
            </w:r>
          </w:p>
        </w:tc>
        <w:tc>
          <w:tcPr>
            <w:tcW w:w="2223" w:type="dxa"/>
          </w:tcPr>
          <w:p w14:paraId="7F45E9F6"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t xml:space="preserve">No. of new provincial government legislation and policies that provide an enabling environment to support green logistics by EOP </w:t>
            </w:r>
          </w:p>
          <w:p w14:paraId="382D918E" w14:textId="77777777" w:rsidR="00623F7E" w:rsidRPr="00CE39A0" w:rsidRDefault="00623F7E" w:rsidP="004F6A58">
            <w:pPr>
              <w:spacing w:after="0"/>
              <w:ind w:left="130"/>
              <w:rPr>
                <w:rFonts w:cs="Arial"/>
                <w:strike/>
                <w:sz w:val="20"/>
                <w:szCs w:val="20"/>
              </w:rPr>
            </w:pPr>
          </w:p>
        </w:tc>
        <w:tc>
          <w:tcPr>
            <w:tcW w:w="1843" w:type="dxa"/>
          </w:tcPr>
          <w:p w14:paraId="4735D2EC"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lang w:eastAsia="zh-CN"/>
              </w:rPr>
              <w:t>0</w:t>
            </w:r>
          </w:p>
        </w:tc>
        <w:tc>
          <w:tcPr>
            <w:tcW w:w="1276" w:type="dxa"/>
          </w:tcPr>
          <w:p w14:paraId="76E97582"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lang w:eastAsia="zh-CN"/>
              </w:rPr>
              <w:t xml:space="preserve">At least 3 </w:t>
            </w:r>
          </w:p>
        </w:tc>
        <w:tc>
          <w:tcPr>
            <w:tcW w:w="3144" w:type="dxa"/>
          </w:tcPr>
          <w:p w14:paraId="754DEAE5"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lang w:eastAsia="zh-CN"/>
              </w:rPr>
              <w:t>Documentation of policies and regulations</w:t>
            </w:r>
          </w:p>
          <w:p w14:paraId="493937F8"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lang w:eastAsia="zh-CN"/>
              </w:rPr>
              <w:t xml:space="preserve"> Approved and enforced policies and regulations in Zhejiang Province </w:t>
            </w:r>
          </w:p>
        </w:tc>
        <w:tc>
          <w:tcPr>
            <w:tcW w:w="1675" w:type="dxa"/>
          </w:tcPr>
          <w:p w14:paraId="33250AC6"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lang w:eastAsia="zh-CN"/>
              </w:rPr>
              <w:t>Local Government and private logistics industry sector fully support and commit to the program and passage of relevant regulations and their implementation.</w:t>
            </w:r>
          </w:p>
          <w:p w14:paraId="2F1B1410" w14:textId="77777777" w:rsidR="00623F7E" w:rsidRPr="00CE39A0" w:rsidRDefault="00623F7E" w:rsidP="004F6A58">
            <w:pPr>
              <w:spacing w:after="0"/>
              <w:ind w:left="130"/>
              <w:rPr>
                <w:rFonts w:cs="Arial"/>
                <w:sz w:val="20"/>
                <w:szCs w:val="20"/>
              </w:rPr>
            </w:pPr>
          </w:p>
        </w:tc>
      </w:tr>
      <w:tr w:rsidR="00623F7E" w:rsidRPr="00CE39A0" w14:paraId="18BF851F" w14:textId="77777777" w:rsidTr="00623F7E">
        <w:trPr>
          <w:trHeight w:val="255"/>
        </w:trPr>
        <w:tc>
          <w:tcPr>
            <w:tcW w:w="12925" w:type="dxa"/>
            <w:gridSpan w:val="6"/>
          </w:tcPr>
          <w:p w14:paraId="19276E4F" w14:textId="77777777" w:rsidR="00623F7E" w:rsidRPr="00CE39A0" w:rsidRDefault="00623F7E" w:rsidP="004F6A58">
            <w:pPr>
              <w:spacing w:after="0"/>
              <w:rPr>
                <w:rFonts w:cs="Arial"/>
                <w:sz w:val="20"/>
                <w:szCs w:val="20"/>
              </w:rPr>
            </w:pPr>
            <w:r w:rsidRPr="00CE39A0">
              <w:rPr>
                <w:rFonts w:cs="Arial"/>
                <w:b/>
                <w:caps/>
              </w:rPr>
              <w:t>Component 2: Green Logistics Systems Demonstration</w:t>
            </w:r>
          </w:p>
        </w:tc>
      </w:tr>
      <w:tr w:rsidR="00623F7E" w:rsidRPr="00CE39A0" w14:paraId="51E25E95" w14:textId="77777777" w:rsidTr="00623F7E">
        <w:trPr>
          <w:trHeight w:val="255"/>
        </w:trPr>
        <w:tc>
          <w:tcPr>
            <w:tcW w:w="2764" w:type="dxa"/>
          </w:tcPr>
          <w:p w14:paraId="0662C77D" w14:textId="77777777" w:rsidR="00623F7E" w:rsidRPr="00CE39A0" w:rsidRDefault="00623F7E" w:rsidP="004F6A58">
            <w:pPr>
              <w:spacing w:after="0"/>
              <w:rPr>
                <w:rFonts w:cs="Arial"/>
                <w:sz w:val="20"/>
                <w:szCs w:val="20"/>
              </w:rPr>
            </w:pPr>
            <w:r w:rsidRPr="00CE39A0">
              <w:rPr>
                <w:rFonts w:cs="Arial"/>
                <w:sz w:val="20"/>
                <w:szCs w:val="20"/>
              </w:rPr>
              <w:t>Outcome 2: Improved energy  efficiency in the materials management and physical distribution activities in the logistics industry in Zhejiang Province</w:t>
            </w:r>
          </w:p>
        </w:tc>
        <w:tc>
          <w:tcPr>
            <w:tcW w:w="2223" w:type="dxa"/>
          </w:tcPr>
          <w:p w14:paraId="168BB5FE"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t>% empty load rate of freight transport in Zhejiang Province by EOP</w:t>
            </w:r>
          </w:p>
          <w:p w14:paraId="08D191DE" w14:textId="77777777" w:rsidR="00623F7E" w:rsidRPr="00CE39A0" w:rsidRDefault="00623F7E" w:rsidP="004F6A58">
            <w:pPr>
              <w:spacing w:after="0"/>
              <w:ind w:left="130"/>
              <w:rPr>
                <w:rFonts w:cs="Arial"/>
                <w:sz w:val="20"/>
                <w:szCs w:val="20"/>
              </w:rPr>
            </w:pPr>
          </w:p>
          <w:p w14:paraId="6AD594CA"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lang w:eastAsia="zh-CN"/>
              </w:rPr>
              <w:t xml:space="preserve">Annual fuel savings due to project </w:t>
            </w:r>
            <w:r w:rsidRPr="00CE39A0">
              <w:rPr>
                <w:rFonts w:cs="Arial"/>
                <w:sz w:val="20"/>
                <w:szCs w:val="20"/>
                <w:lang w:eastAsia="zh-CN"/>
              </w:rPr>
              <w:lastRenderedPageBreak/>
              <w:t xml:space="preserve">intervention by EOP, ktoe/yr </w:t>
            </w:r>
          </w:p>
          <w:p w14:paraId="1EB9EA7E" w14:textId="77777777" w:rsidR="00623F7E" w:rsidRPr="00CE39A0" w:rsidRDefault="00623F7E" w:rsidP="000201DC">
            <w:pPr>
              <w:numPr>
                <w:ilvl w:val="0"/>
                <w:numId w:val="49"/>
              </w:numPr>
              <w:tabs>
                <w:tab w:val="clear" w:pos="1440"/>
              </w:tabs>
              <w:spacing w:after="0" w:line="240" w:lineRule="auto"/>
              <w:ind w:left="343" w:hanging="180"/>
              <w:rPr>
                <w:rFonts w:cs="Arial"/>
                <w:sz w:val="20"/>
                <w:szCs w:val="20"/>
              </w:rPr>
            </w:pPr>
            <w:r w:rsidRPr="00CE39A0">
              <w:rPr>
                <w:rFonts w:cs="Arial"/>
                <w:sz w:val="20"/>
                <w:szCs w:val="20"/>
              </w:rPr>
              <w:t xml:space="preserve">Materials management, </w:t>
            </w:r>
            <w:r w:rsidRPr="00CE39A0">
              <w:rPr>
                <w:rFonts w:cs="Arial"/>
                <w:i/>
                <w:sz w:val="20"/>
                <w:szCs w:val="20"/>
              </w:rPr>
              <w:t>ktoe/yr</w:t>
            </w:r>
          </w:p>
          <w:p w14:paraId="5D65A6D5" w14:textId="77777777" w:rsidR="00623F7E" w:rsidRPr="00CE39A0" w:rsidRDefault="00623F7E" w:rsidP="000201DC">
            <w:pPr>
              <w:numPr>
                <w:ilvl w:val="0"/>
                <w:numId w:val="49"/>
              </w:numPr>
              <w:tabs>
                <w:tab w:val="clear" w:pos="1440"/>
              </w:tabs>
              <w:spacing w:after="0" w:line="240" w:lineRule="auto"/>
              <w:ind w:left="343" w:hanging="180"/>
              <w:rPr>
                <w:rFonts w:cs="Arial"/>
                <w:sz w:val="20"/>
                <w:szCs w:val="20"/>
              </w:rPr>
            </w:pPr>
            <w:r w:rsidRPr="00CE39A0">
              <w:rPr>
                <w:rFonts w:cs="Arial"/>
                <w:sz w:val="20"/>
                <w:szCs w:val="20"/>
              </w:rPr>
              <w:t xml:space="preserve">Physical distribution, </w:t>
            </w:r>
            <w:r w:rsidRPr="00CE39A0">
              <w:rPr>
                <w:rFonts w:cs="Arial"/>
                <w:i/>
                <w:sz w:val="20"/>
                <w:szCs w:val="20"/>
              </w:rPr>
              <w:t>ktoe/yr</w:t>
            </w:r>
          </w:p>
          <w:p w14:paraId="1FBE2906" w14:textId="77777777" w:rsidR="00623F7E" w:rsidRPr="00CE39A0" w:rsidRDefault="00623F7E" w:rsidP="004F6A58">
            <w:pPr>
              <w:spacing w:after="0"/>
              <w:ind w:left="163"/>
              <w:rPr>
                <w:rFonts w:cs="Arial"/>
                <w:sz w:val="20"/>
                <w:szCs w:val="20"/>
              </w:rPr>
            </w:pPr>
          </w:p>
          <w:p w14:paraId="5D389761"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t xml:space="preserve">Annual GHG emission reduction by EOP, </w:t>
            </w:r>
            <w:r w:rsidRPr="00CE39A0">
              <w:rPr>
                <w:rFonts w:cs="Arial"/>
                <w:i/>
                <w:sz w:val="20"/>
                <w:szCs w:val="20"/>
              </w:rPr>
              <w:t>ktons CO</w:t>
            </w:r>
            <w:r w:rsidRPr="00CE39A0">
              <w:rPr>
                <w:rFonts w:cs="Arial"/>
                <w:i/>
                <w:sz w:val="20"/>
                <w:szCs w:val="20"/>
                <w:vertAlign w:val="subscript"/>
              </w:rPr>
              <w:t>2</w:t>
            </w:r>
          </w:p>
          <w:p w14:paraId="5F145A06" w14:textId="77777777" w:rsidR="00623F7E" w:rsidRPr="00CE39A0" w:rsidRDefault="00623F7E" w:rsidP="000201DC">
            <w:pPr>
              <w:numPr>
                <w:ilvl w:val="0"/>
                <w:numId w:val="49"/>
              </w:numPr>
              <w:tabs>
                <w:tab w:val="clear" w:pos="1440"/>
              </w:tabs>
              <w:spacing w:after="0" w:line="240" w:lineRule="auto"/>
              <w:ind w:left="343" w:hanging="180"/>
              <w:rPr>
                <w:rFonts w:cs="Arial"/>
                <w:sz w:val="20"/>
                <w:szCs w:val="20"/>
              </w:rPr>
            </w:pPr>
            <w:r w:rsidRPr="00CE39A0">
              <w:rPr>
                <w:rFonts w:cs="Arial"/>
                <w:sz w:val="20"/>
                <w:szCs w:val="20"/>
              </w:rPr>
              <w:t xml:space="preserve">Materials management, </w:t>
            </w:r>
            <w:r w:rsidRPr="00CE39A0">
              <w:rPr>
                <w:rFonts w:cs="Arial"/>
                <w:i/>
                <w:sz w:val="20"/>
                <w:szCs w:val="20"/>
              </w:rPr>
              <w:t>ktons CO</w:t>
            </w:r>
            <w:r w:rsidRPr="00CE39A0">
              <w:rPr>
                <w:rFonts w:cs="Arial"/>
                <w:i/>
                <w:sz w:val="20"/>
                <w:szCs w:val="20"/>
                <w:vertAlign w:val="subscript"/>
              </w:rPr>
              <w:t>2</w:t>
            </w:r>
          </w:p>
          <w:p w14:paraId="2ACE86B3" w14:textId="77777777" w:rsidR="00623F7E" w:rsidRPr="00CE39A0" w:rsidRDefault="00623F7E" w:rsidP="000201DC">
            <w:pPr>
              <w:numPr>
                <w:ilvl w:val="0"/>
                <w:numId w:val="49"/>
              </w:numPr>
              <w:tabs>
                <w:tab w:val="clear" w:pos="1440"/>
              </w:tabs>
              <w:spacing w:after="0" w:line="240" w:lineRule="auto"/>
              <w:ind w:left="343" w:hanging="180"/>
              <w:rPr>
                <w:rFonts w:cs="Arial"/>
                <w:sz w:val="20"/>
                <w:szCs w:val="20"/>
              </w:rPr>
            </w:pPr>
            <w:r w:rsidRPr="00CE39A0">
              <w:rPr>
                <w:rFonts w:cs="Arial"/>
                <w:sz w:val="20"/>
                <w:szCs w:val="20"/>
              </w:rPr>
              <w:t xml:space="preserve">Physical distribution, </w:t>
            </w:r>
            <w:r w:rsidRPr="00CE39A0">
              <w:rPr>
                <w:rFonts w:cs="Arial"/>
                <w:i/>
                <w:sz w:val="20"/>
                <w:szCs w:val="20"/>
              </w:rPr>
              <w:t>ktons CO</w:t>
            </w:r>
            <w:r w:rsidRPr="00CE39A0">
              <w:rPr>
                <w:rFonts w:cs="Arial"/>
                <w:i/>
                <w:sz w:val="20"/>
                <w:szCs w:val="20"/>
                <w:vertAlign w:val="subscript"/>
              </w:rPr>
              <w:t>2</w:t>
            </w:r>
          </w:p>
        </w:tc>
        <w:tc>
          <w:tcPr>
            <w:tcW w:w="1843" w:type="dxa"/>
          </w:tcPr>
          <w:p w14:paraId="501257CB"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lang w:eastAsia="zh-CN"/>
              </w:rPr>
              <w:lastRenderedPageBreak/>
              <w:t>50</w:t>
            </w:r>
            <w:r w:rsidRPr="00CE39A0">
              <w:rPr>
                <w:rFonts w:cs="Arial"/>
                <w:sz w:val="20"/>
                <w:szCs w:val="20"/>
              </w:rPr>
              <w:t xml:space="preserve">%  </w:t>
            </w:r>
          </w:p>
          <w:p w14:paraId="6ABEED9F" w14:textId="77777777" w:rsidR="00623F7E" w:rsidRPr="00CE39A0" w:rsidRDefault="00623F7E" w:rsidP="004F6A58">
            <w:pPr>
              <w:spacing w:after="0"/>
              <w:ind w:left="130"/>
              <w:rPr>
                <w:rFonts w:cs="Arial"/>
                <w:sz w:val="20"/>
                <w:szCs w:val="20"/>
              </w:rPr>
            </w:pPr>
          </w:p>
          <w:p w14:paraId="39AED5A9" w14:textId="77777777" w:rsidR="00623F7E" w:rsidRPr="00CE39A0" w:rsidRDefault="00623F7E" w:rsidP="004F6A58">
            <w:pPr>
              <w:spacing w:after="0"/>
              <w:ind w:left="130"/>
              <w:rPr>
                <w:rFonts w:cs="Arial"/>
                <w:sz w:val="20"/>
                <w:szCs w:val="20"/>
              </w:rPr>
            </w:pPr>
          </w:p>
          <w:p w14:paraId="034799A0" w14:textId="77777777" w:rsidR="00623F7E" w:rsidRPr="00CE39A0" w:rsidRDefault="00623F7E" w:rsidP="004F6A58">
            <w:pPr>
              <w:spacing w:after="0"/>
              <w:ind w:left="130"/>
              <w:rPr>
                <w:rFonts w:cs="Arial"/>
                <w:sz w:val="20"/>
                <w:szCs w:val="20"/>
              </w:rPr>
            </w:pPr>
          </w:p>
          <w:p w14:paraId="6CDD51CF"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t>0</w:t>
            </w:r>
          </w:p>
          <w:p w14:paraId="0198655F" w14:textId="77777777" w:rsidR="00623F7E" w:rsidRPr="00CE39A0" w:rsidRDefault="00623F7E" w:rsidP="004F6A58">
            <w:pPr>
              <w:spacing w:after="0"/>
              <w:ind w:left="130"/>
              <w:rPr>
                <w:rFonts w:cs="Arial"/>
                <w:sz w:val="20"/>
                <w:szCs w:val="20"/>
              </w:rPr>
            </w:pPr>
          </w:p>
          <w:p w14:paraId="4E759898" w14:textId="77777777" w:rsidR="00623F7E" w:rsidRPr="00CE39A0" w:rsidRDefault="00623F7E" w:rsidP="004F6A58">
            <w:pPr>
              <w:spacing w:after="0"/>
              <w:ind w:left="130"/>
              <w:rPr>
                <w:rFonts w:cs="Arial"/>
                <w:sz w:val="20"/>
                <w:szCs w:val="20"/>
              </w:rPr>
            </w:pPr>
          </w:p>
          <w:p w14:paraId="106BEA12" w14:textId="77777777" w:rsidR="00623F7E" w:rsidRPr="00CE39A0" w:rsidRDefault="00623F7E" w:rsidP="000201DC">
            <w:pPr>
              <w:numPr>
                <w:ilvl w:val="0"/>
                <w:numId w:val="49"/>
              </w:numPr>
              <w:tabs>
                <w:tab w:val="clear" w:pos="1440"/>
              </w:tabs>
              <w:spacing w:after="0" w:line="240" w:lineRule="auto"/>
              <w:ind w:left="343" w:hanging="180"/>
              <w:rPr>
                <w:rFonts w:cs="Arial"/>
                <w:sz w:val="20"/>
                <w:szCs w:val="20"/>
              </w:rPr>
            </w:pPr>
            <w:r w:rsidRPr="00CE39A0">
              <w:rPr>
                <w:rFonts w:cs="Arial"/>
                <w:sz w:val="20"/>
                <w:szCs w:val="20"/>
              </w:rPr>
              <w:t>0</w:t>
            </w:r>
          </w:p>
          <w:p w14:paraId="16FF743B" w14:textId="77777777" w:rsidR="00623F7E" w:rsidRPr="00CE39A0" w:rsidRDefault="00623F7E" w:rsidP="004F6A58">
            <w:pPr>
              <w:spacing w:after="0"/>
              <w:ind w:left="343"/>
              <w:rPr>
                <w:rFonts w:cs="Arial"/>
                <w:sz w:val="20"/>
                <w:szCs w:val="20"/>
              </w:rPr>
            </w:pPr>
          </w:p>
          <w:p w14:paraId="611ABE0B" w14:textId="77777777" w:rsidR="00623F7E" w:rsidRPr="00CE39A0" w:rsidRDefault="00623F7E" w:rsidP="000201DC">
            <w:pPr>
              <w:numPr>
                <w:ilvl w:val="0"/>
                <w:numId w:val="49"/>
              </w:numPr>
              <w:tabs>
                <w:tab w:val="clear" w:pos="1440"/>
              </w:tabs>
              <w:spacing w:after="0" w:line="240" w:lineRule="auto"/>
              <w:ind w:left="343" w:hanging="180"/>
              <w:rPr>
                <w:rFonts w:cs="Arial"/>
                <w:sz w:val="20"/>
                <w:szCs w:val="20"/>
              </w:rPr>
            </w:pPr>
            <w:r w:rsidRPr="00CE39A0">
              <w:rPr>
                <w:rFonts w:cs="Arial"/>
                <w:sz w:val="20"/>
                <w:szCs w:val="20"/>
              </w:rPr>
              <w:t>0</w:t>
            </w:r>
          </w:p>
          <w:p w14:paraId="59F99831" w14:textId="77777777" w:rsidR="00623F7E" w:rsidRPr="00CE39A0" w:rsidRDefault="00623F7E" w:rsidP="004F6A58">
            <w:pPr>
              <w:spacing w:after="0"/>
              <w:rPr>
                <w:rFonts w:cs="Arial"/>
                <w:sz w:val="20"/>
                <w:szCs w:val="20"/>
              </w:rPr>
            </w:pPr>
          </w:p>
          <w:p w14:paraId="575074BA"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t>0</w:t>
            </w:r>
          </w:p>
          <w:p w14:paraId="449AF71C" w14:textId="77777777" w:rsidR="00623F7E" w:rsidRPr="00CE39A0" w:rsidRDefault="00623F7E" w:rsidP="004F6A58">
            <w:pPr>
              <w:spacing w:after="0"/>
              <w:ind w:left="130"/>
              <w:rPr>
                <w:rFonts w:cs="Arial"/>
                <w:sz w:val="20"/>
                <w:szCs w:val="20"/>
              </w:rPr>
            </w:pPr>
          </w:p>
          <w:p w14:paraId="0806CA76" w14:textId="77777777" w:rsidR="00623F7E" w:rsidRPr="00CE39A0" w:rsidRDefault="00623F7E" w:rsidP="000201DC">
            <w:pPr>
              <w:numPr>
                <w:ilvl w:val="0"/>
                <w:numId w:val="49"/>
              </w:numPr>
              <w:tabs>
                <w:tab w:val="clear" w:pos="1440"/>
              </w:tabs>
              <w:spacing w:after="0" w:line="240" w:lineRule="auto"/>
              <w:ind w:left="343" w:hanging="180"/>
              <w:rPr>
                <w:rFonts w:cs="Arial"/>
                <w:sz w:val="20"/>
                <w:szCs w:val="20"/>
              </w:rPr>
            </w:pPr>
            <w:r w:rsidRPr="00CE39A0">
              <w:rPr>
                <w:rFonts w:cs="Arial"/>
                <w:sz w:val="20"/>
                <w:szCs w:val="20"/>
              </w:rPr>
              <w:t>0</w:t>
            </w:r>
          </w:p>
          <w:p w14:paraId="0791C9D1" w14:textId="77777777" w:rsidR="00623F7E" w:rsidRPr="00CE39A0" w:rsidRDefault="00623F7E" w:rsidP="004F6A58">
            <w:pPr>
              <w:spacing w:after="0"/>
              <w:ind w:left="343"/>
              <w:rPr>
                <w:rFonts w:cs="Arial"/>
                <w:sz w:val="20"/>
                <w:szCs w:val="20"/>
              </w:rPr>
            </w:pPr>
          </w:p>
          <w:p w14:paraId="7EF80C32" w14:textId="77777777" w:rsidR="00623F7E" w:rsidRPr="00CE39A0" w:rsidRDefault="00623F7E" w:rsidP="000201DC">
            <w:pPr>
              <w:numPr>
                <w:ilvl w:val="0"/>
                <w:numId w:val="49"/>
              </w:numPr>
              <w:tabs>
                <w:tab w:val="clear" w:pos="1440"/>
              </w:tabs>
              <w:spacing w:after="0" w:line="240" w:lineRule="auto"/>
              <w:ind w:left="343" w:hanging="180"/>
              <w:rPr>
                <w:rFonts w:cs="Arial"/>
                <w:sz w:val="20"/>
                <w:szCs w:val="20"/>
              </w:rPr>
            </w:pPr>
            <w:r w:rsidRPr="00CE39A0">
              <w:rPr>
                <w:rFonts w:cs="Arial"/>
                <w:sz w:val="20"/>
                <w:szCs w:val="20"/>
              </w:rPr>
              <w:t>0</w:t>
            </w:r>
          </w:p>
          <w:p w14:paraId="0CF8DFFD" w14:textId="77777777" w:rsidR="00623F7E" w:rsidRPr="00CE39A0" w:rsidRDefault="00623F7E" w:rsidP="004F6A58">
            <w:pPr>
              <w:spacing w:after="0"/>
              <w:rPr>
                <w:rFonts w:cs="Arial"/>
                <w:sz w:val="20"/>
                <w:szCs w:val="20"/>
              </w:rPr>
            </w:pPr>
          </w:p>
        </w:tc>
        <w:tc>
          <w:tcPr>
            <w:tcW w:w="1276" w:type="dxa"/>
          </w:tcPr>
          <w:p w14:paraId="42B5B045"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lastRenderedPageBreak/>
              <w:t xml:space="preserve">10% </w:t>
            </w:r>
          </w:p>
          <w:p w14:paraId="4F382C38" w14:textId="77777777" w:rsidR="00623F7E" w:rsidRPr="00CE39A0" w:rsidRDefault="00623F7E" w:rsidP="004F6A58">
            <w:pPr>
              <w:spacing w:after="0"/>
              <w:ind w:left="130"/>
              <w:rPr>
                <w:rFonts w:cs="Arial"/>
                <w:sz w:val="20"/>
                <w:szCs w:val="20"/>
              </w:rPr>
            </w:pPr>
          </w:p>
          <w:p w14:paraId="3905426D" w14:textId="77777777" w:rsidR="00623F7E" w:rsidRPr="00CE39A0" w:rsidRDefault="00623F7E" w:rsidP="004F6A58">
            <w:pPr>
              <w:spacing w:after="0"/>
              <w:ind w:left="130"/>
              <w:rPr>
                <w:rFonts w:cs="Arial"/>
                <w:sz w:val="20"/>
                <w:szCs w:val="20"/>
              </w:rPr>
            </w:pPr>
          </w:p>
          <w:p w14:paraId="19D22086" w14:textId="77777777" w:rsidR="00623F7E" w:rsidRPr="00CE39A0" w:rsidRDefault="00623F7E" w:rsidP="004F6A58">
            <w:pPr>
              <w:spacing w:after="0"/>
              <w:ind w:left="130"/>
              <w:rPr>
                <w:rFonts w:cs="Arial"/>
                <w:sz w:val="20"/>
                <w:szCs w:val="20"/>
              </w:rPr>
            </w:pPr>
          </w:p>
          <w:p w14:paraId="2D366EC0"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t>80.06</w:t>
            </w:r>
          </w:p>
          <w:p w14:paraId="1C438CD3" w14:textId="77777777" w:rsidR="00623F7E" w:rsidRPr="00CE39A0" w:rsidRDefault="00623F7E" w:rsidP="004F6A58">
            <w:pPr>
              <w:spacing w:after="0"/>
              <w:ind w:left="130"/>
              <w:rPr>
                <w:rFonts w:cs="Arial"/>
                <w:sz w:val="20"/>
                <w:szCs w:val="20"/>
              </w:rPr>
            </w:pPr>
          </w:p>
          <w:p w14:paraId="667E42A8" w14:textId="77777777" w:rsidR="00623F7E" w:rsidRPr="00CE39A0" w:rsidRDefault="00623F7E" w:rsidP="004F6A58">
            <w:pPr>
              <w:spacing w:after="0"/>
              <w:ind w:left="130"/>
              <w:rPr>
                <w:rFonts w:cs="Arial"/>
                <w:sz w:val="20"/>
                <w:szCs w:val="20"/>
              </w:rPr>
            </w:pPr>
          </w:p>
          <w:p w14:paraId="14D0163A" w14:textId="77777777" w:rsidR="00623F7E" w:rsidRPr="00CE39A0" w:rsidRDefault="00623F7E" w:rsidP="000201DC">
            <w:pPr>
              <w:numPr>
                <w:ilvl w:val="0"/>
                <w:numId w:val="49"/>
              </w:numPr>
              <w:tabs>
                <w:tab w:val="clear" w:pos="1440"/>
              </w:tabs>
              <w:spacing w:after="0" w:line="240" w:lineRule="auto"/>
              <w:ind w:left="343" w:hanging="180"/>
              <w:rPr>
                <w:rFonts w:cs="Arial"/>
                <w:sz w:val="20"/>
                <w:szCs w:val="20"/>
              </w:rPr>
            </w:pPr>
            <w:r w:rsidRPr="00CE39A0">
              <w:rPr>
                <w:rFonts w:cs="Arial"/>
                <w:sz w:val="20"/>
                <w:szCs w:val="20"/>
              </w:rPr>
              <w:t>30.06</w:t>
            </w:r>
          </w:p>
          <w:p w14:paraId="0DF177D4" w14:textId="77777777" w:rsidR="00623F7E" w:rsidRPr="00CE39A0" w:rsidRDefault="00623F7E" w:rsidP="004F6A58">
            <w:pPr>
              <w:spacing w:after="0"/>
              <w:ind w:left="343"/>
              <w:rPr>
                <w:rFonts w:cs="Arial"/>
                <w:sz w:val="20"/>
                <w:szCs w:val="20"/>
              </w:rPr>
            </w:pPr>
          </w:p>
          <w:p w14:paraId="038EC1CF" w14:textId="77777777" w:rsidR="00623F7E" w:rsidRPr="00CE39A0" w:rsidRDefault="00623F7E" w:rsidP="000201DC">
            <w:pPr>
              <w:numPr>
                <w:ilvl w:val="0"/>
                <w:numId w:val="49"/>
              </w:numPr>
              <w:tabs>
                <w:tab w:val="clear" w:pos="1440"/>
              </w:tabs>
              <w:spacing w:after="0" w:line="240" w:lineRule="auto"/>
              <w:ind w:left="343" w:hanging="180"/>
              <w:rPr>
                <w:rFonts w:cs="Arial"/>
                <w:sz w:val="20"/>
                <w:szCs w:val="20"/>
              </w:rPr>
            </w:pPr>
            <w:r w:rsidRPr="00CE39A0">
              <w:rPr>
                <w:rFonts w:cs="Arial"/>
                <w:sz w:val="20"/>
                <w:szCs w:val="20"/>
              </w:rPr>
              <w:t>50.00</w:t>
            </w:r>
          </w:p>
          <w:p w14:paraId="16ADC1BF" w14:textId="77777777" w:rsidR="00623F7E" w:rsidRPr="00CE39A0" w:rsidRDefault="00623F7E" w:rsidP="004F6A58">
            <w:pPr>
              <w:spacing w:after="0"/>
              <w:rPr>
                <w:rFonts w:cs="Arial"/>
                <w:sz w:val="20"/>
                <w:szCs w:val="20"/>
              </w:rPr>
            </w:pPr>
          </w:p>
          <w:p w14:paraId="22EE81EC"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t>471.36</w:t>
            </w:r>
          </w:p>
          <w:p w14:paraId="32FB03CA" w14:textId="77777777" w:rsidR="00623F7E" w:rsidRPr="00CE39A0" w:rsidRDefault="00623F7E" w:rsidP="004F6A58">
            <w:pPr>
              <w:spacing w:after="0"/>
              <w:ind w:left="130"/>
              <w:rPr>
                <w:rFonts w:cs="Arial"/>
                <w:sz w:val="20"/>
                <w:szCs w:val="20"/>
              </w:rPr>
            </w:pPr>
          </w:p>
          <w:p w14:paraId="62CD3A0B" w14:textId="77777777" w:rsidR="00623F7E" w:rsidRPr="00CE39A0" w:rsidRDefault="00623F7E" w:rsidP="000201DC">
            <w:pPr>
              <w:numPr>
                <w:ilvl w:val="0"/>
                <w:numId w:val="49"/>
              </w:numPr>
              <w:tabs>
                <w:tab w:val="clear" w:pos="1440"/>
              </w:tabs>
              <w:spacing w:after="0" w:line="240" w:lineRule="auto"/>
              <w:ind w:left="343" w:hanging="180"/>
              <w:rPr>
                <w:rFonts w:cs="Arial"/>
                <w:sz w:val="20"/>
                <w:szCs w:val="20"/>
              </w:rPr>
            </w:pPr>
            <w:r w:rsidRPr="00CE39A0">
              <w:rPr>
                <w:rFonts w:cs="Arial"/>
                <w:sz w:val="20"/>
                <w:szCs w:val="20"/>
              </w:rPr>
              <w:t>317.15</w:t>
            </w:r>
          </w:p>
          <w:p w14:paraId="763893C8" w14:textId="77777777" w:rsidR="00623F7E" w:rsidRPr="00CE39A0" w:rsidRDefault="00623F7E" w:rsidP="004F6A58">
            <w:pPr>
              <w:spacing w:after="0"/>
              <w:ind w:left="343"/>
              <w:rPr>
                <w:rFonts w:cs="Arial"/>
                <w:sz w:val="20"/>
                <w:szCs w:val="20"/>
              </w:rPr>
            </w:pPr>
          </w:p>
          <w:p w14:paraId="738A4D0C" w14:textId="77777777" w:rsidR="00623F7E" w:rsidRPr="00CE39A0" w:rsidRDefault="00623F7E" w:rsidP="000201DC">
            <w:pPr>
              <w:numPr>
                <w:ilvl w:val="0"/>
                <w:numId w:val="49"/>
              </w:numPr>
              <w:tabs>
                <w:tab w:val="clear" w:pos="1440"/>
              </w:tabs>
              <w:spacing w:after="0" w:line="240" w:lineRule="auto"/>
              <w:ind w:left="343" w:hanging="180"/>
              <w:rPr>
                <w:rFonts w:cs="Arial"/>
                <w:sz w:val="20"/>
                <w:szCs w:val="20"/>
              </w:rPr>
            </w:pPr>
            <w:r w:rsidRPr="00CE39A0">
              <w:rPr>
                <w:rFonts w:cs="Arial"/>
                <w:sz w:val="20"/>
                <w:szCs w:val="20"/>
              </w:rPr>
              <w:t>154.21</w:t>
            </w:r>
          </w:p>
          <w:p w14:paraId="1BBACD0F" w14:textId="77777777" w:rsidR="00623F7E" w:rsidRPr="00CE39A0" w:rsidRDefault="00623F7E" w:rsidP="004F6A58">
            <w:pPr>
              <w:spacing w:after="0"/>
              <w:ind w:left="130"/>
              <w:rPr>
                <w:rFonts w:cs="Arial"/>
                <w:sz w:val="20"/>
                <w:szCs w:val="20"/>
              </w:rPr>
            </w:pPr>
          </w:p>
        </w:tc>
        <w:tc>
          <w:tcPr>
            <w:tcW w:w="3144" w:type="dxa"/>
          </w:tcPr>
          <w:p w14:paraId="68596A20"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lastRenderedPageBreak/>
              <w:t>Report on approved impact measurement methodology</w:t>
            </w:r>
          </w:p>
          <w:p w14:paraId="494937E0"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t xml:space="preserve">Statistics on empty load rate, energy consumption, logistics value, GHG emission to be monitored by the project </w:t>
            </w:r>
          </w:p>
          <w:p w14:paraId="18F15595"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t xml:space="preserve">Evaluation reports  on energy efficiency performance in </w:t>
            </w:r>
            <w:r w:rsidRPr="00CE39A0">
              <w:rPr>
                <w:rFonts w:cs="Arial"/>
                <w:sz w:val="20"/>
                <w:szCs w:val="20"/>
              </w:rPr>
              <w:lastRenderedPageBreak/>
              <w:t>materials management and physical distribution</w:t>
            </w:r>
          </w:p>
        </w:tc>
        <w:tc>
          <w:tcPr>
            <w:tcW w:w="1675" w:type="dxa"/>
          </w:tcPr>
          <w:p w14:paraId="7D6CFA5C"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lastRenderedPageBreak/>
              <w:t xml:space="preserve">Government and provincial logistics industry provide support in gathering and providing necessary data </w:t>
            </w:r>
            <w:r w:rsidRPr="00CE39A0">
              <w:rPr>
                <w:rFonts w:cs="Arial"/>
                <w:sz w:val="20"/>
                <w:szCs w:val="20"/>
              </w:rPr>
              <w:lastRenderedPageBreak/>
              <w:t>on measuring and monitoring energy and environmental impacts</w:t>
            </w:r>
          </w:p>
          <w:p w14:paraId="58CD9554"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lang w:eastAsia="zh-CN"/>
              </w:rPr>
              <w:t>Local Government and private logistics industry sector fully support and commit to the replication of successful results of the project</w:t>
            </w:r>
          </w:p>
          <w:p w14:paraId="61E6A5BC" w14:textId="77777777" w:rsidR="00623F7E" w:rsidRPr="00CE39A0" w:rsidRDefault="00623F7E" w:rsidP="004F6A58">
            <w:pPr>
              <w:spacing w:after="0"/>
              <w:ind w:left="130"/>
              <w:rPr>
                <w:rFonts w:cs="Arial"/>
                <w:sz w:val="20"/>
                <w:szCs w:val="20"/>
              </w:rPr>
            </w:pPr>
          </w:p>
          <w:p w14:paraId="6870FE8D" w14:textId="77777777" w:rsidR="00623F7E" w:rsidRPr="00CE39A0" w:rsidRDefault="00623F7E" w:rsidP="004F6A58">
            <w:pPr>
              <w:spacing w:after="0"/>
              <w:ind w:left="130"/>
              <w:rPr>
                <w:rFonts w:cs="Arial"/>
                <w:strike/>
                <w:sz w:val="20"/>
                <w:szCs w:val="20"/>
              </w:rPr>
            </w:pPr>
          </w:p>
        </w:tc>
      </w:tr>
      <w:tr w:rsidR="00623F7E" w:rsidRPr="00CE39A0" w14:paraId="3DD16B5C" w14:textId="77777777" w:rsidTr="00623F7E">
        <w:tc>
          <w:tcPr>
            <w:tcW w:w="12925" w:type="dxa"/>
            <w:gridSpan w:val="6"/>
          </w:tcPr>
          <w:p w14:paraId="74536187" w14:textId="77777777" w:rsidR="00623F7E" w:rsidRPr="00CE39A0" w:rsidRDefault="00623F7E" w:rsidP="004F6A58">
            <w:pPr>
              <w:spacing w:after="0"/>
              <w:rPr>
                <w:rFonts w:cs="Arial"/>
                <w:b/>
                <w:caps/>
                <w:sz w:val="20"/>
                <w:szCs w:val="20"/>
              </w:rPr>
            </w:pPr>
            <w:r w:rsidRPr="00CE39A0">
              <w:rPr>
                <w:rFonts w:cs="Arial"/>
                <w:b/>
                <w:caps/>
                <w:sz w:val="20"/>
                <w:szCs w:val="20"/>
              </w:rPr>
              <w:lastRenderedPageBreak/>
              <w:t>Component 3: Capacity Building and Promotion of Green Logistics Systems</w:t>
            </w:r>
          </w:p>
        </w:tc>
      </w:tr>
      <w:tr w:rsidR="00623F7E" w:rsidRPr="00CE39A0" w14:paraId="5D50CA6F" w14:textId="77777777" w:rsidTr="00623F7E">
        <w:trPr>
          <w:trHeight w:val="542"/>
        </w:trPr>
        <w:tc>
          <w:tcPr>
            <w:tcW w:w="2764" w:type="dxa"/>
          </w:tcPr>
          <w:p w14:paraId="261070E1" w14:textId="77777777" w:rsidR="00623F7E" w:rsidRPr="00CE39A0" w:rsidRDefault="00623F7E" w:rsidP="004F6A58">
            <w:pPr>
              <w:spacing w:after="0"/>
              <w:rPr>
                <w:rFonts w:cs="Arial"/>
                <w:sz w:val="20"/>
                <w:szCs w:val="20"/>
              </w:rPr>
            </w:pPr>
            <w:r w:rsidRPr="00CE39A0">
              <w:rPr>
                <w:rFonts w:cs="Arial"/>
                <w:sz w:val="20"/>
                <w:szCs w:val="20"/>
              </w:rPr>
              <w:t>Outcome 3: Increased application and utilization of energy efficient materials management and physical distribution techniques, technologies and practices in the logistics and manufacturing industries in Zhejiang Province</w:t>
            </w:r>
            <w:r w:rsidRPr="00CE39A0">
              <w:rPr>
                <w:rStyle w:val="FootnoteReference"/>
                <w:szCs w:val="20"/>
              </w:rPr>
              <w:footnoteReference w:id="94"/>
            </w:r>
          </w:p>
        </w:tc>
        <w:tc>
          <w:tcPr>
            <w:tcW w:w="2223" w:type="dxa"/>
          </w:tcPr>
          <w:p w14:paraId="5FC73403"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lang w:eastAsia="zh-CN"/>
              </w:rPr>
              <w:t xml:space="preserve">No. of logistics companies actively employing green logistics technologies and techniques in their materials management operations by EOP </w:t>
            </w:r>
          </w:p>
          <w:p w14:paraId="782353D8"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lang w:eastAsia="zh-CN"/>
              </w:rPr>
              <w:t>No. of logistics companies actively employing green logistic technologies and techniques in their physical distribution operations by EOP</w:t>
            </w:r>
          </w:p>
        </w:tc>
        <w:tc>
          <w:tcPr>
            <w:tcW w:w="1843" w:type="dxa"/>
          </w:tcPr>
          <w:p w14:paraId="7E546FDD"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t>0</w:t>
            </w:r>
          </w:p>
          <w:p w14:paraId="08546ECB" w14:textId="77777777" w:rsidR="00623F7E" w:rsidRPr="00CE39A0" w:rsidRDefault="00623F7E" w:rsidP="004F6A58">
            <w:pPr>
              <w:spacing w:after="0"/>
              <w:rPr>
                <w:rFonts w:cs="Arial"/>
                <w:sz w:val="20"/>
                <w:szCs w:val="20"/>
              </w:rPr>
            </w:pPr>
          </w:p>
          <w:p w14:paraId="2A2B1ED0" w14:textId="77777777" w:rsidR="00623F7E" w:rsidRPr="00CE39A0" w:rsidRDefault="00623F7E" w:rsidP="004F6A58">
            <w:pPr>
              <w:spacing w:after="0"/>
              <w:rPr>
                <w:rFonts w:cs="Arial"/>
                <w:sz w:val="20"/>
                <w:szCs w:val="20"/>
              </w:rPr>
            </w:pPr>
          </w:p>
          <w:p w14:paraId="5349ECD3" w14:textId="77777777" w:rsidR="00623F7E" w:rsidRPr="00CE39A0" w:rsidRDefault="00623F7E" w:rsidP="004F6A58">
            <w:pPr>
              <w:spacing w:after="0"/>
              <w:rPr>
                <w:rFonts w:cs="Arial"/>
                <w:sz w:val="20"/>
                <w:szCs w:val="20"/>
              </w:rPr>
            </w:pPr>
          </w:p>
          <w:p w14:paraId="560F3DA2" w14:textId="77777777" w:rsidR="00623F7E" w:rsidRPr="00CE39A0" w:rsidRDefault="00623F7E" w:rsidP="004F6A58">
            <w:pPr>
              <w:spacing w:after="0"/>
              <w:rPr>
                <w:rFonts w:cs="Arial"/>
                <w:sz w:val="20"/>
                <w:szCs w:val="20"/>
              </w:rPr>
            </w:pPr>
          </w:p>
          <w:p w14:paraId="21BC47AB" w14:textId="77777777" w:rsidR="00623F7E" w:rsidRPr="00CE39A0" w:rsidRDefault="00623F7E" w:rsidP="004F6A58">
            <w:pPr>
              <w:spacing w:after="0"/>
              <w:rPr>
                <w:rFonts w:cs="Arial"/>
                <w:sz w:val="20"/>
                <w:szCs w:val="20"/>
              </w:rPr>
            </w:pPr>
          </w:p>
          <w:p w14:paraId="4F164077"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lang w:eastAsia="zh-CN"/>
              </w:rPr>
            </w:pPr>
            <w:r w:rsidRPr="00CE39A0">
              <w:rPr>
                <w:rFonts w:cs="Arial"/>
                <w:sz w:val="20"/>
                <w:szCs w:val="20"/>
              </w:rPr>
              <w:t>0</w:t>
            </w:r>
          </w:p>
        </w:tc>
        <w:tc>
          <w:tcPr>
            <w:tcW w:w="1276" w:type="dxa"/>
          </w:tcPr>
          <w:p w14:paraId="23B3EACD" w14:textId="77777777" w:rsidR="00623F7E" w:rsidRPr="00CE39A0" w:rsidRDefault="00623F7E" w:rsidP="000201DC">
            <w:pPr>
              <w:numPr>
                <w:ilvl w:val="0"/>
                <w:numId w:val="50"/>
              </w:numPr>
              <w:tabs>
                <w:tab w:val="clear" w:pos="360"/>
                <w:tab w:val="left" w:pos="162"/>
                <w:tab w:val="left" w:pos="972"/>
              </w:tabs>
              <w:spacing w:after="0" w:line="240" w:lineRule="auto"/>
              <w:ind w:left="152" w:right="-18" w:hanging="170"/>
              <w:rPr>
                <w:rFonts w:cs="Arial"/>
                <w:sz w:val="20"/>
                <w:szCs w:val="20"/>
              </w:rPr>
            </w:pPr>
            <w:r w:rsidRPr="00CE39A0">
              <w:rPr>
                <w:rFonts w:cs="Arial"/>
                <w:sz w:val="20"/>
                <w:szCs w:val="20"/>
                <w:lang w:eastAsia="zh-CN"/>
              </w:rPr>
              <w:t>100</w:t>
            </w:r>
          </w:p>
          <w:p w14:paraId="48437E95" w14:textId="77777777" w:rsidR="00623F7E" w:rsidRPr="00CE39A0" w:rsidRDefault="00623F7E" w:rsidP="004F6A58">
            <w:pPr>
              <w:tabs>
                <w:tab w:val="left" w:pos="162"/>
                <w:tab w:val="left" w:pos="972"/>
              </w:tabs>
              <w:spacing w:after="0"/>
              <w:ind w:left="152" w:right="-18"/>
              <w:rPr>
                <w:rFonts w:cs="Arial"/>
                <w:sz w:val="20"/>
                <w:szCs w:val="20"/>
                <w:lang w:eastAsia="zh-CN"/>
              </w:rPr>
            </w:pPr>
          </w:p>
          <w:p w14:paraId="605BF83D" w14:textId="77777777" w:rsidR="00623F7E" w:rsidRPr="00CE39A0" w:rsidRDefault="00623F7E" w:rsidP="004F6A58">
            <w:pPr>
              <w:tabs>
                <w:tab w:val="left" w:pos="162"/>
                <w:tab w:val="left" w:pos="972"/>
              </w:tabs>
              <w:spacing w:after="0"/>
              <w:ind w:left="152" w:right="-18"/>
              <w:rPr>
                <w:rFonts w:cs="Arial"/>
                <w:sz w:val="20"/>
                <w:szCs w:val="20"/>
                <w:lang w:eastAsia="zh-CN"/>
              </w:rPr>
            </w:pPr>
          </w:p>
          <w:p w14:paraId="434F1B65" w14:textId="77777777" w:rsidR="00623F7E" w:rsidRPr="00CE39A0" w:rsidRDefault="00623F7E" w:rsidP="004F6A58">
            <w:pPr>
              <w:tabs>
                <w:tab w:val="left" w:pos="162"/>
                <w:tab w:val="left" w:pos="972"/>
              </w:tabs>
              <w:spacing w:after="0"/>
              <w:ind w:left="152" w:right="-18"/>
              <w:rPr>
                <w:rFonts w:cs="Arial"/>
                <w:sz w:val="20"/>
                <w:szCs w:val="20"/>
                <w:lang w:eastAsia="zh-CN"/>
              </w:rPr>
            </w:pPr>
          </w:p>
          <w:p w14:paraId="4CDAC65C" w14:textId="77777777" w:rsidR="00623F7E" w:rsidRPr="00CE39A0" w:rsidRDefault="00623F7E" w:rsidP="004F6A58">
            <w:pPr>
              <w:tabs>
                <w:tab w:val="left" w:pos="162"/>
                <w:tab w:val="left" w:pos="972"/>
              </w:tabs>
              <w:spacing w:after="0"/>
              <w:ind w:left="152" w:right="-18"/>
              <w:rPr>
                <w:rFonts w:cs="Arial"/>
                <w:sz w:val="20"/>
                <w:szCs w:val="20"/>
                <w:lang w:eastAsia="zh-CN"/>
              </w:rPr>
            </w:pPr>
          </w:p>
          <w:p w14:paraId="7FF89AFF" w14:textId="77777777" w:rsidR="00623F7E" w:rsidRPr="00CE39A0" w:rsidRDefault="00623F7E" w:rsidP="004F6A58">
            <w:pPr>
              <w:tabs>
                <w:tab w:val="left" w:pos="162"/>
                <w:tab w:val="left" w:pos="972"/>
              </w:tabs>
              <w:spacing w:after="0"/>
              <w:ind w:left="152" w:right="-18"/>
              <w:rPr>
                <w:rFonts w:cs="Arial"/>
                <w:sz w:val="20"/>
                <w:szCs w:val="20"/>
              </w:rPr>
            </w:pPr>
          </w:p>
          <w:p w14:paraId="7F5F3832"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lang w:eastAsia="zh-CN"/>
              </w:rPr>
            </w:pPr>
            <w:r w:rsidRPr="00CE39A0">
              <w:rPr>
                <w:rFonts w:cs="Arial"/>
                <w:sz w:val="20"/>
                <w:szCs w:val="20"/>
                <w:lang w:eastAsia="zh-CN"/>
              </w:rPr>
              <w:t>At least 50</w:t>
            </w:r>
          </w:p>
          <w:p w14:paraId="02FBD745" w14:textId="77777777" w:rsidR="00623F7E" w:rsidRPr="00CE39A0" w:rsidRDefault="00623F7E" w:rsidP="004F6A58">
            <w:pPr>
              <w:spacing w:after="0"/>
              <w:ind w:left="130"/>
              <w:rPr>
                <w:rFonts w:cs="Arial"/>
                <w:sz w:val="20"/>
                <w:szCs w:val="20"/>
                <w:lang w:eastAsia="zh-CN"/>
              </w:rPr>
            </w:pPr>
          </w:p>
          <w:p w14:paraId="127E2459" w14:textId="77777777" w:rsidR="00623F7E" w:rsidRPr="00CE39A0" w:rsidRDefault="00623F7E" w:rsidP="004F6A58">
            <w:pPr>
              <w:spacing w:after="0"/>
              <w:ind w:left="130"/>
              <w:rPr>
                <w:rFonts w:cs="Arial"/>
                <w:sz w:val="20"/>
                <w:szCs w:val="20"/>
                <w:lang w:eastAsia="zh-CN"/>
              </w:rPr>
            </w:pPr>
          </w:p>
          <w:p w14:paraId="0C45193E" w14:textId="77777777" w:rsidR="00623F7E" w:rsidRPr="00CE39A0" w:rsidRDefault="00623F7E" w:rsidP="004F6A58">
            <w:pPr>
              <w:spacing w:after="0"/>
              <w:ind w:left="130"/>
              <w:rPr>
                <w:rFonts w:cs="Arial"/>
                <w:sz w:val="20"/>
                <w:szCs w:val="20"/>
              </w:rPr>
            </w:pPr>
          </w:p>
        </w:tc>
        <w:tc>
          <w:tcPr>
            <w:tcW w:w="3144" w:type="dxa"/>
          </w:tcPr>
          <w:p w14:paraId="51E61EC3"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t>Monitoring reports by the project management office in cooperation with relevant provincial government agencies and logistics companies</w:t>
            </w:r>
          </w:p>
          <w:p w14:paraId="0437045F" w14:textId="77777777" w:rsidR="00623F7E" w:rsidRPr="00CE39A0" w:rsidRDefault="00623F7E" w:rsidP="004F6A58">
            <w:pPr>
              <w:spacing w:after="0"/>
              <w:ind w:left="130"/>
              <w:rPr>
                <w:rFonts w:cs="Arial"/>
                <w:sz w:val="20"/>
                <w:szCs w:val="20"/>
              </w:rPr>
            </w:pPr>
            <w:r w:rsidRPr="00CE39A0">
              <w:rPr>
                <w:rFonts w:cs="Arial"/>
                <w:sz w:val="20"/>
                <w:szCs w:val="20"/>
              </w:rPr>
              <w:t xml:space="preserve"> </w:t>
            </w:r>
          </w:p>
        </w:tc>
        <w:tc>
          <w:tcPr>
            <w:tcW w:w="1675" w:type="dxa"/>
          </w:tcPr>
          <w:p w14:paraId="4DAF68B5" w14:textId="77777777" w:rsidR="00623F7E" w:rsidRPr="00CE39A0" w:rsidRDefault="00623F7E" w:rsidP="000201DC">
            <w:pPr>
              <w:numPr>
                <w:ilvl w:val="0"/>
                <w:numId w:val="49"/>
              </w:numPr>
              <w:tabs>
                <w:tab w:val="clear" w:pos="1440"/>
              </w:tabs>
              <w:spacing w:after="0" w:line="240" w:lineRule="auto"/>
              <w:ind w:left="130" w:hanging="130"/>
              <w:rPr>
                <w:rFonts w:cs="Arial"/>
                <w:sz w:val="20"/>
                <w:szCs w:val="20"/>
              </w:rPr>
            </w:pPr>
            <w:r w:rsidRPr="00CE39A0">
              <w:rPr>
                <w:rFonts w:cs="Arial"/>
                <w:sz w:val="20"/>
                <w:szCs w:val="20"/>
              </w:rPr>
              <w:t xml:space="preserve">Government and provincial logistics industry appreciate the value of green logistics concept and are willing to gain knowledge and skills in establishing and operating green logistics </w:t>
            </w:r>
            <w:r w:rsidRPr="00CE39A0">
              <w:rPr>
                <w:rFonts w:cs="Arial"/>
                <w:sz w:val="20"/>
                <w:szCs w:val="20"/>
              </w:rPr>
              <w:lastRenderedPageBreak/>
              <w:t>systems thereby promoting unified interests and effective organization and coordination in stakeholder participation</w:t>
            </w:r>
          </w:p>
        </w:tc>
      </w:tr>
    </w:tbl>
    <w:p w14:paraId="2979C129" w14:textId="77777777" w:rsidR="00623F7E" w:rsidRDefault="00623F7E" w:rsidP="00B3127D">
      <w:pPr>
        <w:rPr>
          <w:sz w:val="18"/>
          <w:szCs w:val="18"/>
        </w:rPr>
      </w:pPr>
    </w:p>
    <w:p w14:paraId="62124C7A" w14:textId="730CD682" w:rsidR="00623F7E" w:rsidRDefault="00623F7E" w:rsidP="00B3127D">
      <w:pPr>
        <w:rPr>
          <w:sz w:val="18"/>
          <w:szCs w:val="18"/>
        </w:rPr>
      </w:pPr>
    </w:p>
    <w:p w14:paraId="61ACAC2B" w14:textId="77777777" w:rsidR="00623F7E" w:rsidRDefault="00623F7E" w:rsidP="00B3127D">
      <w:pPr>
        <w:rPr>
          <w:sz w:val="18"/>
          <w:szCs w:val="18"/>
        </w:rPr>
        <w:sectPr w:rsidR="00623F7E" w:rsidSect="00623F7E">
          <w:pgSz w:w="15840" w:h="12240" w:orient="landscape"/>
          <w:pgMar w:top="1440" w:right="1440" w:bottom="1440" w:left="1440" w:header="720" w:footer="720" w:gutter="0"/>
          <w:cols w:space="720"/>
          <w:docGrid w:linePitch="360"/>
        </w:sectPr>
      </w:pPr>
    </w:p>
    <w:p w14:paraId="4E8E3289" w14:textId="40358E9B" w:rsidR="00623F7E" w:rsidRPr="00493AE4" w:rsidRDefault="00623F7E" w:rsidP="00B3127D">
      <w:pPr>
        <w:rPr>
          <w:sz w:val="18"/>
          <w:szCs w:val="18"/>
        </w:rPr>
      </w:pPr>
    </w:p>
    <w:p w14:paraId="50BE72C4" w14:textId="58B91516" w:rsidR="00B3127D" w:rsidRDefault="00222B6A" w:rsidP="00B82EA3">
      <w:pPr>
        <w:pStyle w:val="Heading1"/>
        <w:numPr>
          <w:ilvl w:val="0"/>
          <w:numId w:val="0"/>
        </w:numPr>
      </w:pPr>
      <w:bookmarkStart w:id="86" w:name="_Toc64632073"/>
      <w:r>
        <w:t>A</w:t>
      </w:r>
      <w:r w:rsidR="005E1E85">
        <w:t>nnex</w:t>
      </w:r>
      <w:r w:rsidR="00B3127D">
        <w:t xml:space="preserve"> </w:t>
      </w:r>
      <w:r w:rsidR="003D2ADB">
        <w:t>M</w:t>
      </w:r>
      <w:r w:rsidR="00B3127D">
        <w:t>. Project financing</w:t>
      </w:r>
      <w:bookmarkEnd w:id="86"/>
    </w:p>
    <w:p w14:paraId="4896CEF7" w14:textId="0D39441F" w:rsidR="00E90328" w:rsidRDefault="00E90328" w:rsidP="00E90328">
      <w:pPr>
        <w:spacing w:after="0" w:line="240" w:lineRule="auto"/>
        <w:jc w:val="both"/>
        <w:rPr>
          <w:rFonts w:eastAsia="Calibri" w:cs="Times New Roman"/>
        </w:rPr>
      </w:pPr>
      <w:r w:rsidRPr="001D0A57">
        <w:rPr>
          <w:rFonts w:eastAsia="Calibri" w:cs="Times New Roman"/>
        </w:rPr>
        <w:t xml:space="preserve">Table </w:t>
      </w:r>
      <w:r w:rsidR="003D2ADB">
        <w:rPr>
          <w:rFonts w:eastAsia="Calibri" w:cs="Times New Roman"/>
        </w:rPr>
        <w:t>M</w:t>
      </w:r>
      <w:r>
        <w:rPr>
          <w:rFonts w:eastAsia="Calibri" w:cs="Times New Roman"/>
        </w:rPr>
        <w:t>.</w:t>
      </w:r>
      <w:r w:rsidR="00682E42">
        <w:rPr>
          <w:rFonts w:eastAsia="Calibri" w:cs="Times New Roman"/>
        </w:rPr>
        <w:t xml:space="preserve">1. </w:t>
      </w:r>
      <w:r w:rsidRPr="001D0A57">
        <w:rPr>
          <w:rFonts w:eastAsia="Calibri" w:cs="Times New Roman"/>
        </w:rPr>
        <w:t xml:space="preserve">shows the </w:t>
      </w:r>
      <w:r>
        <w:rPr>
          <w:rFonts w:eastAsia="Calibri" w:cs="Times New Roman"/>
        </w:rPr>
        <w:t>overall costs and sources of project funding</w:t>
      </w:r>
      <w:r w:rsidR="00682E42">
        <w:rPr>
          <w:rFonts w:eastAsia="Calibri" w:cs="Times New Roman"/>
        </w:rPr>
        <w:t>,</w:t>
      </w:r>
      <w:r>
        <w:rPr>
          <w:rFonts w:eastAsia="Calibri" w:cs="Times New Roman"/>
        </w:rPr>
        <w:t xml:space="preserve"> and table </w:t>
      </w:r>
      <w:r w:rsidR="003D2ADB">
        <w:rPr>
          <w:rFonts w:eastAsia="Calibri" w:cs="Times New Roman"/>
        </w:rPr>
        <w:t>M</w:t>
      </w:r>
      <w:r>
        <w:rPr>
          <w:rFonts w:eastAsia="Calibri" w:cs="Times New Roman"/>
        </w:rPr>
        <w:t>.</w:t>
      </w:r>
      <w:r w:rsidR="00682E42">
        <w:rPr>
          <w:rFonts w:eastAsia="Calibri" w:cs="Times New Roman"/>
        </w:rPr>
        <w:t>2., below,</w:t>
      </w:r>
      <w:r>
        <w:rPr>
          <w:rFonts w:eastAsia="Calibri" w:cs="Times New Roman"/>
        </w:rPr>
        <w:t xml:space="preserve"> shows the </w:t>
      </w:r>
      <w:r w:rsidRPr="001D0A57">
        <w:rPr>
          <w:rFonts w:eastAsia="Calibri" w:cs="Times New Roman"/>
        </w:rPr>
        <w:t>breakdown of the project cost</w:t>
      </w:r>
      <w:r>
        <w:rPr>
          <w:rFonts w:eastAsia="Calibri" w:cs="Times New Roman"/>
        </w:rPr>
        <w:t>s</w:t>
      </w:r>
      <w:r w:rsidRPr="001D0A57">
        <w:rPr>
          <w:rFonts w:eastAsia="Calibri" w:cs="Times New Roman"/>
        </w:rPr>
        <w:t xml:space="preserve"> across the </w:t>
      </w:r>
      <w:r>
        <w:rPr>
          <w:rFonts w:eastAsia="Calibri" w:cs="Times New Roman"/>
        </w:rPr>
        <w:t>proposed</w:t>
      </w:r>
      <w:r w:rsidRPr="001D0A57">
        <w:rPr>
          <w:rFonts w:eastAsia="Calibri" w:cs="Times New Roman"/>
        </w:rPr>
        <w:t xml:space="preserve"> outcomes</w:t>
      </w:r>
      <w:r>
        <w:rPr>
          <w:rFonts w:eastAsia="Calibri" w:cs="Times New Roman"/>
        </w:rPr>
        <w:t>.</w:t>
      </w:r>
    </w:p>
    <w:p w14:paraId="0DC4C4CC" w14:textId="77777777" w:rsidR="00B3127D" w:rsidRDefault="00B3127D" w:rsidP="004C1CE4">
      <w:pPr>
        <w:pStyle w:val="Caption"/>
      </w:pPr>
    </w:p>
    <w:p w14:paraId="0CACCFCA" w14:textId="6C3FB755" w:rsidR="00B3127D" w:rsidRPr="008A14FE" w:rsidRDefault="00B3127D" w:rsidP="00B82EA3">
      <w:pPr>
        <w:pStyle w:val="Caption"/>
      </w:pPr>
      <w:r w:rsidRPr="008A14FE">
        <w:t>Table</w:t>
      </w:r>
      <w:r>
        <w:t xml:space="preserve"> </w:t>
      </w:r>
      <w:r w:rsidR="003D2ADB">
        <w:t>M</w:t>
      </w:r>
      <w:r>
        <w:t>.</w:t>
      </w:r>
      <w:r w:rsidR="00B82EA3">
        <w:t>1</w:t>
      </w:r>
      <w:r w:rsidRPr="008A14FE">
        <w:t>. Project financing</w:t>
      </w:r>
    </w:p>
    <w:tbl>
      <w:tblPr>
        <w:tblStyle w:val="TableGrid"/>
        <w:tblW w:w="0" w:type="auto"/>
        <w:tblInd w:w="-5" w:type="dxa"/>
        <w:tblLook w:val="04A0" w:firstRow="1" w:lastRow="0" w:firstColumn="1" w:lastColumn="0" w:noHBand="0" w:noVBand="1"/>
      </w:tblPr>
      <w:tblGrid>
        <w:gridCol w:w="4820"/>
        <w:gridCol w:w="3118"/>
        <w:gridCol w:w="1343"/>
      </w:tblGrid>
      <w:tr w:rsidR="00B3127D" w:rsidRPr="005B17BF" w14:paraId="0E449DCB" w14:textId="77777777" w:rsidTr="00682E42">
        <w:tc>
          <w:tcPr>
            <w:tcW w:w="4820" w:type="dxa"/>
            <w:shd w:val="clear" w:color="auto" w:fill="2E75B6" w:themeFill="accent5"/>
          </w:tcPr>
          <w:p w14:paraId="5CAC2E68" w14:textId="77777777" w:rsidR="00B3127D" w:rsidRPr="00682E42" w:rsidRDefault="00B3127D" w:rsidP="00E90328">
            <w:pPr>
              <w:rPr>
                <w:rFonts w:cs="Times New Roman"/>
                <w:b/>
                <w:bCs/>
                <w:color w:val="FFFFFF" w:themeColor="background1"/>
                <w:lang w:val="en-GB"/>
              </w:rPr>
            </w:pPr>
            <w:r w:rsidRPr="00682E42">
              <w:rPr>
                <w:rFonts w:cs="Times New Roman"/>
                <w:b/>
                <w:bCs/>
                <w:color w:val="FFFFFF" w:themeColor="background1"/>
                <w:lang w:val="en-GB"/>
              </w:rPr>
              <w:t>Source of financing</w:t>
            </w:r>
          </w:p>
        </w:tc>
        <w:tc>
          <w:tcPr>
            <w:tcW w:w="3118" w:type="dxa"/>
            <w:shd w:val="clear" w:color="auto" w:fill="2E75B6" w:themeFill="accent5"/>
          </w:tcPr>
          <w:p w14:paraId="547D2432" w14:textId="77777777" w:rsidR="00B3127D" w:rsidRPr="00682E42" w:rsidRDefault="00B3127D" w:rsidP="00E90328">
            <w:pPr>
              <w:rPr>
                <w:rFonts w:cs="Times New Roman"/>
                <w:b/>
                <w:bCs/>
                <w:color w:val="FFFFFF" w:themeColor="background1"/>
                <w:lang w:val="en-GB"/>
              </w:rPr>
            </w:pPr>
            <w:r w:rsidRPr="00682E42">
              <w:rPr>
                <w:rFonts w:cs="Times New Roman"/>
                <w:b/>
                <w:bCs/>
                <w:color w:val="FFFFFF" w:themeColor="background1"/>
                <w:lang w:val="en-GB"/>
              </w:rPr>
              <w:t xml:space="preserve">Amount </w:t>
            </w:r>
          </w:p>
        </w:tc>
        <w:tc>
          <w:tcPr>
            <w:tcW w:w="1343" w:type="dxa"/>
            <w:shd w:val="clear" w:color="auto" w:fill="2E75B6" w:themeFill="accent5"/>
          </w:tcPr>
          <w:p w14:paraId="5FE278E4" w14:textId="77777777" w:rsidR="00B3127D" w:rsidRPr="00682E42" w:rsidRDefault="00B3127D" w:rsidP="00E90328">
            <w:pPr>
              <w:rPr>
                <w:rFonts w:cs="Times New Roman"/>
                <w:b/>
                <w:bCs/>
                <w:color w:val="FFFFFF" w:themeColor="background1"/>
                <w:lang w:val="en-GB"/>
              </w:rPr>
            </w:pPr>
            <w:r w:rsidRPr="00682E42">
              <w:rPr>
                <w:rFonts w:cs="Times New Roman"/>
                <w:b/>
                <w:bCs/>
                <w:color w:val="FFFFFF" w:themeColor="background1"/>
                <w:lang w:val="en-GB"/>
              </w:rPr>
              <w:t>Fraction</w:t>
            </w:r>
          </w:p>
        </w:tc>
      </w:tr>
      <w:tr w:rsidR="00B3127D" w14:paraId="37ADA1D7" w14:textId="77777777" w:rsidTr="00682E42">
        <w:tc>
          <w:tcPr>
            <w:tcW w:w="4820" w:type="dxa"/>
            <w:shd w:val="clear" w:color="auto" w:fill="77ACDC" w:themeFill="accent5" w:themeFillTint="99"/>
          </w:tcPr>
          <w:p w14:paraId="79663BDA" w14:textId="77777777" w:rsidR="00B3127D" w:rsidRPr="00682E42" w:rsidRDefault="00B3127D" w:rsidP="00E90328">
            <w:pPr>
              <w:rPr>
                <w:rFonts w:cs="Times New Roman"/>
                <w:lang w:val="en-GB"/>
              </w:rPr>
            </w:pPr>
            <w:r w:rsidRPr="00682E42">
              <w:rPr>
                <w:rFonts w:cs="Times New Roman"/>
                <w:lang w:val="en-GB"/>
              </w:rPr>
              <w:t>GEF</w:t>
            </w:r>
          </w:p>
        </w:tc>
        <w:tc>
          <w:tcPr>
            <w:tcW w:w="3118" w:type="dxa"/>
            <w:shd w:val="clear" w:color="auto" w:fill="77ACDC" w:themeFill="accent5" w:themeFillTint="99"/>
          </w:tcPr>
          <w:p w14:paraId="6213027E" w14:textId="77777777" w:rsidR="00B3127D" w:rsidRPr="00682E42" w:rsidRDefault="00B3127D" w:rsidP="00CF768B">
            <w:pPr>
              <w:ind w:firstLine="597"/>
              <w:rPr>
                <w:rFonts w:cs="Times New Roman"/>
                <w:lang w:val="en-GB"/>
              </w:rPr>
            </w:pPr>
            <w:r w:rsidRPr="00682E42">
              <w:rPr>
                <w:rFonts w:cs="Times New Roman"/>
                <w:lang w:val="en-GB"/>
              </w:rPr>
              <w:t>USD   2,913,700</w:t>
            </w:r>
          </w:p>
        </w:tc>
        <w:tc>
          <w:tcPr>
            <w:tcW w:w="1343" w:type="dxa"/>
            <w:shd w:val="clear" w:color="auto" w:fill="77ACDC" w:themeFill="accent5" w:themeFillTint="99"/>
          </w:tcPr>
          <w:p w14:paraId="0E5395FC" w14:textId="77777777" w:rsidR="00B3127D" w:rsidRPr="00682E42" w:rsidRDefault="00B3127D" w:rsidP="00E90328">
            <w:pPr>
              <w:ind w:left="293"/>
              <w:rPr>
                <w:rFonts w:cs="Times New Roman"/>
                <w:lang w:val="en-GB"/>
              </w:rPr>
            </w:pPr>
            <w:r w:rsidRPr="00682E42">
              <w:rPr>
                <w:rFonts w:cs="Times New Roman"/>
                <w:lang w:val="en-GB"/>
              </w:rPr>
              <w:t xml:space="preserve">  19%</w:t>
            </w:r>
          </w:p>
        </w:tc>
      </w:tr>
      <w:tr w:rsidR="00B3127D" w14:paraId="65460AEF" w14:textId="77777777" w:rsidTr="00682E42">
        <w:tc>
          <w:tcPr>
            <w:tcW w:w="4820" w:type="dxa"/>
            <w:shd w:val="clear" w:color="auto" w:fill="77ACDC" w:themeFill="accent5" w:themeFillTint="99"/>
          </w:tcPr>
          <w:p w14:paraId="1B267EEA" w14:textId="77777777" w:rsidR="00B3127D" w:rsidRPr="00682E42" w:rsidRDefault="00B3127D" w:rsidP="00E90328">
            <w:pPr>
              <w:rPr>
                <w:rFonts w:cs="Times New Roman"/>
                <w:lang w:val="en-GB"/>
              </w:rPr>
            </w:pPr>
            <w:r w:rsidRPr="00682E42">
              <w:rPr>
                <w:rFonts w:cs="Times New Roman"/>
                <w:lang w:val="en-GB"/>
              </w:rPr>
              <w:t>Cofinancing</w:t>
            </w:r>
          </w:p>
        </w:tc>
        <w:tc>
          <w:tcPr>
            <w:tcW w:w="3118" w:type="dxa"/>
            <w:shd w:val="clear" w:color="auto" w:fill="77ACDC" w:themeFill="accent5" w:themeFillTint="99"/>
          </w:tcPr>
          <w:p w14:paraId="2EDF8743" w14:textId="77777777" w:rsidR="00B3127D" w:rsidRPr="00682E42" w:rsidRDefault="00B3127D" w:rsidP="00CF768B">
            <w:pPr>
              <w:ind w:firstLine="597"/>
              <w:rPr>
                <w:rFonts w:cs="Times New Roman"/>
                <w:lang w:val="en-GB"/>
              </w:rPr>
            </w:pPr>
            <w:r w:rsidRPr="00682E42">
              <w:rPr>
                <w:rFonts w:cs="Times New Roman"/>
                <w:lang w:val="en-GB"/>
              </w:rPr>
              <w:t>USD 12,130,000</w:t>
            </w:r>
          </w:p>
        </w:tc>
        <w:tc>
          <w:tcPr>
            <w:tcW w:w="1343" w:type="dxa"/>
            <w:shd w:val="clear" w:color="auto" w:fill="77ACDC" w:themeFill="accent5" w:themeFillTint="99"/>
          </w:tcPr>
          <w:p w14:paraId="5054EE47" w14:textId="77777777" w:rsidR="00B3127D" w:rsidRPr="00682E42" w:rsidRDefault="00B3127D" w:rsidP="00E90328">
            <w:pPr>
              <w:ind w:left="293"/>
              <w:rPr>
                <w:rFonts w:cs="Times New Roman"/>
                <w:lang w:val="en-GB"/>
              </w:rPr>
            </w:pPr>
            <w:r w:rsidRPr="00682E42">
              <w:rPr>
                <w:rFonts w:cs="Times New Roman"/>
                <w:lang w:val="en-GB"/>
              </w:rPr>
              <w:t xml:space="preserve">  81%</w:t>
            </w:r>
          </w:p>
        </w:tc>
      </w:tr>
      <w:tr w:rsidR="00B3127D" w14:paraId="761C07B6" w14:textId="77777777" w:rsidTr="00682E42">
        <w:tc>
          <w:tcPr>
            <w:tcW w:w="4820" w:type="dxa"/>
            <w:shd w:val="clear" w:color="auto" w:fill="D1E3F3" w:themeFill="accent5" w:themeFillTint="33"/>
          </w:tcPr>
          <w:p w14:paraId="4B1E574D" w14:textId="77777777" w:rsidR="00B3127D" w:rsidRPr="00682E42" w:rsidRDefault="00B3127D" w:rsidP="00E90328">
            <w:pPr>
              <w:ind w:firstLine="284"/>
              <w:rPr>
                <w:rFonts w:cs="Times New Roman"/>
                <w:lang w:val="en-GB"/>
              </w:rPr>
            </w:pPr>
            <w:r w:rsidRPr="00682E42">
              <w:rPr>
                <w:rFonts w:cs="Times New Roman"/>
                <w:lang w:val="en-GB"/>
              </w:rPr>
              <w:t>Government</w:t>
            </w:r>
          </w:p>
        </w:tc>
        <w:tc>
          <w:tcPr>
            <w:tcW w:w="3118" w:type="dxa"/>
            <w:shd w:val="clear" w:color="auto" w:fill="D1E3F3" w:themeFill="accent5" w:themeFillTint="33"/>
          </w:tcPr>
          <w:p w14:paraId="66081510" w14:textId="3930130D" w:rsidR="00B3127D" w:rsidRPr="00682E42" w:rsidRDefault="00B3127D" w:rsidP="00CF768B">
            <w:pPr>
              <w:ind w:firstLine="1022"/>
              <w:rPr>
                <w:rFonts w:cs="Times New Roman"/>
                <w:lang w:val="en-GB"/>
              </w:rPr>
            </w:pPr>
            <w:r w:rsidRPr="00682E42">
              <w:rPr>
                <w:rFonts w:cs="Times New Roman"/>
                <w:lang w:val="en-GB"/>
              </w:rPr>
              <w:t>USD 3,</w:t>
            </w:r>
            <w:r w:rsidR="00682E42">
              <w:rPr>
                <w:rFonts w:cs="Times New Roman"/>
                <w:lang w:val="en-GB"/>
              </w:rPr>
              <w:t>48</w:t>
            </w:r>
            <w:r w:rsidRPr="00682E42">
              <w:rPr>
                <w:rFonts w:cs="Times New Roman"/>
                <w:lang w:val="en-GB"/>
              </w:rPr>
              <w:t>0,000</w:t>
            </w:r>
          </w:p>
        </w:tc>
        <w:tc>
          <w:tcPr>
            <w:tcW w:w="1343" w:type="dxa"/>
            <w:shd w:val="clear" w:color="auto" w:fill="D1E3F3" w:themeFill="accent5" w:themeFillTint="33"/>
          </w:tcPr>
          <w:p w14:paraId="5F1CFCD3" w14:textId="7C038CDC" w:rsidR="00B3127D" w:rsidRPr="00682E42" w:rsidRDefault="00B3127D" w:rsidP="00682E42">
            <w:pPr>
              <w:jc w:val="right"/>
              <w:rPr>
                <w:rFonts w:cs="Times New Roman"/>
                <w:lang w:val="en-GB"/>
              </w:rPr>
            </w:pPr>
            <w:r w:rsidRPr="00682E42">
              <w:rPr>
                <w:rFonts w:cs="Times New Roman"/>
                <w:lang w:val="en-GB"/>
              </w:rPr>
              <w:t>2</w:t>
            </w:r>
            <w:r w:rsidR="00682E42">
              <w:rPr>
                <w:rFonts w:cs="Times New Roman"/>
                <w:lang w:val="en-GB"/>
              </w:rPr>
              <w:t>9</w:t>
            </w:r>
            <w:r w:rsidRPr="00682E42">
              <w:rPr>
                <w:rFonts w:cs="Times New Roman"/>
                <w:lang w:val="en-GB"/>
              </w:rPr>
              <w:t>%</w:t>
            </w:r>
          </w:p>
        </w:tc>
      </w:tr>
      <w:tr w:rsidR="00E90328" w14:paraId="60265165" w14:textId="77777777" w:rsidTr="00682E42">
        <w:tc>
          <w:tcPr>
            <w:tcW w:w="4820" w:type="dxa"/>
          </w:tcPr>
          <w:p w14:paraId="11C81D91" w14:textId="77777777" w:rsidR="00E90328" w:rsidRPr="00682E42" w:rsidRDefault="00E90328" w:rsidP="00CF768B">
            <w:pPr>
              <w:ind w:left="766" w:hanging="46"/>
              <w:rPr>
                <w:rFonts w:cs="Times New Roman"/>
                <w:lang w:val="en-GB"/>
              </w:rPr>
            </w:pPr>
            <w:r w:rsidRPr="00682E42">
              <w:rPr>
                <w:rFonts w:cs="Times New Roman"/>
                <w:lang w:val="en-GB"/>
              </w:rPr>
              <w:t>Zhejiang Provincial Government</w:t>
            </w:r>
          </w:p>
          <w:p w14:paraId="22DEA35B" w14:textId="77777777" w:rsidR="00CF768B" w:rsidRPr="00682E42" w:rsidRDefault="00CF768B" w:rsidP="00CF768B">
            <w:pPr>
              <w:ind w:left="46" w:hanging="46"/>
              <w:jc w:val="right"/>
              <w:rPr>
                <w:rFonts w:cs="Times New Roman"/>
                <w:lang w:val="en-GB"/>
              </w:rPr>
            </w:pPr>
            <w:r w:rsidRPr="00682E42">
              <w:rPr>
                <w:rFonts w:cs="Times New Roman"/>
                <w:lang w:val="en-GB"/>
              </w:rPr>
              <w:t>Cash</w:t>
            </w:r>
          </w:p>
          <w:p w14:paraId="458B3970" w14:textId="7A42D772" w:rsidR="00CF768B" w:rsidRPr="00682E42" w:rsidRDefault="00CF768B" w:rsidP="00CF768B">
            <w:pPr>
              <w:ind w:left="46" w:hanging="46"/>
              <w:jc w:val="right"/>
              <w:rPr>
                <w:rFonts w:cs="Times New Roman"/>
                <w:lang w:val="en-GB"/>
              </w:rPr>
            </w:pPr>
            <w:r w:rsidRPr="00682E42">
              <w:rPr>
                <w:rFonts w:cs="Times New Roman"/>
                <w:lang w:val="en-GB"/>
              </w:rPr>
              <w:t>In-kind</w:t>
            </w:r>
          </w:p>
        </w:tc>
        <w:tc>
          <w:tcPr>
            <w:tcW w:w="3118" w:type="dxa"/>
          </w:tcPr>
          <w:p w14:paraId="34226228" w14:textId="77777777" w:rsidR="00E90328" w:rsidRPr="00682E42" w:rsidRDefault="00E90328" w:rsidP="00CF768B">
            <w:pPr>
              <w:ind w:firstLine="1447"/>
              <w:rPr>
                <w:rFonts w:cs="Times New Roman"/>
                <w:lang w:val="en-GB"/>
              </w:rPr>
            </w:pPr>
          </w:p>
          <w:p w14:paraId="2D43451D" w14:textId="77777777" w:rsidR="00CF768B" w:rsidRPr="00682E42" w:rsidRDefault="00CF768B" w:rsidP="00CF768B">
            <w:pPr>
              <w:ind w:firstLine="1447"/>
              <w:rPr>
                <w:rFonts w:cs="Times New Roman"/>
                <w:lang w:val="en-GB"/>
              </w:rPr>
            </w:pPr>
            <w:r w:rsidRPr="00682E42">
              <w:rPr>
                <w:rFonts w:cs="Times New Roman"/>
                <w:lang w:val="en-GB"/>
              </w:rPr>
              <w:t>USD 1,000,000</w:t>
            </w:r>
          </w:p>
          <w:p w14:paraId="092768FD" w14:textId="22087CF5" w:rsidR="00CF768B" w:rsidRPr="00682E42" w:rsidRDefault="00CF768B" w:rsidP="00CF768B">
            <w:pPr>
              <w:ind w:firstLine="1447"/>
              <w:rPr>
                <w:rFonts w:cs="Times New Roman"/>
                <w:lang w:val="en-GB"/>
              </w:rPr>
            </w:pPr>
            <w:r w:rsidRPr="00682E42">
              <w:rPr>
                <w:rFonts w:cs="Times New Roman"/>
                <w:lang w:val="en-GB"/>
              </w:rPr>
              <w:t>USD    300,000</w:t>
            </w:r>
          </w:p>
        </w:tc>
        <w:tc>
          <w:tcPr>
            <w:tcW w:w="1343" w:type="dxa"/>
          </w:tcPr>
          <w:p w14:paraId="47F36995" w14:textId="77777777" w:rsidR="00E90328" w:rsidRPr="00682E42" w:rsidRDefault="00E90328" w:rsidP="00682E42">
            <w:pPr>
              <w:ind w:left="293"/>
              <w:jc w:val="right"/>
              <w:rPr>
                <w:rFonts w:cs="Times New Roman"/>
                <w:lang w:val="en-GB"/>
              </w:rPr>
            </w:pPr>
          </w:p>
        </w:tc>
      </w:tr>
      <w:tr w:rsidR="00CF768B" w14:paraId="41D57BA9" w14:textId="77777777" w:rsidTr="00682E42">
        <w:tc>
          <w:tcPr>
            <w:tcW w:w="4820" w:type="dxa"/>
          </w:tcPr>
          <w:p w14:paraId="32EB534A" w14:textId="77777777" w:rsidR="00CF768B" w:rsidRPr="00682E42" w:rsidRDefault="00CF768B" w:rsidP="00CF768B">
            <w:pPr>
              <w:ind w:left="766" w:hanging="46"/>
              <w:rPr>
                <w:rFonts w:cs="Times New Roman"/>
                <w:lang w:val="en-GB"/>
              </w:rPr>
            </w:pPr>
            <w:r w:rsidRPr="00682E42">
              <w:rPr>
                <w:rFonts w:cs="Times New Roman"/>
                <w:lang w:val="en-GB"/>
              </w:rPr>
              <w:t xml:space="preserve">Fuyang City Government </w:t>
            </w:r>
          </w:p>
          <w:p w14:paraId="102FB799" w14:textId="2EA60A71" w:rsidR="00CF768B" w:rsidRPr="00682E42" w:rsidRDefault="00CF768B" w:rsidP="00CF768B">
            <w:pPr>
              <w:ind w:left="46" w:hanging="46"/>
              <w:jc w:val="right"/>
              <w:rPr>
                <w:rFonts w:cs="Times New Roman"/>
                <w:lang w:val="en-GB"/>
              </w:rPr>
            </w:pPr>
            <w:r w:rsidRPr="00682E42">
              <w:rPr>
                <w:rFonts w:cs="Times New Roman"/>
                <w:lang w:val="en-GB"/>
              </w:rPr>
              <w:t>Cash</w:t>
            </w:r>
          </w:p>
          <w:p w14:paraId="2A8BB1E3" w14:textId="11A3237B" w:rsidR="00CF768B" w:rsidRPr="00682E42" w:rsidRDefault="00CF768B" w:rsidP="00CF768B">
            <w:pPr>
              <w:ind w:left="1050" w:hanging="46"/>
              <w:jc w:val="right"/>
              <w:rPr>
                <w:rFonts w:cs="Times New Roman"/>
                <w:lang w:val="en-GB"/>
              </w:rPr>
            </w:pPr>
            <w:r w:rsidRPr="00682E42">
              <w:rPr>
                <w:rFonts w:cs="Times New Roman"/>
                <w:lang w:val="en-GB"/>
              </w:rPr>
              <w:t>In-kind</w:t>
            </w:r>
          </w:p>
        </w:tc>
        <w:tc>
          <w:tcPr>
            <w:tcW w:w="3118" w:type="dxa"/>
          </w:tcPr>
          <w:p w14:paraId="3A94D052" w14:textId="77777777" w:rsidR="00CF768B" w:rsidRPr="00682E42" w:rsidRDefault="00CF768B" w:rsidP="00CF768B">
            <w:pPr>
              <w:ind w:firstLine="1447"/>
              <w:rPr>
                <w:rFonts w:cs="Times New Roman"/>
                <w:lang w:val="en-GB"/>
              </w:rPr>
            </w:pPr>
          </w:p>
          <w:p w14:paraId="7A089AD3" w14:textId="5FB58986" w:rsidR="00CF768B" w:rsidRPr="00682E42" w:rsidRDefault="00CF768B" w:rsidP="00CF768B">
            <w:pPr>
              <w:ind w:firstLine="1447"/>
              <w:rPr>
                <w:rFonts w:cs="Times New Roman"/>
                <w:lang w:val="en-GB"/>
              </w:rPr>
            </w:pPr>
            <w:r w:rsidRPr="00682E42">
              <w:rPr>
                <w:rFonts w:cs="Times New Roman"/>
                <w:lang w:val="en-GB"/>
              </w:rPr>
              <w:t xml:space="preserve">USD </w:t>
            </w:r>
            <w:r w:rsidR="00682E42">
              <w:rPr>
                <w:rFonts w:cs="Times New Roman"/>
                <w:lang w:val="en-GB"/>
              </w:rPr>
              <w:t>2</w:t>
            </w:r>
            <w:r w:rsidRPr="00682E42">
              <w:rPr>
                <w:rFonts w:cs="Times New Roman"/>
                <w:lang w:val="en-GB"/>
              </w:rPr>
              <w:t>,000,000</w:t>
            </w:r>
          </w:p>
          <w:p w14:paraId="4C340A09" w14:textId="58F1068E" w:rsidR="00CF768B" w:rsidRPr="00682E42" w:rsidRDefault="00CF768B" w:rsidP="00CF768B">
            <w:pPr>
              <w:ind w:firstLine="1447"/>
              <w:rPr>
                <w:rFonts w:cs="Times New Roman"/>
                <w:lang w:val="en-GB"/>
              </w:rPr>
            </w:pPr>
            <w:r w:rsidRPr="00682E42">
              <w:rPr>
                <w:rFonts w:cs="Times New Roman"/>
                <w:lang w:val="en-GB"/>
              </w:rPr>
              <w:t>USD    180,000</w:t>
            </w:r>
          </w:p>
        </w:tc>
        <w:tc>
          <w:tcPr>
            <w:tcW w:w="1343" w:type="dxa"/>
          </w:tcPr>
          <w:p w14:paraId="0371DA6F" w14:textId="77777777" w:rsidR="00CF768B" w:rsidRPr="00682E42" w:rsidRDefault="00CF768B" w:rsidP="00682E42">
            <w:pPr>
              <w:ind w:left="293"/>
              <w:jc w:val="right"/>
              <w:rPr>
                <w:rFonts w:cs="Times New Roman"/>
                <w:lang w:val="en-GB"/>
              </w:rPr>
            </w:pPr>
          </w:p>
        </w:tc>
      </w:tr>
      <w:tr w:rsidR="00CF768B" w14:paraId="7D0D4252" w14:textId="77777777" w:rsidTr="00682E42">
        <w:tc>
          <w:tcPr>
            <w:tcW w:w="4820" w:type="dxa"/>
            <w:shd w:val="clear" w:color="auto" w:fill="D1E3F3" w:themeFill="accent5" w:themeFillTint="33"/>
          </w:tcPr>
          <w:p w14:paraId="2C60C1E3" w14:textId="059A4E72" w:rsidR="00CF768B" w:rsidRPr="00682E42" w:rsidRDefault="00CF768B" w:rsidP="00CF768B">
            <w:pPr>
              <w:ind w:firstLine="284"/>
              <w:rPr>
                <w:rFonts w:cs="Times New Roman"/>
                <w:lang w:val="en-GB"/>
              </w:rPr>
            </w:pPr>
            <w:r w:rsidRPr="00682E42">
              <w:rPr>
                <w:rFonts w:cs="Times New Roman"/>
                <w:lang w:val="en-GB"/>
              </w:rPr>
              <w:t>Private sector</w:t>
            </w:r>
          </w:p>
        </w:tc>
        <w:tc>
          <w:tcPr>
            <w:tcW w:w="3118" w:type="dxa"/>
            <w:shd w:val="clear" w:color="auto" w:fill="D1E3F3" w:themeFill="accent5" w:themeFillTint="33"/>
          </w:tcPr>
          <w:p w14:paraId="16FAE32E" w14:textId="2F8CE07D" w:rsidR="00CF768B" w:rsidRPr="00682E42" w:rsidRDefault="00CF768B" w:rsidP="00CF768B">
            <w:pPr>
              <w:ind w:firstLine="1022"/>
              <w:rPr>
                <w:rFonts w:cs="Times New Roman"/>
                <w:b/>
                <w:bCs/>
                <w:lang w:val="en-GB"/>
              </w:rPr>
            </w:pPr>
            <w:r w:rsidRPr="00682E42">
              <w:rPr>
                <w:rFonts w:cs="Times New Roman"/>
                <w:lang w:val="en-GB"/>
              </w:rPr>
              <w:t xml:space="preserve">USD </w:t>
            </w:r>
            <w:r w:rsidR="00682E42">
              <w:rPr>
                <w:rFonts w:cs="Times New Roman"/>
                <w:lang w:val="en-GB"/>
              </w:rPr>
              <w:t>8</w:t>
            </w:r>
            <w:r w:rsidRPr="00682E42">
              <w:rPr>
                <w:rFonts w:cs="Times New Roman"/>
                <w:lang w:val="en-GB"/>
              </w:rPr>
              <w:t>,</w:t>
            </w:r>
            <w:r w:rsidR="00682E42">
              <w:rPr>
                <w:rFonts w:cs="Times New Roman"/>
                <w:lang w:val="en-GB"/>
              </w:rPr>
              <w:t>40</w:t>
            </w:r>
            <w:r w:rsidRPr="00682E42">
              <w:rPr>
                <w:rFonts w:cs="Times New Roman"/>
                <w:lang w:val="en-GB"/>
              </w:rPr>
              <w:t>0,000</w:t>
            </w:r>
          </w:p>
        </w:tc>
        <w:tc>
          <w:tcPr>
            <w:tcW w:w="1343" w:type="dxa"/>
            <w:shd w:val="clear" w:color="auto" w:fill="D1E3F3" w:themeFill="accent5" w:themeFillTint="33"/>
          </w:tcPr>
          <w:p w14:paraId="31EA1AA7" w14:textId="39D366BC" w:rsidR="00CF768B" w:rsidRPr="00682E42" w:rsidRDefault="00CF768B" w:rsidP="00682E42">
            <w:pPr>
              <w:ind w:left="293"/>
              <w:jc w:val="right"/>
              <w:rPr>
                <w:rFonts w:cs="Times New Roman"/>
                <w:lang w:val="en-GB"/>
              </w:rPr>
            </w:pPr>
            <w:r w:rsidRPr="00682E42">
              <w:rPr>
                <w:rFonts w:cs="Times New Roman"/>
                <w:lang w:val="en-GB"/>
              </w:rPr>
              <w:t xml:space="preserve">  </w:t>
            </w:r>
            <w:r w:rsidR="00682E42">
              <w:rPr>
                <w:rFonts w:cs="Times New Roman"/>
                <w:lang w:val="en-GB"/>
              </w:rPr>
              <w:t>69</w:t>
            </w:r>
            <w:r w:rsidRPr="00682E42">
              <w:rPr>
                <w:rFonts w:cs="Times New Roman"/>
                <w:lang w:val="en-GB"/>
              </w:rPr>
              <w:t>%</w:t>
            </w:r>
          </w:p>
        </w:tc>
      </w:tr>
      <w:tr w:rsidR="00CF768B" w14:paraId="5F764A98" w14:textId="77777777" w:rsidTr="00682E42">
        <w:tc>
          <w:tcPr>
            <w:tcW w:w="4820" w:type="dxa"/>
          </w:tcPr>
          <w:p w14:paraId="54EF6973" w14:textId="255D9D17" w:rsidR="00CF768B" w:rsidRPr="00682E42" w:rsidRDefault="00CF768B" w:rsidP="00CF768B">
            <w:pPr>
              <w:ind w:left="46" w:hanging="46"/>
              <w:jc w:val="right"/>
              <w:rPr>
                <w:rFonts w:cs="Times New Roman"/>
                <w:lang w:val="en-GB"/>
              </w:rPr>
            </w:pPr>
            <w:r w:rsidRPr="00682E42">
              <w:rPr>
                <w:rFonts w:cs="Times New Roman"/>
                <w:lang w:val="en-GB"/>
              </w:rPr>
              <w:t xml:space="preserve">Fuyang Hangzhou </w:t>
            </w:r>
            <w:r w:rsidR="009442F5">
              <w:rPr>
                <w:rFonts w:cs="Times New Roman"/>
                <w:lang w:val="en-GB"/>
              </w:rPr>
              <w:t>Transf</w:t>
            </w:r>
            <w:r w:rsidR="00F124B3">
              <w:rPr>
                <w:rFonts w:cs="Times New Roman"/>
                <w:lang w:val="en-GB"/>
              </w:rPr>
              <w:t>a</w:t>
            </w:r>
            <w:r w:rsidR="009442F5">
              <w:rPr>
                <w:rFonts w:cs="Times New Roman"/>
                <w:lang w:val="en-GB"/>
              </w:rPr>
              <w:t>r</w:t>
            </w:r>
            <w:r w:rsidR="00F124B3">
              <w:rPr>
                <w:rFonts w:cs="Times New Roman"/>
                <w:lang w:val="en-GB"/>
              </w:rPr>
              <w:t xml:space="preserve"> </w:t>
            </w:r>
            <w:r w:rsidRPr="00682E42">
              <w:rPr>
                <w:rFonts w:cs="Times New Roman"/>
                <w:lang w:val="en-GB"/>
              </w:rPr>
              <w:t>Logistics Base Co., Ltd.</w:t>
            </w:r>
          </w:p>
          <w:p w14:paraId="20D91D48" w14:textId="7FAD4CE5" w:rsidR="00CF768B" w:rsidRPr="00682E42" w:rsidRDefault="00CF768B" w:rsidP="00CF768B">
            <w:pPr>
              <w:ind w:left="46" w:hanging="46"/>
              <w:jc w:val="right"/>
              <w:rPr>
                <w:rFonts w:cs="Times New Roman"/>
                <w:lang w:val="en-GB"/>
              </w:rPr>
            </w:pPr>
            <w:r w:rsidRPr="00682E42">
              <w:rPr>
                <w:rFonts w:cs="Times New Roman"/>
                <w:lang w:val="en-GB"/>
              </w:rPr>
              <w:t>Cash</w:t>
            </w:r>
          </w:p>
          <w:p w14:paraId="3D2C9C74" w14:textId="444506C8" w:rsidR="00CF768B" w:rsidRPr="00682E42" w:rsidRDefault="00CF768B" w:rsidP="00CF768B">
            <w:pPr>
              <w:ind w:firstLine="284"/>
              <w:jc w:val="right"/>
              <w:rPr>
                <w:rFonts w:cs="Times New Roman"/>
                <w:lang w:val="en-GB"/>
              </w:rPr>
            </w:pPr>
            <w:r w:rsidRPr="00682E42">
              <w:rPr>
                <w:rFonts w:cs="Times New Roman"/>
                <w:lang w:val="en-GB"/>
              </w:rPr>
              <w:t>In-kind</w:t>
            </w:r>
          </w:p>
        </w:tc>
        <w:tc>
          <w:tcPr>
            <w:tcW w:w="3118" w:type="dxa"/>
          </w:tcPr>
          <w:p w14:paraId="27220644" w14:textId="77777777" w:rsidR="00CF768B" w:rsidRPr="00682E42" w:rsidRDefault="00CF768B" w:rsidP="00CF768B">
            <w:pPr>
              <w:ind w:firstLine="597"/>
              <w:rPr>
                <w:rFonts w:cs="Times New Roman"/>
                <w:lang w:val="en-GB"/>
              </w:rPr>
            </w:pPr>
          </w:p>
          <w:p w14:paraId="5F572FD9" w14:textId="0013340F" w:rsidR="00CF768B" w:rsidRPr="00682E42" w:rsidRDefault="00CF768B" w:rsidP="00CF768B">
            <w:pPr>
              <w:ind w:firstLine="1447"/>
              <w:rPr>
                <w:rFonts w:cs="Times New Roman"/>
                <w:lang w:val="en-GB"/>
              </w:rPr>
            </w:pPr>
            <w:r w:rsidRPr="00682E42">
              <w:rPr>
                <w:rFonts w:cs="Times New Roman"/>
                <w:lang w:val="en-GB"/>
              </w:rPr>
              <w:t>USD    210,000</w:t>
            </w:r>
          </w:p>
          <w:p w14:paraId="737AE0C9" w14:textId="65240C27" w:rsidR="00CF768B" w:rsidRPr="00682E42" w:rsidRDefault="00CF768B" w:rsidP="00CF768B">
            <w:pPr>
              <w:ind w:firstLine="1447"/>
              <w:rPr>
                <w:rFonts w:cs="Times New Roman"/>
                <w:lang w:val="en-GB"/>
              </w:rPr>
            </w:pPr>
            <w:r w:rsidRPr="00682E42">
              <w:rPr>
                <w:rFonts w:cs="Times New Roman"/>
                <w:lang w:val="en-GB"/>
              </w:rPr>
              <w:t>USD 3,640,000</w:t>
            </w:r>
          </w:p>
        </w:tc>
        <w:tc>
          <w:tcPr>
            <w:tcW w:w="1343" w:type="dxa"/>
          </w:tcPr>
          <w:p w14:paraId="4C0E6645" w14:textId="77777777" w:rsidR="00CF768B" w:rsidRPr="00682E42" w:rsidRDefault="00CF768B" w:rsidP="00682E42">
            <w:pPr>
              <w:ind w:left="293"/>
              <w:jc w:val="right"/>
              <w:rPr>
                <w:rFonts w:cs="Times New Roman"/>
                <w:lang w:val="en-GB"/>
              </w:rPr>
            </w:pPr>
          </w:p>
        </w:tc>
      </w:tr>
      <w:tr w:rsidR="00CF768B" w14:paraId="6E57340F" w14:textId="77777777" w:rsidTr="00682E42">
        <w:tc>
          <w:tcPr>
            <w:tcW w:w="4820" w:type="dxa"/>
          </w:tcPr>
          <w:p w14:paraId="2055A5EA" w14:textId="528C2822" w:rsidR="00CF768B" w:rsidRPr="00682E42" w:rsidRDefault="00CF768B" w:rsidP="003E735D">
            <w:pPr>
              <w:ind w:left="46" w:hanging="46"/>
              <w:rPr>
                <w:rFonts w:cs="Times New Roman"/>
                <w:lang w:val="en-GB"/>
              </w:rPr>
            </w:pPr>
            <w:r w:rsidRPr="00682E42">
              <w:rPr>
                <w:rFonts w:cs="Times New Roman"/>
                <w:lang w:val="en-GB"/>
              </w:rPr>
              <w:t>Zhejiang Fuyang Port International Co. Ltd.</w:t>
            </w:r>
          </w:p>
          <w:p w14:paraId="10CAC080" w14:textId="77777777" w:rsidR="00CF768B" w:rsidRPr="00682E42" w:rsidRDefault="00CF768B" w:rsidP="00CF768B">
            <w:pPr>
              <w:ind w:left="46" w:hanging="46"/>
              <w:jc w:val="right"/>
              <w:rPr>
                <w:rFonts w:cs="Times New Roman"/>
                <w:lang w:val="en-GB"/>
              </w:rPr>
            </w:pPr>
            <w:r w:rsidRPr="00682E42">
              <w:rPr>
                <w:rFonts w:cs="Times New Roman"/>
                <w:lang w:val="en-GB"/>
              </w:rPr>
              <w:t>Cash</w:t>
            </w:r>
          </w:p>
          <w:p w14:paraId="194B4927" w14:textId="4D47B4B5" w:rsidR="00CF768B" w:rsidRPr="00682E42" w:rsidRDefault="00CF768B" w:rsidP="00CF768B">
            <w:pPr>
              <w:ind w:left="46" w:hanging="46"/>
              <w:jc w:val="right"/>
              <w:rPr>
                <w:rFonts w:cs="Times New Roman"/>
                <w:lang w:val="en-GB"/>
              </w:rPr>
            </w:pPr>
            <w:r w:rsidRPr="00682E42">
              <w:rPr>
                <w:rFonts w:cs="Times New Roman"/>
                <w:lang w:val="en-GB"/>
              </w:rPr>
              <w:t>In-kind</w:t>
            </w:r>
          </w:p>
        </w:tc>
        <w:tc>
          <w:tcPr>
            <w:tcW w:w="3118" w:type="dxa"/>
          </w:tcPr>
          <w:p w14:paraId="52EC6529" w14:textId="77777777" w:rsidR="00CF768B" w:rsidRPr="00682E42" w:rsidRDefault="00CF768B" w:rsidP="00CF768B">
            <w:pPr>
              <w:ind w:firstLine="597"/>
              <w:rPr>
                <w:rFonts w:cs="Times New Roman"/>
                <w:lang w:val="en-GB"/>
              </w:rPr>
            </w:pPr>
          </w:p>
          <w:p w14:paraId="40B3082D" w14:textId="3B23C661" w:rsidR="00CF768B" w:rsidRPr="00682E42" w:rsidRDefault="00CF768B" w:rsidP="00CF768B">
            <w:pPr>
              <w:ind w:firstLine="1447"/>
              <w:rPr>
                <w:rFonts w:cs="Times New Roman"/>
                <w:lang w:val="en-GB"/>
              </w:rPr>
            </w:pPr>
            <w:r w:rsidRPr="00682E42">
              <w:rPr>
                <w:rFonts w:cs="Times New Roman"/>
                <w:lang w:val="en-GB"/>
              </w:rPr>
              <w:t>USD 2,730,000</w:t>
            </w:r>
          </w:p>
          <w:p w14:paraId="78422D0A" w14:textId="5DB9CDD1" w:rsidR="00CF768B" w:rsidRPr="00682E42" w:rsidRDefault="00CF768B" w:rsidP="00CF768B">
            <w:pPr>
              <w:ind w:firstLine="1447"/>
              <w:rPr>
                <w:rFonts w:cs="Times New Roman"/>
                <w:lang w:val="en-GB"/>
              </w:rPr>
            </w:pPr>
            <w:r w:rsidRPr="00682E42">
              <w:rPr>
                <w:rFonts w:cs="Times New Roman"/>
                <w:lang w:val="en-GB"/>
              </w:rPr>
              <w:t>USD 1,820,000</w:t>
            </w:r>
          </w:p>
        </w:tc>
        <w:tc>
          <w:tcPr>
            <w:tcW w:w="1343" w:type="dxa"/>
          </w:tcPr>
          <w:p w14:paraId="1DC6CA9A" w14:textId="77777777" w:rsidR="00CF768B" w:rsidRPr="00682E42" w:rsidRDefault="00CF768B" w:rsidP="00682E42">
            <w:pPr>
              <w:ind w:left="293"/>
              <w:jc w:val="right"/>
              <w:rPr>
                <w:rFonts w:cs="Times New Roman"/>
                <w:lang w:val="en-GB"/>
              </w:rPr>
            </w:pPr>
          </w:p>
        </w:tc>
      </w:tr>
      <w:tr w:rsidR="00CF768B" w14:paraId="1A7E2060" w14:textId="77777777" w:rsidTr="00682E42">
        <w:trPr>
          <w:trHeight w:val="64"/>
        </w:trPr>
        <w:tc>
          <w:tcPr>
            <w:tcW w:w="4820" w:type="dxa"/>
            <w:shd w:val="clear" w:color="auto" w:fill="D1E3F3" w:themeFill="accent5" w:themeFillTint="33"/>
          </w:tcPr>
          <w:p w14:paraId="00B632D6" w14:textId="77777777" w:rsidR="00CF768B" w:rsidRPr="00682E42" w:rsidRDefault="00CF768B" w:rsidP="00CF768B">
            <w:pPr>
              <w:ind w:firstLine="284"/>
              <w:rPr>
                <w:rFonts w:cs="Times New Roman"/>
                <w:lang w:val="en-GB"/>
              </w:rPr>
            </w:pPr>
            <w:r w:rsidRPr="00682E42">
              <w:rPr>
                <w:rFonts w:cs="Times New Roman"/>
                <w:lang w:val="en-GB"/>
              </w:rPr>
              <w:t>UNDP</w:t>
            </w:r>
          </w:p>
        </w:tc>
        <w:tc>
          <w:tcPr>
            <w:tcW w:w="3118" w:type="dxa"/>
            <w:shd w:val="clear" w:color="auto" w:fill="D1E3F3" w:themeFill="accent5" w:themeFillTint="33"/>
          </w:tcPr>
          <w:p w14:paraId="68C8F6B5" w14:textId="77777777" w:rsidR="00CF768B" w:rsidRPr="00682E42" w:rsidRDefault="00CF768B" w:rsidP="00CF768B">
            <w:pPr>
              <w:ind w:firstLine="1022"/>
              <w:rPr>
                <w:rFonts w:cs="Times New Roman"/>
                <w:lang w:val="en-GB"/>
              </w:rPr>
            </w:pPr>
            <w:r w:rsidRPr="00682E42">
              <w:rPr>
                <w:rFonts w:cs="Times New Roman"/>
                <w:lang w:val="en-GB"/>
              </w:rPr>
              <w:t>USD    250,000</w:t>
            </w:r>
          </w:p>
        </w:tc>
        <w:tc>
          <w:tcPr>
            <w:tcW w:w="1343" w:type="dxa"/>
            <w:shd w:val="clear" w:color="auto" w:fill="D1E3F3" w:themeFill="accent5" w:themeFillTint="33"/>
          </w:tcPr>
          <w:p w14:paraId="00AD7C17" w14:textId="77777777" w:rsidR="00CF768B" w:rsidRPr="00682E42" w:rsidRDefault="00CF768B" w:rsidP="00682E42">
            <w:pPr>
              <w:ind w:left="293"/>
              <w:jc w:val="right"/>
              <w:rPr>
                <w:rFonts w:cs="Times New Roman"/>
                <w:lang w:val="en-GB"/>
              </w:rPr>
            </w:pPr>
            <w:r w:rsidRPr="00682E42">
              <w:rPr>
                <w:rFonts w:cs="Times New Roman"/>
                <w:lang w:val="en-GB"/>
              </w:rPr>
              <w:t xml:space="preserve">    2%</w:t>
            </w:r>
          </w:p>
        </w:tc>
      </w:tr>
      <w:tr w:rsidR="00CF768B" w:rsidRPr="004F6ABE" w14:paraId="5C2D4EEB" w14:textId="77777777" w:rsidTr="00682E42">
        <w:tc>
          <w:tcPr>
            <w:tcW w:w="4820" w:type="dxa"/>
            <w:shd w:val="clear" w:color="auto" w:fill="2E75B6" w:themeFill="accent5"/>
          </w:tcPr>
          <w:p w14:paraId="10E0EA12" w14:textId="77777777" w:rsidR="00CF768B" w:rsidRPr="00682E42" w:rsidRDefault="00CF768B" w:rsidP="00CF768B">
            <w:pPr>
              <w:rPr>
                <w:rFonts w:cs="Times New Roman"/>
                <w:b/>
                <w:bCs/>
                <w:lang w:val="en-GB"/>
              </w:rPr>
            </w:pPr>
            <w:r w:rsidRPr="00682E42">
              <w:rPr>
                <w:rFonts w:cs="Times New Roman"/>
                <w:b/>
                <w:bCs/>
                <w:lang w:val="en-GB"/>
              </w:rPr>
              <w:t>Total project financing</w:t>
            </w:r>
          </w:p>
        </w:tc>
        <w:tc>
          <w:tcPr>
            <w:tcW w:w="3118" w:type="dxa"/>
            <w:shd w:val="clear" w:color="auto" w:fill="2E75B6" w:themeFill="accent5"/>
          </w:tcPr>
          <w:p w14:paraId="1F8068C4" w14:textId="77777777" w:rsidR="00CF768B" w:rsidRPr="00682E42" w:rsidRDefault="00CF768B" w:rsidP="00CF768B">
            <w:pPr>
              <w:ind w:firstLine="1356"/>
              <w:rPr>
                <w:rFonts w:cs="Times New Roman"/>
                <w:b/>
                <w:bCs/>
                <w:lang w:val="en-GB"/>
              </w:rPr>
            </w:pPr>
            <w:r w:rsidRPr="00682E42">
              <w:rPr>
                <w:rFonts w:cs="Times New Roman"/>
                <w:b/>
                <w:bCs/>
                <w:lang w:val="en-GB"/>
              </w:rPr>
              <w:t>USD 15,043,700</w:t>
            </w:r>
          </w:p>
        </w:tc>
        <w:tc>
          <w:tcPr>
            <w:tcW w:w="1343" w:type="dxa"/>
            <w:shd w:val="clear" w:color="auto" w:fill="2E75B6" w:themeFill="accent5"/>
          </w:tcPr>
          <w:p w14:paraId="1C3FF1D6" w14:textId="77777777" w:rsidR="00CF768B" w:rsidRPr="00682E42" w:rsidRDefault="00CF768B" w:rsidP="00CF768B">
            <w:pPr>
              <w:ind w:left="293"/>
              <w:rPr>
                <w:rFonts w:cs="Times New Roman"/>
                <w:b/>
                <w:bCs/>
                <w:lang w:val="en-GB"/>
              </w:rPr>
            </w:pPr>
            <w:r w:rsidRPr="00682E42">
              <w:rPr>
                <w:rFonts w:cs="Times New Roman"/>
                <w:b/>
                <w:bCs/>
                <w:lang w:val="en-GB"/>
              </w:rPr>
              <w:t>100%</w:t>
            </w:r>
          </w:p>
        </w:tc>
      </w:tr>
      <w:tr w:rsidR="00E87AA9" w14:paraId="7DD32E4D" w14:textId="77777777" w:rsidTr="008E2C94">
        <w:tc>
          <w:tcPr>
            <w:tcW w:w="4820" w:type="dxa"/>
          </w:tcPr>
          <w:p w14:paraId="349B71AF" w14:textId="77777777" w:rsidR="00E87AA9" w:rsidRPr="00682E42" w:rsidRDefault="00E87AA9" w:rsidP="008E2C94">
            <w:pPr>
              <w:rPr>
                <w:rFonts w:cs="Times New Roman"/>
                <w:lang w:val="en-GB"/>
              </w:rPr>
            </w:pPr>
            <w:r>
              <w:rPr>
                <w:rFonts w:cs="Times New Roman"/>
                <w:lang w:val="en-GB"/>
              </w:rPr>
              <w:t xml:space="preserve">                                     (</w:t>
            </w:r>
            <w:r w:rsidRPr="00682E42">
              <w:rPr>
                <w:rFonts w:cs="Times New Roman"/>
                <w:lang w:val="en-GB"/>
              </w:rPr>
              <w:t>Total in-kind contributions</w:t>
            </w:r>
            <w:r>
              <w:rPr>
                <w:rFonts w:cs="Times New Roman"/>
                <w:lang w:val="en-GB"/>
              </w:rPr>
              <w:t>)</w:t>
            </w:r>
          </w:p>
        </w:tc>
        <w:tc>
          <w:tcPr>
            <w:tcW w:w="3118" w:type="dxa"/>
          </w:tcPr>
          <w:p w14:paraId="4A652462" w14:textId="77777777" w:rsidR="00E87AA9" w:rsidRPr="00682E42" w:rsidRDefault="00E87AA9" w:rsidP="008E2C94">
            <w:pPr>
              <w:ind w:firstLine="1308"/>
              <w:rPr>
                <w:rFonts w:cs="Times New Roman"/>
                <w:lang w:val="en-GB"/>
              </w:rPr>
            </w:pPr>
            <w:r>
              <w:rPr>
                <w:rFonts w:cs="Times New Roman"/>
                <w:lang w:val="en-GB"/>
              </w:rPr>
              <w:t>(</w:t>
            </w:r>
            <w:r w:rsidRPr="00682E42">
              <w:rPr>
                <w:rFonts w:cs="Times New Roman"/>
                <w:lang w:val="en-GB"/>
              </w:rPr>
              <w:t>USD 5,940,000</w:t>
            </w:r>
            <w:r>
              <w:rPr>
                <w:rFonts w:cs="Times New Roman"/>
                <w:lang w:val="en-GB"/>
              </w:rPr>
              <w:t>)</w:t>
            </w:r>
          </w:p>
        </w:tc>
        <w:tc>
          <w:tcPr>
            <w:tcW w:w="1343" w:type="dxa"/>
          </w:tcPr>
          <w:p w14:paraId="2531AD54" w14:textId="77777777" w:rsidR="00E87AA9" w:rsidRPr="00682E42" w:rsidRDefault="00E87AA9" w:rsidP="008E2C94">
            <w:pPr>
              <w:ind w:left="293"/>
              <w:rPr>
                <w:rFonts w:cs="Times New Roman"/>
                <w:lang w:val="en-GB"/>
              </w:rPr>
            </w:pPr>
            <w:r w:rsidRPr="00682E42">
              <w:rPr>
                <w:rFonts w:cs="Times New Roman"/>
                <w:lang w:val="en-GB"/>
              </w:rPr>
              <w:t xml:space="preserve">  39%</w:t>
            </w:r>
          </w:p>
        </w:tc>
      </w:tr>
    </w:tbl>
    <w:p w14:paraId="6A9CBF8F" w14:textId="3AA68E07" w:rsidR="00CF768B" w:rsidRDefault="00CF768B" w:rsidP="00E87AA9">
      <w:pPr>
        <w:ind w:left="720" w:hanging="720"/>
      </w:pPr>
      <w:r>
        <w:t xml:space="preserve">Source: Adapted from </w:t>
      </w:r>
      <w:r w:rsidR="00E87AA9">
        <w:t>ProDoc,</w:t>
      </w:r>
      <w:r>
        <w:t xml:space="preserve"> p. 55</w:t>
      </w:r>
    </w:p>
    <w:p w14:paraId="26CB3FA8" w14:textId="563A73B8" w:rsidR="00B3127D" w:rsidRDefault="00B3127D" w:rsidP="00B82EA3">
      <w:pPr>
        <w:pStyle w:val="Caption"/>
        <w:ind w:firstLine="2127"/>
      </w:pPr>
      <w:r>
        <w:t xml:space="preserve">Table </w:t>
      </w:r>
      <w:r w:rsidR="003D2ADB">
        <w:t>M</w:t>
      </w:r>
      <w:r>
        <w:t>.</w:t>
      </w:r>
      <w:r w:rsidR="00B82EA3">
        <w:t>2.</w:t>
      </w:r>
      <w:r>
        <w:t xml:space="preserve"> Allocation of GEF grant among project components</w:t>
      </w:r>
    </w:p>
    <w:tbl>
      <w:tblPr>
        <w:tblStyle w:val="TableGrid"/>
        <w:tblW w:w="0" w:type="auto"/>
        <w:tblInd w:w="-5" w:type="dxa"/>
        <w:tblLook w:val="04A0" w:firstRow="1" w:lastRow="0" w:firstColumn="1" w:lastColumn="0" w:noHBand="0" w:noVBand="1"/>
      </w:tblPr>
      <w:tblGrid>
        <w:gridCol w:w="6237"/>
        <w:gridCol w:w="1985"/>
        <w:gridCol w:w="1059"/>
      </w:tblGrid>
      <w:tr w:rsidR="00B3127D" w:rsidRPr="005B17BF" w14:paraId="2E9488EB" w14:textId="77777777" w:rsidTr="00E87AA9">
        <w:tc>
          <w:tcPr>
            <w:tcW w:w="6237" w:type="dxa"/>
            <w:shd w:val="clear" w:color="auto" w:fill="2E75B6" w:themeFill="accent5"/>
          </w:tcPr>
          <w:p w14:paraId="5E55CDC5" w14:textId="77777777" w:rsidR="00B3127D" w:rsidRPr="005B17BF" w:rsidRDefault="00B3127D" w:rsidP="00E90328">
            <w:pPr>
              <w:rPr>
                <w:b/>
                <w:bCs/>
                <w:color w:val="FFFFFF" w:themeColor="background1"/>
                <w:lang w:val="en-GB"/>
              </w:rPr>
            </w:pPr>
            <w:r>
              <w:rPr>
                <w:b/>
                <w:bCs/>
                <w:color w:val="FFFFFF" w:themeColor="background1"/>
                <w:lang w:val="en-GB"/>
              </w:rPr>
              <w:t>Project component</w:t>
            </w:r>
          </w:p>
        </w:tc>
        <w:tc>
          <w:tcPr>
            <w:tcW w:w="1985" w:type="dxa"/>
            <w:shd w:val="clear" w:color="auto" w:fill="2E75B6" w:themeFill="accent5"/>
          </w:tcPr>
          <w:p w14:paraId="1CC3F22F" w14:textId="77777777" w:rsidR="00B3127D" w:rsidRPr="005B17BF" w:rsidRDefault="00B3127D" w:rsidP="00E90328">
            <w:pPr>
              <w:rPr>
                <w:b/>
                <w:bCs/>
                <w:color w:val="FFFFFF" w:themeColor="background1"/>
                <w:lang w:val="en-GB"/>
              </w:rPr>
            </w:pPr>
            <w:r w:rsidRPr="005B17BF">
              <w:rPr>
                <w:b/>
                <w:bCs/>
                <w:color w:val="FFFFFF" w:themeColor="background1"/>
                <w:lang w:val="en-GB"/>
              </w:rPr>
              <w:t xml:space="preserve">Amount </w:t>
            </w:r>
          </w:p>
        </w:tc>
        <w:tc>
          <w:tcPr>
            <w:tcW w:w="1059" w:type="dxa"/>
            <w:shd w:val="clear" w:color="auto" w:fill="2E75B6" w:themeFill="accent5"/>
          </w:tcPr>
          <w:p w14:paraId="242EB2F8" w14:textId="77777777" w:rsidR="00B3127D" w:rsidRPr="005B17BF" w:rsidRDefault="00B3127D" w:rsidP="00E90328">
            <w:pPr>
              <w:rPr>
                <w:b/>
                <w:bCs/>
                <w:color w:val="FFFFFF" w:themeColor="background1"/>
                <w:lang w:val="en-GB"/>
              </w:rPr>
            </w:pPr>
            <w:r w:rsidRPr="005B17BF">
              <w:rPr>
                <w:b/>
                <w:bCs/>
                <w:color w:val="FFFFFF" w:themeColor="background1"/>
                <w:lang w:val="en-GB"/>
              </w:rPr>
              <w:t>Fraction</w:t>
            </w:r>
          </w:p>
        </w:tc>
      </w:tr>
      <w:tr w:rsidR="00B3127D" w14:paraId="4CB1DF89" w14:textId="77777777" w:rsidTr="00E87AA9">
        <w:tc>
          <w:tcPr>
            <w:tcW w:w="6237" w:type="dxa"/>
            <w:shd w:val="clear" w:color="auto" w:fill="FFFFFF" w:themeFill="background1"/>
          </w:tcPr>
          <w:p w14:paraId="13557B63" w14:textId="5D321E2C" w:rsidR="00B3127D" w:rsidRDefault="00B3127D" w:rsidP="00E90328">
            <w:pPr>
              <w:rPr>
                <w:lang w:val="en-GB"/>
              </w:rPr>
            </w:pPr>
            <w:r w:rsidRPr="004F6ABE">
              <w:rPr>
                <w:lang w:val="en-GB"/>
              </w:rPr>
              <w:t>1</w:t>
            </w:r>
            <w:r w:rsidR="00FD0970">
              <w:rPr>
                <w:lang w:val="en-GB"/>
              </w:rPr>
              <w:t>.</w:t>
            </w:r>
            <w:r w:rsidRPr="004F6ABE">
              <w:rPr>
                <w:lang w:val="en-GB"/>
              </w:rPr>
              <w:t xml:space="preserve"> Policy and Regulatory Support for Green Logistics</w:t>
            </w:r>
          </w:p>
        </w:tc>
        <w:tc>
          <w:tcPr>
            <w:tcW w:w="1985" w:type="dxa"/>
            <w:shd w:val="clear" w:color="auto" w:fill="FFFFFF" w:themeFill="background1"/>
          </w:tcPr>
          <w:p w14:paraId="516B3A8A" w14:textId="77777777" w:rsidR="00B3127D" w:rsidRDefault="00B3127D" w:rsidP="00E90328">
            <w:pPr>
              <w:ind w:firstLine="313"/>
              <w:rPr>
                <w:lang w:val="en-GB"/>
              </w:rPr>
            </w:pPr>
            <w:r>
              <w:rPr>
                <w:lang w:val="en-GB"/>
              </w:rPr>
              <w:t>USD    590,000</w:t>
            </w:r>
          </w:p>
        </w:tc>
        <w:tc>
          <w:tcPr>
            <w:tcW w:w="1059" w:type="dxa"/>
            <w:shd w:val="clear" w:color="auto" w:fill="FFFFFF" w:themeFill="background1"/>
          </w:tcPr>
          <w:p w14:paraId="19B1951B" w14:textId="77777777" w:rsidR="00B3127D" w:rsidRDefault="00B3127D" w:rsidP="00E90328">
            <w:pPr>
              <w:tabs>
                <w:tab w:val="left" w:pos="611"/>
              </w:tabs>
              <w:ind w:left="284" w:hanging="136"/>
              <w:rPr>
                <w:lang w:val="en-GB"/>
              </w:rPr>
            </w:pPr>
            <w:r>
              <w:rPr>
                <w:lang w:val="en-GB"/>
              </w:rPr>
              <w:t xml:space="preserve">     20%</w:t>
            </w:r>
          </w:p>
        </w:tc>
      </w:tr>
      <w:tr w:rsidR="00B3127D" w14:paraId="12215F9C" w14:textId="77777777" w:rsidTr="00E87AA9">
        <w:tc>
          <w:tcPr>
            <w:tcW w:w="6237" w:type="dxa"/>
            <w:shd w:val="clear" w:color="auto" w:fill="FFFFFF" w:themeFill="background1"/>
            <w:vAlign w:val="center"/>
          </w:tcPr>
          <w:p w14:paraId="5ED9637C" w14:textId="64A7129F" w:rsidR="00B3127D" w:rsidRDefault="00B3127D" w:rsidP="00E90328">
            <w:pPr>
              <w:rPr>
                <w:lang w:val="en-GB"/>
              </w:rPr>
            </w:pPr>
            <w:r w:rsidRPr="004F6ABE">
              <w:rPr>
                <w:lang w:val="en-GB"/>
              </w:rPr>
              <w:t>2</w:t>
            </w:r>
            <w:r w:rsidR="00FD0970">
              <w:rPr>
                <w:lang w:val="en-GB"/>
              </w:rPr>
              <w:t>.</w:t>
            </w:r>
            <w:r w:rsidRPr="004F6ABE">
              <w:rPr>
                <w:lang w:val="en-GB"/>
              </w:rPr>
              <w:t xml:space="preserve"> Green Logistics Systems Demonstration</w:t>
            </w:r>
          </w:p>
        </w:tc>
        <w:tc>
          <w:tcPr>
            <w:tcW w:w="1985" w:type="dxa"/>
            <w:shd w:val="clear" w:color="auto" w:fill="FFFFFF" w:themeFill="background1"/>
          </w:tcPr>
          <w:p w14:paraId="54CA6848" w14:textId="77777777" w:rsidR="00B3127D" w:rsidRDefault="00B3127D" w:rsidP="00E90328">
            <w:pPr>
              <w:ind w:firstLine="313"/>
              <w:rPr>
                <w:lang w:val="en-GB"/>
              </w:rPr>
            </w:pPr>
            <w:r>
              <w:rPr>
                <w:lang w:val="en-GB"/>
              </w:rPr>
              <w:t>USD 1,945,000</w:t>
            </w:r>
          </w:p>
        </w:tc>
        <w:tc>
          <w:tcPr>
            <w:tcW w:w="1059" w:type="dxa"/>
            <w:shd w:val="clear" w:color="auto" w:fill="FFFFFF" w:themeFill="background1"/>
          </w:tcPr>
          <w:p w14:paraId="740F82FF" w14:textId="77777777" w:rsidR="00B3127D" w:rsidRDefault="00B3127D" w:rsidP="00E90328">
            <w:pPr>
              <w:tabs>
                <w:tab w:val="left" w:pos="611"/>
              </w:tabs>
              <w:ind w:left="284" w:hanging="136"/>
              <w:rPr>
                <w:lang w:val="en-GB"/>
              </w:rPr>
            </w:pPr>
            <w:r>
              <w:rPr>
                <w:lang w:val="en-GB"/>
              </w:rPr>
              <w:t xml:space="preserve">     67%</w:t>
            </w:r>
          </w:p>
        </w:tc>
      </w:tr>
      <w:tr w:rsidR="00B3127D" w14:paraId="1F32C090" w14:textId="77777777" w:rsidTr="00E87AA9">
        <w:tc>
          <w:tcPr>
            <w:tcW w:w="6237" w:type="dxa"/>
            <w:shd w:val="clear" w:color="auto" w:fill="FFFFFF" w:themeFill="background1"/>
            <w:vAlign w:val="center"/>
          </w:tcPr>
          <w:p w14:paraId="255D9799" w14:textId="3950A173" w:rsidR="00B3127D" w:rsidRPr="004F6ABE" w:rsidRDefault="00B3127D" w:rsidP="00E90328">
            <w:pPr>
              <w:rPr>
                <w:lang w:val="en-GB"/>
              </w:rPr>
            </w:pPr>
            <w:r w:rsidRPr="004F6ABE">
              <w:rPr>
                <w:lang w:val="en-GB"/>
              </w:rPr>
              <w:t>3</w:t>
            </w:r>
            <w:r w:rsidR="00FD0970">
              <w:rPr>
                <w:lang w:val="en-GB"/>
              </w:rPr>
              <w:t>.</w:t>
            </w:r>
            <w:r w:rsidRPr="004F6ABE">
              <w:rPr>
                <w:lang w:val="en-GB"/>
              </w:rPr>
              <w:t xml:space="preserve"> Capacity Building and Promotion of Green Logistics Systems</w:t>
            </w:r>
          </w:p>
        </w:tc>
        <w:tc>
          <w:tcPr>
            <w:tcW w:w="1985" w:type="dxa"/>
            <w:shd w:val="clear" w:color="auto" w:fill="FFFFFF" w:themeFill="background1"/>
          </w:tcPr>
          <w:p w14:paraId="128D9DB4" w14:textId="77777777" w:rsidR="00B3127D" w:rsidRDefault="00B3127D" w:rsidP="00E90328">
            <w:pPr>
              <w:ind w:firstLine="313"/>
              <w:rPr>
                <w:lang w:val="en-GB"/>
              </w:rPr>
            </w:pPr>
            <w:r>
              <w:rPr>
                <w:lang w:val="en-GB"/>
              </w:rPr>
              <w:t>USD    239,950</w:t>
            </w:r>
          </w:p>
        </w:tc>
        <w:tc>
          <w:tcPr>
            <w:tcW w:w="1059" w:type="dxa"/>
            <w:shd w:val="clear" w:color="auto" w:fill="FFFFFF" w:themeFill="background1"/>
          </w:tcPr>
          <w:p w14:paraId="5DE7C30D" w14:textId="77777777" w:rsidR="00B3127D" w:rsidRDefault="00B3127D" w:rsidP="00E90328">
            <w:pPr>
              <w:tabs>
                <w:tab w:val="left" w:pos="611"/>
              </w:tabs>
              <w:ind w:left="284" w:hanging="136"/>
              <w:rPr>
                <w:lang w:val="en-GB"/>
              </w:rPr>
            </w:pPr>
            <w:r>
              <w:rPr>
                <w:lang w:val="en-GB"/>
              </w:rPr>
              <w:t xml:space="preserve">       8%</w:t>
            </w:r>
          </w:p>
        </w:tc>
      </w:tr>
      <w:tr w:rsidR="00B3127D" w14:paraId="37A05B10" w14:textId="77777777" w:rsidTr="00E87AA9">
        <w:tc>
          <w:tcPr>
            <w:tcW w:w="6237" w:type="dxa"/>
            <w:shd w:val="clear" w:color="auto" w:fill="FFFFFF" w:themeFill="background1"/>
            <w:vAlign w:val="center"/>
          </w:tcPr>
          <w:p w14:paraId="79120AEF" w14:textId="1EFBD33B" w:rsidR="00B3127D" w:rsidRPr="004F6ABE" w:rsidRDefault="00B3127D" w:rsidP="00E90328">
            <w:pPr>
              <w:rPr>
                <w:lang w:val="en-GB"/>
              </w:rPr>
            </w:pPr>
            <w:r w:rsidRPr="004F6ABE">
              <w:rPr>
                <w:lang w:val="en-GB"/>
              </w:rPr>
              <w:t xml:space="preserve">Project </w:t>
            </w:r>
            <w:r w:rsidR="00FD0970">
              <w:rPr>
                <w:lang w:val="en-GB"/>
              </w:rPr>
              <w:t>m</w:t>
            </w:r>
            <w:r w:rsidRPr="004F6ABE">
              <w:rPr>
                <w:lang w:val="en-GB"/>
              </w:rPr>
              <w:t xml:space="preserve">anagement </w:t>
            </w:r>
            <w:r w:rsidR="00FD0970">
              <w:rPr>
                <w:lang w:val="en-GB"/>
              </w:rPr>
              <w:t>c</w:t>
            </w:r>
            <w:r w:rsidRPr="004F6ABE">
              <w:rPr>
                <w:lang w:val="en-GB"/>
              </w:rPr>
              <w:t>ost</w:t>
            </w:r>
          </w:p>
        </w:tc>
        <w:tc>
          <w:tcPr>
            <w:tcW w:w="1985" w:type="dxa"/>
            <w:shd w:val="clear" w:color="auto" w:fill="FFFFFF" w:themeFill="background1"/>
          </w:tcPr>
          <w:p w14:paraId="443A5C9F" w14:textId="77777777" w:rsidR="00B3127D" w:rsidRDefault="00B3127D" w:rsidP="00E90328">
            <w:pPr>
              <w:ind w:firstLine="313"/>
              <w:rPr>
                <w:lang w:val="en-GB"/>
              </w:rPr>
            </w:pPr>
            <w:r>
              <w:rPr>
                <w:lang w:val="en-GB"/>
              </w:rPr>
              <w:t>USD    138,750</w:t>
            </w:r>
          </w:p>
        </w:tc>
        <w:tc>
          <w:tcPr>
            <w:tcW w:w="1059" w:type="dxa"/>
            <w:shd w:val="clear" w:color="auto" w:fill="FFFFFF" w:themeFill="background1"/>
          </w:tcPr>
          <w:p w14:paraId="0E002BE3" w14:textId="77777777" w:rsidR="00B3127D" w:rsidRDefault="00B3127D" w:rsidP="00E90328">
            <w:pPr>
              <w:tabs>
                <w:tab w:val="left" w:pos="611"/>
              </w:tabs>
              <w:ind w:left="284" w:hanging="136"/>
              <w:rPr>
                <w:lang w:val="en-GB"/>
              </w:rPr>
            </w:pPr>
            <w:r>
              <w:rPr>
                <w:lang w:val="en-GB"/>
              </w:rPr>
              <w:t xml:space="preserve">       5%</w:t>
            </w:r>
          </w:p>
        </w:tc>
      </w:tr>
      <w:tr w:rsidR="00B3127D" w:rsidRPr="004F6ABE" w14:paraId="686485BF" w14:textId="77777777" w:rsidTr="00E87AA9">
        <w:tc>
          <w:tcPr>
            <w:tcW w:w="6237" w:type="dxa"/>
            <w:shd w:val="clear" w:color="auto" w:fill="77ACDC" w:themeFill="accent5" w:themeFillTint="99"/>
          </w:tcPr>
          <w:p w14:paraId="1DD2461D" w14:textId="77777777" w:rsidR="00B3127D" w:rsidRPr="004F6ABE" w:rsidRDefault="00B3127D" w:rsidP="00E90328">
            <w:pPr>
              <w:rPr>
                <w:b/>
                <w:bCs/>
                <w:lang w:val="en-GB"/>
              </w:rPr>
            </w:pPr>
            <w:r w:rsidRPr="004F6ABE">
              <w:rPr>
                <w:b/>
                <w:bCs/>
                <w:lang w:val="en-GB"/>
              </w:rPr>
              <w:t>Total project financing</w:t>
            </w:r>
          </w:p>
        </w:tc>
        <w:tc>
          <w:tcPr>
            <w:tcW w:w="1985" w:type="dxa"/>
            <w:shd w:val="clear" w:color="auto" w:fill="77ACDC" w:themeFill="accent5" w:themeFillTint="99"/>
          </w:tcPr>
          <w:p w14:paraId="26D87D16" w14:textId="3DE352E1" w:rsidR="00B3127D" w:rsidRPr="004F6ABE" w:rsidRDefault="00FD0970" w:rsidP="00E90328">
            <w:pPr>
              <w:ind w:firstLine="247"/>
              <w:rPr>
                <w:b/>
                <w:bCs/>
                <w:lang w:val="en-GB"/>
              </w:rPr>
            </w:pPr>
            <w:r>
              <w:rPr>
                <w:b/>
                <w:bCs/>
                <w:lang w:val="en-GB"/>
              </w:rPr>
              <w:t xml:space="preserve"> </w:t>
            </w:r>
            <w:r w:rsidR="00B3127D" w:rsidRPr="004F6ABE">
              <w:rPr>
                <w:b/>
                <w:bCs/>
                <w:lang w:val="en-GB"/>
              </w:rPr>
              <w:t>USD 2,913,700</w:t>
            </w:r>
          </w:p>
        </w:tc>
        <w:tc>
          <w:tcPr>
            <w:tcW w:w="1059" w:type="dxa"/>
            <w:shd w:val="clear" w:color="auto" w:fill="77ACDC" w:themeFill="accent5" w:themeFillTint="99"/>
          </w:tcPr>
          <w:p w14:paraId="5A437175" w14:textId="77777777" w:rsidR="00B3127D" w:rsidRPr="004F6ABE" w:rsidRDefault="00B3127D" w:rsidP="00E90328">
            <w:pPr>
              <w:ind w:left="293"/>
              <w:rPr>
                <w:b/>
                <w:bCs/>
                <w:lang w:val="en-GB"/>
              </w:rPr>
            </w:pPr>
            <w:r w:rsidRPr="004F6ABE">
              <w:rPr>
                <w:b/>
                <w:bCs/>
                <w:lang w:val="en-GB"/>
              </w:rPr>
              <w:t>100%</w:t>
            </w:r>
          </w:p>
        </w:tc>
      </w:tr>
    </w:tbl>
    <w:p w14:paraId="3D230257" w14:textId="172276E1" w:rsidR="00E90328" w:rsidRDefault="00E90328" w:rsidP="003E735D">
      <w:pPr>
        <w:ind w:left="720" w:hanging="720"/>
      </w:pPr>
      <w:r>
        <w:t xml:space="preserve">Source: Adapted from </w:t>
      </w:r>
      <w:r w:rsidR="00E87AA9">
        <w:t xml:space="preserve">ProDoc, </w:t>
      </w:r>
      <w:r>
        <w:t>p. 55</w:t>
      </w:r>
    </w:p>
    <w:sectPr w:rsidR="00E903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75A6A" w14:textId="77777777" w:rsidR="008737C4" w:rsidRDefault="008737C4" w:rsidP="00055F25">
      <w:pPr>
        <w:spacing w:after="0" w:line="240" w:lineRule="auto"/>
      </w:pPr>
      <w:r>
        <w:separator/>
      </w:r>
    </w:p>
  </w:endnote>
  <w:endnote w:type="continuationSeparator" w:id="0">
    <w:p w14:paraId="0BF950C2" w14:textId="77777777" w:rsidR="008737C4" w:rsidRDefault="008737C4" w:rsidP="00055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Myriad Pro">
    <w:altName w:val="Segoe UI"/>
    <w:panose1 w:val="00000000000000000000"/>
    <w:charset w:val="00"/>
    <w:family w:val="swiss"/>
    <w:notTrueType/>
    <w:pitch w:val="variable"/>
    <w:sig w:usb0="00000001"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5E4F4" w14:textId="37C220EA" w:rsidR="009E09CA" w:rsidRDefault="009E09CA">
    <w:pPr>
      <w:pStyle w:val="Footer"/>
      <w:jc w:val="center"/>
    </w:pPr>
  </w:p>
  <w:p w14:paraId="6DE46CE4" w14:textId="77777777" w:rsidR="009E09CA" w:rsidRDefault="009E09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948804"/>
      <w:docPartObj>
        <w:docPartGallery w:val="Page Numbers (Bottom of Page)"/>
        <w:docPartUnique/>
      </w:docPartObj>
    </w:sdtPr>
    <w:sdtEndPr>
      <w:rPr>
        <w:noProof/>
      </w:rPr>
    </w:sdtEndPr>
    <w:sdtContent>
      <w:p w14:paraId="137358C9" w14:textId="6BD22B41" w:rsidR="009E09CA" w:rsidRDefault="009E09C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BE7BEA4" w14:textId="77777777" w:rsidR="009E09CA" w:rsidRDefault="009E09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D6FC" w14:textId="77777777" w:rsidR="008737C4" w:rsidRDefault="008737C4" w:rsidP="00055F25">
      <w:pPr>
        <w:spacing w:after="0" w:line="240" w:lineRule="auto"/>
      </w:pPr>
      <w:r>
        <w:separator/>
      </w:r>
    </w:p>
  </w:footnote>
  <w:footnote w:type="continuationSeparator" w:id="0">
    <w:p w14:paraId="7BE00552" w14:textId="77777777" w:rsidR="008737C4" w:rsidRDefault="008737C4" w:rsidP="00055F25">
      <w:pPr>
        <w:spacing w:after="0" w:line="240" w:lineRule="auto"/>
      </w:pPr>
      <w:r>
        <w:continuationSeparator/>
      </w:r>
    </w:p>
  </w:footnote>
  <w:footnote w:id="1">
    <w:p w14:paraId="6F1B7ACA" w14:textId="041A4098" w:rsidR="009E09CA" w:rsidRPr="00602949" w:rsidRDefault="009E09CA" w:rsidP="00A42A48">
      <w:pPr>
        <w:pStyle w:val="FootnoteText"/>
        <w:rPr>
          <w:lang w:val="es-MX"/>
        </w:rPr>
      </w:pPr>
      <w:r>
        <w:rPr>
          <w:rStyle w:val="FootnoteReference"/>
        </w:rPr>
        <w:footnoteRef/>
      </w:r>
      <w:r>
        <w:t xml:space="preserve"> UNEG, 2008, “</w:t>
      </w:r>
      <w:r w:rsidRPr="00602949">
        <w:t>Ethical Guidelines for Evaluations</w:t>
      </w:r>
      <w:r>
        <w:t>”. Available under &lt;</w:t>
      </w:r>
      <w:r w:rsidRPr="00602949">
        <w:t xml:space="preserve"> http://www.unevaluation.org/document/detail/102</w:t>
      </w:r>
      <w:r>
        <w:t>&gt;</w:t>
      </w:r>
    </w:p>
  </w:footnote>
  <w:footnote w:id="2">
    <w:p w14:paraId="52C0EE30" w14:textId="048C9028" w:rsidR="009E09CA" w:rsidRPr="0099376D" w:rsidRDefault="009E09CA" w:rsidP="00A42A48">
      <w:pPr>
        <w:pStyle w:val="FootnoteText"/>
        <w:rPr>
          <w:rFonts w:eastAsiaTheme="minorHAnsi"/>
        </w:rPr>
      </w:pPr>
      <w:r w:rsidRPr="0099376D">
        <w:rPr>
          <w:rStyle w:val="FootnoteReference"/>
          <w:rFonts w:ascii="Times New Roman" w:hAnsi="Times New Roman"/>
        </w:rPr>
        <w:footnoteRef/>
      </w:r>
      <w:r w:rsidRPr="0099376D">
        <w:t xml:space="preserve"> </w:t>
      </w:r>
      <w:r w:rsidRPr="0099376D">
        <w:rPr>
          <w:rFonts w:eastAsiaTheme="minorHAnsi"/>
        </w:rPr>
        <w:t>Zhejiang Economic Information Center, Zhejiang Gongshang University. Evaluation Standard</w:t>
      </w:r>
    </w:p>
    <w:p w14:paraId="3358544B" w14:textId="5B51D82A" w:rsidR="009E09CA" w:rsidRPr="0099376D" w:rsidRDefault="009E09CA" w:rsidP="00A42A48">
      <w:pPr>
        <w:pStyle w:val="FootnoteText"/>
      </w:pPr>
      <w:r w:rsidRPr="0099376D">
        <w:rPr>
          <w:rFonts w:eastAsiaTheme="minorHAnsi"/>
        </w:rPr>
        <w:t>of Implementation Effect of Green Logistics Project. April, 2020. p.7.</w:t>
      </w:r>
    </w:p>
  </w:footnote>
  <w:footnote w:id="3">
    <w:p w14:paraId="52C48165" w14:textId="07B538C6" w:rsidR="009E09CA" w:rsidRPr="0099376D" w:rsidRDefault="009E09CA" w:rsidP="00A42A48">
      <w:pPr>
        <w:pStyle w:val="FootnoteText"/>
        <w:rPr>
          <w:lang w:val="en-US"/>
        </w:rPr>
      </w:pPr>
      <w:r w:rsidRPr="0099376D">
        <w:rPr>
          <w:rStyle w:val="FootnoteReference"/>
          <w:rFonts w:ascii="Times New Roman" w:hAnsi="Times New Roman"/>
        </w:rPr>
        <w:footnoteRef/>
      </w:r>
      <w:r w:rsidRPr="0099376D">
        <w:t xml:space="preserve"> China Quality Certification Centre. Energy Efficiency Evaluation Program and Plan for Small and Medium sized Logistics Enterprises in Zhejiang Province. November, 2020. p.21.</w:t>
      </w:r>
    </w:p>
  </w:footnote>
  <w:footnote w:id="4">
    <w:p w14:paraId="268B6356" w14:textId="7A84F36E" w:rsidR="009E09CA" w:rsidRPr="009A2F32" w:rsidRDefault="009E09CA" w:rsidP="00A42A48">
      <w:pPr>
        <w:pStyle w:val="FootnoteText"/>
      </w:pPr>
      <w:r w:rsidRPr="0099376D">
        <w:rPr>
          <w:rStyle w:val="FootnoteReference"/>
          <w:rFonts w:ascii="Times New Roman" w:hAnsi="Times New Roman"/>
        </w:rPr>
        <w:footnoteRef/>
      </w:r>
      <w:r w:rsidRPr="0099376D">
        <w:t xml:space="preserve"> Ibid. p. 5.</w:t>
      </w:r>
    </w:p>
  </w:footnote>
  <w:footnote w:id="5">
    <w:p w14:paraId="1BCC750E" w14:textId="77777777" w:rsidR="009E09CA" w:rsidRPr="0099376D" w:rsidRDefault="009E09CA" w:rsidP="00A42A48">
      <w:pPr>
        <w:pStyle w:val="FootnoteText"/>
      </w:pPr>
      <w:r w:rsidRPr="0099376D">
        <w:rPr>
          <w:rStyle w:val="FootnoteReference"/>
          <w:rFonts w:ascii="Times New Roman" w:hAnsi="Times New Roman"/>
        </w:rPr>
        <w:footnoteRef/>
      </w:r>
      <w:r w:rsidRPr="0099376D">
        <w:t xml:space="preserve"> As cited in: Tianjin Climate Exchange Co., Ltd. Green Finance for Green Logistics in Logistics SME: Support Assessment and Suggestions. December 2019. p.8.</w:t>
      </w:r>
    </w:p>
  </w:footnote>
  <w:footnote w:id="6">
    <w:p w14:paraId="0DB349E5" w14:textId="77777777" w:rsidR="009E09CA" w:rsidRPr="0099376D" w:rsidRDefault="009E09CA" w:rsidP="00A42A48">
      <w:pPr>
        <w:pStyle w:val="FootnoteText"/>
        <w:rPr>
          <w:lang w:val="en-US"/>
        </w:rPr>
      </w:pPr>
      <w:r w:rsidRPr="0099376D">
        <w:rPr>
          <w:rStyle w:val="FootnoteReference"/>
          <w:rFonts w:ascii="Times New Roman" w:hAnsi="Times New Roman"/>
        </w:rPr>
        <w:footnoteRef/>
      </w:r>
      <w:r w:rsidRPr="0099376D">
        <w:t xml:space="preserve"> Zhejiang Economic Information Center. Green Technology Application and Practice Guide for Zhejiang Logistics Enterprises. No date. p.1.</w:t>
      </w:r>
    </w:p>
  </w:footnote>
  <w:footnote w:id="7">
    <w:p w14:paraId="07BCAF65" w14:textId="164666BA" w:rsidR="009E09CA" w:rsidRPr="0099376D" w:rsidRDefault="009E09CA" w:rsidP="00A42A48">
      <w:pPr>
        <w:pStyle w:val="FootnoteText"/>
      </w:pPr>
      <w:r w:rsidRPr="0099376D">
        <w:rPr>
          <w:rStyle w:val="FootnoteReference"/>
          <w:rFonts w:ascii="Times New Roman" w:hAnsi="Times New Roman"/>
        </w:rPr>
        <w:footnoteRef/>
      </w:r>
      <w:r w:rsidRPr="0099376D">
        <w:t xml:space="preserve"> Ibid. pp.7 - 8.</w:t>
      </w:r>
    </w:p>
  </w:footnote>
  <w:footnote w:id="8">
    <w:p w14:paraId="49176CCD" w14:textId="268ED508" w:rsidR="009E09CA" w:rsidRPr="0099376D" w:rsidRDefault="009E09CA" w:rsidP="00A42A48">
      <w:pPr>
        <w:pStyle w:val="FootnoteText"/>
      </w:pPr>
      <w:r w:rsidRPr="0099376D">
        <w:rPr>
          <w:rStyle w:val="FootnoteReference"/>
          <w:rFonts w:ascii="Times New Roman" w:hAnsi="Times New Roman"/>
        </w:rPr>
        <w:footnoteRef/>
      </w:r>
      <w:r w:rsidRPr="0099376D">
        <w:t xml:space="preserve"> ProDoc, p. 1.</w:t>
      </w:r>
    </w:p>
  </w:footnote>
  <w:footnote w:id="9">
    <w:p w14:paraId="7D062FCA" w14:textId="77777777" w:rsidR="009E09CA" w:rsidRPr="0099376D" w:rsidRDefault="009E09CA" w:rsidP="00A42A48">
      <w:pPr>
        <w:pStyle w:val="FootnoteText"/>
      </w:pPr>
      <w:r w:rsidRPr="0099376D">
        <w:rPr>
          <w:rStyle w:val="FootnoteReference"/>
          <w:rFonts w:ascii="Times New Roman" w:hAnsi="Times New Roman"/>
          <w:szCs w:val="18"/>
        </w:rPr>
        <w:footnoteRef/>
      </w:r>
      <w:r w:rsidRPr="0099376D">
        <w:t xml:space="preserve"> ProDoc, p. 13</w:t>
      </w:r>
    </w:p>
  </w:footnote>
  <w:footnote w:id="10">
    <w:p w14:paraId="716461A6" w14:textId="77777777" w:rsidR="009E09CA" w:rsidRPr="00080463" w:rsidRDefault="009E09CA" w:rsidP="00A42A48">
      <w:pPr>
        <w:pStyle w:val="FootnoteText"/>
      </w:pPr>
      <w:r w:rsidRPr="0099376D">
        <w:rPr>
          <w:rStyle w:val="FootnoteReference"/>
          <w:rFonts w:ascii="Times New Roman" w:hAnsi="Times New Roman"/>
          <w:szCs w:val="18"/>
        </w:rPr>
        <w:footnoteRef/>
      </w:r>
      <w:r w:rsidRPr="0099376D">
        <w:t xml:space="preserve"> ProDoc, p. 7</w:t>
      </w:r>
    </w:p>
  </w:footnote>
  <w:footnote w:id="11">
    <w:p w14:paraId="345BFC69" w14:textId="5F84743C" w:rsidR="009E09CA" w:rsidRPr="0099376D" w:rsidRDefault="009E09CA" w:rsidP="00A42A48">
      <w:pPr>
        <w:pStyle w:val="FootnoteText"/>
      </w:pPr>
      <w:r w:rsidRPr="0099376D">
        <w:rPr>
          <w:rStyle w:val="FootnoteReference"/>
          <w:rFonts w:ascii="Times New Roman" w:hAnsi="Times New Roman"/>
        </w:rPr>
        <w:footnoteRef/>
      </w:r>
      <w:r w:rsidRPr="0099376D">
        <w:t xml:space="preserve"> Paragraph 29 of the ProDoc refers only to aligning the project to CCM-2, however, in the next paragraph (30) the ProDoc refers to the outcomes and outputs of CCM-4, too.</w:t>
      </w:r>
    </w:p>
  </w:footnote>
  <w:footnote w:id="12">
    <w:p w14:paraId="38C52512" w14:textId="77777777" w:rsidR="009E09CA" w:rsidRPr="0099376D" w:rsidRDefault="009E09CA" w:rsidP="00A42A48">
      <w:pPr>
        <w:pStyle w:val="FootnoteText"/>
      </w:pPr>
      <w:r w:rsidRPr="0099376D">
        <w:rPr>
          <w:rStyle w:val="FootnoteReference"/>
          <w:rFonts w:ascii="Times New Roman" w:hAnsi="Times New Roman"/>
          <w:szCs w:val="18"/>
        </w:rPr>
        <w:footnoteRef/>
      </w:r>
      <w:r w:rsidRPr="0099376D">
        <w:t xml:space="preserve"> ProDoc, p. 19</w:t>
      </w:r>
    </w:p>
  </w:footnote>
  <w:footnote w:id="13">
    <w:p w14:paraId="7E2BFC7A" w14:textId="77777777" w:rsidR="009E09CA" w:rsidRPr="0099376D" w:rsidRDefault="009E09CA" w:rsidP="00A42A48">
      <w:pPr>
        <w:pStyle w:val="FootnoteText"/>
      </w:pPr>
      <w:r w:rsidRPr="0099376D">
        <w:rPr>
          <w:rStyle w:val="FootnoteReference"/>
          <w:rFonts w:ascii="Times New Roman" w:hAnsi="Times New Roman"/>
          <w:szCs w:val="18"/>
        </w:rPr>
        <w:footnoteRef/>
      </w:r>
      <w:r w:rsidRPr="0099376D">
        <w:t xml:space="preserve"> Op.cit.</w:t>
      </w:r>
    </w:p>
  </w:footnote>
  <w:footnote w:id="14">
    <w:p w14:paraId="5417C0EE" w14:textId="71D5D22A" w:rsidR="009E09CA" w:rsidRPr="00D02B55" w:rsidRDefault="009E09CA" w:rsidP="00A42A48">
      <w:pPr>
        <w:pStyle w:val="FootnoteText"/>
      </w:pPr>
      <w:r w:rsidRPr="0099376D">
        <w:rPr>
          <w:rStyle w:val="FootnoteReference"/>
          <w:rFonts w:ascii="Times New Roman" w:hAnsi="Times New Roman"/>
        </w:rPr>
        <w:footnoteRef/>
      </w:r>
      <w:r w:rsidRPr="0099376D">
        <w:t xml:space="preserve"> ProDoc, p. 14</w:t>
      </w:r>
    </w:p>
  </w:footnote>
  <w:footnote w:id="15">
    <w:p w14:paraId="3B9F7BE6" w14:textId="77777777" w:rsidR="009E09CA" w:rsidRPr="00080463" w:rsidRDefault="009E09CA" w:rsidP="00A42A48">
      <w:pPr>
        <w:pStyle w:val="FootnoteText"/>
      </w:pPr>
      <w:r w:rsidRPr="00080463">
        <w:rPr>
          <w:rStyle w:val="FootnoteReference"/>
          <w:rFonts w:ascii="Times New Roman" w:hAnsi="Times New Roman"/>
          <w:szCs w:val="18"/>
        </w:rPr>
        <w:footnoteRef/>
      </w:r>
      <w:r w:rsidRPr="00080463">
        <w:t xml:space="preserve"> </w:t>
      </w:r>
      <w:r>
        <w:t>ProDoc</w:t>
      </w:r>
      <w:r w:rsidRPr="00080463">
        <w:t>, section 2.6, pp. 20 - 38</w:t>
      </w:r>
    </w:p>
  </w:footnote>
  <w:footnote w:id="16">
    <w:p w14:paraId="0C2781B4" w14:textId="5852FBD9" w:rsidR="009E09CA" w:rsidRPr="002161D1" w:rsidRDefault="009E09CA">
      <w:pPr>
        <w:pStyle w:val="FootnoteText"/>
        <w:rPr>
          <w:lang w:val="en-US"/>
        </w:rPr>
      </w:pPr>
      <w:r>
        <w:rPr>
          <w:rStyle w:val="FootnoteReference"/>
        </w:rPr>
        <w:footnoteRef/>
      </w:r>
      <w:r>
        <w:t xml:space="preserve"> </w:t>
      </w:r>
      <w:r w:rsidRPr="002161D1">
        <w:t>Inception report, p. 6</w:t>
      </w:r>
    </w:p>
  </w:footnote>
  <w:footnote w:id="17">
    <w:p w14:paraId="036D1817" w14:textId="16D4C289" w:rsidR="009E09CA" w:rsidRPr="00A617C0" w:rsidRDefault="009E09CA" w:rsidP="00A42A48">
      <w:pPr>
        <w:pStyle w:val="FootnoteText"/>
        <w:rPr>
          <w:lang w:val="en-US"/>
        </w:rPr>
      </w:pPr>
      <w:r>
        <w:rPr>
          <w:rStyle w:val="FootnoteReference"/>
        </w:rPr>
        <w:footnoteRef/>
      </w:r>
      <w:r>
        <w:t xml:space="preserve"> </w:t>
      </w:r>
      <w:r w:rsidRPr="00A617C0">
        <w:t>Zhejiang Economic Information Center</w:t>
      </w:r>
      <w:r>
        <w:t>. Green Technology Application and Practice Guide for Zhejiang Logistics Enterprises. No date.</w:t>
      </w:r>
    </w:p>
  </w:footnote>
  <w:footnote w:id="18">
    <w:p w14:paraId="3597CA81" w14:textId="5C952283" w:rsidR="009E09CA" w:rsidRPr="00784610" w:rsidRDefault="009E09CA">
      <w:pPr>
        <w:pStyle w:val="FootnoteText"/>
        <w:rPr>
          <w:lang w:val="es-MX"/>
        </w:rPr>
      </w:pPr>
      <w:r>
        <w:rPr>
          <w:rStyle w:val="FootnoteReference"/>
        </w:rPr>
        <w:footnoteRef/>
      </w:r>
      <w:r>
        <w:t xml:space="preserve"> </w:t>
      </w:r>
      <w:r w:rsidRPr="00784610">
        <w:t xml:space="preserve">Zhejiang Economic Information Development Co., Ltd. Green logistics policy promotion plan. March, 2020.  </w:t>
      </w:r>
    </w:p>
  </w:footnote>
  <w:footnote w:id="19">
    <w:p w14:paraId="13934474" w14:textId="4FD28251" w:rsidR="009E09CA" w:rsidRPr="000C14AC" w:rsidRDefault="009E09CA" w:rsidP="00A42A48">
      <w:pPr>
        <w:pStyle w:val="FootnoteText"/>
        <w:rPr>
          <w:lang w:val="es-MX"/>
        </w:rPr>
      </w:pPr>
      <w:r>
        <w:rPr>
          <w:rStyle w:val="FootnoteReference"/>
        </w:rPr>
        <w:footnoteRef/>
      </w:r>
      <w:r>
        <w:t xml:space="preserve"> </w:t>
      </w:r>
      <w:r w:rsidRPr="000C14AC">
        <w:t>Inception report</w:t>
      </w:r>
      <w:r>
        <w:t>,</w:t>
      </w:r>
      <w:r w:rsidRPr="000C14AC">
        <w:t xml:space="preserve"> page 3.</w:t>
      </w:r>
    </w:p>
  </w:footnote>
  <w:footnote w:id="20">
    <w:p w14:paraId="4B440C1E" w14:textId="5CC141A9" w:rsidR="009E09CA" w:rsidRPr="00037C6D" w:rsidRDefault="009E09CA" w:rsidP="00A42A48">
      <w:pPr>
        <w:pStyle w:val="FootnoteText"/>
      </w:pPr>
      <w:r>
        <w:rPr>
          <w:rStyle w:val="FootnoteReference"/>
        </w:rPr>
        <w:footnoteRef/>
      </w:r>
      <w:r>
        <w:t xml:space="preserve"> QPRs for the second and third quarters of 2020.</w:t>
      </w:r>
    </w:p>
  </w:footnote>
  <w:footnote w:id="21">
    <w:p w14:paraId="378FE6BA" w14:textId="36C63772" w:rsidR="009E09CA" w:rsidRPr="009E09CA" w:rsidRDefault="009E09CA">
      <w:pPr>
        <w:pStyle w:val="FootnoteText"/>
        <w:rPr>
          <w:lang w:val="fr-CA"/>
        </w:rPr>
      </w:pPr>
      <w:r>
        <w:rPr>
          <w:rStyle w:val="FootnoteReference"/>
        </w:rPr>
        <w:footnoteRef/>
      </w:r>
      <w:r w:rsidRPr="009E09CA">
        <w:rPr>
          <w:lang w:val="fr-CA"/>
        </w:rPr>
        <w:t xml:space="preserve"> CEO </w:t>
      </w:r>
      <w:proofErr w:type="spellStart"/>
      <w:r w:rsidRPr="009E09CA">
        <w:rPr>
          <w:lang w:val="fr-CA"/>
        </w:rPr>
        <w:t>Endorsement</w:t>
      </w:r>
      <w:proofErr w:type="spellEnd"/>
      <w:r w:rsidRPr="009E09CA">
        <w:rPr>
          <w:lang w:val="fr-CA"/>
        </w:rPr>
        <w:t xml:space="preserve"> </w:t>
      </w:r>
      <w:proofErr w:type="spellStart"/>
      <w:r w:rsidRPr="009E09CA">
        <w:rPr>
          <w:lang w:val="fr-CA"/>
        </w:rPr>
        <w:t>Request</w:t>
      </w:r>
      <w:proofErr w:type="spellEnd"/>
      <w:r w:rsidRPr="009E09CA">
        <w:rPr>
          <w:lang w:val="fr-CA"/>
        </w:rPr>
        <w:t>, Section B.1., pages 12 – 13.</w:t>
      </w:r>
    </w:p>
  </w:footnote>
  <w:footnote w:id="22">
    <w:p w14:paraId="1920DE54" w14:textId="04DDCACF" w:rsidR="009E09CA" w:rsidRPr="006D0348" w:rsidRDefault="009E09CA">
      <w:pPr>
        <w:pStyle w:val="FootnoteText"/>
        <w:rPr>
          <w:lang w:val="en-US"/>
        </w:rPr>
      </w:pPr>
      <w:r>
        <w:rPr>
          <w:rStyle w:val="FootnoteReference"/>
        </w:rPr>
        <w:footnoteRef/>
      </w:r>
      <w:r>
        <w:t xml:space="preserve"> </w:t>
      </w:r>
      <w:r w:rsidRPr="006D0348">
        <w:t>China Quality Certification Centre. Energy Efficiency Evaluation Program and Plan for Small and Medium sized Logistics Enterprises in Zhejiang Province. November 2020</w:t>
      </w:r>
    </w:p>
  </w:footnote>
  <w:footnote w:id="23">
    <w:p w14:paraId="43F26EA6" w14:textId="16EDAB45" w:rsidR="009E09CA" w:rsidRPr="00965F9E" w:rsidRDefault="009E09CA">
      <w:pPr>
        <w:pStyle w:val="FootnoteText"/>
        <w:rPr>
          <w:lang w:val="en-US"/>
        </w:rPr>
      </w:pPr>
      <w:r>
        <w:rPr>
          <w:rStyle w:val="FootnoteReference"/>
        </w:rPr>
        <w:footnoteRef/>
      </w:r>
      <w:r>
        <w:t xml:space="preserve"> </w:t>
      </w:r>
      <w:r>
        <w:rPr>
          <w:lang w:val="en-US"/>
        </w:rPr>
        <w:t>APR for 2018.</w:t>
      </w:r>
    </w:p>
  </w:footnote>
  <w:footnote w:id="24">
    <w:p w14:paraId="095C6F8B" w14:textId="5F584868" w:rsidR="009E09CA" w:rsidRPr="00965F9E" w:rsidRDefault="009E09CA">
      <w:pPr>
        <w:pStyle w:val="FootnoteText"/>
        <w:rPr>
          <w:lang w:val="en-US"/>
        </w:rPr>
      </w:pPr>
      <w:r>
        <w:rPr>
          <w:rStyle w:val="FootnoteReference"/>
        </w:rPr>
        <w:footnoteRef/>
      </w:r>
      <w:r>
        <w:t xml:space="preserve"> </w:t>
      </w:r>
      <w:r>
        <w:rPr>
          <w:lang w:val="en-US"/>
        </w:rPr>
        <w:t>QPR for second quarter of 2020.</w:t>
      </w:r>
    </w:p>
  </w:footnote>
  <w:footnote w:id="25">
    <w:p w14:paraId="7017CD29" w14:textId="1389D3FF" w:rsidR="009E09CA" w:rsidRPr="00965F9E" w:rsidRDefault="009E09CA">
      <w:pPr>
        <w:pStyle w:val="FootnoteText"/>
        <w:rPr>
          <w:lang w:val="en-US"/>
        </w:rPr>
      </w:pPr>
      <w:r>
        <w:rPr>
          <w:rStyle w:val="FootnoteReference"/>
        </w:rPr>
        <w:footnoteRef/>
      </w:r>
      <w:r>
        <w:t xml:space="preserve"> </w:t>
      </w:r>
      <w:r>
        <w:rPr>
          <w:lang w:val="en-US"/>
        </w:rPr>
        <w:t xml:space="preserve">UNDP </w:t>
      </w:r>
      <w:r w:rsidRPr="00965F9E">
        <w:rPr>
          <w:lang w:val="en-US"/>
        </w:rPr>
        <w:t>Country Programme Document (CPD) for China (2016 – 2020).</w:t>
      </w:r>
    </w:p>
  </w:footnote>
  <w:footnote w:id="26">
    <w:p w14:paraId="5D195F01" w14:textId="6ADA2093" w:rsidR="009E09CA" w:rsidRPr="00F446AB" w:rsidRDefault="009E09CA" w:rsidP="00A42A48">
      <w:pPr>
        <w:pStyle w:val="FootnoteText"/>
      </w:pPr>
      <w:r>
        <w:rPr>
          <w:rStyle w:val="FootnoteReference"/>
        </w:rPr>
        <w:footnoteRef/>
      </w:r>
      <w:r>
        <w:t xml:space="preserve"> PIR for 2020 p. 5.</w:t>
      </w:r>
    </w:p>
  </w:footnote>
  <w:footnote w:id="27">
    <w:p w14:paraId="37F8A497" w14:textId="6C616663" w:rsidR="009E09CA" w:rsidRPr="009B646C" w:rsidRDefault="009E09CA" w:rsidP="00A42A48">
      <w:pPr>
        <w:pStyle w:val="FootnoteText"/>
      </w:pPr>
      <w:r>
        <w:rPr>
          <w:rStyle w:val="FootnoteReference"/>
        </w:rPr>
        <w:footnoteRef/>
      </w:r>
      <w:r>
        <w:t xml:space="preserve"> Activity 1.2.3. is defined, in part, as: “</w:t>
      </w:r>
      <w:r w:rsidRPr="009B646C">
        <w:t xml:space="preserve">Activity 1.2.3: Development and formulation of policies and implementing rules and regulations on the development and support of the logistics industry in Zhejiang Province. This activity involves the process of formulation and </w:t>
      </w:r>
      <w:r w:rsidRPr="001F0BF9">
        <w:t>adoption of standards,</w:t>
      </w:r>
      <w:r w:rsidRPr="009B646C">
        <w:t xml:space="preserve"> policies and implementing rules that will govern the development and implementation of the green logistics program in Zhejiang Province based on the recommendations in Activity 1.1.1 and 1.1.2. </w:t>
      </w:r>
      <w:r>
        <w:t xml:space="preserve">… </w:t>
      </w:r>
      <w:r w:rsidRPr="001F0BF9">
        <w:t>The basic outputs of this activity will be incorporated in the Zhejiang Province Green Logistics Plan which will include appropriate standards, policies and implementing rules and regulations</w:t>
      </w:r>
      <w:r>
        <w:t>…” (</w:t>
      </w:r>
      <w:r w:rsidRPr="008F10CB">
        <w:t>ProDoc pp. 22-23</w:t>
      </w:r>
      <w:r>
        <w:t>).</w:t>
      </w:r>
    </w:p>
  </w:footnote>
  <w:footnote w:id="28">
    <w:p w14:paraId="68139F03" w14:textId="77777777" w:rsidR="009E09CA" w:rsidRPr="008F10CB" w:rsidRDefault="009E09CA" w:rsidP="00A42A48">
      <w:pPr>
        <w:pStyle w:val="FootnoteText"/>
      </w:pPr>
      <w:r>
        <w:rPr>
          <w:rStyle w:val="FootnoteReference"/>
        </w:rPr>
        <w:footnoteRef/>
      </w:r>
      <w:r>
        <w:t xml:space="preserve"> </w:t>
      </w:r>
      <w:r w:rsidRPr="00F124B3">
        <w:t>Activity 1.2.2. is defined, in part, as: “Activity 1.2.2: Design and implementation of a pilot financial incentives scheme for small-to-medium size to encourage them to adopt [energy conservation and energy efficiency] technologies and green logistic techniques. Based on the results of studies and recommendations in Output 1.1, a pilot incentive scheme will be set up for small and medium size LSPs to assist them in adopting [energy conservation and energy efficiency] techniques, in general, and green logistics techniques, in particular.”</w:t>
      </w:r>
    </w:p>
  </w:footnote>
  <w:footnote w:id="29">
    <w:p w14:paraId="32EE320A" w14:textId="341EDB5E" w:rsidR="009E09CA" w:rsidRPr="008F10CB" w:rsidRDefault="009E09CA" w:rsidP="00A42A48">
      <w:pPr>
        <w:pStyle w:val="FootnoteText"/>
      </w:pPr>
      <w:r>
        <w:rPr>
          <w:rStyle w:val="FootnoteReference"/>
        </w:rPr>
        <w:footnoteRef/>
      </w:r>
      <w:r>
        <w:t xml:space="preserve"> APR for 2019.</w:t>
      </w:r>
    </w:p>
  </w:footnote>
  <w:footnote w:id="30">
    <w:p w14:paraId="1217BCC8" w14:textId="7F81A4D9" w:rsidR="009E09CA" w:rsidRPr="00DE55CC" w:rsidRDefault="009E09CA" w:rsidP="00A42A48">
      <w:pPr>
        <w:pStyle w:val="FootnoteText"/>
      </w:pPr>
      <w:r>
        <w:rPr>
          <w:rStyle w:val="FootnoteReference"/>
        </w:rPr>
        <w:footnoteRef/>
      </w:r>
      <w:r>
        <w:t xml:space="preserve"> QPR for the second quarter of 2018. Section 4, no page numbers.</w:t>
      </w:r>
    </w:p>
  </w:footnote>
  <w:footnote w:id="31">
    <w:p w14:paraId="71EEBB0A" w14:textId="6B2E102B" w:rsidR="009E09CA" w:rsidRPr="00060762" w:rsidRDefault="009E09CA" w:rsidP="00A42A48">
      <w:pPr>
        <w:pStyle w:val="FootnoteText"/>
      </w:pPr>
      <w:r>
        <w:rPr>
          <w:rStyle w:val="FootnoteReference"/>
        </w:rPr>
        <w:footnoteRef/>
      </w:r>
      <w:r>
        <w:t xml:space="preserve"> APR for 2017. Section 4, no page numbers.</w:t>
      </w:r>
    </w:p>
  </w:footnote>
  <w:footnote w:id="32">
    <w:p w14:paraId="55F368EF" w14:textId="74D49CA8" w:rsidR="009E09CA" w:rsidRPr="00A844CA" w:rsidRDefault="009E09CA" w:rsidP="00A42A48">
      <w:pPr>
        <w:pStyle w:val="FootnoteText"/>
      </w:pPr>
      <w:r>
        <w:rPr>
          <w:rStyle w:val="FootnoteReference"/>
        </w:rPr>
        <w:footnoteRef/>
      </w:r>
      <w:r>
        <w:t xml:space="preserve"> APR for 2018. Section 4, no page numbers, and QPR for the second quarter of 2019. Section 4, no page numbers.</w:t>
      </w:r>
    </w:p>
  </w:footnote>
  <w:footnote w:id="33">
    <w:p w14:paraId="6B2EEB44" w14:textId="6D3D254F" w:rsidR="009E09CA" w:rsidRPr="00A844CA" w:rsidRDefault="009E09CA" w:rsidP="00A42A48">
      <w:pPr>
        <w:pStyle w:val="FootnoteText"/>
      </w:pPr>
      <w:r>
        <w:rPr>
          <w:rStyle w:val="FootnoteReference"/>
        </w:rPr>
        <w:footnoteRef/>
      </w:r>
      <w:r>
        <w:t xml:space="preserve"> APR for 2018, and QPR for the second quarter of 2019.</w:t>
      </w:r>
    </w:p>
  </w:footnote>
  <w:footnote w:id="34">
    <w:p w14:paraId="3D9F4D1F" w14:textId="2612E8D7" w:rsidR="009E09CA" w:rsidRPr="00A844CA" w:rsidRDefault="009E09CA" w:rsidP="00A42A48">
      <w:pPr>
        <w:pStyle w:val="FootnoteText"/>
      </w:pPr>
      <w:r>
        <w:rPr>
          <w:rStyle w:val="FootnoteReference"/>
        </w:rPr>
        <w:footnoteRef/>
      </w:r>
      <w:r>
        <w:t xml:space="preserve"> APR for 2018.</w:t>
      </w:r>
    </w:p>
  </w:footnote>
  <w:footnote w:id="35">
    <w:p w14:paraId="7C73DD52" w14:textId="374472C8" w:rsidR="009E09CA" w:rsidRPr="00045B36" w:rsidRDefault="009E09CA" w:rsidP="00A42A48">
      <w:pPr>
        <w:pStyle w:val="FootnoteText"/>
      </w:pPr>
      <w:r>
        <w:rPr>
          <w:rStyle w:val="FootnoteReference"/>
        </w:rPr>
        <w:footnoteRef/>
      </w:r>
      <w:r>
        <w:t xml:space="preserve"> QPR for the third quarter of 2019, and APR for 2019.</w:t>
      </w:r>
    </w:p>
  </w:footnote>
  <w:footnote w:id="36">
    <w:p w14:paraId="4C600C5C" w14:textId="3E1DC7D5" w:rsidR="009E09CA" w:rsidRPr="00023E5B" w:rsidRDefault="009E09CA" w:rsidP="00A42A48">
      <w:pPr>
        <w:pStyle w:val="FootnoteText"/>
      </w:pPr>
      <w:r>
        <w:rPr>
          <w:rStyle w:val="FootnoteReference"/>
        </w:rPr>
        <w:footnoteRef/>
      </w:r>
      <w:r>
        <w:t xml:space="preserve"> QPR for the first quarter of 2020.</w:t>
      </w:r>
    </w:p>
  </w:footnote>
  <w:footnote w:id="37">
    <w:p w14:paraId="2B4BEDF7" w14:textId="43EC6D6C" w:rsidR="009E09CA" w:rsidRPr="00023E5B" w:rsidRDefault="009E09CA" w:rsidP="00A42A48">
      <w:pPr>
        <w:pStyle w:val="FootnoteText"/>
      </w:pPr>
      <w:r>
        <w:rPr>
          <w:rStyle w:val="FootnoteReference"/>
        </w:rPr>
        <w:footnoteRef/>
      </w:r>
      <w:r>
        <w:t xml:space="preserve"> QPR for the first quarter of 2020.</w:t>
      </w:r>
    </w:p>
  </w:footnote>
  <w:footnote w:id="38">
    <w:p w14:paraId="1AC45C45" w14:textId="57F43C0B" w:rsidR="009E09CA" w:rsidRPr="00D71E30" w:rsidRDefault="009E09CA" w:rsidP="00A42A48">
      <w:pPr>
        <w:pStyle w:val="FootnoteText"/>
      </w:pPr>
      <w:r>
        <w:rPr>
          <w:rStyle w:val="FootnoteReference"/>
        </w:rPr>
        <w:footnoteRef/>
      </w:r>
      <w:r>
        <w:t xml:space="preserve"> APR for 2018. </w:t>
      </w:r>
    </w:p>
  </w:footnote>
  <w:footnote w:id="39">
    <w:p w14:paraId="5F562F09" w14:textId="0A74A25C" w:rsidR="009E09CA" w:rsidRPr="00021591" w:rsidRDefault="009E09CA" w:rsidP="00A42A48">
      <w:pPr>
        <w:pStyle w:val="FootnoteText"/>
      </w:pPr>
      <w:r>
        <w:rPr>
          <w:rStyle w:val="FootnoteReference"/>
        </w:rPr>
        <w:footnoteRef/>
      </w:r>
      <w:r>
        <w:t xml:space="preserve"> QPR for the third quarter of 2019, and APR for 2019.</w:t>
      </w:r>
    </w:p>
  </w:footnote>
  <w:footnote w:id="40">
    <w:p w14:paraId="6E3EBB4A" w14:textId="43D25F22" w:rsidR="009E09CA" w:rsidRPr="00924BD4" w:rsidRDefault="009E09CA" w:rsidP="00A42A48">
      <w:pPr>
        <w:pStyle w:val="FootnoteText"/>
      </w:pPr>
      <w:r>
        <w:rPr>
          <w:rStyle w:val="FootnoteReference"/>
        </w:rPr>
        <w:footnoteRef/>
      </w:r>
      <w:r>
        <w:t xml:space="preserve"> APR for 2019.</w:t>
      </w:r>
    </w:p>
  </w:footnote>
  <w:footnote w:id="41">
    <w:p w14:paraId="35089FC2" w14:textId="7966CBFE" w:rsidR="009E09CA" w:rsidRPr="00C14938" w:rsidRDefault="009E09CA" w:rsidP="00A42A48">
      <w:pPr>
        <w:pStyle w:val="FootnoteText"/>
        <w:rPr>
          <w:lang w:val="es-MX"/>
        </w:rPr>
      </w:pPr>
      <w:r>
        <w:rPr>
          <w:rStyle w:val="FootnoteReference"/>
        </w:rPr>
        <w:footnoteRef/>
      </w:r>
      <w:r>
        <w:t xml:space="preserve"> APR for 2019.</w:t>
      </w:r>
    </w:p>
  </w:footnote>
  <w:footnote w:id="42">
    <w:p w14:paraId="553B2E21" w14:textId="6C60C242" w:rsidR="009E09CA" w:rsidRPr="00E41167" w:rsidRDefault="009E09CA" w:rsidP="00A42A48">
      <w:pPr>
        <w:pStyle w:val="FootnoteText"/>
      </w:pPr>
      <w:r>
        <w:rPr>
          <w:rStyle w:val="FootnoteReference"/>
        </w:rPr>
        <w:footnoteRef/>
      </w:r>
      <w:r>
        <w:t xml:space="preserve"> QPR for the second quarter of 2020.</w:t>
      </w:r>
    </w:p>
  </w:footnote>
  <w:footnote w:id="43">
    <w:p w14:paraId="5D03A8CC" w14:textId="7783896C" w:rsidR="009E09CA" w:rsidRPr="003E66C0" w:rsidRDefault="009E09CA" w:rsidP="00A42A48">
      <w:pPr>
        <w:pStyle w:val="FootnoteText"/>
      </w:pPr>
      <w:r>
        <w:rPr>
          <w:rStyle w:val="FootnoteReference"/>
        </w:rPr>
        <w:footnoteRef/>
      </w:r>
      <w:r>
        <w:t xml:space="preserve"> “</w:t>
      </w:r>
      <w:r w:rsidRPr="003E66C0">
        <w:t>Research on the Promotion Mode of Green Logistics Policy and Promotion Plan</w:t>
      </w:r>
      <w:r>
        <w:t>”, APR for 2019.</w:t>
      </w:r>
    </w:p>
  </w:footnote>
  <w:footnote w:id="44">
    <w:p w14:paraId="19D560F0" w14:textId="184A4986" w:rsidR="009E09CA" w:rsidRPr="00E01822" w:rsidRDefault="009E09CA" w:rsidP="00A42A48">
      <w:pPr>
        <w:pStyle w:val="FootnoteText"/>
      </w:pPr>
      <w:r>
        <w:rPr>
          <w:rStyle w:val="FootnoteReference"/>
        </w:rPr>
        <w:footnoteRef/>
      </w:r>
      <w:r>
        <w:t xml:space="preserve"> QPR for first quarter of 2020.</w:t>
      </w:r>
    </w:p>
  </w:footnote>
  <w:footnote w:id="45">
    <w:p w14:paraId="4D292BEE" w14:textId="1A5BC940" w:rsidR="009E09CA" w:rsidRPr="00BD564E" w:rsidRDefault="009E09CA">
      <w:pPr>
        <w:pStyle w:val="FootnoteText"/>
        <w:rPr>
          <w:lang w:val="es-MX"/>
        </w:rPr>
      </w:pPr>
      <w:r>
        <w:rPr>
          <w:rStyle w:val="FootnoteReference"/>
        </w:rPr>
        <w:footnoteRef/>
      </w:r>
      <w:r>
        <w:t xml:space="preserve"> </w:t>
      </w:r>
      <w:r w:rsidRPr="00BD564E">
        <w:t>Interviews with project stakeholders.</w:t>
      </w:r>
    </w:p>
  </w:footnote>
  <w:footnote w:id="46">
    <w:p w14:paraId="0A82144D" w14:textId="43B8E9C7" w:rsidR="009E09CA" w:rsidRPr="00F446AB" w:rsidRDefault="009E09CA" w:rsidP="00A42A48">
      <w:pPr>
        <w:pStyle w:val="FootnoteText"/>
      </w:pPr>
      <w:r>
        <w:rPr>
          <w:rStyle w:val="FootnoteReference"/>
        </w:rPr>
        <w:footnoteRef/>
      </w:r>
      <w:r>
        <w:t xml:space="preserve"> PIR for 2020 p. 6.</w:t>
      </w:r>
    </w:p>
  </w:footnote>
  <w:footnote w:id="47">
    <w:p w14:paraId="40328060" w14:textId="76387CED" w:rsidR="009E09CA" w:rsidRPr="00167564" w:rsidRDefault="009E09CA" w:rsidP="00A42A48">
      <w:pPr>
        <w:pStyle w:val="FootnoteText"/>
      </w:pPr>
      <w:r>
        <w:rPr>
          <w:rStyle w:val="FootnoteReference"/>
        </w:rPr>
        <w:footnoteRef/>
      </w:r>
      <w:r>
        <w:t xml:space="preserve"> PIR for 2019.</w:t>
      </w:r>
    </w:p>
  </w:footnote>
  <w:footnote w:id="48">
    <w:p w14:paraId="4443CB06" w14:textId="0E26CD81" w:rsidR="009E09CA" w:rsidRPr="00A46F9C" w:rsidRDefault="009E09CA" w:rsidP="00A42A48">
      <w:pPr>
        <w:pStyle w:val="FootnoteText"/>
      </w:pPr>
      <w:r>
        <w:rPr>
          <w:rStyle w:val="FootnoteReference"/>
        </w:rPr>
        <w:footnoteRef/>
      </w:r>
      <w:r>
        <w:t xml:space="preserve"> The MTR concluded in July 2019 that the target for indicator 2.1. had been achieved, but the evidence to support that conclusion, if any, was not available during the TE.</w:t>
      </w:r>
    </w:p>
  </w:footnote>
  <w:footnote w:id="49">
    <w:p w14:paraId="287FF579" w14:textId="77777777" w:rsidR="009E09CA" w:rsidRPr="00001D91" w:rsidRDefault="009E09CA" w:rsidP="001E2C59">
      <w:pPr>
        <w:pStyle w:val="FootnoteText"/>
      </w:pPr>
      <w:r>
        <w:rPr>
          <w:rStyle w:val="FootnoteReference"/>
        </w:rPr>
        <w:footnoteRef/>
      </w:r>
      <w:r>
        <w:t xml:space="preserve"> Energy consumption and GHG emissions under the project scenario. No details are given on the baseline scenario.</w:t>
      </w:r>
    </w:p>
  </w:footnote>
  <w:footnote w:id="50">
    <w:p w14:paraId="76C2704D" w14:textId="029E0B6F" w:rsidR="009E09CA" w:rsidRPr="00001D91" w:rsidRDefault="009E09CA" w:rsidP="001E2C59">
      <w:pPr>
        <w:pStyle w:val="FootnoteText"/>
      </w:pPr>
      <w:r>
        <w:rPr>
          <w:rStyle w:val="FootnoteReference"/>
        </w:rPr>
        <w:footnoteRef/>
      </w:r>
      <w:r>
        <w:t xml:space="preserve"> Energy consumption and GHG emissions under the project scenario. No details are given on the baseline scenario.</w:t>
      </w:r>
    </w:p>
  </w:footnote>
  <w:footnote w:id="51">
    <w:p w14:paraId="5C9A60BE" w14:textId="1A7540E4" w:rsidR="009E09CA" w:rsidRPr="001E2C59" w:rsidRDefault="009E09CA" w:rsidP="001E2C59">
      <w:pPr>
        <w:pStyle w:val="FootnoteText"/>
        <w:rPr>
          <w:lang w:val="en-US"/>
        </w:rPr>
      </w:pPr>
      <w:r>
        <w:rPr>
          <w:rStyle w:val="FootnoteReference"/>
        </w:rPr>
        <w:footnoteRef/>
      </w:r>
      <w:r>
        <w:t xml:space="preserve"> Conversion factors: 1 MWh = 0.0859 toe, 1 t diesel oil = 1.01 toe</w:t>
      </w:r>
    </w:p>
  </w:footnote>
  <w:footnote w:id="52">
    <w:p w14:paraId="254B9E74" w14:textId="4BF3402F" w:rsidR="009E09CA" w:rsidRPr="004D6BC9" w:rsidRDefault="009E09CA" w:rsidP="001E2C59">
      <w:pPr>
        <w:pStyle w:val="FootnoteText"/>
      </w:pPr>
      <w:r>
        <w:rPr>
          <w:rStyle w:val="FootnoteReference"/>
        </w:rPr>
        <w:footnoteRef/>
      </w:r>
      <w:r>
        <w:t xml:space="preserve"> QPR for the second quarter of 2018. </w:t>
      </w:r>
    </w:p>
  </w:footnote>
  <w:footnote w:id="53">
    <w:p w14:paraId="3B40EDDB" w14:textId="30FF447D" w:rsidR="009E09CA" w:rsidRPr="00966E52" w:rsidRDefault="009E09CA" w:rsidP="001E2C59">
      <w:pPr>
        <w:pStyle w:val="FootnoteText"/>
      </w:pPr>
      <w:r>
        <w:rPr>
          <w:rStyle w:val="FootnoteReference"/>
        </w:rPr>
        <w:footnoteRef/>
      </w:r>
      <w:r>
        <w:t xml:space="preserve"> QPR for the first quarter of 2018. </w:t>
      </w:r>
    </w:p>
  </w:footnote>
  <w:footnote w:id="54">
    <w:p w14:paraId="3886E118" w14:textId="2F0013AB" w:rsidR="009E09CA" w:rsidRPr="00CC73D3" w:rsidRDefault="009E09CA" w:rsidP="001E2C59">
      <w:pPr>
        <w:pStyle w:val="FootnoteText"/>
      </w:pPr>
      <w:r>
        <w:rPr>
          <w:rStyle w:val="FootnoteReference"/>
        </w:rPr>
        <w:footnoteRef/>
      </w:r>
      <w:r>
        <w:t xml:space="preserve"> QPR for the third quarter of 2018</w:t>
      </w:r>
      <w:r w:rsidRPr="007A3772">
        <w:t xml:space="preserve"> </w:t>
      </w:r>
      <w:r>
        <w:t xml:space="preserve">and APR for 2018.. </w:t>
      </w:r>
    </w:p>
  </w:footnote>
  <w:footnote w:id="55">
    <w:p w14:paraId="08D2765F" w14:textId="66A04EE8" w:rsidR="009E09CA" w:rsidRPr="007A3772" w:rsidRDefault="009E09CA" w:rsidP="00A42A48">
      <w:pPr>
        <w:pStyle w:val="FootnoteText"/>
      </w:pPr>
      <w:r>
        <w:rPr>
          <w:rStyle w:val="FootnoteReference"/>
        </w:rPr>
        <w:footnoteRef/>
      </w:r>
      <w:r>
        <w:t xml:space="preserve"> APR for 2018. </w:t>
      </w:r>
    </w:p>
  </w:footnote>
  <w:footnote w:id="56">
    <w:p w14:paraId="0DE20265" w14:textId="53F48507" w:rsidR="009E09CA" w:rsidRPr="00D8200F" w:rsidRDefault="009E09CA" w:rsidP="00A42A48">
      <w:pPr>
        <w:pStyle w:val="FootnoteText"/>
      </w:pPr>
      <w:r>
        <w:rPr>
          <w:rStyle w:val="FootnoteReference"/>
        </w:rPr>
        <w:footnoteRef/>
      </w:r>
      <w:r>
        <w:t xml:space="preserve"> QPR for the first and third quarters of 2019. </w:t>
      </w:r>
    </w:p>
  </w:footnote>
  <w:footnote w:id="57">
    <w:p w14:paraId="1A5CBC31" w14:textId="01817A6F" w:rsidR="009E09CA" w:rsidRPr="00F84631" w:rsidRDefault="009E09CA" w:rsidP="00A42A48">
      <w:pPr>
        <w:pStyle w:val="FootnoteText"/>
      </w:pPr>
      <w:r>
        <w:rPr>
          <w:rStyle w:val="FootnoteReference"/>
        </w:rPr>
        <w:footnoteRef/>
      </w:r>
      <w:r>
        <w:t xml:space="preserve"> APR for 2019.</w:t>
      </w:r>
    </w:p>
  </w:footnote>
  <w:footnote w:id="58">
    <w:p w14:paraId="1B89F23D" w14:textId="4C09FBD1" w:rsidR="009E09CA" w:rsidRPr="00E01822" w:rsidRDefault="009E09CA" w:rsidP="00A42A48">
      <w:pPr>
        <w:pStyle w:val="FootnoteText"/>
      </w:pPr>
      <w:r>
        <w:rPr>
          <w:rStyle w:val="FootnoteReference"/>
        </w:rPr>
        <w:footnoteRef/>
      </w:r>
      <w:r>
        <w:t xml:space="preserve"> QPR for the second quarter of 2018.</w:t>
      </w:r>
    </w:p>
  </w:footnote>
  <w:footnote w:id="59">
    <w:p w14:paraId="12315303" w14:textId="46B2F15C" w:rsidR="009E09CA" w:rsidRPr="005F0A63" w:rsidRDefault="009E09CA">
      <w:pPr>
        <w:pStyle w:val="FootnoteText"/>
      </w:pPr>
      <w:r>
        <w:rPr>
          <w:rStyle w:val="FootnoteReference"/>
        </w:rPr>
        <w:footnoteRef/>
      </w:r>
      <w:r>
        <w:t xml:space="preserve"> </w:t>
      </w:r>
      <w:r w:rsidRPr="005F0A63">
        <w:t>Interviews with members of the project management unit.</w:t>
      </w:r>
    </w:p>
  </w:footnote>
  <w:footnote w:id="60">
    <w:p w14:paraId="656B0C01" w14:textId="51615230" w:rsidR="009E09CA" w:rsidRPr="005E6633" w:rsidRDefault="009E09CA">
      <w:pPr>
        <w:pStyle w:val="FootnoteText"/>
        <w:rPr>
          <w:lang w:val="en-US"/>
        </w:rPr>
      </w:pPr>
      <w:r w:rsidRPr="005F0A63">
        <w:rPr>
          <w:rStyle w:val="FootnoteReference"/>
        </w:rPr>
        <w:footnoteRef/>
      </w:r>
      <w:r w:rsidRPr="005F0A63">
        <w:t xml:space="preserve"> PIR for 2020 p. 6.</w:t>
      </w:r>
    </w:p>
  </w:footnote>
  <w:footnote w:id="61">
    <w:p w14:paraId="4FDD2CF9" w14:textId="027F9824" w:rsidR="009E09CA" w:rsidRPr="00C21B0C" w:rsidRDefault="009E09CA">
      <w:pPr>
        <w:pStyle w:val="FootnoteText"/>
        <w:rPr>
          <w:lang w:val="en-US"/>
        </w:rPr>
      </w:pPr>
      <w:r>
        <w:rPr>
          <w:rStyle w:val="FootnoteReference"/>
        </w:rPr>
        <w:footnoteRef/>
      </w:r>
      <w:r>
        <w:t xml:space="preserve"> QPR for the first quarter of 2020.</w:t>
      </w:r>
    </w:p>
  </w:footnote>
  <w:footnote w:id="62">
    <w:p w14:paraId="5F577AF6" w14:textId="591161C8" w:rsidR="009E09CA" w:rsidRPr="00A22B74" w:rsidRDefault="009E09CA" w:rsidP="00A42A48">
      <w:pPr>
        <w:pStyle w:val="FootnoteText"/>
      </w:pPr>
      <w:r>
        <w:rPr>
          <w:rStyle w:val="FootnoteReference"/>
        </w:rPr>
        <w:footnoteRef/>
      </w:r>
      <w:r>
        <w:t xml:space="preserve"> APR for 2018., and QPR for the second quarter of 2018.</w:t>
      </w:r>
    </w:p>
  </w:footnote>
  <w:footnote w:id="63">
    <w:p w14:paraId="20BEFD1C" w14:textId="5C58837D" w:rsidR="009E09CA" w:rsidRPr="00A22B74" w:rsidRDefault="009E09CA" w:rsidP="00A42A48">
      <w:pPr>
        <w:pStyle w:val="FootnoteText"/>
      </w:pPr>
      <w:r>
        <w:rPr>
          <w:rStyle w:val="FootnoteReference"/>
        </w:rPr>
        <w:footnoteRef/>
      </w:r>
      <w:r>
        <w:t xml:space="preserve"> APR for 2018. </w:t>
      </w:r>
    </w:p>
  </w:footnote>
  <w:footnote w:id="64">
    <w:p w14:paraId="10FB02AF" w14:textId="33B40BF7" w:rsidR="009E09CA" w:rsidRPr="00880BF3" w:rsidRDefault="009E09CA" w:rsidP="00A42A48">
      <w:pPr>
        <w:pStyle w:val="FootnoteText"/>
      </w:pPr>
      <w:r>
        <w:rPr>
          <w:rStyle w:val="FootnoteReference"/>
        </w:rPr>
        <w:footnoteRef/>
      </w:r>
      <w:r>
        <w:t xml:space="preserve"> APR for 2019.</w:t>
      </w:r>
    </w:p>
  </w:footnote>
  <w:footnote w:id="65">
    <w:p w14:paraId="1690480B" w14:textId="21C4BB1F" w:rsidR="009E09CA" w:rsidRPr="009310AD" w:rsidRDefault="009E09CA">
      <w:pPr>
        <w:pStyle w:val="FootnoteText"/>
        <w:rPr>
          <w:lang w:val="es-MX"/>
        </w:rPr>
      </w:pPr>
      <w:r>
        <w:rPr>
          <w:rStyle w:val="FootnoteReference"/>
        </w:rPr>
        <w:footnoteRef/>
      </w:r>
      <w:r>
        <w:t xml:space="preserve"> </w:t>
      </w:r>
      <w:r w:rsidRPr="00F124B3">
        <w:t>Interviews with PMU members.</w:t>
      </w:r>
    </w:p>
  </w:footnote>
  <w:footnote w:id="66">
    <w:p w14:paraId="319FF7F7" w14:textId="77777777" w:rsidR="009E09CA" w:rsidRPr="00A44669" w:rsidRDefault="009E09CA" w:rsidP="004718D8">
      <w:pPr>
        <w:pStyle w:val="FootnoteText"/>
      </w:pPr>
      <w:r>
        <w:rPr>
          <w:rStyle w:val="FootnoteReference"/>
        </w:rPr>
        <w:footnoteRef/>
      </w:r>
      <w:r>
        <w:t xml:space="preserve"> APR for 2019.</w:t>
      </w:r>
    </w:p>
  </w:footnote>
  <w:footnote w:id="67">
    <w:p w14:paraId="0403DB97" w14:textId="4DEBD5F0" w:rsidR="009E09CA" w:rsidRPr="00A22B74" w:rsidRDefault="009E09CA" w:rsidP="00A42A48">
      <w:pPr>
        <w:pStyle w:val="FootnoteText"/>
      </w:pPr>
      <w:r>
        <w:rPr>
          <w:rStyle w:val="FootnoteReference"/>
        </w:rPr>
        <w:footnoteRef/>
      </w:r>
      <w:r>
        <w:t xml:space="preserve"> APR for 2018. </w:t>
      </w:r>
    </w:p>
  </w:footnote>
  <w:footnote w:id="68">
    <w:p w14:paraId="11F18B3F" w14:textId="20535065" w:rsidR="009E09CA" w:rsidRPr="00710B32" w:rsidRDefault="009E09CA" w:rsidP="00A42A48">
      <w:pPr>
        <w:pStyle w:val="FootnoteText"/>
      </w:pPr>
      <w:r>
        <w:rPr>
          <w:rStyle w:val="FootnoteReference"/>
        </w:rPr>
        <w:footnoteRef/>
      </w:r>
      <w:r>
        <w:t xml:space="preserve"> QPR for the third quarter of 2019.</w:t>
      </w:r>
    </w:p>
  </w:footnote>
  <w:footnote w:id="69">
    <w:p w14:paraId="69244FCF" w14:textId="40D2C2B2" w:rsidR="009E09CA" w:rsidRPr="009310AD" w:rsidRDefault="009E09CA">
      <w:pPr>
        <w:pStyle w:val="FootnoteText"/>
        <w:rPr>
          <w:lang w:val="es-MX"/>
        </w:rPr>
      </w:pPr>
      <w:r>
        <w:rPr>
          <w:rStyle w:val="FootnoteReference"/>
        </w:rPr>
        <w:footnoteRef/>
      </w:r>
      <w:r>
        <w:t xml:space="preserve"> </w:t>
      </w:r>
      <w:r w:rsidRPr="009310AD">
        <w:rPr>
          <w:lang w:val="en-US"/>
        </w:rPr>
        <w:t>Interview with mem</w:t>
      </w:r>
      <w:r>
        <w:rPr>
          <w:lang w:val="en-US"/>
        </w:rPr>
        <w:t>b</w:t>
      </w:r>
      <w:r w:rsidRPr="009310AD">
        <w:rPr>
          <w:lang w:val="en-US"/>
        </w:rPr>
        <w:t>ers of PMU</w:t>
      </w:r>
      <w:r>
        <w:rPr>
          <w:lang w:val="en-US"/>
        </w:rPr>
        <w:t>.</w:t>
      </w:r>
    </w:p>
  </w:footnote>
  <w:footnote w:id="70">
    <w:p w14:paraId="7414728C" w14:textId="6CDD86B3" w:rsidR="009E09CA" w:rsidRPr="009F3765" w:rsidRDefault="009E09CA" w:rsidP="00A42A48">
      <w:pPr>
        <w:pStyle w:val="FootnoteText"/>
      </w:pPr>
      <w:r>
        <w:rPr>
          <w:rStyle w:val="FootnoteReference"/>
        </w:rPr>
        <w:footnoteRef/>
      </w:r>
      <w:r>
        <w:t xml:space="preserve"> APR for 2019.</w:t>
      </w:r>
    </w:p>
  </w:footnote>
  <w:footnote w:id="71">
    <w:p w14:paraId="36976F19" w14:textId="6312F764" w:rsidR="009E09CA" w:rsidRPr="00B95335" w:rsidRDefault="009E09CA" w:rsidP="00A42A48">
      <w:pPr>
        <w:pStyle w:val="FootnoteText"/>
      </w:pPr>
      <w:r>
        <w:rPr>
          <w:rStyle w:val="FootnoteReference"/>
        </w:rPr>
        <w:footnoteRef/>
      </w:r>
      <w:r>
        <w:t xml:space="preserve"> APR for 2019.</w:t>
      </w:r>
    </w:p>
  </w:footnote>
  <w:footnote w:id="72">
    <w:p w14:paraId="15B6DE20" w14:textId="55FCBDCB" w:rsidR="009E09CA" w:rsidRPr="00425948" w:rsidRDefault="009E09CA" w:rsidP="00A42A48">
      <w:pPr>
        <w:pStyle w:val="FootnoteText"/>
        <w:rPr>
          <w:lang w:val="en-US"/>
        </w:rPr>
      </w:pPr>
      <w:r>
        <w:rPr>
          <w:rStyle w:val="FootnoteReference"/>
        </w:rPr>
        <w:footnoteRef/>
      </w:r>
      <w:r>
        <w:t xml:space="preserve"> “</w:t>
      </w:r>
      <w:r w:rsidRPr="00425948">
        <w:t>Green Logistics Capacity Building Plan for Zhejiang Small and Medium-sized Logistics Enterprises in 2020</w:t>
      </w:r>
      <w:r>
        <w:t xml:space="preserve">”, </w:t>
      </w:r>
      <w:r>
        <w:rPr>
          <w:lang w:val="en-US"/>
        </w:rPr>
        <w:t>QPR for the first quarter of 2020.</w:t>
      </w:r>
    </w:p>
  </w:footnote>
  <w:footnote w:id="73">
    <w:p w14:paraId="41F3E43E" w14:textId="640148D0" w:rsidR="009E09CA" w:rsidRPr="00877AE4" w:rsidRDefault="009E09CA" w:rsidP="00A42A48">
      <w:pPr>
        <w:pStyle w:val="FootnoteText"/>
      </w:pPr>
      <w:r>
        <w:rPr>
          <w:rStyle w:val="FootnoteReference"/>
        </w:rPr>
        <w:footnoteRef/>
      </w:r>
      <w:r>
        <w:t xml:space="preserve"> QPR for the first quarter of 2019.</w:t>
      </w:r>
    </w:p>
  </w:footnote>
  <w:footnote w:id="74">
    <w:p w14:paraId="72215D2A" w14:textId="78569A8F" w:rsidR="009E09CA" w:rsidRPr="00CB2C29" w:rsidRDefault="009E09CA" w:rsidP="00A42A48">
      <w:pPr>
        <w:pStyle w:val="FootnoteText"/>
      </w:pPr>
      <w:r>
        <w:rPr>
          <w:rStyle w:val="FootnoteReference"/>
        </w:rPr>
        <w:footnoteRef/>
      </w:r>
      <w:r>
        <w:t xml:space="preserve"> QPR for the third quarter of 2019, and APR for 2019.</w:t>
      </w:r>
    </w:p>
  </w:footnote>
  <w:footnote w:id="75">
    <w:p w14:paraId="6607151F" w14:textId="48C4E27C" w:rsidR="009E09CA" w:rsidRPr="003E66C0" w:rsidRDefault="009E09CA" w:rsidP="00A42A48">
      <w:pPr>
        <w:pStyle w:val="FootnoteText"/>
      </w:pPr>
      <w:r>
        <w:rPr>
          <w:rStyle w:val="FootnoteReference"/>
        </w:rPr>
        <w:footnoteRef/>
      </w:r>
      <w:r>
        <w:t xml:space="preserve"> APR for 2019.</w:t>
      </w:r>
    </w:p>
  </w:footnote>
  <w:footnote w:id="76">
    <w:p w14:paraId="1BC973CA" w14:textId="07E12761" w:rsidR="009E09CA" w:rsidRPr="00A0437E" w:rsidRDefault="009E09CA" w:rsidP="00A42A48">
      <w:pPr>
        <w:pStyle w:val="FootnoteText"/>
      </w:pPr>
      <w:r>
        <w:rPr>
          <w:rStyle w:val="FootnoteReference"/>
        </w:rPr>
        <w:footnoteRef/>
      </w:r>
      <w:r>
        <w:t xml:space="preserve"> QPR for the second quarter of 2020.</w:t>
      </w:r>
    </w:p>
  </w:footnote>
  <w:footnote w:id="77">
    <w:p w14:paraId="52A91AFE" w14:textId="5AA63599" w:rsidR="009E09CA" w:rsidRPr="00A844CA" w:rsidRDefault="009E09CA" w:rsidP="00A42A48">
      <w:pPr>
        <w:pStyle w:val="FootnoteText"/>
      </w:pPr>
      <w:r>
        <w:rPr>
          <w:rStyle w:val="FootnoteReference"/>
        </w:rPr>
        <w:footnoteRef/>
      </w:r>
      <w:r>
        <w:t xml:space="preserve"> APR for 2017. </w:t>
      </w:r>
    </w:p>
  </w:footnote>
  <w:footnote w:id="78">
    <w:p w14:paraId="497D3B38" w14:textId="64FD0B45" w:rsidR="009E09CA" w:rsidRPr="00A844CA" w:rsidRDefault="009E09CA" w:rsidP="00A42A48">
      <w:pPr>
        <w:pStyle w:val="FootnoteText"/>
      </w:pPr>
      <w:r>
        <w:rPr>
          <w:rStyle w:val="FootnoteReference"/>
        </w:rPr>
        <w:footnoteRef/>
      </w:r>
      <w:r>
        <w:t xml:space="preserve"> APR for 2017. </w:t>
      </w:r>
    </w:p>
  </w:footnote>
  <w:footnote w:id="79">
    <w:p w14:paraId="15C67C9C" w14:textId="7F5E7009" w:rsidR="009E09CA" w:rsidRPr="007A3772" w:rsidRDefault="009E09CA" w:rsidP="00A42A48">
      <w:pPr>
        <w:pStyle w:val="FootnoteText"/>
      </w:pPr>
      <w:r>
        <w:rPr>
          <w:rStyle w:val="FootnoteReference"/>
        </w:rPr>
        <w:footnoteRef/>
      </w:r>
      <w:r>
        <w:t xml:space="preserve"> APR for 2018. </w:t>
      </w:r>
    </w:p>
  </w:footnote>
  <w:footnote w:id="80">
    <w:p w14:paraId="0653B769" w14:textId="77020997" w:rsidR="009E09CA" w:rsidRPr="006B3A20" w:rsidRDefault="009E09CA" w:rsidP="00A42A48">
      <w:pPr>
        <w:pStyle w:val="FootnoteText"/>
      </w:pPr>
      <w:r>
        <w:rPr>
          <w:rStyle w:val="FootnoteReference"/>
        </w:rPr>
        <w:footnoteRef/>
      </w:r>
      <w:r>
        <w:t xml:space="preserve"> APR for 2019.</w:t>
      </w:r>
    </w:p>
  </w:footnote>
  <w:footnote w:id="81">
    <w:p w14:paraId="0A753869" w14:textId="6A777AD3" w:rsidR="009E09CA" w:rsidRPr="005E6633" w:rsidRDefault="009E09CA" w:rsidP="006F351C">
      <w:pPr>
        <w:pStyle w:val="FootnoteText"/>
        <w:rPr>
          <w:lang w:val="en-US"/>
        </w:rPr>
      </w:pPr>
      <w:r w:rsidRPr="005F0A63">
        <w:rPr>
          <w:rStyle w:val="FootnoteReference"/>
        </w:rPr>
        <w:footnoteRef/>
      </w:r>
      <w:r w:rsidRPr="005F0A63">
        <w:t xml:space="preserve"> PIR</w:t>
      </w:r>
      <w:r>
        <w:t xml:space="preserve"> for 2019.</w:t>
      </w:r>
    </w:p>
  </w:footnote>
  <w:footnote w:id="82">
    <w:p w14:paraId="377A8E28" w14:textId="487D70DA" w:rsidR="009E09CA" w:rsidRPr="005E6633" w:rsidRDefault="009E09CA" w:rsidP="006F351C">
      <w:pPr>
        <w:pStyle w:val="FootnoteText"/>
        <w:rPr>
          <w:lang w:val="en-US"/>
        </w:rPr>
      </w:pPr>
      <w:r w:rsidRPr="005F0A63">
        <w:rPr>
          <w:rStyle w:val="FootnoteReference"/>
        </w:rPr>
        <w:footnoteRef/>
      </w:r>
      <w:r w:rsidRPr="005F0A63">
        <w:t xml:space="preserve"> PIR</w:t>
      </w:r>
      <w:r>
        <w:t xml:space="preserve"> for </w:t>
      </w:r>
      <w:r w:rsidRPr="005F0A63">
        <w:t>2020</w:t>
      </w:r>
      <w:r>
        <w:t>.</w:t>
      </w:r>
    </w:p>
  </w:footnote>
  <w:footnote w:id="83">
    <w:p w14:paraId="0EC131D0" w14:textId="77777777" w:rsidR="009E09CA" w:rsidRPr="008E43F6" w:rsidRDefault="009E09CA" w:rsidP="00C44884">
      <w:pPr>
        <w:pStyle w:val="FootnoteText"/>
        <w:rPr>
          <w:lang w:val="en-US"/>
        </w:rPr>
      </w:pPr>
      <w:r>
        <w:rPr>
          <w:rStyle w:val="FootnoteReference"/>
        </w:rPr>
        <w:footnoteRef/>
      </w:r>
      <w:r>
        <w:t xml:space="preserve"> </w:t>
      </w:r>
      <w:r>
        <w:rPr>
          <w:lang w:val="en-US"/>
        </w:rPr>
        <w:t>APR for 2019.</w:t>
      </w:r>
    </w:p>
  </w:footnote>
  <w:footnote w:id="84">
    <w:p w14:paraId="45EBD3E1" w14:textId="7EEE67CB" w:rsidR="009E09CA" w:rsidRPr="00406DF7" w:rsidRDefault="009E09CA" w:rsidP="00C849FC">
      <w:pPr>
        <w:pStyle w:val="FootnoteText"/>
      </w:pPr>
      <w:r>
        <w:rPr>
          <w:rStyle w:val="FootnoteReference"/>
        </w:rPr>
        <w:footnoteRef/>
      </w:r>
      <w:r>
        <w:t xml:space="preserve"> QPR for the second quarter of 2019. </w:t>
      </w:r>
    </w:p>
  </w:footnote>
  <w:footnote w:id="85">
    <w:p w14:paraId="46C76D87" w14:textId="481DE084" w:rsidR="009E09CA" w:rsidRPr="00C44884" w:rsidRDefault="009E09CA">
      <w:pPr>
        <w:pStyle w:val="FootnoteText"/>
        <w:rPr>
          <w:lang w:val="en-US"/>
        </w:rPr>
      </w:pPr>
      <w:r>
        <w:rPr>
          <w:rStyle w:val="FootnoteReference"/>
        </w:rPr>
        <w:footnoteRef/>
      </w:r>
      <w:r>
        <w:t xml:space="preserve"> </w:t>
      </w:r>
      <w:r>
        <w:rPr>
          <w:lang w:val="en-US"/>
        </w:rPr>
        <w:t>APR for 2019 and interviews with PMU members.</w:t>
      </w:r>
    </w:p>
  </w:footnote>
  <w:footnote w:id="86">
    <w:p w14:paraId="4BA5C818" w14:textId="77777777" w:rsidR="009E09CA" w:rsidRPr="008E43F6" w:rsidRDefault="009E09CA" w:rsidP="00C226C5">
      <w:pPr>
        <w:pStyle w:val="FootnoteText"/>
        <w:rPr>
          <w:lang w:val="en-US"/>
        </w:rPr>
      </w:pPr>
      <w:r>
        <w:rPr>
          <w:rStyle w:val="FootnoteReference"/>
        </w:rPr>
        <w:footnoteRef/>
      </w:r>
      <w:r>
        <w:t xml:space="preserve"> </w:t>
      </w:r>
      <w:r>
        <w:rPr>
          <w:lang w:val="en-US"/>
        </w:rPr>
        <w:t>APR for 2019.</w:t>
      </w:r>
    </w:p>
  </w:footnote>
  <w:footnote w:id="87">
    <w:p w14:paraId="257A136F" w14:textId="77777777" w:rsidR="009E09CA" w:rsidRDefault="009E09CA" w:rsidP="00A42A48">
      <w:pPr>
        <w:pStyle w:val="FootnoteText"/>
      </w:pPr>
      <w:r>
        <w:rPr>
          <w:rStyle w:val="FootnoteReference"/>
          <w:szCs w:val="18"/>
        </w:rPr>
        <w:footnoteRef/>
      </w:r>
      <w:r>
        <w:t xml:space="preserve"> </w:t>
      </w:r>
      <w:r>
        <w:rPr>
          <w:rFonts w:eastAsia="Calibri"/>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88">
    <w:p w14:paraId="574840FF" w14:textId="77777777" w:rsidR="009E09CA" w:rsidRDefault="009E09CA" w:rsidP="00A42A48">
      <w:pPr>
        <w:pStyle w:val="FootnoteText"/>
      </w:pPr>
      <w:r>
        <w:rPr>
          <w:rStyle w:val="FootnoteReference"/>
        </w:rPr>
        <w:footnoteRef/>
      </w:r>
      <w:r>
        <w:t xml:space="preserve"> Access at: </w:t>
      </w:r>
      <w:hyperlink r:id="rId1" w:history="1">
        <w:r w:rsidRPr="00EF6294">
          <w:rPr>
            <w:rStyle w:val="Hyperlink"/>
          </w:rPr>
          <w:t>http://web.undp.org/evaluation/guideline/section-6.shtml</w:t>
        </w:r>
      </w:hyperlink>
      <w:r>
        <w:t xml:space="preserve"> </w:t>
      </w:r>
    </w:p>
  </w:footnote>
  <w:footnote w:id="89">
    <w:p w14:paraId="09F265E9" w14:textId="77777777" w:rsidR="009E09CA" w:rsidRDefault="009E09CA" w:rsidP="00A42A48">
      <w:pPr>
        <w:pStyle w:val="FootnoteText"/>
      </w:pPr>
      <w:r>
        <w:rPr>
          <w:rStyle w:val="FootnoteReference"/>
          <w:rFonts w:ascii="Calibri" w:hAnsi="Calibri" w:cs="Calibri"/>
          <w:szCs w:val="18"/>
        </w:rPr>
        <w:footnoteRef/>
      </w:r>
      <w:r>
        <w:t xml:space="preserve"> Engagement of evaluators should be done in line with guidelines for hiring consultants in the POPP </w:t>
      </w:r>
      <w:hyperlink r:id="rId2" w:history="1">
        <w:r w:rsidRPr="00EF6294">
          <w:rPr>
            <w:rStyle w:val="Hyperlink"/>
            <w:rFonts w:ascii="Calibri" w:hAnsi="Calibri" w:cs="Calibri"/>
            <w:szCs w:val="18"/>
          </w:rPr>
          <w:t>https://popp.undp.org/SitePages/POPPRoot.aspx</w:t>
        </w:r>
      </w:hyperlink>
    </w:p>
  </w:footnote>
  <w:footnote w:id="90">
    <w:p w14:paraId="333C4502" w14:textId="77777777" w:rsidR="009E09CA" w:rsidRDefault="009E09CA" w:rsidP="00A42A48">
      <w:pPr>
        <w:pStyle w:val="FootnoteText"/>
        <w:rPr>
          <w:rFonts w:ascii="Calibri" w:hAnsi="Calibri" w:cs="Calibri"/>
          <w:szCs w:val="18"/>
        </w:rPr>
      </w:pPr>
      <w:r>
        <w:rPr>
          <w:rStyle w:val="FootnoteReference"/>
          <w:rFonts w:ascii="Calibri" w:hAnsi="Calibri" w:cs="Calibri"/>
          <w:szCs w:val="18"/>
        </w:rPr>
        <w:footnoteRef/>
      </w:r>
      <w:hyperlink r:id="rId3" w:history="1">
        <w:r w:rsidRPr="00EF6294">
          <w:rPr>
            <w:rStyle w:val="Hyperlink"/>
            <w:rFonts w:ascii="Calibri" w:hAnsi="Calibri" w:cs="Calibri"/>
            <w:szCs w:val="18"/>
          </w:rPr>
          <w:t>https://intranet.undp.org/unit/bom/pso/Support%20documents%20on%20IC%20Guidelines/Template%20for%20Confirmation%20of%20Interest%20and%20Submission%20of%20Financial%20Proposal.docx</w:t>
        </w:r>
      </w:hyperlink>
    </w:p>
  </w:footnote>
  <w:footnote w:id="91">
    <w:p w14:paraId="2A301B65" w14:textId="77777777" w:rsidR="009E09CA" w:rsidRDefault="009E09CA" w:rsidP="00A42A48">
      <w:pPr>
        <w:pStyle w:val="FootnoteText"/>
        <w:rPr>
          <w:rFonts w:ascii="Calibri" w:hAnsi="Calibri" w:cs="Calibri"/>
          <w:szCs w:val="18"/>
        </w:rPr>
      </w:pPr>
      <w:r>
        <w:rPr>
          <w:rStyle w:val="FootnoteReference"/>
          <w:rFonts w:ascii="Calibri" w:hAnsi="Calibri" w:cs="Calibri"/>
          <w:szCs w:val="18"/>
        </w:rPr>
        <w:footnoteRef/>
      </w:r>
      <w:r>
        <w:rPr>
          <w:rFonts w:ascii="Calibri" w:hAnsi="Calibri" w:cs="Calibri"/>
          <w:szCs w:val="18"/>
        </w:rPr>
        <w:t xml:space="preserve"> </w:t>
      </w:r>
      <w:hyperlink r:id="rId4" w:history="1">
        <w:r w:rsidRPr="00EF6294">
          <w:rPr>
            <w:rStyle w:val="Hyperlink"/>
            <w:rFonts w:ascii="Calibri" w:hAnsi="Calibri" w:cs="Calibri"/>
            <w:szCs w:val="18"/>
          </w:rPr>
          <w:t>http://www.undp.org/content/dam/undp/library/corporate/Careers/P11_Personal_history_form.doc</w:t>
        </w:r>
      </w:hyperlink>
      <w:r>
        <w:rPr>
          <w:rFonts w:ascii="Calibri" w:hAnsi="Calibri" w:cs="Calibri"/>
          <w:szCs w:val="18"/>
        </w:rPr>
        <w:tab/>
      </w:r>
    </w:p>
  </w:footnote>
  <w:footnote w:id="92">
    <w:p w14:paraId="1297B7FA" w14:textId="77777777" w:rsidR="009E09CA" w:rsidRDefault="009E09CA" w:rsidP="00A42A48">
      <w:pPr>
        <w:pStyle w:val="FootnoteText"/>
      </w:pPr>
      <w:r>
        <w:rPr>
          <w:rStyle w:val="FootnoteReference"/>
        </w:rPr>
        <w:footnoteRef/>
      </w:r>
      <w:r>
        <w:t xml:space="preserve"> See ToR Annex F for rating scales.</w:t>
      </w:r>
    </w:p>
  </w:footnote>
  <w:footnote w:id="93">
    <w:p w14:paraId="7F72E6A0" w14:textId="77777777" w:rsidR="009E09CA" w:rsidRPr="000F6BC6" w:rsidRDefault="009E09CA" w:rsidP="00A42A48">
      <w:pPr>
        <w:pStyle w:val="FootnoteText"/>
      </w:pPr>
      <w:r w:rsidRPr="000F6BC6">
        <w:rPr>
          <w:rStyle w:val="FootnoteReference"/>
          <w:szCs w:val="16"/>
        </w:rPr>
        <w:footnoteRef/>
      </w:r>
      <w:r w:rsidRPr="000F6BC6">
        <w:t xml:space="preserve"> Supply chain management practices and strategies that reduce the environmental and energy footprint of freight distribution</w:t>
      </w:r>
      <w:r>
        <w:t xml:space="preserve">, and focuses </w:t>
      </w:r>
      <w:r w:rsidRPr="000F6BC6">
        <w:t xml:space="preserve">on material handling, waste management, packaging and </w:t>
      </w:r>
      <w:r>
        <w:t xml:space="preserve">physical distribution (i.e., freight </w:t>
      </w:r>
      <w:r w:rsidRPr="000F6BC6">
        <w:t>transport</w:t>
      </w:r>
      <w:r>
        <w:t>)</w:t>
      </w:r>
      <w:r w:rsidRPr="000F6BC6">
        <w:t>.</w:t>
      </w:r>
    </w:p>
  </w:footnote>
  <w:footnote w:id="94">
    <w:p w14:paraId="76069450" w14:textId="77777777" w:rsidR="009E09CA" w:rsidRPr="008764C2" w:rsidRDefault="009E09CA" w:rsidP="00A42A48">
      <w:pPr>
        <w:pStyle w:val="FootnoteText"/>
        <w:rPr>
          <w:lang w:val="en-US"/>
        </w:rPr>
      </w:pPr>
      <w:r w:rsidRPr="007411D6">
        <w:rPr>
          <w:rStyle w:val="FootnoteReference"/>
        </w:rPr>
        <w:footnoteRef/>
      </w:r>
      <w:r w:rsidRPr="007411D6">
        <w:t xml:space="preserve"> </w:t>
      </w:r>
      <w:r w:rsidRPr="007411D6">
        <w:rPr>
          <w:rFonts w:eastAsia="SimSun"/>
        </w:rPr>
        <w:t xml:space="preserve">GLIZP will focus on </w:t>
      </w:r>
      <w:smartTag w:uri="urn:schemas-microsoft-com:office:smarttags" w:element="place">
        <w:smartTag w:uri="urn:schemas-microsoft-com:office:smarttags" w:element="PlaceName">
          <w:r w:rsidRPr="007411D6">
            <w:rPr>
              <w:rFonts w:eastAsia="SimSun"/>
            </w:rPr>
            <w:t>Zhejiang</w:t>
          </w:r>
        </w:smartTag>
        <w:r w:rsidRPr="007411D6">
          <w:rPr>
            <w:rFonts w:eastAsia="SimSun"/>
          </w:rPr>
          <w:t xml:space="preserve"> </w:t>
        </w:r>
        <w:smartTag w:uri="urn:schemas-microsoft-com:office:smarttags" w:element="PlaceType">
          <w:r w:rsidRPr="007411D6">
            <w:rPr>
              <w:rFonts w:eastAsia="SimSun"/>
            </w:rPr>
            <w:t>Province</w:t>
          </w:r>
        </w:smartTag>
      </w:smartTag>
      <w:r w:rsidRPr="007411D6">
        <w:rPr>
          <w:rFonts w:eastAsia="SimSun"/>
        </w:rPr>
        <w:t xml:space="preserve">. But the green logistic system in </w:t>
      </w:r>
      <w:smartTag w:uri="urn:schemas-microsoft-com:office:smarttags" w:element="place">
        <w:smartTag w:uri="urn:schemas-microsoft-com:office:smarttags" w:element="State">
          <w:r w:rsidRPr="007411D6">
            <w:rPr>
              <w:rFonts w:eastAsia="SimSun"/>
            </w:rPr>
            <w:t>Zhejiang</w:t>
          </w:r>
        </w:smartTag>
      </w:smartTag>
      <w:r w:rsidRPr="007411D6">
        <w:rPr>
          <w:rFonts w:eastAsia="SimSun"/>
        </w:rPr>
        <w:t xml:space="preserve"> will certainly link with the logistic systems in other adjacent provinces and cities. One of the most important outcomes of this project is providing demonstrations in Component 2 which could be applied in other provinces later as part of the Sustainability Plan in Component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5"/>
    <w:multiLevelType w:val="multilevel"/>
    <w:tmpl w:val="00000005"/>
    <w:lvl w:ilvl="0">
      <w:start w:val="3"/>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0000006"/>
    <w:multiLevelType w:val="multilevel"/>
    <w:tmpl w:val="00000006"/>
    <w:lvl w:ilvl="0">
      <w:start w:val="1"/>
      <w:numFmt w:val="bullet"/>
      <w:lvlText w:val=""/>
      <w:lvlJc w:val="left"/>
      <w:pPr>
        <w:tabs>
          <w:tab w:val="num" w:pos="720"/>
        </w:tabs>
        <w:ind w:left="360" w:firstLine="0"/>
      </w:pPr>
      <w:rPr>
        <w:rFonts w:ascii="Symbol" w:hAnsi="Symbol"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2" w15:restartNumberingAfterBreak="0">
    <w:nsid w:val="0000000A"/>
    <w:multiLevelType w:val="multilevel"/>
    <w:tmpl w:val="0000000A"/>
    <w:lvl w:ilvl="0">
      <w:start w:val="1"/>
      <w:numFmt w:val="bullet"/>
      <w:lvlText w:val=""/>
      <w:lvlJc w:val="left"/>
      <w:pPr>
        <w:tabs>
          <w:tab w:val="num" w:pos="720"/>
        </w:tabs>
        <w:ind w:left="360" w:firstLine="0"/>
      </w:pPr>
      <w:rPr>
        <w:rFonts w:ascii="Symbol" w:hAnsi="Symbol"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3" w15:restartNumberingAfterBreak="0">
    <w:nsid w:val="0000000F"/>
    <w:multiLevelType w:val="multilevel"/>
    <w:tmpl w:val="0000000F"/>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0000010"/>
    <w:multiLevelType w:val="multilevel"/>
    <w:tmpl w:val="00000010"/>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cs="Times New Roman"/>
        <w:b/>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 w15:restartNumberingAfterBreak="0">
    <w:nsid w:val="00000012"/>
    <w:multiLevelType w:val="multilevel"/>
    <w:tmpl w:val="0000001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Times New Roman"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Times New Roman" w:hint="default"/>
      </w:rPr>
    </w:lvl>
    <w:lvl w:ilvl="8">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0000014"/>
    <w:multiLevelType w:val="multilevel"/>
    <w:tmpl w:val="000000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000001A"/>
    <w:multiLevelType w:val="multilevel"/>
    <w:tmpl w:val="0000001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B"/>
    <w:multiLevelType w:val="multilevel"/>
    <w:tmpl w:val="0000001B"/>
    <w:lvl w:ilvl="0">
      <w:start w:val="1"/>
      <w:numFmt w:val="bullet"/>
      <w:lvlText w:val=""/>
      <w:lvlJc w:val="left"/>
      <w:pPr>
        <w:tabs>
          <w:tab w:val="num" w:pos="720"/>
        </w:tabs>
        <w:ind w:left="360" w:firstLine="0"/>
      </w:pPr>
      <w:rPr>
        <w:rFonts w:ascii="Symbol" w:hAnsi="Symbol"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020A6B50"/>
    <w:multiLevelType w:val="hybridMultilevel"/>
    <w:tmpl w:val="C1ECF3B6"/>
    <w:lvl w:ilvl="0" w:tplc="04090009">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0" w15:restartNumberingAfterBreak="0">
    <w:nsid w:val="05AE08A1"/>
    <w:multiLevelType w:val="hybridMultilevel"/>
    <w:tmpl w:val="E5B84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0538D3"/>
    <w:multiLevelType w:val="hybridMultilevel"/>
    <w:tmpl w:val="83387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9952BC"/>
    <w:multiLevelType w:val="hybridMultilevel"/>
    <w:tmpl w:val="99C476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4245851"/>
    <w:multiLevelType w:val="multilevel"/>
    <w:tmpl w:val="1C56718C"/>
    <w:lvl w:ilvl="0">
      <w:start w:val="1"/>
      <w:numFmt w:val="decimal"/>
      <w:pStyle w:val="Heading1"/>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169877E5"/>
    <w:multiLevelType w:val="hybridMultilevel"/>
    <w:tmpl w:val="D34ED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849659D"/>
    <w:multiLevelType w:val="hybridMultilevel"/>
    <w:tmpl w:val="06EE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594C67"/>
    <w:multiLevelType w:val="hybridMultilevel"/>
    <w:tmpl w:val="86F8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1A9329EC"/>
    <w:multiLevelType w:val="hybridMultilevel"/>
    <w:tmpl w:val="E528B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AEB5A1A"/>
    <w:multiLevelType w:val="hybridMultilevel"/>
    <w:tmpl w:val="A45A9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CA3EAD"/>
    <w:multiLevelType w:val="hybridMultilevel"/>
    <w:tmpl w:val="67CC8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1D66048A"/>
    <w:multiLevelType w:val="hybridMultilevel"/>
    <w:tmpl w:val="C8F26C18"/>
    <w:lvl w:ilvl="0" w:tplc="69EC251A">
      <w:start w:val="1"/>
      <w:numFmt w:val="bullet"/>
      <w:lvlText w:val=""/>
      <w:lvlJc w:val="left"/>
      <w:pPr>
        <w:tabs>
          <w:tab w:val="num" w:pos="1440"/>
        </w:tabs>
        <w:ind w:left="1440" w:hanging="360"/>
      </w:pPr>
      <w:rPr>
        <w:rFonts w:ascii="Wingdings" w:hAnsi="Wingdings" w:hint="default"/>
      </w:rPr>
    </w:lvl>
    <w:lvl w:ilvl="1" w:tplc="BDEECD3C">
      <w:start w:val="1"/>
      <w:numFmt w:val="bullet"/>
      <w:lvlText w:val="-"/>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20EA7134"/>
    <w:multiLevelType w:val="hybridMultilevel"/>
    <w:tmpl w:val="68B09BDC"/>
    <w:lvl w:ilvl="0" w:tplc="52F63D58">
      <w:start w:val="1"/>
      <w:numFmt w:val="upperLetter"/>
      <w:lvlText w:val="Annex %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3941A65"/>
    <w:multiLevelType w:val="hybridMultilevel"/>
    <w:tmpl w:val="AC4C625A"/>
    <w:lvl w:ilvl="0" w:tplc="04090001">
      <w:start w:val="1"/>
      <w:numFmt w:val="decimal"/>
      <w:lvlText w:val="%1."/>
      <w:lvlJc w:val="left"/>
      <w:pPr>
        <w:tabs>
          <w:tab w:val="num" w:pos="360"/>
        </w:tabs>
        <w:ind w:left="360" w:hanging="360"/>
      </w:p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8" w15:restartNumberingAfterBreak="0">
    <w:nsid w:val="23B87C01"/>
    <w:multiLevelType w:val="hybridMultilevel"/>
    <w:tmpl w:val="2FEA95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84D5C86"/>
    <w:multiLevelType w:val="hybridMultilevel"/>
    <w:tmpl w:val="905CA5DA"/>
    <w:lvl w:ilvl="0" w:tplc="0409000F">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312B6E72"/>
    <w:multiLevelType w:val="hybridMultilevel"/>
    <w:tmpl w:val="965CA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2F237E1"/>
    <w:multiLevelType w:val="hybridMultilevel"/>
    <w:tmpl w:val="EF460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3B5B5DDB"/>
    <w:multiLevelType w:val="hybridMultilevel"/>
    <w:tmpl w:val="86B448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3D790C77"/>
    <w:multiLevelType w:val="hybridMultilevel"/>
    <w:tmpl w:val="DD581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1A1A51"/>
    <w:multiLevelType w:val="hybridMultilevel"/>
    <w:tmpl w:val="83387C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2D413FE"/>
    <w:multiLevelType w:val="hybridMultilevel"/>
    <w:tmpl w:val="9934E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BD72CB5"/>
    <w:multiLevelType w:val="hybridMultilevel"/>
    <w:tmpl w:val="EE7CA71E"/>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1" w15:restartNumberingAfterBreak="0">
    <w:nsid w:val="51945645"/>
    <w:multiLevelType w:val="multilevel"/>
    <w:tmpl w:val="45F6818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1DE73E9"/>
    <w:multiLevelType w:val="hybridMultilevel"/>
    <w:tmpl w:val="26EA6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31D3D1B"/>
    <w:multiLevelType w:val="hybridMultilevel"/>
    <w:tmpl w:val="EAFEB59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4"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54730D78"/>
    <w:multiLevelType w:val="hybridMultilevel"/>
    <w:tmpl w:val="C3A2A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57D5DF6"/>
    <w:multiLevelType w:val="hybridMultilevel"/>
    <w:tmpl w:val="C904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5CE508F8"/>
    <w:multiLevelType w:val="hybridMultilevel"/>
    <w:tmpl w:val="886881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0"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1" w15:restartNumberingAfterBreak="0">
    <w:nsid w:val="694E205E"/>
    <w:multiLevelType w:val="hybridMultilevel"/>
    <w:tmpl w:val="A8381F30"/>
    <w:lvl w:ilvl="0" w:tplc="7B76E32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94E334E"/>
    <w:multiLevelType w:val="hybridMultilevel"/>
    <w:tmpl w:val="021A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6D884E4E"/>
    <w:multiLevelType w:val="hybridMultilevel"/>
    <w:tmpl w:val="7FFC7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DD84B37"/>
    <w:multiLevelType w:val="multilevel"/>
    <w:tmpl w:val="6DD84B3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6F5440AC"/>
    <w:multiLevelType w:val="hybridMultilevel"/>
    <w:tmpl w:val="6B8C3BE8"/>
    <w:lvl w:ilvl="0" w:tplc="09CADB0E">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57" w15:restartNumberingAfterBreak="0">
    <w:nsid w:val="701B1104"/>
    <w:multiLevelType w:val="hybridMultilevel"/>
    <w:tmpl w:val="1062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75711AA"/>
    <w:multiLevelType w:val="hybridMultilevel"/>
    <w:tmpl w:val="B31A9D8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0" w15:restartNumberingAfterBreak="0">
    <w:nsid w:val="77CF03F5"/>
    <w:multiLevelType w:val="multilevel"/>
    <w:tmpl w:val="B45A7BD4"/>
    <w:lvl w:ilvl="0">
      <w:start w:val="1"/>
      <w:numFmt w:val="decimal"/>
      <w:lvlText w:val="%1."/>
      <w:lvlJc w:val="left"/>
      <w:pPr>
        <w:ind w:left="1074" w:hanging="360"/>
      </w:pPr>
      <w:rPr>
        <w:rFonts w:hint="default"/>
      </w:rPr>
    </w:lvl>
    <w:lvl w:ilvl="1">
      <w:start w:val="1"/>
      <w:numFmt w:val="decimal"/>
      <w:isLgl/>
      <w:lvlText w:val="%1.%2."/>
      <w:lvlJc w:val="left"/>
      <w:pPr>
        <w:ind w:left="1074" w:hanging="360"/>
      </w:pPr>
      <w:rPr>
        <w:rFonts w:hint="default"/>
      </w:rPr>
    </w:lvl>
    <w:lvl w:ilvl="2">
      <w:start w:val="1"/>
      <w:numFmt w:val="decimal"/>
      <w:pStyle w:val="Heading3"/>
      <w:isLgl/>
      <w:lvlText w:val="%1.%2.%3."/>
      <w:lvlJc w:val="left"/>
      <w:pPr>
        <w:ind w:left="1434" w:hanging="720"/>
      </w:pPr>
      <w:rPr>
        <w:rFonts w:hint="default"/>
      </w:rPr>
    </w:lvl>
    <w:lvl w:ilvl="3">
      <w:start w:val="1"/>
      <w:numFmt w:val="decimal"/>
      <w:isLgl/>
      <w:lvlText w:val="%1.%2.%3.%4."/>
      <w:lvlJc w:val="left"/>
      <w:pPr>
        <w:ind w:left="1434" w:hanging="72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1794" w:hanging="108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154" w:hanging="1440"/>
      </w:pPr>
      <w:rPr>
        <w:rFonts w:hint="default"/>
      </w:rPr>
    </w:lvl>
    <w:lvl w:ilvl="8">
      <w:start w:val="1"/>
      <w:numFmt w:val="decimal"/>
      <w:isLgl/>
      <w:lvlText w:val="%1.%2.%3.%4.%5.%6.%7.%8.%9."/>
      <w:lvlJc w:val="left"/>
      <w:pPr>
        <w:ind w:left="2514" w:hanging="1800"/>
      </w:pPr>
      <w:rPr>
        <w:rFonts w:hint="default"/>
      </w:rPr>
    </w:lvl>
  </w:abstractNum>
  <w:abstractNum w:abstractNumId="61"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62" w15:restartNumberingAfterBreak="0">
    <w:nsid w:val="7C406E55"/>
    <w:multiLevelType w:val="hybridMultilevel"/>
    <w:tmpl w:val="22706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C7433B7"/>
    <w:multiLevelType w:val="hybridMultilevel"/>
    <w:tmpl w:val="3D28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A06828"/>
    <w:multiLevelType w:val="hybridMultilevel"/>
    <w:tmpl w:val="0C7A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4"/>
  </w:num>
  <w:num w:numId="2">
    <w:abstractNumId w:val="35"/>
  </w:num>
  <w:num w:numId="3">
    <w:abstractNumId w:val="57"/>
  </w:num>
  <w:num w:numId="4">
    <w:abstractNumId w:val="28"/>
  </w:num>
  <w:num w:numId="5">
    <w:abstractNumId w:val="2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lvlOverride w:ilvl="0">
      <w:startOverride w:val="1"/>
    </w:lvlOverride>
    <w:lvlOverride w:ilvl="1"/>
    <w:lvlOverride w:ilvl="2"/>
    <w:lvlOverride w:ilvl="3"/>
    <w:lvlOverride w:ilvl="4"/>
    <w:lvlOverride w:ilvl="5"/>
    <w:lvlOverride w:ilvl="6"/>
    <w:lvlOverride w:ilvl="7"/>
    <w:lvlOverride w:ilvl="8"/>
  </w:num>
  <w:num w:numId="9">
    <w:abstractNumId w:val="8"/>
  </w:num>
  <w:num w:numId="10">
    <w:abstractNumId w:val="2"/>
  </w:num>
  <w:num w:numId="11">
    <w:abstractNumId w:val="1"/>
  </w:num>
  <w:num w:numId="12">
    <w:abstractNumId w:val="9"/>
  </w:num>
  <w:num w:numId="13">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num>
  <w:num w:numId="15">
    <w:abstractNumId w:val="4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1"/>
  </w:num>
  <w:num w:numId="17">
    <w:abstractNumId w:val="13"/>
  </w:num>
  <w:num w:numId="18">
    <w:abstractNumId w:val="5"/>
  </w:num>
  <w:num w:numId="19">
    <w:abstractNumId w:val="7"/>
  </w:num>
  <w:num w:numId="20">
    <w:abstractNumId w:val="41"/>
  </w:num>
  <w:num w:numId="21">
    <w:abstractNumId w:val="3"/>
  </w:num>
  <w:num w:numId="2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18"/>
  </w:num>
  <w:num w:numId="25">
    <w:abstractNumId w:val="43"/>
  </w:num>
  <w:num w:numId="26">
    <w:abstractNumId w:val="59"/>
  </w:num>
  <w:num w:numId="27">
    <w:abstractNumId w:val="24"/>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3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5"/>
  </w:num>
  <w:num w:numId="34">
    <w:abstractNumId w:val="47"/>
  </w:num>
  <w:num w:numId="35">
    <w:abstractNumId w:val="58"/>
  </w:num>
  <w:num w:numId="36">
    <w:abstractNumId w:val="25"/>
  </w:num>
  <w:num w:numId="37">
    <w:abstractNumId w:val="5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50"/>
  </w:num>
  <w:num w:numId="4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1"/>
  </w:num>
  <w:num w:numId="43">
    <w:abstractNumId w:val="46"/>
  </w:num>
  <w:num w:numId="44">
    <w:abstractNumId w:val="36"/>
  </w:num>
  <w:num w:numId="45">
    <w:abstractNumId w:val="11"/>
  </w:num>
  <w:num w:numId="46">
    <w:abstractNumId w:val="62"/>
  </w:num>
  <w:num w:numId="47">
    <w:abstractNumId w:val="60"/>
  </w:num>
  <w:num w:numId="48">
    <w:abstractNumId w:val="29"/>
  </w:num>
  <w:num w:numId="49">
    <w:abstractNumId w:val="23"/>
  </w:num>
  <w:num w:numId="50">
    <w:abstractNumId w:val="12"/>
  </w:num>
  <w:num w:numId="51">
    <w:abstractNumId w:val="54"/>
  </w:num>
  <w:num w:numId="52">
    <w:abstractNumId w:val="16"/>
  </w:num>
  <w:num w:numId="53">
    <w:abstractNumId w:val="31"/>
  </w:num>
  <w:num w:numId="54">
    <w:abstractNumId w:val="30"/>
  </w:num>
  <w:num w:numId="55">
    <w:abstractNumId w:val="20"/>
  </w:num>
  <w:num w:numId="56">
    <w:abstractNumId w:val="39"/>
  </w:num>
  <w:num w:numId="57">
    <w:abstractNumId w:val="10"/>
  </w:num>
  <w:num w:numId="58">
    <w:abstractNumId w:val="40"/>
  </w:num>
  <w:num w:numId="59">
    <w:abstractNumId w:val="45"/>
  </w:num>
  <w:num w:numId="60">
    <w:abstractNumId w:val="63"/>
  </w:num>
  <w:num w:numId="61">
    <w:abstractNumId w:val="64"/>
  </w:num>
  <w:num w:numId="62">
    <w:abstractNumId w:val="19"/>
  </w:num>
  <w:num w:numId="63">
    <w:abstractNumId w:val="55"/>
  </w:num>
  <w:num w:numId="64">
    <w:abstractNumId w:val="34"/>
  </w:num>
  <w:num w:numId="65">
    <w:abstractNumId w:val="15"/>
  </w:num>
  <w:num w:numId="66">
    <w:abstractNumId w:val="52"/>
  </w:num>
  <w:num w:numId="67">
    <w:abstractNumId w:val="42"/>
  </w:num>
  <w:num w:numId="6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BDA"/>
    <w:rsid w:val="00000007"/>
    <w:rsid w:val="00000CD6"/>
    <w:rsid w:val="00001D91"/>
    <w:rsid w:val="0000396B"/>
    <w:rsid w:val="00005535"/>
    <w:rsid w:val="00007BC2"/>
    <w:rsid w:val="00012287"/>
    <w:rsid w:val="00012463"/>
    <w:rsid w:val="000201DC"/>
    <w:rsid w:val="00021591"/>
    <w:rsid w:val="00022065"/>
    <w:rsid w:val="00023E5B"/>
    <w:rsid w:val="00023F4D"/>
    <w:rsid w:val="00023F5C"/>
    <w:rsid w:val="000241FC"/>
    <w:rsid w:val="000276CB"/>
    <w:rsid w:val="00027B1F"/>
    <w:rsid w:val="00035A4C"/>
    <w:rsid w:val="00037438"/>
    <w:rsid w:val="00037C6D"/>
    <w:rsid w:val="0004232D"/>
    <w:rsid w:val="00043118"/>
    <w:rsid w:val="000441E0"/>
    <w:rsid w:val="00044608"/>
    <w:rsid w:val="00045089"/>
    <w:rsid w:val="00045B36"/>
    <w:rsid w:val="00050FBB"/>
    <w:rsid w:val="00051623"/>
    <w:rsid w:val="00051D18"/>
    <w:rsid w:val="00055425"/>
    <w:rsid w:val="00055F25"/>
    <w:rsid w:val="00056CB4"/>
    <w:rsid w:val="00060762"/>
    <w:rsid w:val="00063327"/>
    <w:rsid w:val="000645B5"/>
    <w:rsid w:val="00066C7A"/>
    <w:rsid w:val="000674EA"/>
    <w:rsid w:val="00073B63"/>
    <w:rsid w:val="00073E15"/>
    <w:rsid w:val="000752B9"/>
    <w:rsid w:val="00075C60"/>
    <w:rsid w:val="00080463"/>
    <w:rsid w:val="0008740A"/>
    <w:rsid w:val="000900AB"/>
    <w:rsid w:val="00091EDC"/>
    <w:rsid w:val="000942BD"/>
    <w:rsid w:val="000949F4"/>
    <w:rsid w:val="000A122D"/>
    <w:rsid w:val="000A3508"/>
    <w:rsid w:val="000A3997"/>
    <w:rsid w:val="000A4EA4"/>
    <w:rsid w:val="000B12DA"/>
    <w:rsid w:val="000B132B"/>
    <w:rsid w:val="000B2489"/>
    <w:rsid w:val="000B529E"/>
    <w:rsid w:val="000B6D11"/>
    <w:rsid w:val="000C043F"/>
    <w:rsid w:val="000C14AC"/>
    <w:rsid w:val="000C47C7"/>
    <w:rsid w:val="000C68AD"/>
    <w:rsid w:val="000D23B2"/>
    <w:rsid w:val="000D271B"/>
    <w:rsid w:val="000D2B3F"/>
    <w:rsid w:val="000E3BC6"/>
    <w:rsid w:val="000E40CC"/>
    <w:rsid w:val="000E41BF"/>
    <w:rsid w:val="000E5700"/>
    <w:rsid w:val="000F145E"/>
    <w:rsid w:val="000F1B83"/>
    <w:rsid w:val="000F3A38"/>
    <w:rsid w:val="00101528"/>
    <w:rsid w:val="00101B45"/>
    <w:rsid w:val="00101DD0"/>
    <w:rsid w:val="00102033"/>
    <w:rsid w:val="00102903"/>
    <w:rsid w:val="001147E2"/>
    <w:rsid w:val="00121012"/>
    <w:rsid w:val="00130EF4"/>
    <w:rsid w:val="00133B82"/>
    <w:rsid w:val="00133C44"/>
    <w:rsid w:val="00133DC6"/>
    <w:rsid w:val="00134975"/>
    <w:rsid w:val="00141589"/>
    <w:rsid w:val="00142630"/>
    <w:rsid w:val="00150868"/>
    <w:rsid w:val="00150B18"/>
    <w:rsid w:val="00150B90"/>
    <w:rsid w:val="00151F34"/>
    <w:rsid w:val="00152B8D"/>
    <w:rsid w:val="001558D1"/>
    <w:rsid w:val="00156211"/>
    <w:rsid w:val="0015626B"/>
    <w:rsid w:val="00156657"/>
    <w:rsid w:val="001611B4"/>
    <w:rsid w:val="00164A08"/>
    <w:rsid w:val="001654E4"/>
    <w:rsid w:val="00165BB2"/>
    <w:rsid w:val="00166C3E"/>
    <w:rsid w:val="00167564"/>
    <w:rsid w:val="00167B2D"/>
    <w:rsid w:val="001707ED"/>
    <w:rsid w:val="00171FA1"/>
    <w:rsid w:val="00181D48"/>
    <w:rsid w:val="0018570F"/>
    <w:rsid w:val="00194940"/>
    <w:rsid w:val="00195EF5"/>
    <w:rsid w:val="00197D62"/>
    <w:rsid w:val="001A1298"/>
    <w:rsid w:val="001A25B5"/>
    <w:rsid w:val="001A2A67"/>
    <w:rsid w:val="001A3413"/>
    <w:rsid w:val="001A3738"/>
    <w:rsid w:val="001A427C"/>
    <w:rsid w:val="001A6743"/>
    <w:rsid w:val="001A6868"/>
    <w:rsid w:val="001B3557"/>
    <w:rsid w:val="001B5D0A"/>
    <w:rsid w:val="001B6DEC"/>
    <w:rsid w:val="001C00DB"/>
    <w:rsid w:val="001C65BB"/>
    <w:rsid w:val="001D1103"/>
    <w:rsid w:val="001D1B75"/>
    <w:rsid w:val="001D29EF"/>
    <w:rsid w:val="001D3A2F"/>
    <w:rsid w:val="001D431D"/>
    <w:rsid w:val="001D4AD1"/>
    <w:rsid w:val="001D6B41"/>
    <w:rsid w:val="001D7928"/>
    <w:rsid w:val="001E2C59"/>
    <w:rsid w:val="001E5889"/>
    <w:rsid w:val="001E65F0"/>
    <w:rsid w:val="001E6EB7"/>
    <w:rsid w:val="001E7660"/>
    <w:rsid w:val="001E7689"/>
    <w:rsid w:val="001F0BF3"/>
    <w:rsid w:val="001F0BF9"/>
    <w:rsid w:val="001F0D97"/>
    <w:rsid w:val="001F4CB1"/>
    <w:rsid w:val="002015C5"/>
    <w:rsid w:val="00205855"/>
    <w:rsid w:val="00206B68"/>
    <w:rsid w:val="002161D1"/>
    <w:rsid w:val="0021778E"/>
    <w:rsid w:val="0022195D"/>
    <w:rsid w:val="002225DE"/>
    <w:rsid w:val="00222B6A"/>
    <w:rsid w:val="0022373E"/>
    <w:rsid w:val="00231072"/>
    <w:rsid w:val="00231D6D"/>
    <w:rsid w:val="00242A59"/>
    <w:rsid w:val="002440F1"/>
    <w:rsid w:val="00245BB6"/>
    <w:rsid w:val="00251C66"/>
    <w:rsid w:val="00252B5B"/>
    <w:rsid w:val="00257201"/>
    <w:rsid w:val="00257661"/>
    <w:rsid w:val="00261DF1"/>
    <w:rsid w:val="00261F78"/>
    <w:rsid w:val="00263043"/>
    <w:rsid w:val="00265940"/>
    <w:rsid w:val="00272421"/>
    <w:rsid w:val="00273E4A"/>
    <w:rsid w:val="0028188B"/>
    <w:rsid w:val="0028261B"/>
    <w:rsid w:val="00282C7A"/>
    <w:rsid w:val="002841FF"/>
    <w:rsid w:val="0028468B"/>
    <w:rsid w:val="002847E0"/>
    <w:rsid w:val="00284F8C"/>
    <w:rsid w:val="00285C2C"/>
    <w:rsid w:val="00287EB1"/>
    <w:rsid w:val="002A37E8"/>
    <w:rsid w:val="002A4551"/>
    <w:rsid w:val="002A682E"/>
    <w:rsid w:val="002B1AE9"/>
    <w:rsid w:val="002B208B"/>
    <w:rsid w:val="002B2601"/>
    <w:rsid w:val="002C0985"/>
    <w:rsid w:val="002C2758"/>
    <w:rsid w:val="002C41CF"/>
    <w:rsid w:val="002D1C3D"/>
    <w:rsid w:val="002D29A3"/>
    <w:rsid w:val="002D5420"/>
    <w:rsid w:val="002E2DFD"/>
    <w:rsid w:val="002E401C"/>
    <w:rsid w:val="002E6087"/>
    <w:rsid w:val="002E699A"/>
    <w:rsid w:val="002E6D4B"/>
    <w:rsid w:val="002F3F32"/>
    <w:rsid w:val="002F4751"/>
    <w:rsid w:val="002F5643"/>
    <w:rsid w:val="002F5F21"/>
    <w:rsid w:val="002F6D9D"/>
    <w:rsid w:val="00300426"/>
    <w:rsid w:val="003021D8"/>
    <w:rsid w:val="00302D9A"/>
    <w:rsid w:val="003056BB"/>
    <w:rsid w:val="00306337"/>
    <w:rsid w:val="00306872"/>
    <w:rsid w:val="00316296"/>
    <w:rsid w:val="00320489"/>
    <w:rsid w:val="00321626"/>
    <w:rsid w:val="003226EC"/>
    <w:rsid w:val="003245CD"/>
    <w:rsid w:val="003260C9"/>
    <w:rsid w:val="00327CCB"/>
    <w:rsid w:val="00327D32"/>
    <w:rsid w:val="00331799"/>
    <w:rsid w:val="00335EEB"/>
    <w:rsid w:val="00335F0F"/>
    <w:rsid w:val="003404FB"/>
    <w:rsid w:val="00347A0B"/>
    <w:rsid w:val="00357D9E"/>
    <w:rsid w:val="00360ACB"/>
    <w:rsid w:val="0036123C"/>
    <w:rsid w:val="003652CF"/>
    <w:rsid w:val="00366A28"/>
    <w:rsid w:val="00371117"/>
    <w:rsid w:val="00373714"/>
    <w:rsid w:val="003828FA"/>
    <w:rsid w:val="0038388F"/>
    <w:rsid w:val="003848FB"/>
    <w:rsid w:val="00385563"/>
    <w:rsid w:val="00387D90"/>
    <w:rsid w:val="00394A23"/>
    <w:rsid w:val="003970E6"/>
    <w:rsid w:val="003A1D83"/>
    <w:rsid w:val="003A1E22"/>
    <w:rsid w:val="003A3C61"/>
    <w:rsid w:val="003A7A67"/>
    <w:rsid w:val="003B328E"/>
    <w:rsid w:val="003B4195"/>
    <w:rsid w:val="003C050F"/>
    <w:rsid w:val="003C243F"/>
    <w:rsid w:val="003C25FA"/>
    <w:rsid w:val="003C3DA9"/>
    <w:rsid w:val="003C69C1"/>
    <w:rsid w:val="003D2ADB"/>
    <w:rsid w:val="003D678D"/>
    <w:rsid w:val="003D6B85"/>
    <w:rsid w:val="003E04FB"/>
    <w:rsid w:val="003E1149"/>
    <w:rsid w:val="003E66C0"/>
    <w:rsid w:val="003E69FF"/>
    <w:rsid w:val="003E735D"/>
    <w:rsid w:val="003F033A"/>
    <w:rsid w:val="003F1E33"/>
    <w:rsid w:val="003F259F"/>
    <w:rsid w:val="003F2DAA"/>
    <w:rsid w:val="003F303C"/>
    <w:rsid w:val="004005C5"/>
    <w:rsid w:val="00403F30"/>
    <w:rsid w:val="00406DF7"/>
    <w:rsid w:val="00411A33"/>
    <w:rsid w:val="00412C45"/>
    <w:rsid w:val="0041741E"/>
    <w:rsid w:val="00423F03"/>
    <w:rsid w:val="00425948"/>
    <w:rsid w:val="004271C6"/>
    <w:rsid w:val="00427383"/>
    <w:rsid w:val="00431C51"/>
    <w:rsid w:val="00434D44"/>
    <w:rsid w:val="00435B70"/>
    <w:rsid w:val="0043662F"/>
    <w:rsid w:val="00442AD2"/>
    <w:rsid w:val="0044786C"/>
    <w:rsid w:val="0046744C"/>
    <w:rsid w:val="004718D8"/>
    <w:rsid w:val="004719C0"/>
    <w:rsid w:val="00471C74"/>
    <w:rsid w:val="004720D3"/>
    <w:rsid w:val="00472D7C"/>
    <w:rsid w:val="00485645"/>
    <w:rsid w:val="004865CD"/>
    <w:rsid w:val="00487584"/>
    <w:rsid w:val="0049056F"/>
    <w:rsid w:val="004905D2"/>
    <w:rsid w:val="004910BD"/>
    <w:rsid w:val="004910D2"/>
    <w:rsid w:val="004917AA"/>
    <w:rsid w:val="0049254C"/>
    <w:rsid w:val="00493AE4"/>
    <w:rsid w:val="004A037A"/>
    <w:rsid w:val="004A090B"/>
    <w:rsid w:val="004A0A46"/>
    <w:rsid w:val="004A15A2"/>
    <w:rsid w:val="004B0AC1"/>
    <w:rsid w:val="004B0F99"/>
    <w:rsid w:val="004B1971"/>
    <w:rsid w:val="004B4F94"/>
    <w:rsid w:val="004B558C"/>
    <w:rsid w:val="004B6F50"/>
    <w:rsid w:val="004C032B"/>
    <w:rsid w:val="004C1CE4"/>
    <w:rsid w:val="004C404F"/>
    <w:rsid w:val="004C54F1"/>
    <w:rsid w:val="004C5A62"/>
    <w:rsid w:val="004D08E5"/>
    <w:rsid w:val="004D1438"/>
    <w:rsid w:val="004D41B0"/>
    <w:rsid w:val="004D6BC9"/>
    <w:rsid w:val="004D6ECD"/>
    <w:rsid w:val="004E13A4"/>
    <w:rsid w:val="004E1E96"/>
    <w:rsid w:val="004E30A3"/>
    <w:rsid w:val="004E31A7"/>
    <w:rsid w:val="004E4230"/>
    <w:rsid w:val="004E7EC7"/>
    <w:rsid w:val="004F09CE"/>
    <w:rsid w:val="004F453A"/>
    <w:rsid w:val="004F470E"/>
    <w:rsid w:val="004F6A58"/>
    <w:rsid w:val="004F6F24"/>
    <w:rsid w:val="005065A2"/>
    <w:rsid w:val="00510C16"/>
    <w:rsid w:val="00511249"/>
    <w:rsid w:val="00512F29"/>
    <w:rsid w:val="005134F0"/>
    <w:rsid w:val="005156C4"/>
    <w:rsid w:val="00522E49"/>
    <w:rsid w:val="0052696A"/>
    <w:rsid w:val="00527B8F"/>
    <w:rsid w:val="00533A0B"/>
    <w:rsid w:val="00533CA4"/>
    <w:rsid w:val="00537A99"/>
    <w:rsid w:val="0054001F"/>
    <w:rsid w:val="00540AF6"/>
    <w:rsid w:val="00540F19"/>
    <w:rsid w:val="0054226A"/>
    <w:rsid w:val="00542D32"/>
    <w:rsid w:val="00543E40"/>
    <w:rsid w:val="00545E0E"/>
    <w:rsid w:val="00556C5F"/>
    <w:rsid w:val="00557694"/>
    <w:rsid w:val="00557FD6"/>
    <w:rsid w:val="005638AF"/>
    <w:rsid w:val="00563AA6"/>
    <w:rsid w:val="00564E66"/>
    <w:rsid w:val="0057031C"/>
    <w:rsid w:val="00570A75"/>
    <w:rsid w:val="00574290"/>
    <w:rsid w:val="005747B7"/>
    <w:rsid w:val="00574B33"/>
    <w:rsid w:val="005816E6"/>
    <w:rsid w:val="0058596A"/>
    <w:rsid w:val="00587BCA"/>
    <w:rsid w:val="00590622"/>
    <w:rsid w:val="00590C7B"/>
    <w:rsid w:val="00590E05"/>
    <w:rsid w:val="005940A9"/>
    <w:rsid w:val="00596865"/>
    <w:rsid w:val="00597288"/>
    <w:rsid w:val="005B3983"/>
    <w:rsid w:val="005B4CB2"/>
    <w:rsid w:val="005C051A"/>
    <w:rsid w:val="005C6BCE"/>
    <w:rsid w:val="005C728F"/>
    <w:rsid w:val="005D435E"/>
    <w:rsid w:val="005D562B"/>
    <w:rsid w:val="005D7AE6"/>
    <w:rsid w:val="005E1E85"/>
    <w:rsid w:val="005E29C9"/>
    <w:rsid w:val="005E6616"/>
    <w:rsid w:val="005E6633"/>
    <w:rsid w:val="005E7CD7"/>
    <w:rsid w:val="005F0A63"/>
    <w:rsid w:val="005F14D4"/>
    <w:rsid w:val="005F429E"/>
    <w:rsid w:val="00601456"/>
    <w:rsid w:val="00602949"/>
    <w:rsid w:val="0060391B"/>
    <w:rsid w:val="00606818"/>
    <w:rsid w:val="0061022F"/>
    <w:rsid w:val="00611CBE"/>
    <w:rsid w:val="00611D78"/>
    <w:rsid w:val="00612DEC"/>
    <w:rsid w:val="006139B9"/>
    <w:rsid w:val="006140FB"/>
    <w:rsid w:val="00614618"/>
    <w:rsid w:val="0062132A"/>
    <w:rsid w:val="00623F7E"/>
    <w:rsid w:val="00635ECC"/>
    <w:rsid w:val="006407C9"/>
    <w:rsid w:val="00641B9B"/>
    <w:rsid w:val="0064419C"/>
    <w:rsid w:val="0065004B"/>
    <w:rsid w:val="006526AB"/>
    <w:rsid w:val="006526D7"/>
    <w:rsid w:val="00654E9B"/>
    <w:rsid w:val="00656F13"/>
    <w:rsid w:val="00661A04"/>
    <w:rsid w:val="00663573"/>
    <w:rsid w:val="0066362F"/>
    <w:rsid w:val="00665188"/>
    <w:rsid w:val="00667961"/>
    <w:rsid w:val="00671C9A"/>
    <w:rsid w:val="00682E42"/>
    <w:rsid w:val="006915D4"/>
    <w:rsid w:val="00696EE1"/>
    <w:rsid w:val="006A0DB9"/>
    <w:rsid w:val="006A1CC8"/>
    <w:rsid w:val="006A5944"/>
    <w:rsid w:val="006A6060"/>
    <w:rsid w:val="006B24A0"/>
    <w:rsid w:val="006B3A20"/>
    <w:rsid w:val="006B4CC3"/>
    <w:rsid w:val="006B6562"/>
    <w:rsid w:val="006B7222"/>
    <w:rsid w:val="006C0FFA"/>
    <w:rsid w:val="006C36FD"/>
    <w:rsid w:val="006C566F"/>
    <w:rsid w:val="006C7B80"/>
    <w:rsid w:val="006D0348"/>
    <w:rsid w:val="006D5409"/>
    <w:rsid w:val="006E5837"/>
    <w:rsid w:val="006F01AC"/>
    <w:rsid w:val="006F14BA"/>
    <w:rsid w:val="006F15BF"/>
    <w:rsid w:val="006F351C"/>
    <w:rsid w:val="006F3D9C"/>
    <w:rsid w:val="006F4809"/>
    <w:rsid w:val="007025E9"/>
    <w:rsid w:val="00702B59"/>
    <w:rsid w:val="0070370A"/>
    <w:rsid w:val="0070447D"/>
    <w:rsid w:val="00705F45"/>
    <w:rsid w:val="00706218"/>
    <w:rsid w:val="00707E37"/>
    <w:rsid w:val="00710B32"/>
    <w:rsid w:val="0071350E"/>
    <w:rsid w:val="007216E3"/>
    <w:rsid w:val="00724822"/>
    <w:rsid w:val="00730B52"/>
    <w:rsid w:val="00730FDE"/>
    <w:rsid w:val="007374AD"/>
    <w:rsid w:val="007400A3"/>
    <w:rsid w:val="007434C1"/>
    <w:rsid w:val="007450D6"/>
    <w:rsid w:val="00746EA6"/>
    <w:rsid w:val="007524EC"/>
    <w:rsid w:val="0075408A"/>
    <w:rsid w:val="00754DF8"/>
    <w:rsid w:val="00756081"/>
    <w:rsid w:val="00757150"/>
    <w:rsid w:val="00761FB6"/>
    <w:rsid w:val="00762497"/>
    <w:rsid w:val="00763B0B"/>
    <w:rsid w:val="00763DCA"/>
    <w:rsid w:val="00764842"/>
    <w:rsid w:val="00765734"/>
    <w:rsid w:val="0077164A"/>
    <w:rsid w:val="00771AA6"/>
    <w:rsid w:val="00771ECF"/>
    <w:rsid w:val="007769AA"/>
    <w:rsid w:val="007832DF"/>
    <w:rsid w:val="0078365A"/>
    <w:rsid w:val="007836EA"/>
    <w:rsid w:val="00784610"/>
    <w:rsid w:val="00784806"/>
    <w:rsid w:val="007850D0"/>
    <w:rsid w:val="00790167"/>
    <w:rsid w:val="007911C4"/>
    <w:rsid w:val="0079474F"/>
    <w:rsid w:val="00794930"/>
    <w:rsid w:val="00796425"/>
    <w:rsid w:val="00797E67"/>
    <w:rsid w:val="007A0BB9"/>
    <w:rsid w:val="007A3772"/>
    <w:rsid w:val="007A46D5"/>
    <w:rsid w:val="007B37F5"/>
    <w:rsid w:val="007B3850"/>
    <w:rsid w:val="007B6387"/>
    <w:rsid w:val="007B7931"/>
    <w:rsid w:val="007C3FD3"/>
    <w:rsid w:val="007C4DB5"/>
    <w:rsid w:val="007C4E8A"/>
    <w:rsid w:val="007C5116"/>
    <w:rsid w:val="007C5256"/>
    <w:rsid w:val="007D090D"/>
    <w:rsid w:val="007D2DE5"/>
    <w:rsid w:val="007D3744"/>
    <w:rsid w:val="007E04FF"/>
    <w:rsid w:val="007E2573"/>
    <w:rsid w:val="007E2F3C"/>
    <w:rsid w:val="007E4019"/>
    <w:rsid w:val="007E417B"/>
    <w:rsid w:val="007E70EB"/>
    <w:rsid w:val="007F20F0"/>
    <w:rsid w:val="007F35EB"/>
    <w:rsid w:val="007F5946"/>
    <w:rsid w:val="007F5CA6"/>
    <w:rsid w:val="00800714"/>
    <w:rsid w:val="0080243D"/>
    <w:rsid w:val="00802691"/>
    <w:rsid w:val="00806E67"/>
    <w:rsid w:val="008108AC"/>
    <w:rsid w:val="0081282E"/>
    <w:rsid w:val="00816AFA"/>
    <w:rsid w:val="008177E8"/>
    <w:rsid w:val="00821B0E"/>
    <w:rsid w:val="0082298D"/>
    <w:rsid w:val="00822BFF"/>
    <w:rsid w:val="00822D33"/>
    <w:rsid w:val="0082488D"/>
    <w:rsid w:val="00831603"/>
    <w:rsid w:val="00832283"/>
    <w:rsid w:val="00833E71"/>
    <w:rsid w:val="00837CE3"/>
    <w:rsid w:val="00837E6B"/>
    <w:rsid w:val="00845B64"/>
    <w:rsid w:val="00845D82"/>
    <w:rsid w:val="00852936"/>
    <w:rsid w:val="00853620"/>
    <w:rsid w:val="00856DEA"/>
    <w:rsid w:val="0086056D"/>
    <w:rsid w:val="0086614E"/>
    <w:rsid w:val="00866F08"/>
    <w:rsid w:val="008714D5"/>
    <w:rsid w:val="008737C4"/>
    <w:rsid w:val="008745EB"/>
    <w:rsid w:val="00876EAE"/>
    <w:rsid w:val="00877AE4"/>
    <w:rsid w:val="00880BF3"/>
    <w:rsid w:val="0088194C"/>
    <w:rsid w:val="00886CDA"/>
    <w:rsid w:val="00894942"/>
    <w:rsid w:val="00895576"/>
    <w:rsid w:val="00895B42"/>
    <w:rsid w:val="00895B6E"/>
    <w:rsid w:val="008A00E9"/>
    <w:rsid w:val="008A2329"/>
    <w:rsid w:val="008A4910"/>
    <w:rsid w:val="008A5021"/>
    <w:rsid w:val="008A607F"/>
    <w:rsid w:val="008B0F56"/>
    <w:rsid w:val="008B2987"/>
    <w:rsid w:val="008B46C4"/>
    <w:rsid w:val="008B68AF"/>
    <w:rsid w:val="008B6F2F"/>
    <w:rsid w:val="008B73C4"/>
    <w:rsid w:val="008C7630"/>
    <w:rsid w:val="008C7AF9"/>
    <w:rsid w:val="008D3508"/>
    <w:rsid w:val="008D5219"/>
    <w:rsid w:val="008D5E58"/>
    <w:rsid w:val="008E2C94"/>
    <w:rsid w:val="008E43F6"/>
    <w:rsid w:val="008E466C"/>
    <w:rsid w:val="008E58BB"/>
    <w:rsid w:val="008E6220"/>
    <w:rsid w:val="008E65D4"/>
    <w:rsid w:val="008E7615"/>
    <w:rsid w:val="008F10CB"/>
    <w:rsid w:val="008F7383"/>
    <w:rsid w:val="008F7B28"/>
    <w:rsid w:val="00900E62"/>
    <w:rsid w:val="00900EC7"/>
    <w:rsid w:val="009013A3"/>
    <w:rsid w:val="0090275A"/>
    <w:rsid w:val="009069F7"/>
    <w:rsid w:val="00907161"/>
    <w:rsid w:val="00910AB9"/>
    <w:rsid w:val="00912157"/>
    <w:rsid w:val="00916C5C"/>
    <w:rsid w:val="00916DF0"/>
    <w:rsid w:val="0092074E"/>
    <w:rsid w:val="009218B9"/>
    <w:rsid w:val="00923B20"/>
    <w:rsid w:val="00924BD4"/>
    <w:rsid w:val="00924EC2"/>
    <w:rsid w:val="009251D3"/>
    <w:rsid w:val="00930EF2"/>
    <w:rsid w:val="009310AD"/>
    <w:rsid w:val="0093243F"/>
    <w:rsid w:val="00936BDA"/>
    <w:rsid w:val="0094095E"/>
    <w:rsid w:val="0094097E"/>
    <w:rsid w:val="009442F5"/>
    <w:rsid w:val="009503FE"/>
    <w:rsid w:val="0095220E"/>
    <w:rsid w:val="009610F5"/>
    <w:rsid w:val="00965CCF"/>
    <w:rsid w:val="00965F9E"/>
    <w:rsid w:val="00966163"/>
    <w:rsid w:val="00966E52"/>
    <w:rsid w:val="00967B70"/>
    <w:rsid w:val="00971595"/>
    <w:rsid w:val="009717BB"/>
    <w:rsid w:val="00971E5B"/>
    <w:rsid w:val="00976E95"/>
    <w:rsid w:val="00981F56"/>
    <w:rsid w:val="009842B6"/>
    <w:rsid w:val="00985BD1"/>
    <w:rsid w:val="00991351"/>
    <w:rsid w:val="009927AC"/>
    <w:rsid w:val="0099376D"/>
    <w:rsid w:val="009963F3"/>
    <w:rsid w:val="0099713D"/>
    <w:rsid w:val="009A0ECC"/>
    <w:rsid w:val="009A2F32"/>
    <w:rsid w:val="009A5111"/>
    <w:rsid w:val="009B06AF"/>
    <w:rsid w:val="009B5B21"/>
    <w:rsid w:val="009B646C"/>
    <w:rsid w:val="009C368B"/>
    <w:rsid w:val="009C3D25"/>
    <w:rsid w:val="009C56FB"/>
    <w:rsid w:val="009C583C"/>
    <w:rsid w:val="009C5F5B"/>
    <w:rsid w:val="009D21AD"/>
    <w:rsid w:val="009D50B0"/>
    <w:rsid w:val="009D5875"/>
    <w:rsid w:val="009D5C84"/>
    <w:rsid w:val="009D7738"/>
    <w:rsid w:val="009E09CA"/>
    <w:rsid w:val="009E239A"/>
    <w:rsid w:val="009E5D51"/>
    <w:rsid w:val="009E774C"/>
    <w:rsid w:val="009F3765"/>
    <w:rsid w:val="00A0437E"/>
    <w:rsid w:val="00A14A19"/>
    <w:rsid w:val="00A1516F"/>
    <w:rsid w:val="00A16CD4"/>
    <w:rsid w:val="00A20ED2"/>
    <w:rsid w:val="00A22194"/>
    <w:rsid w:val="00A22267"/>
    <w:rsid w:val="00A22B74"/>
    <w:rsid w:val="00A2666B"/>
    <w:rsid w:val="00A349B2"/>
    <w:rsid w:val="00A37D4F"/>
    <w:rsid w:val="00A42A48"/>
    <w:rsid w:val="00A433DD"/>
    <w:rsid w:val="00A44647"/>
    <w:rsid w:val="00A44669"/>
    <w:rsid w:val="00A45788"/>
    <w:rsid w:val="00A46F9C"/>
    <w:rsid w:val="00A5385F"/>
    <w:rsid w:val="00A539A4"/>
    <w:rsid w:val="00A603D2"/>
    <w:rsid w:val="00A617C0"/>
    <w:rsid w:val="00A61EFF"/>
    <w:rsid w:val="00A649A6"/>
    <w:rsid w:val="00A64EE1"/>
    <w:rsid w:val="00A64F37"/>
    <w:rsid w:val="00A65EA3"/>
    <w:rsid w:val="00A67F6C"/>
    <w:rsid w:val="00A706E4"/>
    <w:rsid w:val="00A711DB"/>
    <w:rsid w:val="00A71AF6"/>
    <w:rsid w:val="00A75550"/>
    <w:rsid w:val="00A76058"/>
    <w:rsid w:val="00A80801"/>
    <w:rsid w:val="00A80980"/>
    <w:rsid w:val="00A81AB1"/>
    <w:rsid w:val="00A844CA"/>
    <w:rsid w:val="00A9177A"/>
    <w:rsid w:val="00A91F3B"/>
    <w:rsid w:val="00A944F6"/>
    <w:rsid w:val="00A9797C"/>
    <w:rsid w:val="00AA04BC"/>
    <w:rsid w:val="00AA1219"/>
    <w:rsid w:val="00AA2C8E"/>
    <w:rsid w:val="00AA46D4"/>
    <w:rsid w:val="00AA66C5"/>
    <w:rsid w:val="00AA73B6"/>
    <w:rsid w:val="00AB1B01"/>
    <w:rsid w:val="00AB5090"/>
    <w:rsid w:val="00AB6E07"/>
    <w:rsid w:val="00AB7771"/>
    <w:rsid w:val="00AC0D02"/>
    <w:rsid w:val="00AC4129"/>
    <w:rsid w:val="00AC604C"/>
    <w:rsid w:val="00AC61CA"/>
    <w:rsid w:val="00AC721F"/>
    <w:rsid w:val="00AD2803"/>
    <w:rsid w:val="00AE0EC5"/>
    <w:rsid w:val="00AF3F7E"/>
    <w:rsid w:val="00AF5CF7"/>
    <w:rsid w:val="00AF6342"/>
    <w:rsid w:val="00B01651"/>
    <w:rsid w:val="00B03E5C"/>
    <w:rsid w:val="00B04A7F"/>
    <w:rsid w:val="00B07236"/>
    <w:rsid w:val="00B10A0F"/>
    <w:rsid w:val="00B15ACC"/>
    <w:rsid w:val="00B16663"/>
    <w:rsid w:val="00B2059A"/>
    <w:rsid w:val="00B22A84"/>
    <w:rsid w:val="00B2623C"/>
    <w:rsid w:val="00B2722F"/>
    <w:rsid w:val="00B302EF"/>
    <w:rsid w:val="00B311A7"/>
    <w:rsid w:val="00B3127D"/>
    <w:rsid w:val="00B31306"/>
    <w:rsid w:val="00B33C19"/>
    <w:rsid w:val="00B36696"/>
    <w:rsid w:val="00B370A5"/>
    <w:rsid w:val="00B42BD0"/>
    <w:rsid w:val="00B42C12"/>
    <w:rsid w:val="00B4466B"/>
    <w:rsid w:val="00B475DB"/>
    <w:rsid w:val="00B51B1D"/>
    <w:rsid w:val="00B57B1B"/>
    <w:rsid w:val="00B616FC"/>
    <w:rsid w:val="00B619C0"/>
    <w:rsid w:val="00B6350E"/>
    <w:rsid w:val="00B6681D"/>
    <w:rsid w:val="00B66A30"/>
    <w:rsid w:val="00B66C93"/>
    <w:rsid w:val="00B705C8"/>
    <w:rsid w:val="00B70F8D"/>
    <w:rsid w:val="00B72D63"/>
    <w:rsid w:val="00B76640"/>
    <w:rsid w:val="00B82EA3"/>
    <w:rsid w:val="00B837D8"/>
    <w:rsid w:val="00B84CA2"/>
    <w:rsid w:val="00B94B93"/>
    <w:rsid w:val="00B95335"/>
    <w:rsid w:val="00B9597C"/>
    <w:rsid w:val="00B96154"/>
    <w:rsid w:val="00B97A24"/>
    <w:rsid w:val="00B97AE8"/>
    <w:rsid w:val="00BA6337"/>
    <w:rsid w:val="00BA6691"/>
    <w:rsid w:val="00BA743B"/>
    <w:rsid w:val="00BA7599"/>
    <w:rsid w:val="00BB2069"/>
    <w:rsid w:val="00BB46E5"/>
    <w:rsid w:val="00BB49C8"/>
    <w:rsid w:val="00BB58B8"/>
    <w:rsid w:val="00BB5F29"/>
    <w:rsid w:val="00BC5416"/>
    <w:rsid w:val="00BC6750"/>
    <w:rsid w:val="00BD00A0"/>
    <w:rsid w:val="00BD564E"/>
    <w:rsid w:val="00BD5B40"/>
    <w:rsid w:val="00BE3A68"/>
    <w:rsid w:val="00BE41FC"/>
    <w:rsid w:val="00BE770F"/>
    <w:rsid w:val="00BE7F41"/>
    <w:rsid w:val="00BF2C9B"/>
    <w:rsid w:val="00BF353D"/>
    <w:rsid w:val="00BF426D"/>
    <w:rsid w:val="00BF6528"/>
    <w:rsid w:val="00BF7788"/>
    <w:rsid w:val="00C00B07"/>
    <w:rsid w:val="00C032D4"/>
    <w:rsid w:val="00C034B6"/>
    <w:rsid w:val="00C0694C"/>
    <w:rsid w:val="00C11F69"/>
    <w:rsid w:val="00C14938"/>
    <w:rsid w:val="00C21B0C"/>
    <w:rsid w:val="00C226C5"/>
    <w:rsid w:val="00C2314B"/>
    <w:rsid w:val="00C30008"/>
    <w:rsid w:val="00C44884"/>
    <w:rsid w:val="00C47B99"/>
    <w:rsid w:val="00C5776D"/>
    <w:rsid w:val="00C579CB"/>
    <w:rsid w:val="00C6132F"/>
    <w:rsid w:val="00C65E23"/>
    <w:rsid w:val="00C71C72"/>
    <w:rsid w:val="00C80BAF"/>
    <w:rsid w:val="00C81640"/>
    <w:rsid w:val="00C81E72"/>
    <w:rsid w:val="00C84042"/>
    <w:rsid w:val="00C84305"/>
    <w:rsid w:val="00C8490E"/>
    <w:rsid w:val="00C849FC"/>
    <w:rsid w:val="00C85BBC"/>
    <w:rsid w:val="00C8611D"/>
    <w:rsid w:val="00C94F5C"/>
    <w:rsid w:val="00C952B3"/>
    <w:rsid w:val="00C96305"/>
    <w:rsid w:val="00C96E7D"/>
    <w:rsid w:val="00C96F50"/>
    <w:rsid w:val="00CA0B2A"/>
    <w:rsid w:val="00CA2CAA"/>
    <w:rsid w:val="00CA6CDF"/>
    <w:rsid w:val="00CB141A"/>
    <w:rsid w:val="00CB14E7"/>
    <w:rsid w:val="00CB2119"/>
    <w:rsid w:val="00CB2C29"/>
    <w:rsid w:val="00CB33C7"/>
    <w:rsid w:val="00CB5331"/>
    <w:rsid w:val="00CB5E99"/>
    <w:rsid w:val="00CC4203"/>
    <w:rsid w:val="00CC4259"/>
    <w:rsid w:val="00CC5093"/>
    <w:rsid w:val="00CC673A"/>
    <w:rsid w:val="00CC73D3"/>
    <w:rsid w:val="00CD0B38"/>
    <w:rsid w:val="00CD1953"/>
    <w:rsid w:val="00CD2B78"/>
    <w:rsid w:val="00CD3196"/>
    <w:rsid w:val="00CD6ED9"/>
    <w:rsid w:val="00CD7470"/>
    <w:rsid w:val="00CE08D7"/>
    <w:rsid w:val="00CE156F"/>
    <w:rsid w:val="00CE60F4"/>
    <w:rsid w:val="00CF2471"/>
    <w:rsid w:val="00CF2ACB"/>
    <w:rsid w:val="00CF47D8"/>
    <w:rsid w:val="00CF768B"/>
    <w:rsid w:val="00D02B55"/>
    <w:rsid w:val="00D03C02"/>
    <w:rsid w:val="00D05940"/>
    <w:rsid w:val="00D0633A"/>
    <w:rsid w:val="00D14D2F"/>
    <w:rsid w:val="00D155C1"/>
    <w:rsid w:val="00D17927"/>
    <w:rsid w:val="00D17CA5"/>
    <w:rsid w:val="00D21080"/>
    <w:rsid w:val="00D21441"/>
    <w:rsid w:val="00D24197"/>
    <w:rsid w:val="00D248F5"/>
    <w:rsid w:val="00D2569A"/>
    <w:rsid w:val="00D31D92"/>
    <w:rsid w:val="00D33D58"/>
    <w:rsid w:val="00D36081"/>
    <w:rsid w:val="00D3696F"/>
    <w:rsid w:val="00D43028"/>
    <w:rsid w:val="00D43676"/>
    <w:rsid w:val="00D470D1"/>
    <w:rsid w:val="00D51C65"/>
    <w:rsid w:val="00D51D3B"/>
    <w:rsid w:val="00D53A9F"/>
    <w:rsid w:val="00D541A0"/>
    <w:rsid w:val="00D54273"/>
    <w:rsid w:val="00D57092"/>
    <w:rsid w:val="00D60878"/>
    <w:rsid w:val="00D71E30"/>
    <w:rsid w:val="00D73508"/>
    <w:rsid w:val="00D74007"/>
    <w:rsid w:val="00D7477F"/>
    <w:rsid w:val="00D772B9"/>
    <w:rsid w:val="00D77F19"/>
    <w:rsid w:val="00D80C18"/>
    <w:rsid w:val="00D8200F"/>
    <w:rsid w:val="00D826C8"/>
    <w:rsid w:val="00D8595C"/>
    <w:rsid w:val="00D85E4D"/>
    <w:rsid w:val="00D91D66"/>
    <w:rsid w:val="00D93DB9"/>
    <w:rsid w:val="00D96757"/>
    <w:rsid w:val="00D97EFA"/>
    <w:rsid w:val="00DA26A3"/>
    <w:rsid w:val="00DA3A7E"/>
    <w:rsid w:val="00DA66D2"/>
    <w:rsid w:val="00DA6DCC"/>
    <w:rsid w:val="00DB0475"/>
    <w:rsid w:val="00DB6738"/>
    <w:rsid w:val="00DB6DF5"/>
    <w:rsid w:val="00DC0259"/>
    <w:rsid w:val="00DC2CF1"/>
    <w:rsid w:val="00DC41E6"/>
    <w:rsid w:val="00DC5397"/>
    <w:rsid w:val="00DD0781"/>
    <w:rsid w:val="00DD12A1"/>
    <w:rsid w:val="00DD1E29"/>
    <w:rsid w:val="00DD4C4D"/>
    <w:rsid w:val="00DD7D64"/>
    <w:rsid w:val="00DE50DC"/>
    <w:rsid w:val="00DE55CC"/>
    <w:rsid w:val="00DE67CF"/>
    <w:rsid w:val="00DE735F"/>
    <w:rsid w:val="00DE7923"/>
    <w:rsid w:val="00DE7FF8"/>
    <w:rsid w:val="00DF192A"/>
    <w:rsid w:val="00DF1A4A"/>
    <w:rsid w:val="00DF2485"/>
    <w:rsid w:val="00DF3CD6"/>
    <w:rsid w:val="00DF500B"/>
    <w:rsid w:val="00DF5B21"/>
    <w:rsid w:val="00DF67D8"/>
    <w:rsid w:val="00E01822"/>
    <w:rsid w:val="00E02E72"/>
    <w:rsid w:val="00E05CB0"/>
    <w:rsid w:val="00E143CF"/>
    <w:rsid w:val="00E21D81"/>
    <w:rsid w:val="00E22BA9"/>
    <w:rsid w:val="00E23210"/>
    <w:rsid w:val="00E26A84"/>
    <w:rsid w:val="00E35184"/>
    <w:rsid w:val="00E35721"/>
    <w:rsid w:val="00E35BD6"/>
    <w:rsid w:val="00E41167"/>
    <w:rsid w:val="00E44821"/>
    <w:rsid w:val="00E4522B"/>
    <w:rsid w:val="00E46CC6"/>
    <w:rsid w:val="00E47B0F"/>
    <w:rsid w:val="00E52BD7"/>
    <w:rsid w:val="00E604CE"/>
    <w:rsid w:val="00E67D75"/>
    <w:rsid w:val="00E7285B"/>
    <w:rsid w:val="00E75A6C"/>
    <w:rsid w:val="00E76478"/>
    <w:rsid w:val="00E77B9C"/>
    <w:rsid w:val="00E82201"/>
    <w:rsid w:val="00E8265E"/>
    <w:rsid w:val="00E85C9F"/>
    <w:rsid w:val="00E87478"/>
    <w:rsid w:val="00E87A11"/>
    <w:rsid w:val="00E87AA9"/>
    <w:rsid w:val="00E90328"/>
    <w:rsid w:val="00E91F62"/>
    <w:rsid w:val="00E92419"/>
    <w:rsid w:val="00E93D94"/>
    <w:rsid w:val="00E9447D"/>
    <w:rsid w:val="00E97BA3"/>
    <w:rsid w:val="00EA1633"/>
    <w:rsid w:val="00EA1B04"/>
    <w:rsid w:val="00EA1E5E"/>
    <w:rsid w:val="00EA24BC"/>
    <w:rsid w:val="00EA2E2B"/>
    <w:rsid w:val="00EA4C44"/>
    <w:rsid w:val="00EB2848"/>
    <w:rsid w:val="00EB6489"/>
    <w:rsid w:val="00EB6CAD"/>
    <w:rsid w:val="00EB73AA"/>
    <w:rsid w:val="00EC333D"/>
    <w:rsid w:val="00EC47A6"/>
    <w:rsid w:val="00ED0AFF"/>
    <w:rsid w:val="00ED2F1E"/>
    <w:rsid w:val="00ED3730"/>
    <w:rsid w:val="00ED5814"/>
    <w:rsid w:val="00EE1105"/>
    <w:rsid w:val="00EE51F3"/>
    <w:rsid w:val="00EE65D3"/>
    <w:rsid w:val="00EF3F3E"/>
    <w:rsid w:val="00EF5D31"/>
    <w:rsid w:val="00EF6294"/>
    <w:rsid w:val="00EF6C65"/>
    <w:rsid w:val="00F02060"/>
    <w:rsid w:val="00F02E33"/>
    <w:rsid w:val="00F0435E"/>
    <w:rsid w:val="00F07A04"/>
    <w:rsid w:val="00F10638"/>
    <w:rsid w:val="00F124B3"/>
    <w:rsid w:val="00F22696"/>
    <w:rsid w:val="00F24BB9"/>
    <w:rsid w:val="00F26166"/>
    <w:rsid w:val="00F265CD"/>
    <w:rsid w:val="00F2771D"/>
    <w:rsid w:val="00F31344"/>
    <w:rsid w:val="00F34CDA"/>
    <w:rsid w:val="00F35B3A"/>
    <w:rsid w:val="00F373CE"/>
    <w:rsid w:val="00F40652"/>
    <w:rsid w:val="00F446AB"/>
    <w:rsid w:val="00F47719"/>
    <w:rsid w:val="00F52E50"/>
    <w:rsid w:val="00F5449E"/>
    <w:rsid w:val="00F56077"/>
    <w:rsid w:val="00F57684"/>
    <w:rsid w:val="00F5793A"/>
    <w:rsid w:val="00F67D46"/>
    <w:rsid w:val="00F74BDA"/>
    <w:rsid w:val="00F75D72"/>
    <w:rsid w:val="00F80179"/>
    <w:rsid w:val="00F809FC"/>
    <w:rsid w:val="00F84631"/>
    <w:rsid w:val="00F9275E"/>
    <w:rsid w:val="00F9540E"/>
    <w:rsid w:val="00F956BD"/>
    <w:rsid w:val="00F96609"/>
    <w:rsid w:val="00FA1E9F"/>
    <w:rsid w:val="00FA3359"/>
    <w:rsid w:val="00FA3C3D"/>
    <w:rsid w:val="00FA5CAA"/>
    <w:rsid w:val="00FA71EE"/>
    <w:rsid w:val="00FC4144"/>
    <w:rsid w:val="00FC46EA"/>
    <w:rsid w:val="00FD0970"/>
    <w:rsid w:val="00FD1454"/>
    <w:rsid w:val="00FD1574"/>
    <w:rsid w:val="00FD3550"/>
    <w:rsid w:val="00FD3F22"/>
    <w:rsid w:val="00FD430C"/>
    <w:rsid w:val="00FD48CA"/>
    <w:rsid w:val="00FD6D5F"/>
    <w:rsid w:val="00FE2423"/>
    <w:rsid w:val="00FE3AFD"/>
    <w:rsid w:val="00FE7690"/>
    <w:rsid w:val="00FE79B2"/>
    <w:rsid w:val="00FF040E"/>
    <w:rsid w:val="00FF18B7"/>
    <w:rsid w:val="00FF24C5"/>
    <w:rsid w:val="00FF3C20"/>
    <w:rsid w:val="00FF7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hsdate"/>
  <w:shapeDefaults>
    <o:shapedefaults v:ext="edit" spidmax="2049"/>
    <o:shapelayout v:ext="edit">
      <o:idmap v:ext="edit" data="1"/>
    </o:shapelayout>
  </w:shapeDefaults>
  <w:decimalSymbol w:val="."/>
  <w:listSeparator w:val=","/>
  <w14:docId w14:val="07D48F45"/>
  <w15:chartTrackingRefBased/>
  <w15:docId w15:val="{3260F186-23A6-4A17-9421-5424018E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3B2"/>
    <w:rPr>
      <w:rFonts w:ascii="Times New Roman" w:hAnsi="Times New Roman"/>
    </w:rPr>
  </w:style>
  <w:style w:type="paragraph" w:styleId="Heading1">
    <w:name w:val="heading 1"/>
    <w:basedOn w:val="Normal"/>
    <w:next w:val="Normal"/>
    <w:link w:val="Heading1Char"/>
    <w:uiPriority w:val="9"/>
    <w:qFormat/>
    <w:rsid w:val="00623F7E"/>
    <w:pPr>
      <w:keepNext/>
      <w:keepLines/>
      <w:numPr>
        <w:numId w:val="1"/>
      </w:numPr>
      <w:spacing w:before="240" w:after="240"/>
      <w:outlineLvl w:val="0"/>
    </w:pPr>
    <w:rPr>
      <w:rFonts w:eastAsiaTheme="majorEastAsia" w:cstheme="majorBidi"/>
      <w:color w:val="2E75B6" w:themeColor="accent5"/>
      <w:sz w:val="32"/>
      <w:szCs w:val="32"/>
    </w:rPr>
  </w:style>
  <w:style w:type="paragraph" w:styleId="Heading2">
    <w:name w:val="heading 2"/>
    <w:basedOn w:val="Normal"/>
    <w:next w:val="Normal"/>
    <w:link w:val="Heading2Char"/>
    <w:uiPriority w:val="9"/>
    <w:unhideWhenUsed/>
    <w:qFormat/>
    <w:rsid w:val="00623F7E"/>
    <w:pPr>
      <w:keepNext/>
      <w:keepLines/>
      <w:spacing w:before="40" w:after="120"/>
      <w:outlineLvl w:val="1"/>
    </w:pPr>
    <w:rPr>
      <w:rFonts w:eastAsiaTheme="majorEastAsia" w:cstheme="majorBidi"/>
      <w:color w:val="2E75B6" w:themeColor="accent5"/>
      <w:sz w:val="26"/>
      <w:szCs w:val="26"/>
    </w:rPr>
  </w:style>
  <w:style w:type="paragraph" w:styleId="Heading3">
    <w:name w:val="heading 3"/>
    <w:basedOn w:val="ListParagraph"/>
    <w:next w:val="Normal"/>
    <w:link w:val="Heading3Char"/>
    <w:uiPriority w:val="9"/>
    <w:unhideWhenUsed/>
    <w:qFormat/>
    <w:rsid w:val="009A5111"/>
    <w:pPr>
      <w:numPr>
        <w:ilvl w:val="2"/>
        <w:numId w:val="47"/>
      </w:numPr>
      <w:jc w:val="both"/>
      <w:outlineLvl w:val="2"/>
    </w:pPr>
    <w:rPr>
      <w:color w:val="2E75B6"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23F7E"/>
    <w:rPr>
      <w:rFonts w:ascii="Times New Roman" w:eastAsiaTheme="majorEastAsia" w:hAnsi="Times New Roman" w:cstheme="majorBidi"/>
      <w:color w:val="2E75B6" w:themeColor="accent5"/>
      <w:sz w:val="26"/>
      <w:szCs w:val="26"/>
    </w:rPr>
  </w:style>
  <w:style w:type="character" w:customStyle="1" w:styleId="Heading1Char">
    <w:name w:val="Heading 1 Char"/>
    <w:basedOn w:val="DefaultParagraphFont"/>
    <w:link w:val="Heading1"/>
    <w:uiPriority w:val="9"/>
    <w:rsid w:val="00623F7E"/>
    <w:rPr>
      <w:rFonts w:ascii="Times New Roman" w:eastAsiaTheme="majorEastAsia" w:hAnsi="Times New Roman" w:cstheme="majorBidi"/>
      <w:color w:val="2E75B6" w:themeColor="accent5"/>
      <w:sz w:val="32"/>
      <w:szCs w:val="32"/>
    </w:rPr>
  </w:style>
  <w:style w:type="character" w:customStyle="1" w:styleId="Heading3Char">
    <w:name w:val="Heading 3 Char"/>
    <w:basedOn w:val="DefaultParagraphFont"/>
    <w:link w:val="Heading3"/>
    <w:uiPriority w:val="9"/>
    <w:rsid w:val="009A5111"/>
    <w:rPr>
      <w:rFonts w:ascii="Times New Roman" w:eastAsia="SimSun" w:hAnsi="Times New Roman" w:cs="Times New Roman"/>
      <w:color w:val="2E75B6" w:themeColor="accent5"/>
    </w:rPr>
  </w:style>
  <w:style w:type="paragraph" w:styleId="TOCHeading">
    <w:name w:val="TOC Heading"/>
    <w:basedOn w:val="Heading1"/>
    <w:next w:val="Normal"/>
    <w:uiPriority w:val="39"/>
    <w:unhideWhenUsed/>
    <w:qFormat/>
    <w:rsid w:val="00936BDA"/>
    <w:pPr>
      <w:outlineLvl w:val="9"/>
    </w:pPr>
  </w:style>
  <w:style w:type="table" w:styleId="TableGrid">
    <w:name w:val="Table Grid"/>
    <w:basedOn w:val="TableNormal"/>
    <w:uiPriority w:val="39"/>
    <w:qFormat/>
    <w:rsid w:val="004A15A2"/>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para">
    <w:name w:val="Numbered para"/>
    <w:basedOn w:val="Normal"/>
    <w:link w:val="NumberedparaChar"/>
    <w:autoRedefine/>
    <w:qFormat/>
    <w:rsid w:val="004A15A2"/>
    <w:pPr>
      <w:autoSpaceDE w:val="0"/>
      <w:autoSpaceDN w:val="0"/>
      <w:adjustRightInd w:val="0"/>
      <w:spacing w:before="120" w:after="120" w:line="240" w:lineRule="auto"/>
      <w:jc w:val="both"/>
    </w:pPr>
    <w:rPr>
      <w:rFonts w:eastAsia="Times New Roman" w:cs="Times New Roman"/>
      <w:sz w:val="20"/>
      <w:szCs w:val="20"/>
    </w:rPr>
  </w:style>
  <w:style w:type="character" w:customStyle="1" w:styleId="NumberedparaChar">
    <w:name w:val="Numbered para Char"/>
    <w:link w:val="Numberedpara"/>
    <w:rsid w:val="004A15A2"/>
    <w:rPr>
      <w:rFonts w:ascii="Times New Roman" w:eastAsia="Times New Roman" w:hAnsi="Times New Roman" w:cs="Times New Roman"/>
      <w:sz w:val="20"/>
      <w:szCs w:val="20"/>
    </w:rPr>
  </w:style>
  <w:style w:type="paragraph" w:styleId="Caption">
    <w:name w:val="caption"/>
    <w:basedOn w:val="Normal"/>
    <w:next w:val="Normal"/>
    <w:qFormat/>
    <w:rsid w:val="004C1CE4"/>
    <w:pPr>
      <w:keepNext/>
      <w:spacing w:after="0" w:line="240" w:lineRule="auto"/>
    </w:pPr>
    <w:rPr>
      <w:rFonts w:eastAsia="Times New Roman" w:cs="Calibri"/>
      <w:b/>
      <w:lang w:val="en-GB"/>
    </w:rPr>
  </w:style>
  <w:style w:type="paragraph" w:styleId="FootnoteText">
    <w:name w:val="footnote text"/>
    <w:aliases w:val="Geneva 9,Font: Geneva 9,Boston 10,f,single space,footnote text,Footnote,otnote Text,ADB,Char1,Footnote Text Quote,Footnote text,Footnote Text Char Char,Char Char Char,Fußnote,F,Style 25,Footnote Text Char Char Char Char Ch"/>
    <w:basedOn w:val="Normal"/>
    <w:link w:val="FootnoteTextChar1"/>
    <w:autoRedefine/>
    <w:uiPriority w:val="99"/>
    <w:rsid w:val="001E2C59"/>
    <w:pPr>
      <w:widowControl w:val="0"/>
      <w:spacing w:after="60" w:line="240" w:lineRule="auto"/>
    </w:pPr>
    <w:rPr>
      <w:rFonts w:eastAsia="Times New Roman" w:cs="Times New Roman"/>
      <w:sz w:val="18"/>
      <w:szCs w:val="20"/>
      <w:lang w:val="en-GB"/>
    </w:rPr>
  </w:style>
  <w:style w:type="character" w:customStyle="1" w:styleId="FootnoteTextChar">
    <w:name w:val="Footnote Text Char"/>
    <w:basedOn w:val="DefaultParagraphFont"/>
    <w:uiPriority w:val="99"/>
    <w:rsid w:val="00055F25"/>
    <w:rPr>
      <w:rFonts w:ascii="Times New Roman" w:hAnsi="Times New Roman"/>
      <w:sz w:val="20"/>
      <w:szCs w:val="20"/>
    </w:rPr>
  </w:style>
  <w:style w:type="character" w:customStyle="1" w:styleId="FootnoteTextChar1">
    <w:name w:val="Footnote Text Char1"/>
    <w:aliases w:val="Geneva 9 Char,Font: Geneva 9 Char,Boston 10 Char,f Char,single space Char,footnote text Char,Footnote Char,otnote Text Char,ADB Char,Char1 Char,Footnote Text Quote Char,Footnote text Char,Footnote Text Char Char Char,Fußnote Char"/>
    <w:link w:val="FootnoteText"/>
    <w:uiPriority w:val="99"/>
    <w:locked/>
    <w:rsid w:val="001E2C59"/>
    <w:rPr>
      <w:rFonts w:ascii="Times New Roman" w:eastAsia="Times New Roman" w:hAnsi="Times New Roman" w:cs="Times New Roman"/>
      <w:sz w:val="18"/>
      <w:szCs w:val="20"/>
      <w:lang w:val="en-GB"/>
    </w:rPr>
  </w:style>
  <w:style w:type="character" w:styleId="FootnoteReference">
    <w:name w:val="footnote reference"/>
    <w:aliases w:val="16 Point,Superscript 6 Point,Superscript 6 Point + 11 pt,Style 24,o,ftref,fr,Footnote Ref in FtNote,SUPERS,Footnote Reference Number,SUPERS1,SUPERS2,SUPERS3,BVI fnr,BVI fnr Car Car,BVI fnr Car,BVI fnr Car Car Car Car"/>
    <w:uiPriority w:val="99"/>
    <w:rsid w:val="00055F25"/>
    <w:rPr>
      <w:rFonts w:ascii="Arial" w:hAnsi="Arial" w:cs="Times New Roman"/>
      <w:sz w:val="18"/>
      <w:vertAlign w:val="superscript"/>
    </w:rPr>
  </w:style>
  <w:style w:type="paragraph" w:styleId="BalloonText">
    <w:name w:val="Balloon Text"/>
    <w:basedOn w:val="Normal"/>
    <w:link w:val="BalloonTextChar"/>
    <w:uiPriority w:val="99"/>
    <w:semiHidden/>
    <w:unhideWhenUsed/>
    <w:rsid w:val="00055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F25"/>
    <w:rPr>
      <w:rFonts w:ascii="Segoe UI" w:hAnsi="Segoe UI" w:cs="Segoe UI"/>
      <w:sz w:val="18"/>
      <w:szCs w:val="18"/>
    </w:rPr>
  </w:style>
  <w:style w:type="paragraph" w:styleId="ListParagraph">
    <w:name w:val="List Paragraph"/>
    <w:aliases w:val="List Paragraph1,List Paragraph11,List Paragraph (numbered (a)),Bullets,Lapis Bulleted List,Dot pt,F5 List Paragraph,No Spacing1,List Paragraph Char Char Char,Indicator Text,Numbered Para 1,Bullet 1,List Paragraph12,Bullet Points,List 100s"/>
    <w:basedOn w:val="Normal"/>
    <w:link w:val="ListParagraphChar"/>
    <w:uiPriority w:val="34"/>
    <w:qFormat/>
    <w:rsid w:val="00D60878"/>
    <w:pPr>
      <w:spacing w:after="200" w:line="276" w:lineRule="auto"/>
      <w:ind w:left="720"/>
      <w:contextualSpacing/>
    </w:pPr>
    <w:rPr>
      <w:rFonts w:eastAsia="SimSun" w:cs="Times New Roman"/>
    </w:rPr>
  </w:style>
  <w:style w:type="character" w:customStyle="1" w:styleId="ListParagraphChar">
    <w:name w:val="List Paragraph Char"/>
    <w:aliases w:val="List Paragraph1 Char,List Paragraph11 Char,List Paragraph (numbered (a)) Char,Bullets Char,Lapis Bulleted List Char,Dot pt Char,F5 List Paragraph Char,No Spacing1 Char,List Paragraph Char Char Char Char,Indicator Text Char"/>
    <w:link w:val="ListParagraph"/>
    <w:uiPriority w:val="34"/>
    <w:qFormat/>
    <w:rsid w:val="00D60878"/>
    <w:rPr>
      <w:rFonts w:ascii="Times New Roman" w:eastAsia="SimSun" w:hAnsi="Times New Roman" w:cs="Times New Roman"/>
    </w:rPr>
  </w:style>
  <w:style w:type="paragraph" w:styleId="TOC1">
    <w:name w:val="toc 1"/>
    <w:basedOn w:val="Normal"/>
    <w:next w:val="Normal"/>
    <w:autoRedefine/>
    <w:uiPriority w:val="39"/>
    <w:unhideWhenUsed/>
    <w:rsid w:val="00B3127D"/>
    <w:pPr>
      <w:spacing w:after="100"/>
    </w:pPr>
  </w:style>
  <w:style w:type="character" w:styleId="Hyperlink">
    <w:name w:val="Hyperlink"/>
    <w:basedOn w:val="DefaultParagraphFont"/>
    <w:uiPriority w:val="99"/>
    <w:unhideWhenUsed/>
    <w:rsid w:val="00B3127D"/>
    <w:rPr>
      <w:color w:val="0070C0" w:themeColor="hyperlink"/>
      <w:u w:val="single"/>
    </w:rPr>
  </w:style>
  <w:style w:type="paragraph" w:customStyle="1" w:styleId="Default">
    <w:name w:val="Default"/>
    <w:rsid w:val="00832283"/>
    <w:pPr>
      <w:autoSpaceDE w:val="0"/>
      <w:autoSpaceDN w:val="0"/>
      <w:adjustRightInd w:val="0"/>
      <w:spacing w:after="0" w:line="240" w:lineRule="auto"/>
    </w:pPr>
    <w:rPr>
      <w:rFonts w:ascii="Segoe UI" w:hAnsi="Segoe UI" w:cs="Segoe UI"/>
      <w:color w:val="000000"/>
      <w:sz w:val="24"/>
      <w:szCs w:val="24"/>
    </w:rPr>
  </w:style>
  <w:style w:type="paragraph" w:styleId="TOC2">
    <w:name w:val="toc 2"/>
    <w:basedOn w:val="Normal"/>
    <w:next w:val="Normal"/>
    <w:autoRedefine/>
    <w:uiPriority w:val="39"/>
    <w:unhideWhenUsed/>
    <w:rsid w:val="000942BD"/>
    <w:pPr>
      <w:spacing w:after="100"/>
      <w:ind w:left="220"/>
    </w:pPr>
  </w:style>
  <w:style w:type="paragraph" w:styleId="CommentText">
    <w:name w:val="annotation text"/>
    <w:basedOn w:val="Normal"/>
    <w:link w:val="CommentTextChar"/>
    <w:uiPriority w:val="99"/>
    <w:semiHidden/>
    <w:unhideWhenUsed/>
    <w:rsid w:val="00EF6294"/>
    <w:pPr>
      <w:spacing w:line="240" w:lineRule="auto"/>
    </w:pPr>
    <w:rPr>
      <w:sz w:val="20"/>
      <w:szCs w:val="20"/>
    </w:rPr>
  </w:style>
  <w:style w:type="character" w:customStyle="1" w:styleId="CommentTextChar">
    <w:name w:val="Comment Text Char"/>
    <w:basedOn w:val="DefaultParagraphFont"/>
    <w:link w:val="CommentText"/>
    <w:uiPriority w:val="99"/>
    <w:semiHidden/>
    <w:rsid w:val="00EF6294"/>
    <w:rPr>
      <w:rFonts w:ascii="Times New Roman" w:hAnsi="Times New Roman"/>
      <w:sz w:val="20"/>
      <w:szCs w:val="20"/>
    </w:rPr>
  </w:style>
  <w:style w:type="character" w:styleId="CommentReference">
    <w:name w:val="annotation reference"/>
    <w:basedOn w:val="DefaultParagraphFont"/>
    <w:uiPriority w:val="99"/>
    <w:semiHidden/>
    <w:unhideWhenUsed/>
    <w:rsid w:val="00EF6294"/>
    <w:rPr>
      <w:rFonts w:ascii="Times New Roman" w:hAnsi="Times New Roman" w:cs="Times New Roman" w:hint="default"/>
      <w:sz w:val="21"/>
      <w:szCs w:val="21"/>
    </w:rPr>
  </w:style>
  <w:style w:type="table" w:customStyle="1" w:styleId="TableGrid1">
    <w:name w:val="Table Grid1"/>
    <w:basedOn w:val="TableNormal"/>
    <w:next w:val="TableGrid"/>
    <w:uiPriority w:val="39"/>
    <w:rsid w:val="00EF6294"/>
    <w:pPr>
      <w:spacing w:after="0" w:line="240" w:lineRule="auto"/>
    </w:pPr>
    <w:rPr>
      <w:rFonts w:ascii="Times New Roman" w:eastAsia="SimSun" w:hAnsi="Times New Roman" w:cs="Times New Roman"/>
      <w:kern w:val="2"/>
      <w:sz w:val="21"/>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6C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C5C"/>
    <w:rPr>
      <w:rFonts w:ascii="Times New Roman" w:hAnsi="Times New Roman"/>
    </w:rPr>
  </w:style>
  <w:style w:type="paragraph" w:styleId="Footer">
    <w:name w:val="footer"/>
    <w:basedOn w:val="Normal"/>
    <w:link w:val="FooterChar"/>
    <w:uiPriority w:val="99"/>
    <w:unhideWhenUsed/>
    <w:rsid w:val="00916C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5C"/>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D5409"/>
    <w:rPr>
      <w:b/>
      <w:bCs/>
    </w:rPr>
  </w:style>
  <w:style w:type="character" w:customStyle="1" w:styleId="CommentSubjectChar">
    <w:name w:val="Comment Subject Char"/>
    <w:basedOn w:val="CommentTextChar"/>
    <w:link w:val="CommentSubject"/>
    <w:uiPriority w:val="99"/>
    <w:semiHidden/>
    <w:rsid w:val="006D5409"/>
    <w:rPr>
      <w:rFonts w:ascii="Times New Roman" w:hAnsi="Times New Roman"/>
      <w:b/>
      <w:bCs/>
      <w:sz w:val="20"/>
      <w:szCs w:val="20"/>
    </w:rPr>
  </w:style>
  <w:style w:type="paragraph" w:customStyle="1" w:styleId="ListParagraph2">
    <w:name w:val="List Paragraph2"/>
    <w:basedOn w:val="Normal"/>
    <w:uiPriority w:val="34"/>
    <w:qFormat/>
    <w:rsid w:val="009C3D25"/>
    <w:pPr>
      <w:spacing w:after="0" w:line="240" w:lineRule="auto"/>
      <w:ind w:left="720"/>
      <w:contextualSpacing/>
    </w:pPr>
    <w:rPr>
      <w:rFonts w:eastAsia="Times New Roman" w:cs="Times New Roman"/>
      <w:sz w:val="24"/>
      <w:szCs w:val="24"/>
    </w:rPr>
  </w:style>
  <w:style w:type="paragraph" w:customStyle="1" w:styleId="EOTableText">
    <w:name w:val="EO Table Text"/>
    <w:basedOn w:val="Normal"/>
    <w:autoRedefine/>
    <w:qFormat/>
    <w:rsid w:val="00197D62"/>
    <w:pPr>
      <w:tabs>
        <w:tab w:val="left" w:pos="0"/>
      </w:tabs>
      <w:spacing w:after="40" w:line="240" w:lineRule="auto"/>
    </w:pPr>
    <w:rPr>
      <w:rFonts w:ascii="Roboto" w:eastAsia="Calibri" w:hAnsi="Roboto" w:cs="Times New Roman"/>
      <w:sz w:val="19"/>
      <w:szCs w:val="19"/>
      <w:lang w:val="en-GB"/>
    </w:rPr>
  </w:style>
  <w:style w:type="paragraph" w:customStyle="1" w:styleId="EOTableTextBold">
    <w:name w:val="EO Table Text Bold"/>
    <w:basedOn w:val="EOTableText"/>
    <w:autoRedefine/>
    <w:qFormat/>
    <w:rsid w:val="001B6DEC"/>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937544">
      <w:bodyDiv w:val="1"/>
      <w:marLeft w:val="0"/>
      <w:marRight w:val="0"/>
      <w:marTop w:val="0"/>
      <w:marBottom w:val="0"/>
      <w:divBdr>
        <w:top w:val="none" w:sz="0" w:space="0" w:color="auto"/>
        <w:left w:val="none" w:sz="0" w:space="0" w:color="auto"/>
        <w:bottom w:val="none" w:sz="0" w:space="0" w:color="auto"/>
        <w:right w:val="none" w:sz="0" w:space="0" w:color="auto"/>
      </w:divBdr>
    </w:div>
    <w:div w:id="598290679">
      <w:bodyDiv w:val="1"/>
      <w:marLeft w:val="0"/>
      <w:marRight w:val="0"/>
      <w:marTop w:val="0"/>
      <w:marBottom w:val="0"/>
      <w:divBdr>
        <w:top w:val="none" w:sz="0" w:space="0" w:color="auto"/>
        <w:left w:val="none" w:sz="0" w:space="0" w:color="auto"/>
        <w:bottom w:val="none" w:sz="0" w:space="0" w:color="auto"/>
        <w:right w:val="none" w:sz="0" w:space="0" w:color="auto"/>
      </w:divBdr>
    </w:div>
    <w:div w:id="677659248">
      <w:bodyDiv w:val="1"/>
      <w:marLeft w:val="0"/>
      <w:marRight w:val="0"/>
      <w:marTop w:val="0"/>
      <w:marBottom w:val="0"/>
      <w:divBdr>
        <w:top w:val="none" w:sz="0" w:space="0" w:color="auto"/>
        <w:left w:val="none" w:sz="0" w:space="0" w:color="auto"/>
        <w:bottom w:val="none" w:sz="0" w:space="0" w:color="auto"/>
        <w:right w:val="none" w:sz="0" w:space="0" w:color="auto"/>
      </w:divBdr>
    </w:div>
    <w:div w:id="982855020">
      <w:bodyDiv w:val="1"/>
      <w:marLeft w:val="0"/>
      <w:marRight w:val="0"/>
      <w:marTop w:val="0"/>
      <w:marBottom w:val="0"/>
      <w:divBdr>
        <w:top w:val="none" w:sz="0" w:space="0" w:color="auto"/>
        <w:left w:val="none" w:sz="0" w:space="0" w:color="auto"/>
        <w:bottom w:val="none" w:sz="0" w:space="0" w:color="auto"/>
        <w:right w:val="none" w:sz="0" w:space="0" w:color="auto"/>
      </w:divBdr>
    </w:div>
    <w:div w:id="1320229953">
      <w:bodyDiv w:val="1"/>
      <w:marLeft w:val="0"/>
      <w:marRight w:val="0"/>
      <w:marTop w:val="0"/>
      <w:marBottom w:val="0"/>
      <w:divBdr>
        <w:top w:val="none" w:sz="0" w:space="0" w:color="auto"/>
        <w:left w:val="none" w:sz="0" w:space="0" w:color="auto"/>
        <w:bottom w:val="none" w:sz="0" w:space="0" w:color="auto"/>
        <w:right w:val="none" w:sz="0" w:space="0" w:color="auto"/>
      </w:divBdr>
    </w:div>
    <w:div w:id="178816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2" Type="http://schemas.openxmlformats.org/officeDocument/2006/relationships/numbering" Target="numbering.xml"/><Relationship Id="rId16" Type="http://schemas.openxmlformats.org/officeDocument/2006/relationships/hyperlink" Target="http://www.undp.org/content/dam/undp/library/corporate/Careers/P11_Personal_history_form.do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ntranet.undp.org/unit/bom/pso/Support%20documents%20on%20IC%20Guidelines/Template%20for%20Confirmation%20of%20Interest%20and%20Submission%20of%20Financial%20Proposal.docx"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ur03.safelinks.protection.outlook.com/?url=http%3A%2F%2Fweb.undp.org%2Fevaluation%2Fguideline%2Fdocuments%2FGEF%2FTE_GuidanceforUNDP-supportedGEF-financedProjects.pdf&amp;data=02%7C01%7Ckwanruen.seubam%40undp.org%7Cb3b7f4c33bfb44375b2a08d84327b136%7Cb3e5db5e2944483799f57488ace54319%7C0%7C0%7C637333185130113391&amp;sdata=3c1wXY5KQ0PwKx6aozlA1H8Tn%2BQrvyKzGo4DvgWMy8Q%3D&amp;reserved=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ranet.undp.org/unit/bom/pso/Support%20documents%20on%20IC%20Guidelines/Template%20for%20Confirmation%20of%20Interest%20and%20Submission%20of%20Financial%20Proposal.docx" TargetMode="External"/><Relationship Id="rId2" Type="http://schemas.openxmlformats.org/officeDocument/2006/relationships/hyperlink" Target="https://popp.undp.org/SitePages/POPPRoot.aspx" TargetMode="External"/><Relationship Id="rId1" Type="http://schemas.openxmlformats.org/officeDocument/2006/relationships/hyperlink" Target="http://web.undp.org/evaluation/guideline/section-6.shtml" TargetMode="External"/><Relationship Id="rId4" Type="http://schemas.openxmlformats.org/officeDocument/2006/relationships/hyperlink" Target="http://www.undp.org/content/dam/undp/library/corporate/Careers/P11_Personal_history_form.doc" TargetMode="External"/></Relationships>
</file>

<file path=word/theme/theme1.xml><?xml version="1.0" encoding="utf-8"?>
<a:theme xmlns:a="http://schemas.openxmlformats.org/drawingml/2006/main" name="Office Theme">
  <a:themeElements>
    <a:clrScheme name="Colorful_2">
      <a:dk1>
        <a:srgbClr val="58646C"/>
      </a:dk1>
      <a:lt1>
        <a:sysClr val="window" lastClr="FFFFFF"/>
      </a:lt1>
      <a:dk2>
        <a:srgbClr val="58646C"/>
      </a:dk2>
      <a:lt2>
        <a:srgbClr val="F2F2F2"/>
      </a:lt2>
      <a:accent1>
        <a:srgbClr val="1CA385"/>
      </a:accent1>
      <a:accent2>
        <a:srgbClr val="9CBB5D"/>
      </a:accent2>
      <a:accent3>
        <a:srgbClr val="F29B27"/>
      </a:accent3>
      <a:accent4>
        <a:srgbClr val="BD382F"/>
      </a:accent4>
      <a:accent5>
        <a:srgbClr val="2E75B6"/>
      </a:accent5>
      <a:accent6>
        <a:srgbClr val="FFFFFF"/>
      </a:accent6>
      <a:hlink>
        <a:srgbClr val="0070C0"/>
      </a:hlink>
      <a:folHlink>
        <a:srgbClr val="0070C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89E2F-CE91-4F93-9BA5-86041CE6D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101</Pages>
  <Words>36300</Words>
  <Characters>206914</Characters>
  <Application>Microsoft Office Word</Application>
  <DocSecurity>0</DocSecurity>
  <Lines>1724</Lines>
  <Paragraphs>485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A</dc:creator>
  <cp:keywords/>
  <dc:description/>
  <cp:lastModifiedBy>Me Support Cn</cp:lastModifiedBy>
  <cp:revision>5</cp:revision>
  <dcterms:created xsi:type="dcterms:W3CDTF">2021-04-07T05:32:00Z</dcterms:created>
  <dcterms:modified xsi:type="dcterms:W3CDTF">2021-09-24T04:52:00Z</dcterms:modified>
</cp:coreProperties>
</file>