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F907" w14:textId="163359B6" w:rsidR="00CA312A" w:rsidRPr="00B94952" w:rsidRDefault="00424430" w:rsidP="00B94952">
      <w:pPr>
        <w:jc w:val="center"/>
        <w:rPr>
          <w:rFonts w:ascii="Tw Cen MT" w:hAnsi="Tw Cen MT"/>
          <w:b/>
          <w:bCs/>
        </w:rPr>
      </w:pPr>
      <w:r w:rsidRPr="00B94952">
        <w:rPr>
          <w:rFonts w:ascii="Tw Cen MT" w:hAnsi="Tw Cen MT"/>
          <w:b/>
          <w:bCs/>
        </w:rPr>
        <w:t>TERMS OF REFERENCES</w:t>
      </w:r>
    </w:p>
    <w:p w14:paraId="60E2FB8F" w14:textId="77777777" w:rsidR="00424430" w:rsidRPr="00B94952" w:rsidRDefault="00424430" w:rsidP="00B94952">
      <w:pPr>
        <w:autoSpaceDE w:val="0"/>
        <w:autoSpaceDN w:val="0"/>
        <w:adjustRightInd w:val="0"/>
        <w:spacing w:after="0" w:line="480" w:lineRule="auto"/>
        <w:jc w:val="center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 xml:space="preserve">Terms of Reference for ICs and RLAs through /GPN </w:t>
      </w:r>
      <w:proofErr w:type="spellStart"/>
      <w:r w:rsidRPr="00B94952">
        <w:rPr>
          <w:rFonts w:ascii="Tw Cen MT" w:hAnsi="Tw Cen MT" w:cs="Calibri-Bold"/>
          <w:b/>
          <w:bCs/>
          <w:sz w:val="20"/>
          <w:szCs w:val="20"/>
        </w:rPr>
        <w:t>ExpRes</w:t>
      </w:r>
      <w:proofErr w:type="spellEnd"/>
    </w:p>
    <w:p w14:paraId="7AFC0F08" w14:textId="57233F66" w:rsidR="00424430" w:rsidRPr="00B94952" w:rsidRDefault="00424430" w:rsidP="00B94952">
      <w:pPr>
        <w:autoSpaceDE w:val="0"/>
        <w:autoSpaceDN w:val="0"/>
        <w:adjustRightInd w:val="0"/>
        <w:spacing w:after="0" w:line="480" w:lineRule="auto"/>
        <w:jc w:val="both"/>
        <w:rPr>
          <w:rFonts w:ascii="Tw Cen MT" w:hAnsi="Tw Cen MT" w:cs="Calibri-Bold"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 xml:space="preserve">Services/Work Description: </w:t>
      </w:r>
      <w:r w:rsidRPr="00B94952">
        <w:rPr>
          <w:rFonts w:ascii="Tw Cen MT" w:hAnsi="Tw Cen MT" w:cs="Calibri-Bold"/>
          <w:sz w:val="20"/>
          <w:szCs w:val="20"/>
        </w:rPr>
        <w:t>Consultant for the Final Evaluation of the EU co-funded project titled “Support for</w:t>
      </w:r>
      <w:r w:rsidR="00B94952" w:rsidRPr="00B94952">
        <w:rPr>
          <w:rFonts w:ascii="Tw Cen MT" w:hAnsi="Tw Cen MT" w:cs="Calibri-Bold"/>
          <w:sz w:val="20"/>
          <w:szCs w:val="20"/>
        </w:rPr>
        <w:t xml:space="preserve"> </w:t>
      </w:r>
      <w:r w:rsidRPr="00B94952">
        <w:rPr>
          <w:rFonts w:ascii="Tw Cen MT" w:hAnsi="Tw Cen MT" w:cs="Calibri-Bold"/>
          <w:sz w:val="20"/>
          <w:szCs w:val="20"/>
        </w:rPr>
        <w:t>Effective Cooperation and Coordination of Cross-border Initiatives in Southwest Ethiopia-Northwest Kenya,</w:t>
      </w:r>
    </w:p>
    <w:p w14:paraId="32D98F55" w14:textId="77777777" w:rsidR="00424430" w:rsidRPr="00B94952" w:rsidRDefault="00424430" w:rsidP="00B94952">
      <w:pPr>
        <w:autoSpaceDE w:val="0"/>
        <w:autoSpaceDN w:val="0"/>
        <w:adjustRightInd w:val="0"/>
        <w:spacing w:after="0" w:line="480" w:lineRule="auto"/>
        <w:jc w:val="both"/>
        <w:rPr>
          <w:rFonts w:ascii="Tw Cen MT" w:hAnsi="Tw Cen MT" w:cs="Calibri-Bold"/>
          <w:sz w:val="20"/>
          <w:szCs w:val="20"/>
        </w:rPr>
      </w:pPr>
      <w:proofErr w:type="spellStart"/>
      <w:r w:rsidRPr="00B94952">
        <w:rPr>
          <w:rFonts w:ascii="Tw Cen MT" w:hAnsi="Tw Cen MT" w:cs="Calibri-Bold"/>
          <w:sz w:val="20"/>
          <w:szCs w:val="20"/>
        </w:rPr>
        <w:t>Marsabit</w:t>
      </w:r>
      <w:proofErr w:type="spellEnd"/>
      <w:r w:rsidRPr="00B94952">
        <w:rPr>
          <w:rFonts w:ascii="Tw Cen MT" w:hAnsi="Tw Cen MT" w:cs="Calibri-Bold"/>
          <w:sz w:val="20"/>
          <w:szCs w:val="20"/>
        </w:rPr>
        <w:t xml:space="preserve">-Borana &amp; </w:t>
      </w:r>
      <w:proofErr w:type="spellStart"/>
      <w:r w:rsidRPr="00B94952">
        <w:rPr>
          <w:rFonts w:ascii="Tw Cen MT" w:hAnsi="Tw Cen MT" w:cs="Calibri-Bold"/>
          <w:sz w:val="20"/>
          <w:szCs w:val="20"/>
        </w:rPr>
        <w:t>Dawa</w:t>
      </w:r>
      <w:proofErr w:type="spellEnd"/>
      <w:r w:rsidRPr="00B94952">
        <w:rPr>
          <w:rFonts w:ascii="Tw Cen MT" w:hAnsi="Tw Cen MT" w:cs="Calibri-Bold"/>
          <w:sz w:val="20"/>
          <w:szCs w:val="20"/>
        </w:rPr>
        <w:t>, and Kenya-Somalia-Ethiopia” (SECCCI)</w:t>
      </w:r>
    </w:p>
    <w:p w14:paraId="5F5C793B" w14:textId="77777777" w:rsidR="00424430" w:rsidRPr="00B94952" w:rsidRDefault="00424430" w:rsidP="00B94952">
      <w:pPr>
        <w:autoSpaceDE w:val="0"/>
        <w:autoSpaceDN w:val="0"/>
        <w:adjustRightInd w:val="0"/>
        <w:spacing w:after="0" w:line="480" w:lineRule="auto"/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 xml:space="preserve">Project/Programme Title: </w:t>
      </w:r>
      <w:r w:rsidRPr="00B94952">
        <w:rPr>
          <w:rFonts w:ascii="Tw Cen MT" w:hAnsi="Tw Cen MT" w:cs="Calibri-Bold"/>
          <w:sz w:val="20"/>
          <w:szCs w:val="20"/>
        </w:rPr>
        <w:t>Support for Effective Cooperation and Coordination of Cross-border Initiatives (SECCCI)</w:t>
      </w:r>
    </w:p>
    <w:p w14:paraId="79A3C5F7" w14:textId="77777777" w:rsidR="00424430" w:rsidRPr="00B94952" w:rsidRDefault="00424430" w:rsidP="00B94952">
      <w:pPr>
        <w:autoSpaceDE w:val="0"/>
        <w:autoSpaceDN w:val="0"/>
        <w:adjustRightInd w:val="0"/>
        <w:spacing w:after="0" w:line="480" w:lineRule="auto"/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 xml:space="preserve">Consultancy Title: </w:t>
      </w:r>
      <w:r w:rsidRPr="00B94952">
        <w:rPr>
          <w:rFonts w:ascii="Tw Cen MT" w:hAnsi="Tw Cen MT" w:cs="Calibri-Bold"/>
          <w:sz w:val="20"/>
          <w:szCs w:val="20"/>
        </w:rPr>
        <w:t>Consultant for project Final Evaluation</w:t>
      </w:r>
    </w:p>
    <w:p w14:paraId="1AEE8666" w14:textId="77777777" w:rsidR="00424430" w:rsidRPr="00B94952" w:rsidRDefault="00424430" w:rsidP="00B94952">
      <w:pPr>
        <w:autoSpaceDE w:val="0"/>
        <w:autoSpaceDN w:val="0"/>
        <w:adjustRightInd w:val="0"/>
        <w:spacing w:after="0" w:line="480" w:lineRule="auto"/>
        <w:jc w:val="both"/>
        <w:rPr>
          <w:rFonts w:ascii="Tw Cen MT" w:hAnsi="Tw Cen MT" w:cs="Calibri-Bold"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 xml:space="preserve">Duty Station: </w:t>
      </w:r>
      <w:r w:rsidRPr="00B94952">
        <w:rPr>
          <w:rFonts w:ascii="Tw Cen MT" w:hAnsi="Tw Cen MT" w:cs="Calibri-Bold"/>
          <w:sz w:val="20"/>
          <w:szCs w:val="20"/>
        </w:rPr>
        <w:t>Home-based</w:t>
      </w:r>
    </w:p>
    <w:p w14:paraId="4BA6BFA9" w14:textId="427AB08D" w:rsidR="00424430" w:rsidRPr="00B94952" w:rsidRDefault="00424430" w:rsidP="00B94952">
      <w:pPr>
        <w:autoSpaceDE w:val="0"/>
        <w:autoSpaceDN w:val="0"/>
        <w:adjustRightInd w:val="0"/>
        <w:spacing w:after="0" w:line="480" w:lineRule="auto"/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 xml:space="preserve">Duration: </w:t>
      </w:r>
      <w:r w:rsidRPr="00B94952">
        <w:rPr>
          <w:rFonts w:ascii="Tw Cen MT" w:hAnsi="Tw Cen MT" w:cs="Calibri-Bold"/>
          <w:sz w:val="20"/>
          <w:szCs w:val="20"/>
        </w:rPr>
        <w:t>30 working days (evaluation to be finalized by 30/06/2021 the latest)</w:t>
      </w:r>
    </w:p>
    <w:p w14:paraId="77D3FBD8" w14:textId="1A717985" w:rsidR="00424430" w:rsidRPr="00B94952" w:rsidRDefault="00424430" w:rsidP="00B94952">
      <w:pPr>
        <w:autoSpaceDE w:val="0"/>
        <w:autoSpaceDN w:val="0"/>
        <w:adjustRightInd w:val="0"/>
        <w:spacing w:after="0" w:line="480" w:lineRule="auto"/>
        <w:jc w:val="both"/>
        <w:rPr>
          <w:rFonts w:ascii="Tw Cen MT" w:hAnsi="Tw Cen MT" w:cs="Calibri-Bold"/>
          <w:b/>
          <w:bCs/>
          <w:sz w:val="20"/>
          <w:szCs w:val="20"/>
        </w:rPr>
      </w:pPr>
    </w:p>
    <w:p w14:paraId="121A4DE8" w14:textId="29A59CDE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>BACKGROUND</w:t>
      </w:r>
    </w:p>
    <w:p w14:paraId="517FA7F2" w14:textId="77777777" w:rsidR="00B94952" w:rsidRPr="00B94952" w:rsidRDefault="00B94952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-Bold"/>
          <w:b/>
          <w:bCs/>
          <w:sz w:val="20"/>
          <w:szCs w:val="20"/>
        </w:rPr>
      </w:pPr>
    </w:p>
    <w:p w14:paraId="719DC9F8" w14:textId="5BA8E73C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The SECCCI project is an integral part of the EU cross-border programme “Collaboration in Cross-Border Areas of the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 xml:space="preserve">Horn of Africa Region”. The project is intended to address the drivers of conflict and instability, irregular </w:t>
      </w:r>
      <w:r w:rsidRPr="00B94952">
        <w:rPr>
          <w:rFonts w:ascii="Tw Cen MT" w:hAnsi="Tw Cen MT" w:cs="Calibri"/>
          <w:sz w:val="20"/>
          <w:szCs w:val="20"/>
        </w:rPr>
        <w:t>migration and</w:t>
      </w:r>
      <w:r w:rsidRPr="00B94952">
        <w:rPr>
          <w:rFonts w:ascii="Tw Cen MT" w:hAnsi="Tw Cen MT" w:cs="Calibri"/>
          <w:sz w:val="20"/>
          <w:szCs w:val="20"/>
        </w:rPr>
        <w:t xml:space="preserve"> displacement and environmental degradation in the selected cross-border areas (clusters) of Ethiopia, </w:t>
      </w:r>
      <w:proofErr w:type="gramStart"/>
      <w:r w:rsidRPr="00B94952">
        <w:rPr>
          <w:rFonts w:ascii="Tw Cen MT" w:hAnsi="Tw Cen MT" w:cs="Calibri"/>
          <w:sz w:val="20"/>
          <w:szCs w:val="20"/>
        </w:rPr>
        <w:t>Kenya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and Somalia, through improved cross-border coordination and cooperation.</w:t>
      </w:r>
    </w:p>
    <w:p w14:paraId="26475F05" w14:textId="77777777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0E4F9419" w14:textId="79BBBE96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The project, implemented by UNDP Regional Service Centre for Africa, in partnership with IGAD and UNEP operates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in 3 cross-border clusters</w:t>
      </w:r>
      <w:r w:rsidRPr="00B94952">
        <w:rPr>
          <w:rStyle w:val="FootnoteReference"/>
          <w:rFonts w:ascii="Tw Cen MT" w:hAnsi="Tw Cen MT" w:cs="Calibri"/>
          <w:sz w:val="20"/>
          <w:szCs w:val="20"/>
        </w:rPr>
        <w:footnoteReference w:id="1"/>
      </w:r>
      <w:r w:rsidRPr="00B94952">
        <w:rPr>
          <w:rFonts w:ascii="Tw Cen MT" w:hAnsi="Tw Cen MT" w:cs="Calibri"/>
          <w:sz w:val="13"/>
          <w:szCs w:val="13"/>
        </w:rPr>
        <w:t xml:space="preserve"> </w:t>
      </w:r>
      <w:r w:rsidRPr="00B94952">
        <w:rPr>
          <w:rFonts w:ascii="Tw Cen MT" w:hAnsi="Tw Cen MT" w:cs="Calibri"/>
          <w:sz w:val="13"/>
          <w:szCs w:val="13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in the Horn of Africa and is in its last year of implementation and will run until 20 February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2021 (it has a total life span of three years (36 months) from February 2018 to February 2021).</w:t>
      </w:r>
    </w:p>
    <w:p w14:paraId="328B7FDF" w14:textId="36C10ACE" w:rsidR="00424430" w:rsidRPr="00B94952" w:rsidRDefault="00424430" w:rsidP="00B94952">
      <w:pPr>
        <w:jc w:val="both"/>
        <w:rPr>
          <w:rFonts w:ascii="Tw Cen MT" w:hAnsi="Tw Cen MT" w:cs="Calibri"/>
          <w:sz w:val="20"/>
          <w:szCs w:val="20"/>
        </w:rPr>
      </w:pPr>
    </w:p>
    <w:p w14:paraId="26C847CB" w14:textId="2EAFCB80" w:rsidR="00424430" w:rsidRPr="00B94952" w:rsidRDefault="00424430" w:rsidP="00B94952">
      <w:pPr>
        <w:jc w:val="both"/>
        <w:rPr>
          <w:rFonts w:ascii="Tw Cen MT" w:hAnsi="Tw Cen MT" w:cs="Calibri-Bold"/>
          <w:sz w:val="20"/>
          <w:szCs w:val="20"/>
        </w:rPr>
      </w:pPr>
      <w:r w:rsidRPr="00B94952">
        <w:rPr>
          <w:rFonts w:ascii="Tw Cen MT" w:hAnsi="Tw Cen MT" w:cs="Calibri-Bold"/>
          <w:sz w:val="20"/>
          <w:szCs w:val="20"/>
        </w:rPr>
        <w:t>Specific Objectives are:</w:t>
      </w:r>
    </w:p>
    <w:p w14:paraId="2C2D9C6D" w14:textId="6C70264F" w:rsidR="00424430" w:rsidRPr="00B94952" w:rsidRDefault="00424430" w:rsidP="00B94952">
      <w:pPr>
        <w:pStyle w:val="ListParagraph"/>
        <w:numPr>
          <w:ilvl w:val="0"/>
          <w:numId w:val="2"/>
        </w:numPr>
        <w:jc w:val="both"/>
        <w:rPr>
          <w:rFonts w:ascii="Tw Cen MT" w:hAnsi="Tw Cen MT" w:cs="Calibri-Bold"/>
          <w:sz w:val="20"/>
          <w:szCs w:val="20"/>
        </w:rPr>
      </w:pPr>
      <w:r w:rsidRPr="00B94952">
        <w:rPr>
          <w:rFonts w:ascii="Tw Cen MT" w:hAnsi="Tw Cen MT" w:cs="Calibri-Bold"/>
          <w:sz w:val="20"/>
          <w:szCs w:val="20"/>
        </w:rPr>
        <w:t xml:space="preserve">To strengthen regional policy frameworks, </w:t>
      </w:r>
      <w:proofErr w:type="gramStart"/>
      <w:r w:rsidRPr="00B94952">
        <w:rPr>
          <w:rFonts w:ascii="Tw Cen MT" w:hAnsi="Tw Cen MT" w:cs="Calibri-Bold"/>
          <w:sz w:val="20"/>
          <w:szCs w:val="20"/>
        </w:rPr>
        <w:t>structures</w:t>
      </w:r>
      <w:proofErr w:type="gramEnd"/>
      <w:r w:rsidRPr="00B94952">
        <w:rPr>
          <w:rFonts w:ascii="Tw Cen MT" w:hAnsi="Tw Cen MT" w:cs="Calibri-Bold"/>
          <w:sz w:val="20"/>
          <w:szCs w:val="20"/>
        </w:rPr>
        <w:t xml:space="preserve"> and protocols for cross-border cooperation between</w:t>
      </w:r>
      <w:r w:rsidRPr="00B94952">
        <w:rPr>
          <w:rFonts w:ascii="Tw Cen MT" w:hAnsi="Tw Cen MT" w:cs="Calibri-Bold"/>
          <w:sz w:val="20"/>
          <w:szCs w:val="20"/>
        </w:rPr>
        <w:t xml:space="preserve"> </w:t>
      </w:r>
      <w:r w:rsidRPr="00B94952">
        <w:rPr>
          <w:rFonts w:ascii="Tw Cen MT" w:hAnsi="Tw Cen MT" w:cs="Calibri-Bold"/>
          <w:sz w:val="20"/>
          <w:szCs w:val="20"/>
        </w:rPr>
        <w:t>national and local Governments, the private sector, civil society and international technical and financial</w:t>
      </w:r>
      <w:r w:rsidRPr="00B94952">
        <w:rPr>
          <w:rFonts w:ascii="Tw Cen MT" w:hAnsi="Tw Cen MT" w:cs="Calibri-Bold"/>
          <w:sz w:val="20"/>
          <w:szCs w:val="20"/>
        </w:rPr>
        <w:t xml:space="preserve"> </w:t>
      </w:r>
      <w:r w:rsidRPr="00B94952">
        <w:rPr>
          <w:rFonts w:ascii="Tw Cen MT" w:hAnsi="Tw Cen MT" w:cs="Calibri-Bold"/>
          <w:sz w:val="20"/>
          <w:szCs w:val="20"/>
        </w:rPr>
        <w:t>partners in development.</w:t>
      </w:r>
    </w:p>
    <w:p w14:paraId="096B0C56" w14:textId="647FEA76" w:rsidR="00424430" w:rsidRPr="00B94952" w:rsidRDefault="00424430" w:rsidP="00B94952">
      <w:pPr>
        <w:pStyle w:val="ListParagraph"/>
        <w:numPr>
          <w:ilvl w:val="0"/>
          <w:numId w:val="3"/>
        </w:numPr>
        <w:jc w:val="both"/>
        <w:rPr>
          <w:rFonts w:ascii="Tw Cen MT" w:hAnsi="Tw Cen MT" w:cs="Calibri-Bold"/>
          <w:sz w:val="20"/>
          <w:szCs w:val="20"/>
        </w:rPr>
      </w:pPr>
      <w:r w:rsidRPr="00B94952">
        <w:rPr>
          <w:rFonts w:ascii="Tw Cen MT" w:hAnsi="Tw Cen MT" w:cs="Calibri-Bold"/>
          <w:sz w:val="20"/>
          <w:szCs w:val="20"/>
        </w:rPr>
        <w:t xml:space="preserve">Capacity building of communities, local </w:t>
      </w:r>
      <w:proofErr w:type="gramStart"/>
      <w:r w:rsidRPr="00B94952">
        <w:rPr>
          <w:rFonts w:ascii="Tw Cen MT" w:hAnsi="Tw Cen MT" w:cs="Calibri-Bold"/>
          <w:sz w:val="20"/>
          <w:szCs w:val="20"/>
        </w:rPr>
        <w:t>governments</w:t>
      </w:r>
      <w:proofErr w:type="gramEnd"/>
      <w:r w:rsidRPr="00B94952">
        <w:rPr>
          <w:rFonts w:ascii="Tw Cen MT" w:hAnsi="Tw Cen MT" w:cs="Calibri-Bold"/>
          <w:sz w:val="20"/>
          <w:szCs w:val="20"/>
        </w:rPr>
        <w:t xml:space="preserve"> and civil society to fully engage in processes for</w:t>
      </w:r>
      <w:r w:rsidRPr="00B94952">
        <w:rPr>
          <w:rFonts w:ascii="Tw Cen MT" w:hAnsi="Tw Cen MT" w:cs="Calibri-Bold"/>
          <w:sz w:val="20"/>
          <w:szCs w:val="20"/>
        </w:rPr>
        <w:t xml:space="preserve"> </w:t>
      </w:r>
      <w:r w:rsidRPr="00B94952">
        <w:rPr>
          <w:rFonts w:ascii="Tw Cen MT" w:hAnsi="Tw Cen MT" w:cs="Calibri-Bold"/>
          <w:sz w:val="20"/>
          <w:szCs w:val="20"/>
        </w:rPr>
        <w:t>development planning and results.</w:t>
      </w:r>
    </w:p>
    <w:p w14:paraId="291EC22C" w14:textId="53044B92" w:rsidR="00424430" w:rsidRPr="00B94952" w:rsidRDefault="00424430" w:rsidP="00B94952">
      <w:pPr>
        <w:pStyle w:val="ListParagraph"/>
        <w:numPr>
          <w:ilvl w:val="0"/>
          <w:numId w:val="3"/>
        </w:numPr>
        <w:jc w:val="both"/>
        <w:rPr>
          <w:rFonts w:ascii="Tw Cen MT" w:hAnsi="Tw Cen MT" w:cs="Calibri-Bold"/>
          <w:sz w:val="20"/>
          <w:szCs w:val="20"/>
        </w:rPr>
      </w:pPr>
      <w:r w:rsidRPr="00B94952">
        <w:rPr>
          <w:rFonts w:ascii="Tw Cen MT" w:hAnsi="Tw Cen MT" w:cs="Calibri-Bold"/>
          <w:sz w:val="20"/>
          <w:szCs w:val="20"/>
        </w:rPr>
        <w:t>To ensure effective cooperation and coordination, monitoring and evaluation of cross-border initiatives</w:t>
      </w:r>
      <w:r w:rsidRPr="00B94952">
        <w:rPr>
          <w:rFonts w:ascii="Tw Cen MT" w:hAnsi="Tw Cen MT" w:cs="Calibri-Bold"/>
          <w:sz w:val="20"/>
          <w:szCs w:val="20"/>
        </w:rPr>
        <w:t xml:space="preserve"> </w:t>
      </w:r>
      <w:r w:rsidRPr="00B94952">
        <w:rPr>
          <w:rFonts w:ascii="Tw Cen MT" w:hAnsi="Tw Cen MT" w:cs="Calibri-Bold"/>
          <w:sz w:val="20"/>
          <w:szCs w:val="20"/>
        </w:rPr>
        <w:t>including involvement of relevant national and regional actors in these processes.</w:t>
      </w:r>
    </w:p>
    <w:p w14:paraId="66D3F575" w14:textId="6C7C660A" w:rsidR="00424430" w:rsidRPr="00B94952" w:rsidRDefault="00424430" w:rsidP="00B94952">
      <w:pPr>
        <w:jc w:val="both"/>
        <w:rPr>
          <w:rFonts w:ascii="Tw Cen MT" w:hAnsi="Tw Cen MT" w:cs="Calibri-Bold"/>
          <w:sz w:val="20"/>
          <w:szCs w:val="20"/>
        </w:rPr>
      </w:pPr>
    </w:p>
    <w:p w14:paraId="7B6373FB" w14:textId="3F7CF8B6" w:rsidR="00424430" w:rsidRPr="00B94952" w:rsidRDefault="00424430" w:rsidP="00B94952">
      <w:pPr>
        <w:jc w:val="both"/>
        <w:rPr>
          <w:rFonts w:ascii="Tw Cen MT" w:hAnsi="Tw Cen MT"/>
        </w:rPr>
      </w:pPr>
      <w:r w:rsidRPr="00B94952">
        <w:rPr>
          <w:rFonts w:ascii="Tw Cen MT" w:hAnsi="Tw Cen MT"/>
        </w:rPr>
        <w:t>Expected results are:</w:t>
      </w:r>
    </w:p>
    <w:p w14:paraId="708000F5" w14:textId="1FED2982" w:rsidR="00424430" w:rsidRPr="00B94952" w:rsidRDefault="00424430" w:rsidP="00B94952">
      <w:pPr>
        <w:pStyle w:val="ListParagraph"/>
        <w:numPr>
          <w:ilvl w:val="0"/>
          <w:numId w:val="4"/>
        </w:numPr>
        <w:jc w:val="both"/>
        <w:rPr>
          <w:rFonts w:ascii="Tw Cen MT" w:hAnsi="Tw Cen MT"/>
        </w:rPr>
      </w:pPr>
      <w:r w:rsidRPr="00B94952">
        <w:rPr>
          <w:rFonts w:ascii="Tw Cen MT" w:hAnsi="Tw Cen MT"/>
        </w:rPr>
        <w:t xml:space="preserve">Regional Policy frameworks, </w:t>
      </w:r>
      <w:proofErr w:type="gramStart"/>
      <w:r w:rsidRPr="00B94952">
        <w:rPr>
          <w:rFonts w:ascii="Tw Cen MT" w:hAnsi="Tw Cen MT"/>
        </w:rPr>
        <w:t>structures</w:t>
      </w:r>
      <w:proofErr w:type="gramEnd"/>
      <w:r w:rsidRPr="00B94952">
        <w:rPr>
          <w:rFonts w:ascii="Tw Cen MT" w:hAnsi="Tw Cen MT"/>
        </w:rPr>
        <w:t xml:space="preserve"> and protocols for cross-border cooperation between national and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local Governments, the private sector, civil society and international technical and financial partners are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strengthened.</w:t>
      </w:r>
    </w:p>
    <w:p w14:paraId="32CB329F" w14:textId="7F47FB76" w:rsidR="00424430" w:rsidRPr="00B94952" w:rsidRDefault="00424430" w:rsidP="00B94952">
      <w:pPr>
        <w:pStyle w:val="ListParagraph"/>
        <w:numPr>
          <w:ilvl w:val="0"/>
          <w:numId w:val="4"/>
        </w:numPr>
        <w:jc w:val="both"/>
        <w:rPr>
          <w:rFonts w:ascii="Tw Cen MT" w:hAnsi="Tw Cen MT"/>
        </w:rPr>
      </w:pPr>
      <w:r w:rsidRPr="00B94952">
        <w:rPr>
          <w:rFonts w:ascii="Tw Cen MT" w:hAnsi="Tw Cen MT"/>
        </w:rPr>
        <w:t xml:space="preserve">Capacity of communities, local </w:t>
      </w:r>
      <w:proofErr w:type="gramStart"/>
      <w:r w:rsidRPr="00B94952">
        <w:rPr>
          <w:rFonts w:ascii="Tw Cen MT" w:hAnsi="Tw Cen MT"/>
        </w:rPr>
        <w:t>governments</w:t>
      </w:r>
      <w:proofErr w:type="gramEnd"/>
      <w:r w:rsidRPr="00B94952">
        <w:rPr>
          <w:rFonts w:ascii="Tw Cen MT" w:hAnsi="Tw Cen MT"/>
        </w:rPr>
        <w:t xml:space="preserve"> and civil society to fully engage in processes for development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planning and results are built.</w:t>
      </w:r>
    </w:p>
    <w:p w14:paraId="1AFB133E" w14:textId="7FCC8506" w:rsidR="00424430" w:rsidRPr="00B94952" w:rsidRDefault="00424430" w:rsidP="00B94952">
      <w:pPr>
        <w:pStyle w:val="ListParagraph"/>
        <w:numPr>
          <w:ilvl w:val="0"/>
          <w:numId w:val="4"/>
        </w:numPr>
        <w:jc w:val="both"/>
        <w:rPr>
          <w:rFonts w:ascii="Tw Cen MT" w:hAnsi="Tw Cen MT"/>
        </w:rPr>
      </w:pPr>
      <w:r w:rsidRPr="00B94952">
        <w:rPr>
          <w:rFonts w:ascii="Tw Cen MT" w:hAnsi="Tw Cen MT"/>
        </w:rPr>
        <w:t>Effective cooperation &amp; coordination, M&amp;E of cross-border initiatives in place, including involvement of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relevant national and regional actors in these processes.</w:t>
      </w:r>
    </w:p>
    <w:p w14:paraId="0F5C646D" w14:textId="77777777" w:rsidR="00424430" w:rsidRPr="00B94952" w:rsidRDefault="00424430" w:rsidP="00B94952">
      <w:pPr>
        <w:pStyle w:val="ListParagraph"/>
        <w:jc w:val="both"/>
        <w:rPr>
          <w:rFonts w:ascii="Tw Cen MT" w:hAnsi="Tw Cen MT"/>
        </w:rPr>
      </w:pPr>
    </w:p>
    <w:p w14:paraId="385E3542" w14:textId="67FBBD57" w:rsidR="00424430" w:rsidRPr="00B94952" w:rsidRDefault="00424430" w:rsidP="00B94952">
      <w:pPr>
        <w:jc w:val="both"/>
        <w:rPr>
          <w:rFonts w:ascii="Tw Cen MT" w:hAnsi="Tw Cen MT"/>
        </w:rPr>
      </w:pPr>
      <w:r w:rsidRPr="00B94952">
        <w:rPr>
          <w:rFonts w:ascii="Tw Cen MT" w:hAnsi="Tw Cen MT"/>
        </w:rPr>
        <w:t>Target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beneficiaries are:</w:t>
      </w:r>
    </w:p>
    <w:p w14:paraId="46543552" w14:textId="77777777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Local citizens and direct beneficiaries: women, youth, citizens in target project </w:t>
      </w:r>
      <w:proofErr w:type="gramStart"/>
      <w:r w:rsidRPr="00B94952">
        <w:rPr>
          <w:rFonts w:ascii="Tw Cen MT" w:hAnsi="Tw Cen MT" w:cs="Calibri"/>
          <w:sz w:val="20"/>
          <w:szCs w:val="20"/>
        </w:rPr>
        <w:t>clusters;</w:t>
      </w:r>
      <w:proofErr w:type="gramEnd"/>
    </w:p>
    <w:p w14:paraId="278E76B0" w14:textId="4CF0C807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Elderly groups, peace committees, ethnic/cultural </w:t>
      </w:r>
      <w:proofErr w:type="gramStart"/>
      <w:r w:rsidRPr="00B94952">
        <w:rPr>
          <w:rFonts w:ascii="Tw Cen MT" w:hAnsi="Tw Cen MT" w:cs="Calibri"/>
          <w:sz w:val="20"/>
          <w:szCs w:val="20"/>
        </w:rPr>
        <w:t>minorities;</w:t>
      </w:r>
      <w:proofErr w:type="gramEnd"/>
    </w:p>
    <w:p w14:paraId="4C3684B7" w14:textId="77777777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1F6C06FF" w14:textId="77777777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Opinion makers: national and regional mass media, key influencing people in the communities, member of</w:t>
      </w:r>
    </w:p>
    <w:p w14:paraId="0E551BF0" w14:textId="628E47F4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Parliament at the target cluster level, </w:t>
      </w:r>
      <w:proofErr w:type="gramStart"/>
      <w:r w:rsidRPr="00B94952">
        <w:rPr>
          <w:rFonts w:ascii="Tw Cen MT" w:hAnsi="Tw Cen MT" w:cs="Calibri"/>
          <w:sz w:val="20"/>
          <w:szCs w:val="20"/>
        </w:rPr>
        <w:t>CSOs;</w:t>
      </w:r>
      <w:proofErr w:type="gramEnd"/>
    </w:p>
    <w:p w14:paraId="076B55ED" w14:textId="77777777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721D7B9C" w14:textId="77777777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Key stakeholders </w:t>
      </w:r>
      <w:proofErr w:type="gramStart"/>
      <w:r w:rsidRPr="00B94952">
        <w:rPr>
          <w:rFonts w:ascii="Tw Cen MT" w:hAnsi="Tw Cen MT" w:cs="Calibri"/>
          <w:sz w:val="20"/>
          <w:szCs w:val="20"/>
        </w:rPr>
        <w:t>are: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relevant government agencies, federal, regional and local government representatives at the</w:t>
      </w:r>
    </w:p>
    <w:p w14:paraId="3F9BA83E" w14:textId="3BCC295C" w:rsidR="00424430" w:rsidRPr="00B94952" w:rsidRDefault="00424430" w:rsidP="00B94952">
      <w:pPr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Cluster level, political </w:t>
      </w:r>
      <w:proofErr w:type="gramStart"/>
      <w:r w:rsidRPr="00B94952">
        <w:rPr>
          <w:rFonts w:ascii="Tw Cen MT" w:hAnsi="Tw Cen MT" w:cs="Calibri"/>
          <w:sz w:val="20"/>
          <w:szCs w:val="20"/>
        </w:rPr>
        <w:t>parties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and diplomatic community.</w:t>
      </w:r>
    </w:p>
    <w:p w14:paraId="225B741B" w14:textId="298206CD" w:rsidR="00424430" w:rsidRPr="00B94952" w:rsidRDefault="00424430" w:rsidP="00B94952">
      <w:pPr>
        <w:jc w:val="both"/>
        <w:rPr>
          <w:rFonts w:ascii="Tw Cen MT" w:hAnsi="Tw Cen MT" w:cs="Calibri"/>
          <w:sz w:val="20"/>
          <w:szCs w:val="20"/>
        </w:rPr>
      </w:pPr>
    </w:p>
    <w:p w14:paraId="7C4BBBE3" w14:textId="1032C86F" w:rsidR="00424430" w:rsidRPr="00B94952" w:rsidRDefault="00424430" w:rsidP="00B94952">
      <w:pPr>
        <w:jc w:val="both"/>
        <w:rPr>
          <w:rFonts w:ascii="Tw Cen MT" w:hAnsi="Tw Cen MT"/>
        </w:rPr>
      </w:pPr>
      <w:r w:rsidRPr="00B94952">
        <w:rPr>
          <w:rFonts w:ascii="Tw Cen MT" w:hAnsi="Tw Cen MT"/>
        </w:rPr>
        <w:t>The cross-border areas in which the project is implemented are characterized by complex challenges: poorly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developed physical infrastructure; remote location from the respective capitals; poor education indicators and high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unemployment and poverty levels; low levels of formal employment income generating opportunities. These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 xml:space="preserve">conditions are further exacerbated by no less complex recurring conflicts </w:t>
      </w:r>
      <w:proofErr w:type="gramStart"/>
      <w:r w:rsidRPr="00B94952">
        <w:rPr>
          <w:rFonts w:ascii="Tw Cen MT" w:hAnsi="Tw Cen MT"/>
        </w:rPr>
        <w:t>as a consequence of</w:t>
      </w:r>
      <w:proofErr w:type="gramEnd"/>
      <w:r w:rsidRPr="00B94952">
        <w:rPr>
          <w:rFonts w:ascii="Tw Cen MT" w:hAnsi="Tw Cen MT"/>
        </w:rPr>
        <w:t xml:space="preserve"> resource limitations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(water and rangeland); theft of cattle (rustling); political instigation; high unemployment of women and youth.</w:t>
      </w:r>
    </w:p>
    <w:p w14:paraId="073FF2CA" w14:textId="18B118CA" w:rsidR="00424430" w:rsidRPr="00B94952" w:rsidRDefault="00424430" w:rsidP="00B94952">
      <w:pPr>
        <w:jc w:val="both"/>
        <w:rPr>
          <w:rFonts w:ascii="Tw Cen MT" w:hAnsi="Tw Cen MT"/>
        </w:rPr>
      </w:pPr>
      <w:r w:rsidRPr="00B94952">
        <w:rPr>
          <w:rFonts w:ascii="Tw Cen MT" w:hAnsi="Tw Cen MT"/>
        </w:rPr>
        <w:t>Particularly in the first part of 2020, many of the project’s activities could not take place as foreseen due to the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movement and gathering restrictions imposed by the spread of Covid-19 in the project’s Clusters of intervention. In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fact, many of the project’s activities consist in trainings and community dialogues, which imply the physical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participation of different stakeholders – usually coming from both sides of the borders – including members of local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communities (</w:t>
      </w:r>
      <w:proofErr w:type="gramStart"/>
      <w:r w:rsidRPr="00B94952">
        <w:rPr>
          <w:rFonts w:ascii="Tw Cen MT" w:hAnsi="Tw Cen MT"/>
        </w:rPr>
        <w:t>e.g.</w:t>
      </w:r>
      <w:proofErr w:type="gramEnd"/>
      <w:r w:rsidRPr="00B94952">
        <w:rPr>
          <w:rFonts w:ascii="Tw Cen MT" w:hAnsi="Tw Cen MT"/>
        </w:rPr>
        <w:t xml:space="preserve"> pastors, elders, youth, etc.), who often do not have access to internet connection. As part of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 xml:space="preserve">mitigation measures, some of the foreseen in-presence activities were re-structured </w:t>
      </w:r>
      <w:proofErr w:type="gramStart"/>
      <w:r w:rsidRPr="00B94952">
        <w:rPr>
          <w:rFonts w:ascii="Tw Cen MT" w:hAnsi="Tw Cen MT"/>
        </w:rPr>
        <w:t>in order to</w:t>
      </w:r>
      <w:proofErr w:type="gramEnd"/>
      <w:r w:rsidRPr="00B94952">
        <w:rPr>
          <w:rFonts w:ascii="Tw Cen MT" w:hAnsi="Tw Cen MT"/>
        </w:rPr>
        <w:t xml:space="preserve"> be implemented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online. In addition, the project agreed on a partial repurposing of some project funds to provide PPEs and COVID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response items to local authorities and stakeholders in the 3 Clusters</w:t>
      </w:r>
      <w:r w:rsidRPr="00B94952">
        <w:rPr>
          <w:rFonts w:ascii="Tw Cen MT" w:hAnsi="Tw Cen MT"/>
        </w:rPr>
        <w:t>.</w:t>
      </w:r>
    </w:p>
    <w:p w14:paraId="5D10B5A7" w14:textId="3A6CDC6E" w:rsidR="00424430" w:rsidRPr="00B94952" w:rsidRDefault="00424430" w:rsidP="00B94952">
      <w:pPr>
        <w:jc w:val="both"/>
        <w:rPr>
          <w:rFonts w:ascii="Tw Cen MT" w:hAnsi="Tw Cen MT"/>
        </w:rPr>
      </w:pPr>
      <w:r w:rsidRPr="00B94952">
        <w:rPr>
          <w:rFonts w:ascii="Tw Cen MT" w:hAnsi="Tw Cen MT"/>
        </w:rPr>
        <w:t>As the project comes to an end officially on 20 February 2021, a Final Evaluation of the project needs to be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 xml:space="preserve">conducted </w:t>
      </w:r>
      <w:proofErr w:type="gramStart"/>
      <w:r w:rsidRPr="00B94952">
        <w:rPr>
          <w:rFonts w:ascii="Tw Cen MT" w:hAnsi="Tw Cen MT"/>
        </w:rPr>
        <w:t>in order to</w:t>
      </w:r>
      <w:proofErr w:type="gramEnd"/>
      <w:r w:rsidRPr="00B94952">
        <w:rPr>
          <w:rFonts w:ascii="Tw Cen MT" w:hAnsi="Tw Cen MT"/>
        </w:rPr>
        <w:t xml:space="preserve"> capture evaluative evidence of the relevance, effectiveness, efficiency and sustainability of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the project, which can be used to strengthen existing project interventions and to set the stage for new initiatives.</w:t>
      </w:r>
    </w:p>
    <w:p w14:paraId="7D5149D0" w14:textId="78D41D59" w:rsidR="00424430" w:rsidRPr="00B94952" w:rsidRDefault="00424430" w:rsidP="00B94952">
      <w:pPr>
        <w:jc w:val="both"/>
        <w:rPr>
          <w:rFonts w:ascii="Tw Cen MT" w:hAnsi="Tw Cen MT"/>
        </w:rPr>
      </w:pPr>
      <w:r w:rsidRPr="00B94952">
        <w:rPr>
          <w:rFonts w:ascii="Tw Cen MT" w:hAnsi="Tw Cen MT"/>
        </w:rPr>
        <w:t>The final evaluation exercise is expected to be conducted in accordance with UNDP Evaluation Guidelines and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OECD/DAC standard evaluation criteria and principles. Mixed method approach needs to be adopted using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qualitative and quantitative data collection and analysis methods and tools.</w:t>
      </w:r>
    </w:p>
    <w:p w14:paraId="752C0386" w14:textId="77777777" w:rsidR="00424430" w:rsidRPr="00B94952" w:rsidRDefault="00424430" w:rsidP="00B94952">
      <w:pPr>
        <w:jc w:val="both"/>
        <w:rPr>
          <w:rFonts w:ascii="Tw Cen MT" w:hAnsi="Tw Cen MT"/>
        </w:rPr>
      </w:pPr>
      <w:r w:rsidRPr="00B94952">
        <w:rPr>
          <w:rFonts w:ascii="Tw Cen MT" w:hAnsi="Tw Cen MT"/>
        </w:rPr>
        <w:t>The global travel restrictions due to the Covid-19 pandemic, pose a great challenge in collection of primary data</w:t>
      </w:r>
    </w:p>
    <w:p w14:paraId="7C76E7FF" w14:textId="562F11DE" w:rsidR="00424430" w:rsidRPr="00B94952" w:rsidRDefault="00424430" w:rsidP="00B94952">
      <w:pPr>
        <w:jc w:val="both"/>
        <w:rPr>
          <w:rFonts w:ascii="Tw Cen MT" w:hAnsi="Tw Cen MT"/>
        </w:rPr>
      </w:pPr>
      <w:r w:rsidRPr="00B94952">
        <w:rPr>
          <w:rFonts w:ascii="Tw Cen MT" w:hAnsi="Tw Cen MT"/>
        </w:rPr>
        <w:t>from project stakeholders, which would usually be planned through in-person interviews and visits to field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locations. Given the extraordinary situation, field missions will not be possible. Therefore, all stakeholder’s</w:t>
      </w:r>
      <w:r w:rsidRPr="00B94952">
        <w:rPr>
          <w:rFonts w:ascii="Tw Cen MT" w:hAnsi="Tw Cen MT"/>
        </w:rPr>
        <w:t xml:space="preserve"> </w:t>
      </w:r>
      <w:r w:rsidRPr="00B94952">
        <w:rPr>
          <w:rFonts w:ascii="Tw Cen MT" w:hAnsi="Tw Cen MT"/>
        </w:rPr>
        <w:t>consultations need to be conducted remotely.</w:t>
      </w:r>
    </w:p>
    <w:p w14:paraId="66CD45DE" w14:textId="6BFE35C7" w:rsidR="00424430" w:rsidRPr="00B94952" w:rsidRDefault="00424430" w:rsidP="00B94952">
      <w:pPr>
        <w:jc w:val="both"/>
        <w:rPr>
          <w:rFonts w:ascii="Tw Cen MT" w:hAnsi="Tw Cen MT"/>
        </w:rPr>
      </w:pPr>
    </w:p>
    <w:p w14:paraId="12621539" w14:textId="2CD0EE3C" w:rsidR="00424430" w:rsidRPr="00B94952" w:rsidRDefault="00424430" w:rsidP="00B94952">
      <w:pPr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>SCOPE OF WORK, RESPONSIBILITIES AND DESCRIPTION OF THE PROPOSED WORK</w:t>
      </w:r>
    </w:p>
    <w:p w14:paraId="23B9EE2E" w14:textId="77777777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The SECCCI project is managed by the UNDP Regional Service Centre in Addis Ababa, through a partnership with 2</w:t>
      </w:r>
    </w:p>
    <w:p w14:paraId="2EF32D0F" w14:textId="77777777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other implementing partners: IGAD and UNEP.</w:t>
      </w:r>
    </w:p>
    <w:p w14:paraId="1105D5FC" w14:textId="77777777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421463D4" w14:textId="7D110550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The partnership is regulated through an exchange of letters between the organizations, while the contract with</w:t>
      </w:r>
    </w:p>
    <w:p w14:paraId="23468B84" w14:textId="77777777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lastRenderedPageBreak/>
        <w:t>the EU was signed by UNDP RSCA.</w:t>
      </w:r>
    </w:p>
    <w:p w14:paraId="13C20EBF" w14:textId="77777777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64631613" w14:textId="27EEEB35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As the project comes to an end officially on 20 February 2021, a Final Evaluation of the project needs to be</w:t>
      </w:r>
    </w:p>
    <w:p w14:paraId="4852CFE9" w14:textId="77777777" w:rsidR="00424430" w:rsidRPr="00B94952" w:rsidRDefault="00424430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conducted </w:t>
      </w:r>
      <w:proofErr w:type="gramStart"/>
      <w:r w:rsidRPr="00B94952">
        <w:rPr>
          <w:rFonts w:ascii="Tw Cen MT" w:hAnsi="Tw Cen MT" w:cs="Calibri"/>
          <w:sz w:val="20"/>
          <w:szCs w:val="20"/>
        </w:rPr>
        <w:t>in order to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review the overall project cycle, draw conclusions, assess the project’s performance and</w:t>
      </w:r>
    </w:p>
    <w:p w14:paraId="66504026" w14:textId="3231BED5" w:rsidR="00424430" w:rsidRPr="00B94952" w:rsidRDefault="00424430" w:rsidP="00B94952">
      <w:pPr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extract lessons learned from the experience.</w:t>
      </w:r>
    </w:p>
    <w:p w14:paraId="36C639F6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>Evaluation purpose</w:t>
      </w:r>
    </w:p>
    <w:p w14:paraId="6DAA5C78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UNDP commissions evaluations to capture and demonstrate evaluative evidence of its contributions to</w:t>
      </w:r>
    </w:p>
    <w:p w14:paraId="3BAA5A16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development results at the regional level as articulated in the Regional programme document (RPD). These are</w:t>
      </w:r>
    </w:p>
    <w:p w14:paraId="114EC673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evaluations carried out within the overall provisions contained in the UNDP Evaluation Policy. In line with the</w:t>
      </w:r>
    </w:p>
    <w:p w14:paraId="161FF60F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Evaluation Plan of the Regional Bureau for Africa outcome evaluations are being conducted to assess the impact of</w:t>
      </w:r>
    </w:p>
    <w:p w14:paraId="632F4D7A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RSCA development assistance across the major thematic and cross cutting areas of sustainable and inclusive</w:t>
      </w:r>
    </w:p>
    <w:p w14:paraId="28BC2BB8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growth, gender equality and conflict management and use of the environment. The Regional Office in Addis Ababa</w:t>
      </w:r>
    </w:p>
    <w:p w14:paraId="55E608FC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Ethiopia is commissioning this evaluation to capture evaluative evidence of the relevance, effectiveness, efficiency</w:t>
      </w:r>
    </w:p>
    <w:p w14:paraId="74F38EE6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and sustainability of current programming, which can be used to strengthen existing programmes and to set the</w:t>
      </w:r>
    </w:p>
    <w:p w14:paraId="3EBE0836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stage for new initiatives. The evaluation serves an important accountability function, providing stakeholders and</w:t>
      </w:r>
    </w:p>
    <w:p w14:paraId="3972BC3C" w14:textId="3314A6FB" w:rsidR="00B37A28" w:rsidRPr="00B94952" w:rsidRDefault="00B37A28" w:rsidP="00B94952">
      <w:pPr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partners with an impartial assessment of project implementation progress.</w:t>
      </w:r>
    </w:p>
    <w:p w14:paraId="3A56AA0D" w14:textId="29C67769" w:rsidR="00B37A28" w:rsidRPr="00B94952" w:rsidRDefault="00B37A28" w:rsidP="00B94952">
      <w:pPr>
        <w:jc w:val="both"/>
        <w:rPr>
          <w:rFonts w:ascii="Tw Cen MT" w:hAnsi="Tw Cen MT" w:cs="Calibri"/>
          <w:sz w:val="20"/>
          <w:szCs w:val="20"/>
        </w:rPr>
      </w:pPr>
    </w:p>
    <w:p w14:paraId="539CDB01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>Scope of the Final Evaluation</w:t>
      </w:r>
    </w:p>
    <w:p w14:paraId="438A8EC1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The outcome evaluation will be conducted with a view to assess the project’s performance and achievements </w:t>
      </w:r>
      <w:proofErr w:type="spellStart"/>
      <w:r w:rsidRPr="00B94952">
        <w:rPr>
          <w:rFonts w:ascii="Tw Cen MT" w:hAnsi="Tw Cen MT" w:cs="Calibri"/>
          <w:sz w:val="20"/>
          <w:szCs w:val="20"/>
        </w:rPr>
        <w:t>visà</w:t>
      </w:r>
      <w:proofErr w:type="spellEnd"/>
      <w:r w:rsidRPr="00B94952">
        <w:rPr>
          <w:rFonts w:ascii="Tw Cen MT" w:hAnsi="Tw Cen MT" w:cs="Calibri"/>
          <w:sz w:val="20"/>
          <w:szCs w:val="20"/>
        </w:rPr>
        <w:t>-</w:t>
      </w:r>
    </w:p>
    <w:p w14:paraId="35935057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vis the project’s overall objectives and to conduct impact assessment on the various beneficiaries. The</w:t>
      </w:r>
    </w:p>
    <w:p w14:paraId="6F7DE55B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evaluation will consider the pertinent project outcomes and outputs focused </w:t>
      </w:r>
      <w:proofErr w:type="gramStart"/>
      <w:r w:rsidRPr="00B94952">
        <w:rPr>
          <w:rFonts w:ascii="Tw Cen MT" w:hAnsi="Tw Cen MT" w:cs="Calibri"/>
          <w:sz w:val="20"/>
          <w:szCs w:val="20"/>
        </w:rPr>
        <w:t>towards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improved cross-border</w:t>
      </w:r>
    </w:p>
    <w:p w14:paraId="4BD4C666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cooperation and coordination, as stated in the SECCCI’s project document. The Final Evaluation will cover the time</w:t>
      </w:r>
    </w:p>
    <w:p w14:paraId="3CCC1816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frame from project start date on 22 February 2018 to 21 February 2021. Interventions to be covered by this</w:t>
      </w:r>
    </w:p>
    <w:p w14:paraId="7CC4E672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evaluation </w:t>
      </w:r>
      <w:proofErr w:type="gramStart"/>
      <w:r w:rsidRPr="00B94952">
        <w:rPr>
          <w:rFonts w:ascii="Tw Cen MT" w:hAnsi="Tw Cen MT" w:cs="Calibri"/>
          <w:sz w:val="20"/>
          <w:szCs w:val="20"/>
        </w:rPr>
        <w:t>are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SECCCI Project activities implemented by UNDP RSCA, in partnership with UNEP, IGAD and UNDP</w:t>
      </w:r>
    </w:p>
    <w:p w14:paraId="28C9972E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Country Offices of Ethiopia, Kenya and Somalia and currently focused on three cross border clusters namely:</w:t>
      </w:r>
    </w:p>
    <w:p w14:paraId="58B98B9D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1. </w:t>
      </w:r>
      <w:proofErr w:type="spellStart"/>
      <w:r w:rsidRPr="00B94952">
        <w:rPr>
          <w:rFonts w:ascii="Tw Cen MT" w:hAnsi="Tw Cen MT" w:cs="Calibri"/>
          <w:sz w:val="20"/>
          <w:szCs w:val="20"/>
        </w:rPr>
        <w:t>Marsabit</w:t>
      </w:r>
      <w:proofErr w:type="spellEnd"/>
      <w:r w:rsidRPr="00B94952">
        <w:rPr>
          <w:rFonts w:ascii="Tw Cen MT" w:hAnsi="Tw Cen MT" w:cs="Calibri"/>
          <w:sz w:val="20"/>
          <w:szCs w:val="20"/>
        </w:rPr>
        <w:t xml:space="preserve"> - Moyale at the Kenyan, Ethiopian border (Cluster IV</w:t>
      </w:r>
      <w:proofErr w:type="gramStart"/>
      <w:r w:rsidRPr="00B94952">
        <w:rPr>
          <w:rFonts w:ascii="Tw Cen MT" w:hAnsi="Tw Cen MT" w:cs="Calibri"/>
          <w:sz w:val="20"/>
          <w:szCs w:val="20"/>
        </w:rPr>
        <w:t>);</w:t>
      </w:r>
      <w:proofErr w:type="gramEnd"/>
    </w:p>
    <w:p w14:paraId="612DDFF3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2. Turkana – </w:t>
      </w:r>
      <w:proofErr w:type="spellStart"/>
      <w:r w:rsidRPr="00B94952">
        <w:rPr>
          <w:rFonts w:ascii="Tw Cen MT" w:hAnsi="Tw Cen MT" w:cs="Calibri"/>
          <w:sz w:val="20"/>
          <w:szCs w:val="20"/>
        </w:rPr>
        <w:t>Omo</w:t>
      </w:r>
      <w:proofErr w:type="spellEnd"/>
      <w:r w:rsidRPr="00B94952">
        <w:rPr>
          <w:rFonts w:ascii="Tw Cen MT" w:hAnsi="Tw Cen MT" w:cs="Calibri"/>
          <w:sz w:val="20"/>
          <w:szCs w:val="20"/>
        </w:rPr>
        <w:t xml:space="preserve"> at the Kenyan and Ethiopian Border (Cluster I</w:t>
      </w:r>
      <w:proofErr w:type="gramStart"/>
      <w:r w:rsidRPr="00B94952">
        <w:rPr>
          <w:rFonts w:ascii="Tw Cen MT" w:hAnsi="Tw Cen MT" w:cs="Calibri"/>
          <w:sz w:val="20"/>
          <w:szCs w:val="20"/>
        </w:rPr>
        <w:t>);</w:t>
      </w:r>
      <w:proofErr w:type="gramEnd"/>
    </w:p>
    <w:p w14:paraId="3DDFC3F2" w14:textId="5E7C0BF1" w:rsidR="00B37A28" w:rsidRPr="00B94952" w:rsidRDefault="00B37A28" w:rsidP="00B94952">
      <w:pPr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3. Mandera – Gedo – </w:t>
      </w:r>
      <w:proofErr w:type="spellStart"/>
      <w:r w:rsidRPr="00B94952">
        <w:rPr>
          <w:rFonts w:ascii="Tw Cen MT" w:hAnsi="Tw Cen MT" w:cs="Calibri"/>
          <w:sz w:val="20"/>
          <w:szCs w:val="20"/>
        </w:rPr>
        <w:t>Doolow</w:t>
      </w:r>
      <w:proofErr w:type="spellEnd"/>
      <w:r w:rsidRPr="00B94952">
        <w:rPr>
          <w:rFonts w:ascii="Tw Cen MT" w:hAnsi="Tw Cen MT" w:cs="Calibri"/>
          <w:sz w:val="20"/>
          <w:szCs w:val="20"/>
        </w:rPr>
        <w:t xml:space="preserve"> at the Kenyan, Ethiopian and Somali border (Cluster II).</w:t>
      </w:r>
    </w:p>
    <w:p w14:paraId="57E2FA49" w14:textId="39A8A547" w:rsidR="00B37A28" w:rsidRPr="00B94952" w:rsidRDefault="00B37A28" w:rsidP="00B94952">
      <w:pPr>
        <w:jc w:val="both"/>
        <w:rPr>
          <w:rFonts w:ascii="Tw Cen MT" w:hAnsi="Tw Cen MT" w:cs="Calibri"/>
          <w:sz w:val="20"/>
          <w:szCs w:val="20"/>
        </w:rPr>
      </w:pPr>
    </w:p>
    <w:p w14:paraId="254C7D40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>Objectives of the Final Evaluation</w:t>
      </w:r>
    </w:p>
    <w:p w14:paraId="026DCBB6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The objectives of this evaluation are to:</w:t>
      </w:r>
    </w:p>
    <w:p w14:paraId="50E3D139" w14:textId="237B9D71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Assess progress towards the achievement of the project objectives and outcomes as specified in the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 xml:space="preserve">Project Document. Refer to the immediate objectives, outputs, </w:t>
      </w:r>
      <w:proofErr w:type="gramStart"/>
      <w:r w:rsidRPr="00B94952">
        <w:rPr>
          <w:rFonts w:ascii="Tw Cen MT" w:hAnsi="Tw Cen MT" w:cs="Calibri"/>
          <w:sz w:val="20"/>
          <w:szCs w:val="20"/>
        </w:rPr>
        <w:t>indicators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and </w:t>
      </w:r>
      <w:r w:rsidRPr="00B94952">
        <w:rPr>
          <w:rFonts w:ascii="Tw Cen MT" w:hAnsi="Tw Cen MT" w:cs="Calibri"/>
          <w:sz w:val="20"/>
          <w:szCs w:val="20"/>
        </w:rPr>
        <w:t>activities.</w:t>
      </w:r>
    </w:p>
    <w:p w14:paraId="4477BC2D" w14:textId="21D05334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Provide evidence of UNDP’s contribution to Africa’s development effectiveness improved cross-border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 xml:space="preserve">coordination and cooperation, including the contributory factors and </w:t>
      </w:r>
      <w:r w:rsidRPr="00B94952">
        <w:rPr>
          <w:rFonts w:ascii="Tw Cen MT" w:hAnsi="Tw Cen MT" w:cs="Calibri"/>
          <w:sz w:val="20"/>
          <w:szCs w:val="20"/>
        </w:rPr>
        <w:t>impediments.</w:t>
      </w:r>
    </w:p>
    <w:p w14:paraId="50E59760" w14:textId="60FEE2A9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Provide stakeholders in regional programme countries and among development partners with an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objective assessment of the development contributions that have been achieved through UNDP RSC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support and partnerships with other key players through the regional programme during the given</w:t>
      </w:r>
      <w:r w:rsidRPr="00B94952">
        <w:rPr>
          <w:rFonts w:ascii="Tw Cen MT" w:hAnsi="Tw Cen MT" w:cs="Calibri"/>
          <w:sz w:val="20"/>
          <w:szCs w:val="20"/>
        </w:rPr>
        <w:t xml:space="preserve"> period.</w:t>
      </w:r>
    </w:p>
    <w:p w14:paraId="72FC5B77" w14:textId="13982AD2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Determine the strategic positioning and relevance of UNDP in this sector – the strengths, weaknesses,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and gaps - especially about the appropriateness of their partnership strategy (including choice of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 xml:space="preserve">beneficiaries), their ToC, and any need for mid-course adjustments to meet the </w:t>
      </w:r>
      <w:r w:rsidRPr="00B94952">
        <w:rPr>
          <w:rFonts w:ascii="Tw Cen MT" w:hAnsi="Tw Cen MT" w:cs="Calibri"/>
          <w:sz w:val="20"/>
          <w:szCs w:val="20"/>
        </w:rPr>
        <w:t>outcomes.</w:t>
      </w:r>
    </w:p>
    <w:p w14:paraId="0583652D" w14:textId="1C2533B8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Distil lessons for future programming, including to inform higher level evaluations and future </w:t>
      </w:r>
      <w:r w:rsidRPr="00B94952">
        <w:rPr>
          <w:rFonts w:ascii="Tw Cen MT" w:hAnsi="Tw Cen MT" w:cs="Calibri"/>
          <w:sz w:val="20"/>
          <w:szCs w:val="20"/>
        </w:rPr>
        <w:t xml:space="preserve">decision making </w:t>
      </w:r>
      <w:r w:rsidRPr="00B94952">
        <w:rPr>
          <w:rFonts w:ascii="Tw Cen MT" w:hAnsi="Tw Cen MT" w:cs="Calibri"/>
          <w:sz w:val="20"/>
          <w:szCs w:val="20"/>
        </w:rPr>
        <w:t xml:space="preserve">and planning of similar projects in the same </w:t>
      </w:r>
      <w:r w:rsidRPr="00B94952">
        <w:rPr>
          <w:rFonts w:ascii="Tw Cen MT" w:hAnsi="Tw Cen MT" w:cs="Calibri"/>
          <w:sz w:val="20"/>
          <w:szCs w:val="20"/>
        </w:rPr>
        <w:t>sector.</w:t>
      </w:r>
    </w:p>
    <w:p w14:paraId="040E7238" w14:textId="1A41A4EE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Contribute substantively to the Administrator’s accountability function in reporting to the Executive</w:t>
      </w:r>
      <w:r w:rsidRPr="00B94952">
        <w:rPr>
          <w:rFonts w:ascii="Tw Cen MT" w:hAnsi="Tw Cen MT" w:cs="Calibri"/>
          <w:sz w:val="20"/>
          <w:szCs w:val="20"/>
        </w:rPr>
        <w:t xml:space="preserve"> Board.</w:t>
      </w:r>
    </w:p>
    <w:p w14:paraId="15D957B5" w14:textId="5014A717" w:rsidR="00B37A28" w:rsidRPr="00B94952" w:rsidRDefault="00B37A28" w:rsidP="00B94952">
      <w:pPr>
        <w:pStyle w:val="ListParagraph"/>
        <w:numPr>
          <w:ilvl w:val="0"/>
          <w:numId w:val="7"/>
        </w:numPr>
        <w:jc w:val="both"/>
        <w:rPr>
          <w:rFonts w:ascii="Tw Cen MT" w:hAnsi="Tw Cen MT"/>
        </w:rPr>
      </w:pPr>
      <w:r w:rsidRPr="00B94952">
        <w:rPr>
          <w:rFonts w:ascii="Tw Cen MT" w:hAnsi="Tw Cen MT" w:cs="Calibri"/>
          <w:sz w:val="20"/>
          <w:szCs w:val="20"/>
        </w:rPr>
        <w:t>Facilitate learning to inform current and future programming at the regional and corporate levels.</w:t>
      </w:r>
    </w:p>
    <w:p w14:paraId="435AF5D9" w14:textId="13964D2B" w:rsidR="00B37A28" w:rsidRPr="00B94952" w:rsidRDefault="00B37A28" w:rsidP="00B94952">
      <w:pPr>
        <w:jc w:val="both"/>
        <w:rPr>
          <w:rFonts w:ascii="Tw Cen MT" w:hAnsi="Tw Cen MT"/>
        </w:rPr>
      </w:pPr>
    </w:p>
    <w:p w14:paraId="081B1B1A" w14:textId="12EB7BEE" w:rsidR="00B37A28" w:rsidRPr="00B94952" w:rsidRDefault="00B37A28" w:rsidP="00B94952">
      <w:pPr>
        <w:jc w:val="both"/>
        <w:rPr>
          <w:rFonts w:ascii="Tw Cen MT" w:hAnsi="Tw Cen MT" w:cs="Calibri"/>
          <w:sz w:val="20"/>
          <w:szCs w:val="20"/>
        </w:rPr>
      </w:pPr>
    </w:p>
    <w:p w14:paraId="20366F43" w14:textId="3FB10B8E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>Evaluation criteria and key guiding questions</w:t>
      </w:r>
    </w:p>
    <w:p w14:paraId="06150C59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-Bold"/>
          <w:b/>
          <w:bCs/>
          <w:sz w:val="20"/>
          <w:szCs w:val="20"/>
        </w:rPr>
      </w:pPr>
    </w:p>
    <w:p w14:paraId="635723D8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Evaluation questions define the information that the evaluation will generate. Thus, the outcome evaluation seeks</w:t>
      </w:r>
    </w:p>
    <w:p w14:paraId="210712C0" w14:textId="3352565B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to answer the following questions, focused </w:t>
      </w:r>
      <w:r w:rsidR="00B94952" w:rsidRPr="00B94952">
        <w:rPr>
          <w:rFonts w:ascii="Tw Cen MT" w:hAnsi="Tw Cen MT" w:cs="Calibri"/>
          <w:sz w:val="20"/>
          <w:szCs w:val="20"/>
        </w:rPr>
        <w:t>on</w:t>
      </w:r>
      <w:r w:rsidRPr="00B94952">
        <w:rPr>
          <w:rFonts w:ascii="Tw Cen MT" w:hAnsi="Tw Cen MT" w:cs="Calibri"/>
          <w:sz w:val="20"/>
          <w:szCs w:val="20"/>
        </w:rPr>
        <w:t xml:space="preserve"> the evaluation criteria of relevance, effectiveness, efficiency</w:t>
      </w:r>
    </w:p>
    <w:p w14:paraId="27671E34" w14:textId="68453715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and sustainability:</w:t>
      </w:r>
    </w:p>
    <w:p w14:paraId="425F0050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39FE6B2F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Relevance</w:t>
      </w:r>
    </w:p>
    <w:p w14:paraId="19D464BB" w14:textId="03C90B59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was the project in line with the national development priorities, the country programme’s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 xml:space="preserve">outputs and outcomes, the UNDP Strategic </w:t>
      </w:r>
      <w:proofErr w:type="gramStart"/>
      <w:r w:rsidRPr="00B94952">
        <w:rPr>
          <w:rFonts w:ascii="Tw Cen MT" w:hAnsi="Tw Cen MT" w:cs="Calibri"/>
          <w:sz w:val="20"/>
          <w:szCs w:val="20"/>
        </w:rPr>
        <w:t>Plan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and the SDGs?</w:t>
      </w:r>
    </w:p>
    <w:p w14:paraId="3952A005" w14:textId="746190BD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does the project contribute to the theory of change for the relevant country programme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outcome?</w:t>
      </w:r>
    </w:p>
    <w:p w14:paraId="31D1B084" w14:textId="46CCEBFB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were lessons learned from other relevant projects considered in the project’s design?</w:t>
      </w:r>
    </w:p>
    <w:p w14:paraId="7B6AE324" w14:textId="5E289CD0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were perspectives of those who could affect the outcomes, and those who could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 xml:space="preserve">contribute information or other resources to the attainment of stated results, </w:t>
      </w:r>
      <w:proofErr w:type="gramStart"/>
      <w:r w:rsidRPr="00B94952">
        <w:rPr>
          <w:rFonts w:ascii="Tw Cen MT" w:hAnsi="Tw Cen MT" w:cs="Calibri"/>
          <w:sz w:val="20"/>
          <w:szCs w:val="20"/>
        </w:rPr>
        <w:t>taken into account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during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the project design processes?</w:t>
      </w:r>
    </w:p>
    <w:p w14:paraId="4E98D5D6" w14:textId="4AB5D861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did UNDP adopt gender-sensitive, human rights-based and conflict-sensitive approaches?</w:t>
      </w:r>
    </w:p>
    <w:p w14:paraId="1C8DF6AE" w14:textId="2D07CBBC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does the project contribute to gender equality, the empowerment of women and the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human rights-based approach?</w:t>
      </w:r>
    </w:p>
    <w:p w14:paraId="6EFE17E0" w14:textId="53C1C82E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  <w:r w:rsidRPr="00B94952">
        <w:rPr>
          <w:rFonts w:ascii="Tw Cen MT" w:hAnsi="Tw Cen MT" w:cs="Calibri"/>
          <w:sz w:val="20"/>
          <w:szCs w:val="20"/>
        </w:rPr>
        <w:t>To what extent has the project been appropriately responsive to political, legal, economic, institutional,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etc., changes in the country</w:t>
      </w:r>
    </w:p>
    <w:p w14:paraId="4C29650D" w14:textId="6B16837B" w:rsidR="00B37A28" w:rsidRPr="00B94952" w:rsidRDefault="00B37A28" w:rsidP="00B94952">
      <w:pPr>
        <w:jc w:val="both"/>
        <w:rPr>
          <w:rFonts w:ascii="Tw Cen MT" w:hAnsi="Tw Cen MT" w:cs="Calibri"/>
          <w:sz w:val="20"/>
          <w:szCs w:val="20"/>
        </w:rPr>
      </w:pPr>
    </w:p>
    <w:p w14:paraId="5BEB4302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Effectiveness</w:t>
      </w:r>
    </w:p>
    <w:p w14:paraId="3D45C3A1" w14:textId="49A4DFBC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did the project contribute to the country programme outcomes and outputs, the SDGs,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 xml:space="preserve">the UNDP Strategic </w:t>
      </w:r>
      <w:proofErr w:type="gramStart"/>
      <w:r w:rsidRPr="00B94952">
        <w:rPr>
          <w:rFonts w:ascii="Tw Cen MT" w:hAnsi="Tw Cen MT" w:cs="Calibri"/>
          <w:sz w:val="20"/>
          <w:szCs w:val="20"/>
        </w:rPr>
        <w:t>Plan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and national development priorities?</w:t>
      </w:r>
    </w:p>
    <w:p w14:paraId="386EDBD1" w14:textId="2D21BEDD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were the project outputs achieved?</w:t>
      </w:r>
    </w:p>
    <w:p w14:paraId="158FD486" w14:textId="42C1C034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What factors have contributed to achieving or not achieving intended country programme outputs and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outcomes?</w:t>
      </w:r>
    </w:p>
    <w:p w14:paraId="49D8CEA1" w14:textId="2D252F29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has the UNDP partnership strategy been appropriate and effective?</w:t>
      </w:r>
    </w:p>
    <w:p w14:paraId="1D7BC7F0" w14:textId="03CEDE86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What factors contributed to effectiveness or ineffectiveness?</w:t>
      </w:r>
    </w:p>
    <w:p w14:paraId="38B6CF13" w14:textId="2F27043F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In which areas does the project have the greatest achievements? Why and what have been the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supporting factors? How can the project build on or expand these achievements?</w:t>
      </w:r>
    </w:p>
    <w:p w14:paraId="0BA778F0" w14:textId="77777777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  <w:r w:rsidRPr="00B94952">
        <w:rPr>
          <w:rFonts w:ascii="Tw Cen MT" w:hAnsi="Tw Cen MT" w:cs="Calibri"/>
          <w:sz w:val="20"/>
          <w:szCs w:val="20"/>
        </w:rPr>
        <w:t>In which areas does the project have the fewest achievements? What have been the constraining factors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and why? How can or could they be overcome?</w:t>
      </w:r>
    </w:p>
    <w:p w14:paraId="6E520C80" w14:textId="77777777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  <w:r w:rsidRPr="00B94952">
        <w:rPr>
          <w:rFonts w:ascii="Tw Cen MT" w:hAnsi="Tw Cen MT" w:cs="Calibri"/>
          <w:sz w:val="20"/>
          <w:szCs w:val="20"/>
        </w:rPr>
        <w:t>What, if any, alternative strategies would have been more effective in achieving the project’s objectives?</w:t>
      </w:r>
    </w:p>
    <w:p w14:paraId="5EEA60BC" w14:textId="77777777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  <w:r w:rsidRPr="00B94952">
        <w:rPr>
          <w:rFonts w:ascii="Tw Cen MT" w:hAnsi="Tw Cen MT" w:cs="Calibri"/>
          <w:sz w:val="20"/>
          <w:szCs w:val="20"/>
        </w:rPr>
        <w:t xml:space="preserve">Are the projects objectives and outputs clear, </w:t>
      </w:r>
      <w:proofErr w:type="gramStart"/>
      <w:r w:rsidRPr="00B94952">
        <w:rPr>
          <w:rFonts w:ascii="Tw Cen MT" w:hAnsi="Tw Cen MT" w:cs="Calibri"/>
          <w:sz w:val="20"/>
          <w:szCs w:val="20"/>
        </w:rPr>
        <w:t>practical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and feasible within its frame?</w:t>
      </w:r>
    </w:p>
    <w:p w14:paraId="09D56809" w14:textId="77777777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  <w:r w:rsidRPr="00B94952">
        <w:rPr>
          <w:rFonts w:ascii="Tw Cen MT" w:hAnsi="Tw Cen MT" w:cs="Calibri"/>
          <w:sz w:val="20"/>
          <w:szCs w:val="20"/>
        </w:rPr>
        <w:t>To what extent have stakeholders been involved in project implementation?</w:t>
      </w:r>
    </w:p>
    <w:p w14:paraId="1CC11526" w14:textId="77777777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  <w:r w:rsidRPr="00B94952">
        <w:rPr>
          <w:rFonts w:ascii="Tw Cen MT" w:hAnsi="Tw Cen MT" w:cs="Calibri"/>
          <w:sz w:val="20"/>
          <w:szCs w:val="20"/>
        </w:rPr>
        <w:t>To what extent are project management and implementation participatory and is this participation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contributing towards achievement of the project objectives?</w:t>
      </w:r>
    </w:p>
    <w:p w14:paraId="22ACCC48" w14:textId="77777777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  <w:r w:rsidRPr="00B94952">
        <w:rPr>
          <w:rFonts w:ascii="Tw Cen MT" w:hAnsi="Tw Cen MT" w:cs="Calibri"/>
          <w:sz w:val="20"/>
          <w:szCs w:val="20"/>
        </w:rPr>
        <w:t>To what extent have the results at the outcome and output levels generated results for gender equality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and the empowerment of women?</w:t>
      </w:r>
    </w:p>
    <w:p w14:paraId="42490B79" w14:textId="77777777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  <w:r w:rsidRPr="00B94952">
        <w:rPr>
          <w:rFonts w:ascii="Tw Cen MT" w:hAnsi="Tw Cen MT" w:cs="Calibri"/>
          <w:sz w:val="20"/>
          <w:szCs w:val="20"/>
        </w:rPr>
        <w:t>To what extent has the project been appropriately responsive to the needs of the national constituents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and changing partner priorities?</w:t>
      </w:r>
    </w:p>
    <w:p w14:paraId="3BB33ABB" w14:textId="76089500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  <w:r w:rsidRPr="00B94952">
        <w:rPr>
          <w:rFonts w:ascii="Tw Cen MT" w:hAnsi="Tw Cen MT" w:cs="Calibri"/>
          <w:sz w:val="20"/>
          <w:szCs w:val="20"/>
        </w:rPr>
        <w:t>To what extent has the project contributed to gender equality, the empowerment of women and the</w:t>
      </w:r>
    </w:p>
    <w:p w14:paraId="75CF861F" w14:textId="0749FF25" w:rsidR="00B37A28" w:rsidRPr="00B94952" w:rsidRDefault="00B37A28" w:rsidP="00B9495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realization of human rights?</w:t>
      </w:r>
    </w:p>
    <w:p w14:paraId="1ADA1C71" w14:textId="4516E4AA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</w:p>
    <w:p w14:paraId="3B03FCA8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Efficiency</w:t>
      </w:r>
    </w:p>
    <w:p w14:paraId="423B2662" w14:textId="77777777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was the project management structure as outlined in the project document efficient in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generating the expected results?</w:t>
      </w:r>
    </w:p>
    <w:p w14:paraId="663CE12D" w14:textId="48977A5A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have the UNDP project implementation strategy and execution been efficient and cost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effective?</w:t>
      </w:r>
    </w:p>
    <w:p w14:paraId="4A441237" w14:textId="77777777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has there been an economical use of financial and human resources? Have resources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(funds, human resources, time, expertise, etc.) been allocated strategically to achieve outcomes?</w:t>
      </w:r>
    </w:p>
    <w:p w14:paraId="28FC5B4D" w14:textId="17149705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To what extent did UNDP promote gender equality, the empowerment of women, human </w:t>
      </w:r>
      <w:proofErr w:type="gramStart"/>
      <w:r w:rsidRPr="00B94952">
        <w:rPr>
          <w:rFonts w:ascii="Tw Cen MT" w:hAnsi="Tw Cen MT" w:cs="Calibri"/>
          <w:sz w:val="20"/>
          <w:szCs w:val="20"/>
        </w:rPr>
        <w:t>rights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and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human development in the delivery of country programme outputs?</w:t>
      </w:r>
    </w:p>
    <w:p w14:paraId="74475A15" w14:textId="708769ED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have resources been used efficiently? Have activities supporting the strategy been cost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effective?</w:t>
      </w:r>
    </w:p>
    <w:p w14:paraId="7057D1E9" w14:textId="2B3B91B9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have project funds and activities been delivered in a timely manner?</w:t>
      </w:r>
    </w:p>
    <w:p w14:paraId="1A4F2EDE" w14:textId="482D8F9A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  <w:r w:rsidRPr="00B94952">
        <w:rPr>
          <w:rFonts w:ascii="Tw Cen MT" w:hAnsi="Tw Cen MT" w:cs="Calibri"/>
          <w:sz w:val="20"/>
          <w:szCs w:val="20"/>
        </w:rPr>
        <w:t>To what extent do the M&amp;E systems utilized by UNDP ensure effective and efficient project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management?</w:t>
      </w:r>
      <w:r w:rsidR="00D86B9D" w:rsidRPr="00B94952">
        <w:rPr>
          <w:rFonts w:ascii="Tw Cen MT" w:hAnsi="Tw Cen MT" w:cs="Calibri"/>
          <w:sz w:val="20"/>
          <w:szCs w:val="20"/>
        </w:rPr>
        <w:t xml:space="preserve"> </w:t>
      </w:r>
    </w:p>
    <w:p w14:paraId="57DF0F76" w14:textId="23610BAB" w:rsidR="00B37A28" w:rsidRPr="00B94952" w:rsidRDefault="00B37A28" w:rsidP="00B94952">
      <w:pPr>
        <w:jc w:val="both"/>
        <w:rPr>
          <w:rFonts w:ascii="Tw Cen MT" w:hAnsi="Tw Cen MT" w:cs="Calibri"/>
          <w:sz w:val="20"/>
          <w:szCs w:val="20"/>
        </w:rPr>
      </w:pPr>
    </w:p>
    <w:p w14:paraId="417CB09D" w14:textId="7777777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lastRenderedPageBreak/>
        <w:t>Sustainability</w:t>
      </w:r>
    </w:p>
    <w:p w14:paraId="030941C2" w14:textId="1E8B3B8F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Validate whether the risks identified in the Project Document, Annual Project Review/PIRs and the ATLAS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Risk Management Module are the most important and whether the risk ratings applied are appropriate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 xml:space="preserve">and up to date. If not, explain </w:t>
      </w:r>
      <w:r w:rsidR="00B94952" w:rsidRPr="00B94952">
        <w:rPr>
          <w:rFonts w:ascii="Tw Cen MT" w:hAnsi="Tw Cen MT" w:cs="Calibri"/>
          <w:sz w:val="20"/>
          <w:szCs w:val="20"/>
        </w:rPr>
        <w:t>why.</w:t>
      </w:r>
    </w:p>
    <w:p w14:paraId="152C6DE5" w14:textId="2DEA9299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Discuss what needs to be done to ensure the sustainability of the </w:t>
      </w:r>
      <w:proofErr w:type="gramStart"/>
      <w:r w:rsidRPr="00B94952">
        <w:rPr>
          <w:rFonts w:ascii="Tw Cen MT" w:hAnsi="Tw Cen MT" w:cs="Calibri"/>
          <w:sz w:val="20"/>
          <w:szCs w:val="20"/>
        </w:rPr>
        <w:t>project;</w:t>
      </w:r>
      <w:proofErr w:type="gramEnd"/>
    </w:p>
    <w:p w14:paraId="36F0DD7E" w14:textId="7D48153C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What is the risk that the level of stakeholders’ ownership will be sufficient to allow for the project</w:t>
      </w:r>
      <w:r w:rsidR="00D86B9D"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benefits to be sustained?</w:t>
      </w:r>
    </w:p>
    <w:p w14:paraId="04CD177D" w14:textId="27D8776F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do mechanisms, procedures and policies exist to allow primary stakeholders to carry</w:t>
      </w:r>
      <w:r w:rsidR="00D86B9D"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 xml:space="preserve">forward the results attained on gender equality, empowerment of women, human </w:t>
      </w:r>
      <w:proofErr w:type="gramStart"/>
      <w:r w:rsidRPr="00B94952">
        <w:rPr>
          <w:rFonts w:ascii="Tw Cen MT" w:hAnsi="Tw Cen MT" w:cs="Calibri"/>
          <w:sz w:val="20"/>
          <w:szCs w:val="20"/>
        </w:rPr>
        <w:t>rights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and human</w:t>
      </w:r>
      <w:r w:rsidR="00D86B9D"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development?</w:t>
      </w:r>
    </w:p>
    <w:p w14:paraId="4B0ACEE8" w14:textId="072EEBC2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do stakeholders support the project’s long-term objectives?</w:t>
      </w:r>
    </w:p>
    <w:p w14:paraId="24245DC8" w14:textId="037355C0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are lessons learned being documented by the project team on a continual basis and</w:t>
      </w:r>
      <w:r w:rsidR="00D86B9D"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shared with appropriate parties who could learn from the project?</w:t>
      </w:r>
    </w:p>
    <w:p w14:paraId="222E829F" w14:textId="27033FEE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do UNDP interventions have well-designed and well-planned exit strategies?</w:t>
      </w:r>
    </w:p>
    <w:p w14:paraId="4DD4848A" w14:textId="77777777" w:rsidR="00D86B9D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What could be done to strengthen exit strategies and sustainability?</w:t>
      </w:r>
    </w:p>
    <w:p w14:paraId="6C721FDF" w14:textId="77777777" w:rsidR="00D86B9D" w:rsidRPr="00B94952" w:rsidRDefault="00D86B9D" w:rsidP="00B9495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w Cen MT" w:hAnsi="Tw Cen MT" w:cs="Calibri"/>
          <w:sz w:val="20"/>
          <w:szCs w:val="20"/>
        </w:rPr>
      </w:pPr>
    </w:p>
    <w:p w14:paraId="61EA786C" w14:textId="77777777" w:rsidR="00D86B9D" w:rsidRPr="00B94952" w:rsidRDefault="00D86B9D" w:rsidP="00B9495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w Cen MT" w:hAnsi="Tw Cen MT" w:cs="Calibri"/>
          <w:sz w:val="20"/>
          <w:szCs w:val="20"/>
        </w:rPr>
      </w:pPr>
    </w:p>
    <w:p w14:paraId="10A912E4" w14:textId="713D90D7" w:rsidR="00B37A28" w:rsidRPr="00B94952" w:rsidRDefault="00B37A28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Financial risks to sustainability</w:t>
      </w:r>
    </w:p>
    <w:p w14:paraId="414679D6" w14:textId="3EDEEB05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Are there any financial risks that may jeopardize the sustainability of project outputs?</w:t>
      </w:r>
    </w:p>
    <w:p w14:paraId="5D0964E1" w14:textId="238F4739" w:rsidR="00B37A28" w:rsidRPr="00B94952" w:rsidRDefault="00B37A28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  <w:r w:rsidRPr="00B94952">
        <w:rPr>
          <w:rFonts w:ascii="Tw Cen MT" w:hAnsi="Tw Cen MT" w:cs="Calibri"/>
          <w:sz w:val="20"/>
          <w:szCs w:val="20"/>
        </w:rPr>
        <w:t>To what extent will financial and economic resources be available to sustain the benefits achieved by the</w:t>
      </w:r>
      <w:r w:rsidR="00D86B9D"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project?</w:t>
      </w:r>
    </w:p>
    <w:p w14:paraId="4AAC182B" w14:textId="472807E1" w:rsidR="00D86B9D" w:rsidRPr="00B94952" w:rsidRDefault="00D86B9D" w:rsidP="00B94952">
      <w:pPr>
        <w:jc w:val="both"/>
        <w:rPr>
          <w:rFonts w:ascii="Tw Cen MT" w:hAnsi="Tw Cen MT" w:cs="Calibri"/>
          <w:sz w:val="20"/>
          <w:szCs w:val="20"/>
        </w:rPr>
      </w:pPr>
    </w:p>
    <w:p w14:paraId="118E3E65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Socio-economic risks to sustainability</w:t>
      </w:r>
    </w:p>
    <w:p w14:paraId="65C32FE8" w14:textId="24C3228D" w:rsidR="00D86B9D" w:rsidRPr="00B94952" w:rsidRDefault="00D86B9D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  <w:r w:rsidRPr="00B94952">
        <w:rPr>
          <w:rFonts w:ascii="Tw Cen MT" w:hAnsi="Tw Cen MT" w:cs="Calibri"/>
          <w:sz w:val="20"/>
          <w:szCs w:val="20"/>
        </w:rPr>
        <w:t>Are there any social or political risks that may jeopardize sustainability of project outputs and the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project’s contributions to country programme outputs and outcomes?</w:t>
      </w:r>
    </w:p>
    <w:p w14:paraId="4B13CB1C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Institutional Framework and Governance risks to sustainability.</w:t>
      </w:r>
    </w:p>
    <w:p w14:paraId="7A453CB8" w14:textId="04F66E47" w:rsidR="00D86B9D" w:rsidRPr="00B94952" w:rsidRDefault="00D86B9D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Do the legal frameworks, policies and governance structures and processes within which the project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operates pose risks that may jeopardize sustainability of project benefits?</w:t>
      </w:r>
    </w:p>
    <w:p w14:paraId="1CB462CA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4D375455" w14:textId="3788F88F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Environmental risks to sustainability</w:t>
      </w:r>
    </w:p>
    <w:p w14:paraId="5EAB1386" w14:textId="79826F5E" w:rsidR="00D86B9D" w:rsidRPr="00B94952" w:rsidRDefault="00D86B9D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did UNDP actions pose an environmental threat to the sustainability of project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outputs?</w:t>
      </w:r>
    </w:p>
    <w:p w14:paraId="0E0BA15E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-Bold"/>
          <w:b/>
          <w:bCs/>
          <w:sz w:val="20"/>
          <w:szCs w:val="20"/>
        </w:rPr>
      </w:pPr>
    </w:p>
    <w:p w14:paraId="6418E2EE" w14:textId="6F3A4C8A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>E</w:t>
      </w:r>
      <w:r w:rsidRPr="00B94952">
        <w:rPr>
          <w:rFonts w:ascii="Tw Cen MT" w:hAnsi="Tw Cen MT" w:cs="Calibri-Bold"/>
          <w:b/>
          <w:bCs/>
          <w:sz w:val="20"/>
          <w:szCs w:val="20"/>
        </w:rPr>
        <w:t>valuation cross-cutting issues questions</w:t>
      </w:r>
    </w:p>
    <w:p w14:paraId="456E6DBA" w14:textId="62F6294D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The evaluation should also include an assessment of the extent to which programme design, implementation and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monitoring have taken the following cross cutting issues into consideration:</w:t>
      </w:r>
    </w:p>
    <w:p w14:paraId="2CAFEA11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3874637E" w14:textId="3FB8B9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Human Rights</w:t>
      </w:r>
    </w:p>
    <w:p w14:paraId="6D114F71" w14:textId="343FB199" w:rsidR="00D86B9D" w:rsidRPr="00B94952" w:rsidRDefault="00D86B9D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have poor, indigenous and physically challenged, women and other disadvantaged and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marginalized groups benefited from the work of UNDP in the country?</w:t>
      </w:r>
    </w:p>
    <w:p w14:paraId="0A8D0C8F" w14:textId="6027727C" w:rsidR="00D86B9D" w:rsidRPr="00B94952" w:rsidRDefault="00D86B9D" w:rsidP="00B94952">
      <w:pPr>
        <w:jc w:val="both"/>
        <w:rPr>
          <w:rFonts w:ascii="Tw Cen MT" w:hAnsi="Tw Cen MT"/>
        </w:rPr>
      </w:pPr>
    </w:p>
    <w:p w14:paraId="645FE326" w14:textId="4D9A1C6B" w:rsidR="00D86B9D" w:rsidRPr="00B94952" w:rsidRDefault="00D86B9D" w:rsidP="00B94952">
      <w:pPr>
        <w:jc w:val="both"/>
        <w:rPr>
          <w:rFonts w:ascii="Tw Cen MT" w:hAnsi="Tw Cen MT" w:cs="Calibri"/>
          <w:sz w:val="20"/>
          <w:szCs w:val="20"/>
        </w:rPr>
      </w:pPr>
    </w:p>
    <w:p w14:paraId="4413B35D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Gender Equality</w:t>
      </w:r>
    </w:p>
    <w:p w14:paraId="7823A981" w14:textId="0FF4D2E0" w:rsidR="00D86B9D" w:rsidRPr="00B94952" w:rsidRDefault="00D86B9D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have gender equality and the empowerment of women been addressed in the design,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proofErr w:type="gramStart"/>
      <w:r w:rsidRPr="00B94952">
        <w:rPr>
          <w:rFonts w:ascii="Tw Cen MT" w:hAnsi="Tw Cen MT" w:cs="Calibri"/>
          <w:sz w:val="20"/>
          <w:szCs w:val="20"/>
        </w:rPr>
        <w:t>implementation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and monitoring of the project?</w:t>
      </w:r>
    </w:p>
    <w:p w14:paraId="0B2AA218" w14:textId="5817143D" w:rsidR="00D86B9D" w:rsidRPr="00B94952" w:rsidRDefault="00D86B9D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Is the gender marker data assigned to this project representative of reality?</w:t>
      </w:r>
    </w:p>
    <w:p w14:paraId="756CB414" w14:textId="151BE86C" w:rsidR="00D86B9D" w:rsidRPr="00B94952" w:rsidRDefault="00D86B9D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To what extent has the project promoted positive changes in gender equality and the empowerment of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women? Were there any unintended effects?</w:t>
      </w:r>
    </w:p>
    <w:p w14:paraId="0204A992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66454F16" w14:textId="6AB02191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Capacity Building</w:t>
      </w:r>
    </w:p>
    <w:p w14:paraId="399E1D26" w14:textId="77777777" w:rsidR="00D86B9D" w:rsidRPr="00B94952" w:rsidRDefault="00D86B9D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Did the governance programme of the RSCA adequately invest in, and focus on, Regional and national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capacity development to ensure sustainability and promote efficiency</w:t>
      </w:r>
    </w:p>
    <w:p w14:paraId="2C411920" w14:textId="78016F09" w:rsidR="00D86B9D" w:rsidRPr="00B94952" w:rsidRDefault="00D86B9D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  <w:r w:rsidRPr="00B94952">
        <w:rPr>
          <w:rFonts w:ascii="Tw Cen MT" w:hAnsi="Tw Cen MT" w:cs="Calibri"/>
          <w:sz w:val="20"/>
          <w:szCs w:val="20"/>
        </w:rPr>
        <w:t>Are the knowledge products (reports, studies, etc.) delivered by the governance programme adapted to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country needs</w:t>
      </w:r>
    </w:p>
    <w:p w14:paraId="6A0DABF2" w14:textId="298A5089" w:rsidR="00D86B9D" w:rsidRPr="00B94952" w:rsidRDefault="00D86B9D" w:rsidP="00B94952">
      <w:pPr>
        <w:jc w:val="both"/>
        <w:rPr>
          <w:rFonts w:ascii="Tw Cen MT" w:hAnsi="Tw Cen MT"/>
        </w:rPr>
      </w:pPr>
    </w:p>
    <w:p w14:paraId="3A4067A5" w14:textId="53D4F08B" w:rsidR="00D86B9D" w:rsidRPr="00B94952" w:rsidRDefault="00D86B9D" w:rsidP="00B94952">
      <w:pPr>
        <w:jc w:val="both"/>
        <w:rPr>
          <w:rFonts w:ascii="Tw Cen MT" w:hAnsi="Tw Cen MT" w:cs="Calibri"/>
          <w:sz w:val="20"/>
          <w:szCs w:val="20"/>
        </w:rPr>
      </w:pPr>
    </w:p>
    <w:p w14:paraId="3DE24B37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Covid-19</w:t>
      </w:r>
    </w:p>
    <w:p w14:paraId="2D6C5EB0" w14:textId="6163D5BA" w:rsidR="00D86B9D" w:rsidRPr="00B94952" w:rsidRDefault="00D86B9D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How did Covid-19 impact the implementation of the project?</w:t>
      </w:r>
    </w:p>
    <w:p w14:paraId="178D3047" w14:textId="2ACAC01B" w:rsidR="00D86B9D" w:rsidRPr="00B94952" w:rsidRDefault="00D86B9D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Were project activities reprogrammed </w:t>
      </w:r>
      <w:proofErr w:type="gramStart"/>
      <w:r w:rsidRPr="00B94952">
        <w:rPr>
          <w:rFonts w:ascii="Tw Cen MT" w:hAnsi="Tw Cen MT" w:cs="Calibri"/>
          <w:sz w:val="20"/>
          <w:szCs w:val="20"/>
        </w:rPr>
        <w:t>in order to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implement them despite the limitations imposed by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Covid-19?</w:t>
      </w:r>
    </w:p>
    <w:p w14:paraId="15CB6AD8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1E81E2FF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SDGs:</w:t>
      </w:r>
    </w:p>
    <w:p w14:paraId="0117FE99" w14:textId="65264A9C" w:rsidR="00D86B9D" w:rsidRPr="00B94952" w:rsidRDefault="00D86B9D" w:rsidP="00B949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An analysis on the project’s contribution towards the achievement of the UN 2030 Agenda and its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Sustainable Development Goals (SDG) needs to be included in the final evaluation.</w:t>
      </w:r>
    </w:p>
    <w:p w14:paraId="0A39C629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108EF30D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Based on the above analysis, the evaluators are expected to provide overarching conclusions on UNDP RSCA</w:t>
      </w:r>
    </w:p>
    <w:p w14:paraId="570EE76E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results in this area of support, as well as recommendations on how the UNDP RBA could adjust its programming,</w:t>
      </w:r>
    </w:p>
    <w:p w14:paraId="71D144A8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partnership arrangements, resource mobilization strategies, and capacities to ensure that the governance</w:t>
      </w:r>
    </w:p>
    <w:p w14:paraId="0443D387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portfolio fully achieves current planned outcomes and is positioned for sustainable results in the future. The</w:t>
      </w:r>
    </w:p>
    <w:p w14:paraId="39168423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evaluation is additionally expected to offer lessons for UNDP support in Region and elsewhere based on this</w:t>
      </w:r>
    </w:p>
    <w:p w14:paraId="2B1CE8E7" w14:textId="7B4BC211" w:rsidR="00D86B9D" w:rsidRPr="00B94952" w:rsidRDefault="00D86B9D" w:rsidP="00B94952">
      <w:pPr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analysis.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</w:p>
    <w:p w14:paraId="38FAF158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>Final Evaluation Approach and Methodology</w:t>
      </w:r>
    </w:p>
    <w:p w14:paraId="0E098FC5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The outcome evaluation will be carried out by an external evaluator, and will engage a wide array of stakeholders</w:t>
      </w:r>
    </w:p>
    <w:p w14:paraId="1FDD2108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and beneficiaries, including regional bodies, governments where programmes or advisory support were provided,</w:t>
      </w:r>
    </w:p>
    <w:p w14:paraId="0148E6AF" w14:textId="436110E8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academics and subject experts, private sector representatives etc.</w:t>
      </w:r>
    </w:p>
    <w:p w14:paraId="7DD26A85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64C67295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The outcome evaluation is expected to take a “theory of change’’ (TOC) approach to determining causal links</w:t>
      </w:r>
    </w:p>
    <w:p w14:paraId="2C26A203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between the interventions that UNDP RSCA has supported and observed progress in democratic governance at</w:t>
      </w:r>
    </w:p>
    <w:p w14:paraId="612210E6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the regional level. The evaluators will develop a logic model of how UNDP RSCA governance interventions are</w:t>
      </w:r>
    </w:p>
    <w:p w14:paraId="72EF3027" w14:textId="0C4D7325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expected to lead to improved regional and national and local government management and service delivery.</w:t>
      </w:r>
    </w:p>
    <w:p w14:paraId="12470B9D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5D1737E2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Evidence obtained and used to assess the results of UNDP RSCA support should be triangulated from a variety of</w:t>
      </w:r>
    </w:p>
    <w:p w14:paraId="5EC7D2B5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sources, including verifiable data on indicator achievement, existing reports, and technical papers, stakeholder</w:t>
      </w:r>
    </w:p>
    <w:p w14:paraId="4E5F38CE" w14:textId="4A955037" w:rsidR="00D86B9D" w:rsidRPr="00B94952" w:rsidRDefault="00D86B9D" w:rsidP="00B94952">
      <w:pPr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interviews, focus groups, </w:t>
      </w:r>
      <w:proofErr w:type="gramStart"/>
      <w:r w:rsidRPr="00B94952">
        <w:rPr>
          <w:rFonts w:ascii="Tw Cen MT" w:hAnsi="Tw Cen MT" w:cs="Calibri"/>
          <w:sz w:val="20"/>
          <w:szCs w:val="20"/>
        </w:rPr>
        <w:t>surveys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and site visits.</w:t>
      </w:r>
    </w:p>
    <w:p w14:paraId="099AA0F2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-Bold"/>
          <w:b/>
          <w:bCs/>
          <w:color w:val="000000"/>
          <w:sz w:val="20"/>
          <w:szCs w:val="20"/>
        </w:rPr>
      </w:pPr>
      <w:r w:rsidRPr="00B94952">
        <w:rPr>
          <w:rFonts w:ascii="Tw Cen MT" w:hAnsi="Tw Cen MT" w:cs="Calibri-Bold"/>
          <w:b/>
          <w:bCs/>
          <w:color w:val="000000"/>
          <w:sz w:val="20"/>
          <w:szCs w:val="20"/>
        </w:rPr>
        <w:t>Evaluation ethics</w:t>
      </w:r>
    </w:p>
    <w:p w14:paraId="0C1D1CF0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color w:val="000000"/>
          <w:sz w:val="20"/>
          <w:szCs w:val="20"/>
        </w:rPr>
      </w:pPr>
      <w:r w:rsidRPr="00B94952">
        <w:rPr>
          <w:rFonts w:ascii="Tw Cen MT" w:hAnsi="Tw Cen MT" w:cs="Calibri"/>
          <w:color w:val="000000"/>
          <w:sz w:val="20"/>
          <w:szCs w:val="20"/>
        </w:rPr>
        <w:t>The project evaluation method is designed to assess the project achievements, generate lessons learned and</w:t>
      </w:r>
    </w:p>
    <w:p w14:paraId="53EBDF6E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color w:val="000000"/>
          <w:sz w:val="20"/>
          <w:szCs w:val="20"/>
        </w:rPr>
      </w:pPr>
      <w:r w:rsidRPr="00B94952">
        <w:rPr>
          <w:rFonts w:ascii="Tw Cen MT" w:hAnsi="Tw Cen MT" w:cs="Calibri"/>
          <w:color w:val="000000"/>
          <w:sz w:val="20"/>
          <w:szCs w:val="20"/>
        </w:rPr>
        <w:t xml:space="preserve">develop recommendations with active participation of the partners, </w:t>
      </w:r>
      <w:proofErr w:type="gramStart"/>
      <w:r w:rsidRPr="00B94952">
        <w:rPr>
          <w:rFonts w:ascii="Tw Cen MT" w:hAnsi="Tw Cen MT" w:cs="Calibri"/>
          <w:color w:val="000000"/>
          <w:sz w:val="20"/>
          <w:szCs w:val="20"/>
        </w:rPr>
        <w:t>stakeholders</w:t>
      </w:r>
      <w:proofErr w:type="gramEnd"/>
      <w:r w:rsidRPr="00B94952">
        <w:rPr>
          <w:rFonts w:ascii="Tw Cen MT" w:hAnsi="Tw Cen MT" w:cs="Calibri"/>
          <w:color w:val="000000"/>
          <w:sz w:val="20"/>
          <w:szCs w:val="20"/>
        </w:rPr>
        <w:t xml:space="preserve"> and beneficiaries to guarantee</w:t>
      </w:r>
    </w:p>
    <w:p w14:paraId="1AE75A4D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color w:val="000000"/>
          <w:sz w:val="20"/>
          <w:szCs w:val="20"/>
        </w:rPr>
      </w:pPr>
      <w:r w:rsidRPr="00B94952">
        <w:rPr>
          <w:rFonts w:ascii="Tw Cen MT" w:hAnsi="Tw Cen MT" w:cs="Calibri"/>
          <w:color w:val="000000"/>
          <w:sz w:val="20"/>
          <w:szCs w:val="20"/>
        </w:rPr>
        <w:t>continuation of interventions when donor support has ended. An objective external point of view from the</w:t>
      </w:r>
    </w:p>
    <w:p w14:paraId="387FFF8F" w14:textId="25FD894F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color w:val="000000"/>
          <w:sz w:val="20"/>
          <w:szCs w:val="20"/>
        </w:rPr>
      </w:pPr>
      <w:r w:rsidRPr="00B94952">
        <w:rPr>
          <w:rFonts w:ascii="Tw Cen MT" w:hAnsi="Tw Cen MT" w:cs="Calibri"/>
          <w:color w:val="000000"/>
          <w:sz w:val="20"/>
          <w:szCs w:val="20"/>
        </w:rPr>
        <w:t>Consultant will be valuable to the learning process.</w:t>
      </w:r>
    </w:p>
    <w:p w14:paraId="0A896249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color w:val="000000"/>
          <w:sz w:val="20"/>
          <w:szCs w:val="20"/>
        </w:rPr>
      </w:pPr>
    </w:p>
    <w:p w14:paraId="217BE4A5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color w:val="000000"/>
          <w:sz w:val="20"/>
          <w:szCs w:val="20"/>
        </w:rPr>
      </w:pPr>
      <w:r w:rsidRPr="00B94952">
        <w:rPr>
          <w:rFonts w:ascii="Tw Cen MT" w:hAnsi="Tw Cen MT" w:cs="Calibri"/>
          <w:color w:val="000000"/>
          <w:sz w:val="20"/>
          <w:szCs w:val="20"/>
        </w:rPr>
        <w:t>Evaluation consultants will be held to the highest ethical standards and are required to sign a code of conduct</w:t>
      </w:r>
    </w:p>
    <w:p w14:paraId="28FF63A9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color w:val="000000"/>
          <w:sz w:val="20"/>
          <w:szCs w:val="20"/>
        </w:rPr>
      </w:pPr>
      <w:r w:rsidRPr="00B94952">
        <w:rPr>
          <w:rFonts w:ascii="Tw Cen MT" w:hAnsi="Tw Cen MT" w:cs="Calibri"/>
          <w:color w:val="000000"/>
          <w:sz w:val="20"/>
          <w:szCs w:val="20"/>
        </w:rPr>
        <w:t>upon acceptance of the assignment. UNDP evaluations are conducted in accordance with the principles outlined in</w:t>
      </w:r>
    </w:p>
    <w:p w14:paraId="689F1C70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color w:val="000000"/>
          <w:sz w:val="20"/>
          <w:szCs w:val="20"/>
        </w:rPr>
      </w:pPr>
      <w:r w:rsidRPr="00B94952">
        <w:rPr>
          <w:rFonts w:ascii="Tw Cen MT" w:hAnsi="Tw Cen MT" w:cs="Calibri"/>
          <w:color w:val="000000"/>
          <w:sz w:val="20"/>
          <w:szCs w:val="20"/>
        </w:rPr>
        <w:t>the United Nations Evaluation Group (UNEG) '</w:t>
      </w:r>
      <w:r w:rsidRPr="00B94952">
        <w:rPr>
          <w:rFonts w:ascii="Tw Cen MT" w:hAnsi="Tw Cen MT" w:cs="Calibri"/>
          <w:color w:val="EDBF18"/>
          <w:sz w:val="20"/>
          <w:szCs w:val="20"/>
        </w:rPr>
        <w:t>Ethical Guidelines for Evaluations'</w:t>
      </w:r>
      <w:r w:rsidRPr="00B94952">
        <w:rPr>
          <w:rFonts w:ascii="Tw Cen MT" w:hAnsi="Tw Cen MT" w:cs="Calibri"/>
          <w:color w:val="000000"/>
          <w:sz w:val="20"/>
          <w:szCs w:val="20"/>
        </w:rPr>
        <w:t>.</w:t>
      </w:r>
    </w:p>
    <w:p w14:paraId="46CE6A53" w14:textId="77777777" w:rsidR="00D86B9D" w:rsidRPr="00B94952" w:rsidRDefault="00D86B9D" w:rsidP="00B94952">
      <w:pPr>
        <w:jc w:val="both"/>
        <w:rPr>
          <w:rFonts w:ascii="Tw Cen MT" w:hAnsi="Tw Cen MT" w:cs="Calibri-Bold"/>
          <w:b/>
          <w:bCs/>
          <w:color w:val="000000"/>
          <w:sz w:val="20"/>
          <w:szCs w:val="20"/>
        </w:rPr>
      </w:pPr>
    </w:p>
    <w:p w14:paraId="5251A099" w14:textId="2DFA0E94" w:rsidR="00D86B9D" w:rsidRPr="00B94952" w:rsidRDefault="00D86B9D" w:rsidP="00B94952">
      <w:pPr>
        <w:jc w:val="both"/>
        <w:rPr>
          <w:rFonts w:ascii="Tw Cen MT" w:hAnsi="Tw Cen MT" w:cs="Calibri-Bold"/>
          <w:b/>
          <w:bCs/>
          <w:color w:val="000000"/>
          <w:sz w:val="20"/>
          <w:szCs w:val="20"/>
        </w:rPr>
      </w:pPr>
      <w:r w:rsidRPr="00B94952">
        <w:rPr>
          <w:rFonts w:ascii="Tw Cen MT" w:hAnsi="Tw Cen MT" w:cs="Calibri-Bold"/>
          <w:b/>
          <w:bCs/>
          <w:color w:val="000000"/>
          <w:sz w:val="20"/>
          <w:szCs w:val="20"/>
        </w:rPr>
        <w:t>Impact</w:t>
      </w:r>
      <w:r w:rsidRPr="00B94952">
        <w:rPr>
          <w:rFonts w:ascii="Tw Cen MT" w:hAnsi="Tw Cen MT" w:cs="Calibri-Bold"/>
          <w:b/>
          <w:bCs/>
          <w:color w:val="000000"/>
          <w:sz w:val="20"/>
          <w:szCs w:val="20"/>
        </w:rPr>
        <w:t xml:space="preserve"> </w:t>
      </w:r>
      <w:r w:rsidRPr="00B94952">
        <w:rPr>
          <w:rFonts w:ascii="Tw Cen MT" w:hAnsi="Tw Cen MT" w:cs="Calibri-Bold"/>
          <w:b/>
          <w:bCs/>
          <w:sz w:val="20"/>
          <w:szCs w:val="20"/>
        </w:rPr>
        <w:t>of Covid-19</w:t>
      </w:r>
    </w:p>
    <w:p w14:paraId="37405DC0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As of 11 March 2020, the World Health Organization (WHO) declared COVID-19 a global pandemic as the new</w:t>
      </w:r>
    </w:p>
    <w:p w14:paraId="3B5966DE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coronavirus rapidly spread to all regions of the world. Travel to the country has been restricted since and travel in</w:t>
      </w:r>
    </w:p>
    <w:p w14:paraId="6FCC1D80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the country is also restricted. If it is not possible to travel to or within the country for the </w:t>
      </w:r>
      <w:proofErr w:type="gramStart"/>
      <w:r w:rsidRPr="00B94952">
        <w:rPr>
          <w:rFonts w:ascii="Tw Cen MT" w:hAnsi="Tw Cen MT" w:cs="Calibri"/>
          <w:sz w:val="20"/>
          <w:szCs w:val="20"/>
        </w:rPr>
        <w:t>evaluation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then the</w:t>
      </w:r>
    </w:p>
    <w:p w14:paraId="0494A2F3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evaluation team should develop a methodology that takes this into account the conduct of the evaluation virtually</w:t>
      </w:r>
    </w:p>
    <w:p w14:paraId="553C0A09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and remotely, including the use of remote interview methods and extended desk reviews, data analysis, surveys</w:t>
      </w:r>
    </w:p>
    <w:p w14:paraId="7B59D93A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and evaluation questionnaires. This should be detailed in the Inception report and agreed with the Evaluation</w:t>
      </w:r>
    </w:p>
    <w:p w14:paraId="40EF7DBB" w14:textId="4ACA4C9B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Manager.</w:t>
      </w:r>
    </w:p>
    <w:p w14:paraId="4DE9B923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3EB74BEC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If all or part of the evaluation is to be carried out virtually then consideration should be taken for stakeholder</w:t>
      </w:r>
    </w:p>
    <w:p w14:paraId="18E8602C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availability, </w:t>
      </w:r>
      <w:proofErr w:type="gramStart"/>
      <w:r w:rsidRPr="00B94952">
        <w:rPr>
          <w:rFonts w:ascii="Tw Cen MT" w:hAnsi="Tw Cen MT" w:cs="Calibri"/>
          <w:sz w:val="20"/>
          <w:szCs w:val="20"/>
        </w:rPr>
        <w:t>ability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or willingness to be interviewed remotely. In addition, their accessibility to the internet/</w:t>
      </w:r>
    </w:p>
    <w:p w14:paraId="25BE3DBF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computer may be an issue as many government and national counterparts may be working from home. These</w:t>
      </w:r>
    </w:p>
    <w:p w14:paraId="0E537FFD" w14:textId="1A7063F6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limitations must be reflected in the evaluation report.</w:t>
      </w:r>
    </w:p>
    <w:p w14:paraId="64B78B96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3461B7D8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If a data collection/field mission is not possible then remote interviews may be undertaken through telephone or</w:t>
      </w:r>
    </w:p>
    <w:p w14:paraId="50276B6E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lastRenderedPageBreak/>
        <w:t>online (skype, zoom etc.). International consultants can work remotely with national evaluator support in the field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if it is safe for them to operate and travel. No stakeholders, consultants or UNDP staff should be put in harm’s way</w:t>
      </w:r>
    </w:p>
    <w:p w14:paraId="13513879" w14:textId="5167F1B9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and safety is the key priority.</w:t>
      </w:r>
    </w:p>
    <w:p w14:paraId="1BB12EA9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2DF047CF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A short validation mission may be considered if it is confirmed to be safe for staff, consultants, </w:t>
      </w:r>
      <w:proofErr w:type="gramStart"/>
      <w:r w:rsidRPr="00B94952">
        <w:rPr>
          <w:rFonts w:ascii="Tw Cen MT" w:hAnsi="Tw Cen MT" w:cs="Calibri"/>
          <w:sz w:val="20"/>
          <w:szCs w:val="20"/>
        </w:rPr>
        <w:t>stakeholders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and if</w:t>
      </w:r>
    </w:p>
    <w:p w14:paraId="75FF9F78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such a mission is possible within the evaluation schedule. Equally, </w:t>
      </w:r>
      <w:proofErr w:type="gramStart"/>
      <w:r w:rsidRPr="00B94952">
        <w:rPr>
          <w:rFonts w:ascii="Tw Cen MT" w:hAnsi="Tw Cen MT" w:cs="Calibri"/>
          <w:sz w:val="20"/>
          <w:szCs w:val="20"/>
        </w:rPr>
        <w:t>qualified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and independent national consultants</w:t>
      </w:r>
    </w:p>
    <w:p w14:paraId="6D0E119E" w14:textId="7757C4CF" w:rsidR="00D86B9D" w:rsidRPr="00B94952" w:rsidRDefault="00D86B9D" w:rsidP="00B94952">
      <w:pPr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can be hired to undertake the evaluation and interviews in country </w:t>
      </w:r>
      <w:proofErr w:type="gramStart"/>
      <w:r w:rsidRPr="00B94952">
        <w:rPr>
          <w:rFonts w:ascii="Tw Cen MT" w:hAnsi="Tw Cen MT" w:cs="Calibri"/>
          <w:sz w:val="20"/>
          <w:szCs w:val="20"/>
        </w:rPr>
        <w:t>as long as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it is safe to do so.</w:t>
      </w:r>
    </w:p>
    <w:p w14:paraId="7D263AF9" w14:textId="3EB15360" w:rsidR="00D86B9D" w:rsidRPr="00B94952" w:rsidRDefault="00D86B9D" w:rsidP="00B94952">
      <w:pPr>
        <w:jc w:val="both"/>
        <w:rPr>
          <w:rFonts w:ascii="Tw Cen MT" w:hAnsi="Tw Cen MT" w:cs="Calibri"/>
          <w:sz w:val="20"/>
          <w:szCs w:val="20"/>
        </w:rPr>
      </w:pPr>
    </w:p>
    <w:p w14:paraId="33D85986" w14:textId="5C15A1CA" w:rsidR="00D86B9D" w:rsidRPr="00B94952" w:rsidRDefault="00D86B9D" w:rsidP="00B94952">
      <w:pPr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>Expected Outputs and deliverables</w:t>
      </w:r>
    </w:p>
    <w:p w14:paraId="23224502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>Evaluation inception report (10-15 pages)</w:t>
      </w:r>
      <w:r w:rsidRPr="00B94952">
        <w:rPr>
          <w:rFonts w:ascii="Tw Cen MT" w:hAnsi="Tw Cen MT" w:cs="Calibri"/>
          <w:sz w:val="20"/>
          <w:szCs w:val="20"/>
        </w:rPr>
        <w:t>: The inception report should be carried out following and</w:t>
      </w:r>
    </w:p>
    <w:p w14:paraId="74BE152C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based on preliminary discussions with UNDP after the desk review and should be produced before the</w:t>
      </w:r>
    </w:p>
    <w:p w14:paraId="3B3F22B5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evaluation starts (before any formal evaluation interviews, survey distribution or field visits) and prior to</w:t>
      </w:r>
    </w:p>
    <w:p w14:paraId="00235EFC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the country visit in the case of international evaluators. The evaluation inception report shall include a</w:t>
      </w:r>
    </w:p>
    <w:p w14:paraId="67FFAC3B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workplan and evaluation </w:t>
      </w:r>
      <w:proofErr w:type="gramStart"/>
      <w:r w:rsidRPr="00B94952">
        <w:rPr>
          <w:rFonts w:ascii="Tw Cen MT" w:hAnsi="Tw Cen MT" w:cs="Calibri"/>
          <w:sz w:val="20"/>
          <w:szCs w:val="20"/>
        </w:rPr>
        <w:t>schedule;</w:t>
      </w:r>
      <w:proofErr w:type="gramEnd"/>
    </w:p>
    <w:p w14:paraId="4D57DD94" w14:textId="3EDC4ECF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567F4699" w14:textId="210EBC3B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 xml:space="preserve">Evaluation debriefings: </w:t>
      </w:r>
      <w:r w:rsidRPr="00B94952">
        <w:rPr>
          <w:rFonts w:ascii="Tw Cen MT" w:hAnsi="Tw Cen MT" w:cs="Calibri"/>
          <w:sz w:val="20"/>
          <w:szCs w:val="20"/>
        </w:rPr>
        <w:t>Immediately following the evaluation, the Evaluator will give a preliminary</w:t>
      </w:r>
    </w:p>
    <w:p w14:paraId="6BC44AC6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debriefing of the final evaluation and </w:t>
      </w:r>
      <w:proofErr w:type="gramStart"/>
      <w:r w:rsidRPr="00B94952">
        <w:rPr>
          <w:rFonts w:ascii="Tw Cen MT" w:hAnsi="Tw Cen MT" w:cs="Calibri"/>
          <w:sz w:val="20"/>
          <w:szCs w:val="20"/>
        </w:rPr>
        <w:t>findings;</w:t>
      </w:r>
      <w:proofErr w:type="gramEnd"/>
    </w:p>
    <w:p w14:paraId="606C4962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64757D0C" w14:textId="140D61C4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 xml:space="preserve">Draft evaluation </w:t>
      </w:r>
      <w:r w:rsidRPr="00B94952">
        <w:rPr>
          <w:rFonts w:ascii="Tw Cen MT" w:hAnsi="Tw Cen MT" w:cs="Calibri"/>
          <w:sz w:val="20"/>
          <w:szCs w:val="20"/>
        </w:rPr>
        <w:t>report for comment, including executive summary. The programme unit and key</w:t>
      </w:r>
    </w:p>
    <w:p w14:paraId="0A4B1D97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stakeholders in the evaluation should review the draft evaluation report and provide an amalgamated set</w:t>
      </w:r>
    </w:p>
    <w:p w14:paraId="7EBAD05D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of comments to the evaluator within an agreed period, addressing the content required (as agreed in the</w:t>
      </w:r>
    </w:p>
    <w:p w14:paraId="5FD88DEC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TOR and inception report) and quality criteria as outlined in these </w:t>
      </w:r>
      <w:proofErr w:type="gramStart"/>
      <w:r w:rsidRPr="00B94952">
        <w:rPr>
          <w:rFonts w:ascii="Tw Cen MT" w:hAnsi="Tw Cen MT" w:cs="Calibri"/>
          <w:sz w:val="20"/>
          <w:szCs w:val="20"/>
        </w:rPr>
        <w:t>guidelines;</w:t>
      </w:r>
      <w:proofErr w:type="gramEnd"/>
    </w:p>
    <w:p w14:paraId="5CC9B2C1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11C9869B" w14:textId="15EA68F8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 xml:space="preserve">Evaluation report audit trail </w:t>
      </w:r>
      <w:r w:rsidRPr="00B94952">
        <w:rPr>
          <w:rFonts w:ascii="Tw Cen MT" w:hAnsi="Tw Cen MT" w:cs="Calibri"/>
          <w:sz w:val="20"/>
          <w:szCs w:val="20"/>
        </w:rPr>
        <w:t>detailing how comments, questions and clarifications have been addressed.</w:t>
      </w:r>
    </w:p>
    <w:p w14:paraId="7B3DA30D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Comments and changes by the evaluator in response to the draft report should be retained by the</w:t>
      </w:r>
    </w:p>
    <w:p w14:paraId="06A51327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evaluator to show how they have addressed </w:t>
      </w:r>
      <w:proofErr w:type="gramStart"/>
      <w:r w:rsidRPr="00B94952">
        <w:rPr>
          <w:rFonts w:ascii="Tw Cen MT" w:hAnsi="Tw Cen MT" w:cs="Calibri"/>
          <w:sz w:val="20"/>
          <w:szCs w:val="20"/>
        </w:rPr>
        <w:t>comments;</w:t>
      </w:r>
      <w:proofErr w:type="gramEnd"/>
    </w:p>
    <w:p w14:paraId="3C6649D6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05DC622A" w14:textId="4344AB24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 xml:space="preserve">Final evaluation report </w:t>
      </w:r>
      <w:r w:rsidRPr="00B94952">
        <w:rPr>
          <w:rFonts w:ascii="Tw Cen MT" w:hAnsi="Tw Cen MT" w:cs="Calibri"/>
          <w:sz w:val="20"/>
          <w:szCs w:val="20"/>
        </w:rPr>
        <w:t xml:space="preserve">addressing comments, questions and </w:t>
      </w:r>
      <w:proofErr w:type="gramStart"/>
      <w:r w:rsidRPr="00B94952">
        <w:rPr>
          <w:rFonts w:ascii="Tw Cen MT" w:hAnsi="Tw Cen MT" w:cs="Calibri"/>
          <w:sz w:val="20"/>
          <w:szCs w:val="20"/>
        </w:rPr>
        <w:t>clarifications;</w:t>
      </w:r>
      <w:proofErr w:type="gramEnd"/>
    </w:p>
    <w:p w14:paraId="72AE9210" w14:textId="77777777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- Presentations to stakeholders and/or the evaluation reference </w:t>
      </w:r>
      <w:proofErr w:type="gramStart"/>
      <w:r w:rsidRPr="00B94952">
        <w:rPr>
          <w:rFonts w:ascii="Tw Cen MT" w:hAnsi="Tw Cen MT" w:cs="Calibri"/>
          <w:sz w:val="20"/>
          <w:szCs w:val="20"/>
        </w:rPr>
        <w:t>group;</w:t>
      </w:r>
      <w:proofErr w:type="gramEnd"/>
    </w:p>
    <w:p w14:paraId="65FD9FCC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2E26617B" w14:textId="0EEAEFC9" w:rsidR="00D86B9D" w:rsidRPr="00B94952" w:rsidRDefault="00D86B9D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>Lessons Learned report</w:t>
      </w:r>
      <w:r w:rsidRPr="00B94952">
        <w:rPr>
          <w:rFonts w:ascii="Tw Cen MT" w:hAnsi="Tw Cen MT" w:cs="Calibri"/>
          <w:sz w:val="20"/>
          <w:szCs w:val="20"/>
        </w:rPr>
        <w:t>: The lessons learned report should cover the different facets of the governance</w:t>
      </w:r>
    </w:p>
    <w:p w14:paraId="44ECACC8" w14:textId="4DE854A3" w:rsidR="00D86B9D" w:rsidRPr="00B94952" w:rsidRDefault="00D86B9D" w:rsidP="00B94952">
      <w:pPr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programme implemented by the RSCA. This report should be annexed in the main evaluation report.</w:t>
      </w:r>
    </w:p>
    <w:p w14:paraId="6503D0E5" w14:textId="5E71DFAB" w:rsidR="00170FCA" w:rsidRPr="00B94952" w:rsidRDefault="00170FCA" w:rsidP="00B94952">
      <w:pPr>
        <w:jc w:val="both"/>
        <w:rPr>
          <w:rFonts w:ascii="Tw Cen MT" w:hAnsi="Tw Cen MT" w:cs="Calibri"/>
          <w:sz w:val="20"/>
          <w:szCs w:val="20"/>
        </w:rPr>
      </w:pPr>
    </w:p>
    <w:p w14:paraId="519E9456" w14:textId="72AFD78E" w:rsidR="00170FCA" w:rsidRPr="00B94952" w:rsidRDefault="00170FCA" w:rsidP="00B94952">
      <w:pPr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>Time frame for the evaluation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4034"/>
        <w:gridCol w:w="2332"/>
        <w:gridCol w:w="2332"/>
      </w:tblGrid>
      <w:tr w:rsidR="00170FCA" w:rsidRPr="00B94952" w14:paraId="051196B2" w14:textId="77777777" w:rsidTr="00B94952">
        <w:tc>
          <w:tcPr>
            <w:tcW w:w="652" w:type="dxa"/>
          </w:tcPr>
          <w:p w14:paraId="000CB5E4" w14:textId="7F04EC51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B94952">
              <w:rPr>
                <w:rFonts w:ascii="Tw Cen MT" w:hAnsi="Tw Cen MT"/>
              </w:rPr>
              <w:t>No</w:t>
            </w:r>
          </w:p>
        </w:tc>
        <w:tc>
          <w:tcPr>
            <w:tcW w:w="4034" w:type="dxa"/>
          </w:tcPr>
          <w:p w14:paraId="02AA98B7" w14:textId="5713A501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B94952">
              <w:rPr>
                <w:rFonts w:ascii="Tw Cen MT" w:hAnsi="Tw Cen MT" w:cs="Calibri-Bold"/>
                <w:b/>
                <w:bCs/>
                <w:sz w:val="20"/>
                <w:szCs w:val="20"/>
              </w:rPr>
              <w:t>Deliverables / Outputs Estimated Duration</w:t>
            </w:r>
          </w:p>
        </w:tc>
        <w:tc>
          <w:tcPr>
            <w:tcW w:w="2332" w:type="dxa"/>
          </w:tcPr>
          <w:p w14:paraId="65B15063" w14:textId="27ADF89F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B94952">
              <w:rPr>
                <w:rFonts w:ascii="Tw Cen MT" w:hAnsi="Tw Cen MT" w:cs="Calibri-Bold"/>
                <w:b/>
                <w:bCs/>
                <w:sz w:val="20"/>
                <w:szCs w:val="20"/>
              </w:rPr>
              <w:t>Deliverables / Outputs Estimated Duration</w:t>
            </w:r>
          </w:p>
        </w:tc>
        <w:tc>
          <w:tcPr>
            <w:tcW w:w="2332" w:type="dxa"/>
          </w:tcPr>
          <w:p w14:paraId="5E65DE64" w14:textId="5827BCC2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B94952">
              <w:rPr>
                <w:rFonts w:ascii="Tw Cen MT" w:hAnsi="Tw Cen MT" w:cs="Calibri-Bold"/>
                <w:b/>
                <w:bCs/>
                <w:sz w:val="20"/>
                <w:szCs w:val="20"/>
              </w:rPr>
              <w:t>Deliverables / Outputs Estimated Duration</w:t>
            </w:r>
          </w:p>
        </w:tc>
      </w:tr>
      <w:tr w:rsidR="00170FCA" w:rsidRPr="00B94952" w14:paraId="535E01B1" w14:textId="77777777" w:rsidTr="00B94952">
        <w:tc>
          <w:tcPr>
            <w:tcW w:w="652" w:type="dxa"/>
          </w:tcPr>
          <w:p w14:paraId="0ECEE184" w14:textId="098BF3A3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B94952">
              <w:rPr>
                <w:rFonts w:ascii="Tw Cen MT" w:hAnsi="Tw Cen MT"/>
              </w:rPr>
              <w:t>1</w:t>
            </w:r>
          </w:p>
        </w:tc>
        <w:tc>
          <w:tcPr>
            <w:tcW w:w="4034" w:type="dxa"/>
          </w:tcPr>
          <w:p w14:paraId="6D72BC25" w14:textId="22A7211F" w:rsidR="00170FCA" w:rsidRPr="00170FCA" w:rsidRDefault="00170FCA" w:rsidP="00B94952">
            <w:pPr>
              <w:jc w:val="both"/>
              <w:rPr>
                <w:rFonts w:ascii="Tw Cen MT" w:hAnsi="Tw Cen MT"/>
              </w:rPr>
            </w:pPr>
            <w:r w:rsidRPr="00170FCA">
              <w:rPr>
                <w:rFonts w:ascii="Tw Cen MT" w:hAnsi="Tw Cen MT"/>
              </w:rPr>
              <w:t xml:space="preserve">Inception report and evaluation matrix </w:t>
            </w:r>
          </w:p>
          <w:p w14:paraId="31AE36EE" w14:textId="3A600E20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2332" w:type="dxa"/>
          </w:tcPr>
          <w:p w14:paraId="037E2839" w14:textId="4ACF4DD4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170FCA">
              <w:rPr>
                <w:rFonts w:ascii="Tw Cen MT" w:hAnsi="Tw Cen MT"/>
              </w:rPr>
              <w:t>7 Working days</w:t>
            </w:r>
          </w:p>
        </w:tc>
        <w:tc>
          <w:tcPr>
            <w:tcW w:w="2332" w:type="dxa"/>
          </w:tcPr>
          <w:p w14:paraId="19D9CB6E" w14:textId="00AE70CA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170FCA">
              <w:rPr>
                <w:rFonts w:ascii="Tw Cen MT" w:hAnsi="Tw Cen MT"/>
              </w:rPr>
              <w:t>SECCCI Project Manager</w:t>
            </w:r>
          </w:p>
        </w:tc>
      </w:tr>
      <w:tr w:rsidR="00170FCA" w:rsidRPr="00B94952" w14:paraId="3537FD98" w14:textId="77777777" w:rsidTr="00B94952">
        <w:tc>
          <w:tcPr>
            <w:tcW w:w="652" w:type="dxa"/>
          </w:tcPr>
          <w:p w14:paraId="5873CF1F" w14:textId="590E648B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B94952">
              <w:rPr>
                <w:rFonts w:ascii="Tw Cen MT" w:hAnsi="Tw Cen MT"/>
              </w:rPr>
              <w:t>2</w:t>
            </w:r>
          </w:p>
        </w:tc>
        <w:tc>
          <w:tcPr>
            <w:tcW w:w="4034" w:type="dxa"/>
          </w:tcPr>
          <w:p w14:paraId="6DDDC0B6" w14:textId="6FD031D6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170FCA">
              <w:rPr>
                <w:rFonts w:ascii="Tw Cen MT" w:hAnsi="Tw Cen MT"/>
              </w:rPr>
              <w:t>Draft evaluation report and Stakeholder workshop</w:t>
            </w:r>
            <w:r w:rsidRPr="00B94952">
              <w:rPr>
                <w:rFonts w:ascii="Tw Cen MT" w:hAnsi="Tw Cen MT"/>
              </w:rPr>
              <w:t xml:space="preserve"> </w:t>
            </w:r>
            <w:r w:rsidRPr="00170FCA">
              <w:rPr>
                <w:rFonts w:ascii="Tw Cen MT" w:hAnsi="Tw Cen MT"/>
              </w:rPr>
              <w:t>presentation</w:t>
            </w:r>
          </w:p>
        </w:tc>
        <w:tc>
          <w:tcPr>
            <w:tcW w:w="2332" w:type="dxa"/>
          </w:tcPr>
          <w:p w14:paraId="6F36E7E5" w14:textId="1F135807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170FCA">
              <w:rPr>
                <w:rFonts w:ascii="Tw Cen MT" w:hAnsi="Tw Cen MT"/>
              </w:rPr>
              <w:t xml:space="preserve">16 Working days </w:t>
            </w:r>
          </w:p>
        </w:tc>
        <w:tc>
          <w:tcPr>
            <w:tcW w:w="2332" w:type="dxa"/>
          </w:tcPr>
          <w:p w14:paraId="40D58E95" w14:textId="348882FD" w:rsidR="00170FCA" w:rsidRPr="00170FCA" w:rsidRDefault="00170FCA" w:rsidP="00B94952">
            <w:pPr>
              <w:jc w:val="both"/>
              <w:rPr>
                <w:rFonts w:ascii="Tw Cen MT" w:hAnsi="Tw Cen MT"/>
              </w:rPr>
            </w:pPr>
            <w:r w:rsidRPr="00170FCA">
              <w:rPr>
                <w:rFonts w:ascii="Tw Cen MT" w:hAnsi="Tw Cen MT"/>
              </w:rPr>
              <w:t>SECCCI</w:t>
            </w:r>
            <w:r w:rsidRPr="00B94952">
              <w:rPr>
                <w:rFonts w:ascii="Tw Cen MT" w:hAnsi="Tw Cen MT"/>
              </w:rPr>
              <w:t xml:space="preserve"> </w:t>
            </w:r>
            <w:r w:rsidRPr="00170FCA">
              <w:rPr>
                <w:rFonts w:ascii="Tw Cen MT" w:hAnsi="Tw Cen MT"/>
              </w:rPr>
              <w:t>Project Manager</w:t>
            </w:r>
          </w:p>
          <w:p w14:paraId="286B3E0B" w14:textId="5BCBCD1C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</w:p>
        </w:tc>
      </w:tr>
      <w:tr w:rsidR="00170FCA" w:rsidRPr="00B94952" w14:paraId="7805C469" w14:textId="77777777" w:rsidTr="00B94952">
        <w:tc>
          <w:tcPr>
            <w:tcW w:w="652" w:type="dxa"/>
          </w:tcPr>
          <w:p w14:paraId="400882A4" w14:textId="18340868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B94952">
              <w:rPr>
                <w:rFonts w:ascii="Tw Cen MT" w:hAnsi="Tw Cen MT"/>
              </w:rPr>
              <w:t>3</w:t>
            </w:r>
          </w:p>
        </w:tc>
        <w:tc>
          <w:tcPr>
            <w:tcW w:w="4034" w:type="dxa"/>
          </w:tcPr>
          <w:p w14:paraId="21889FED" w14:textId="02C60513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B94952">
              <w:rPr>
                <w:rFonts w:ascii="Tw Cen MT" w:hAnsi="Tw Cen MT"/>
              </w:rPr>
              <w:t xml:space="preserve">Final evaluation report </w:t>
            </w:r>
          </w:p>
        </w:tc>
        <w:tc>
          <w:tcPr>
            <w:tcW w:w="2332" w:type="dxa"/>
          </w:tcPr>
          <w:p w14:paraId="116C127B" w14:textId="01BD6998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B94952">
              <w:rPr>
                <w:rFonts w:ascii="Tw Cen MT" w:hAnsi="Tw Cen MT"/>
              </w:rPr>
              <w:t>7 Working days</w:t>
            </w:r>
          </w:p>
        </w:tc>
        <w:tc>
          <w:tcPr>
            <w:tcW w:w="2332" w:type="dxa"/>
          </w:tcPr>
          <w:p w14:paraId="7A0DA1D1" w14:textId="576D92A2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B94952">
              <w:rPr>
                <w:rFonts w:ascii="Tw Cen MT" w:hAnsi="Tw Cen MT"/>
              </w:rPr>
              <w:t>SECCCI Project Manager</w:t>
            </w:r>
          </w:p>
        </w:tc>
      </w:tr>
      <w:tr w:rsidR="00170FCA" w:rsidRPr="00B94952" w14:paraId="7A79A2E0" w14:textId="77777777" w:rsidTr="00B94952">
        <w:tc>
          <w:tcPr>
            <w:tcW w:w="652" w:type="dxa"/>
          </w:tcPr>
          <w:p w14:paraId="104CE928" w14:textId="4C08720B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B94952">
              <w:rPr>
                <w:rFonts w:ascii="Tw Cen MT" w:hAnsi="Tw Cen MT"/>
              </w:rPr>
              <w:t>Total</w:t>
            </w:r>
          </w:p>
        </w:tc>
        <w:tc>
          <w:tcPr>
            <w:tcW w:w="4034" w:type="dxa"/>
          </w:tcPr>
          <w:p w14:paraId="7199647E" w14:textId="77777777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2332" w:type="dxa"/>
          </w:tcPr>
          <w:p w14:paraId="24B1221F" w14:textId="33EB7303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  <w:r w:rsidRPr="00B94952">
              <w:rPr>
                <w:rFonts w:ascii="Tw Cen MT" w:hAnsi="Tw Cen MT" w:cs="Calibri-Bold"/>
                <w:b/>
                <w:bCs/>
                <w:sz w:val="20"/>
                <w:szCs w:val="20"/>
              </w:rPr>
              <w:t>30 Working days</w:t>
            </w:r>
          </w:p>
        </w:tc>
        <w:tc>
          <w:tcPr>
            <w:tcW w:w="2332" w:type="dxa"/>
          </w:tcPr>
          <w:p w14:paraId="3A76CBEA" w14:textId="77777777" w:rsidR="00170FCA" w:rsidRPr="00B94952" w:rsidRDefault="00170FCA" w:rsidP="00B94952">
            <w:pPr>
              <w:jc w:val="both"/>
              <w:rPr>
                <w:rFonts w:ascii="Tw Cen MT" w:hAnsi="Tw Cen MT"/>
              </w:rPr>
            </w:pPr>
          </w:p>
        </w:tc>
      </w:tr>
    </w:tbl>
    <w:p w14:paraId="68E7DBED" w14:textId="219F41C5" w:rsidR="00170FCA" w:rsidRPr="00B94952" w:rsidRDefault="00170FCA" w:rsidP="00B94952">
      <w:pPr>
        <w:jc w:val="both"/>
        <w:rPr>
          <w:rFonts w:ascii="Tw Cen MT" w:hAnsi="Tw Cen MT"/>
        </w:rPr>
      </w:pPr>
    </w:p>
    <w:p w14:paraId="75AAF223" w14:textId="5FAD5FF1" w:rsidR="00170FCA" w:rsidRPr="00B94952" w:rsidRDefault="00170FCA" w:rsidP="00B94952">
      <w:pPr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>Institutional arrangements/reporting lines</w:t>
      </w:r>
    </w:p>
    <w:p w14:paraId="30EAD310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RSCA SECCCI Project Team will designate a focal point for the evaluation that will work with the Evaluator to assist</w:t>
      </w:r>
    </w:p>
    <w:p w14:paraId="3BAFE72E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in facilitating the process (e.g., providing relevant documentation, arranging visits/interviews with key informants,</w:t>
      </w:r>
    </w:p>
    <w:p w14:paraId="66449C6F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etc.). The Regional Office Management will take responsibility for the approval of the final evaluation report. The</w:t>
      </w:r>
    </w:p>
    <w:p w14:paraId="71324E86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Programme Officer (Quality Assurance)/SECCCI Programme Manager in the RSCA will arrange introductory</w:t>
      </w:r>
    </w:p>
    <w:p w14:paraId="31FB62B7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meetings within RSC and the Cluster Lead or his designate will establish initial contacts with partners and project</w:t>
      </w:r>
    </w:p>
    <w:p w14:paraId="1406E006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lastRenderedPageBreak/>
        <w:t>staff. The consultant will take responsibility for setting up meetings and conducting the evaluation, subject to</w:t>
      </w:r>
    </w:p>
    <w:p w14:paraId="66CCFBFA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advanced approval of the methodology submitted in the inception report. The Management of RSC/RBA will</w:t>
      </w:r>
    </w:p>
    <w:p w14:paraId="60EB8FB1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develop a management response to the evaluation within four weeks of report finalization.</w:t>
      </w:r>
    </w:p>
    <w:p w14:paraId="47F46C64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As the final evaluation will be conducted remotely, UNDP will support the implementation of remote meetings. An</w:t>
      </w:r>
    </w:p>
    <w:p w14:paraId="1946834F" w14:textId="3C7B2E71" w:rsidR="00170FCA" w:rsidRPr="00B94952" w:rsidRDefault="00170FCA" w:rsidP="00B94952">
      <w:pPr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updated stakeholder list with contact details (phone and email) will be provided to the evaluation team.</w:t>
      </w:r>
    </w:p>
    <w:p w14:paraId="5CB170CD" w14:textId="1E415AD1" w:rsidR="00170FCA" w:rsidRPr="00B94952" w:rsidRDefault="00170FCA" w:rsidP="00B94952">
      <w:pPr>
        <w:jc w:val="both"/>
        <w:rPr>
          <w:rFonts w:ascii="Tw Cen MT" w:hAnsi="Tw Cen MT" w:cs="Calibri"/>
          <w:sz w:val="20"/>
          <w:szCs w:val="20"/>
        </w:rPr>
      </w:pPr>
    </w:p>
    <w:p w14:paraId="4C45BE72" w14:textId="6010F606" w:rsidR="00170FCA" w:rsidRPr="00B94952" w:rsidRDefault="00170FCA" w:rsidP="00B94952">
      <w:pPr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>Experience and qualifications</w:t>
      </w:r>
    </w:p>
    <w:p w14:paraId="05BB3A92" w14:textId="7AC2A636" w:rsidR="00170FCA" w:rsidRPr="00B94952" w:rsidRDefault="00170FCA" w:rsidP="00B94952">
      <w:pPr>
        <w:jc w:val="both"/>
        <w:rPr>
          <w:rFonts w:ascii="Tw Cen MT" w:hAnsi="Tw Cen MT" w:cs="Calibri-Bold"/>
          <w:b/>
          <w:bCs/>
          <w:sz w:val="20"/>
          <w:szCs w:val="20"/>
        </w:rPr>
      </w:pPr>
    </w:p>
    <w:p w14:paraId="22C235AA" w14:textId="2ED23383" w:rsidR="00170FCA" w:rsidRPr="00B94952" w:rsidRDefault="00170FCA" w:rsidP="00B9495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  <w:u w:val="single"/>
        </w:rPr>
        <w:t>Academic Qualifications:</w:t>
      </w:r>
      <w:r w:rsidRPr="00B94952">
        <w:rPr>
          <w:rFonts w:ascii="Tw Cen MT" w:hAnsi="Tw Cen MT" w:cs="Calibri"/>
          <w:sz w:val="20"/>
          <w:szCs w:val="20"/>
        </w:rPr>
        <w:t xml:space="preserve"> Advanced degree in social sciences, international development, political science, conflict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studies, monitoring and evaluation, communication related subjects.</w:t>
      </w:r>
    </w:p>
    <w:p w14:paraId="62F4708C" w14:textId="7777335E" w:rsidR="00170FCA" w:rsidRPr="00B94952" w:rsidRDefault="00170FCA" w:rsidP="00B9495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  <w:u w:val="single"/>
        </w:rPr>
        <w:t>Years of experience</w:t>
      </w:r>
      <w:r w:rsidRPr="00B94952">
        <w:rPr>
          <w:rFonts w:ascii="Tw Cen MT" w:hAnsi="Tw Cen MT" w:cs="Calibri"/>
          <w:sz w:val="20"/>
          <w:szCs w:val="20"/>
        </w:rPr>
        <w:t xml:space="preserve">: Extensive (at least 5-year) professional experience and proven track record </w:t>
      </w:r>
      <w:r w:rsidRPr="00B94952">
        <w:rPr>
          <w:rFonts w:ascii="Tw Cen MT" w:hAnsi="Tw Cen MT" w:cs="Calibri"/>
          <w:sz w:val="20"/>
          <w:szCs w:val="20"/>
        </w:rPr>
        <w:t>within</w:t>
      </w:r>
      <w:r w:rsidRPr="00B94952">
        <w:rPr>
          <w:rFonts w:ascii="Tw Cen MT" w:hAnsi="Tw Cen MT" w:cs="Calibri"/>
          <w:sz w:val="20"/>
          <w:szCs w:val="20"/>
        </w:rPr>
        <w:t xml:space="preserve"> the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preparation of reviews and evaluation processes (experience with UNDP and/or EU-</w:t>
      </w:r>
      <w:r w:rsidRPr="00B94952">
        <w:rPr>
          <w:rFonts w:ascii="Tw Cen MT" w:hAnsi="Tw Cen MT" w:cs="Calibri"/>
          <w:sz w:val="20"/>
          <w:szCs w:val="20"/>
        </w:rPr>
        <w:t>funded projects</w:t>
      </w:r>
      <w:r w:rsidRPr="00B94952">
        <w:rPr>
          <w:rFonts w:ascii="Tw Cen MT" w:hAnsi="Tw Cen MT" w:cs="Calibri"/>
          <w:sz w:val="20"/>
          <w:szCs w:val="20"/>
        </w:rPr>
        <w:t xml:space="preserve"> is an asset</w:t>
      </w:r>
      <w:proofErr w:type="gramStart"/>
      <w:r w:rsidRPr="00B94952">
        <w:rPr>
          <w:rFonts w:ascii="Tw Cen MT" w:hAnsi="Tw Cen MT" w:cs="Calibri"/>
          <w:sz w:val="20"/>
          <w:szCs w:val="20"/>
        </w:rPr>
        <w:t>);</w:t>
      </w:r>
      <w:proofErr w:type="gramEnd"/>
    </w:p>
    <w:p w14:paraId="3859CC9A" w14:textId="77777777" w:rsidR="00170FCA" w:rsidRPr="00B94952" w:rsidRDefault="00170FCA" w:rsidP="00B9495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6B98E85E" w14:textId="168B554A" w:rsidR="00170FCA" w:rsidRPr="00B94952" w:rsidRDefault="00170FCA" w:rsidP="00B9495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At least 3 years of experience in approaches for design, </w:t>
      </w:r>
      <w:proofErr w:type="gramStart"/>
      <w:r w:rsidRPr="00B94952">
        <w:rPr>
          <w:rFonts w:ascii="Tw Cen MT" w:hAnsi="Tw Cen MT" w:cs="Calibri"/>
          <w:sz w:val="20"/>
          <w:szCs w:val="20"/>
        </w:rPr>
        <w:t>monitoring</w:t>
      </w:r>
      <w:proofErr w:type="gramEnd"/>
      <w:r w:rsidRPr="00B94952">
        <w:rPr>
          <w:rFonts w:ascii="Tw Cen MT" w:hAnsi="Tw Cen MT" w:cs="Calibri"/>
          <w:sz w:val="20"/>
          <w:szCs w:val="20"/>
        </w:rPr>
        <w:t xml:space="preserve"> and evaluation of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>projects at regional, sub-regional or country level. Previous experience with UNDP will be</w:t>
      </w:r>
      <w:r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 xml:space="preserve">an asset; Familiarity with the context of the </w:t>
      </w:r>
      <w:proofErr w:type="spellStart"/>
      <w:r w:rsidRPr="00B94952">
        <w:rPr>
          <w:rFonts w:ascii="Tw Cen MT" w:hAnsi="Tw Cen MT" w:cs="Calibri"/>
          <w:sz w:val="20"/>
          <w:szCs w:val="20"/>
        </w:rPr>
        <w:t>HoA</w:t>
      </w:r>
      <w:proofErr w:type="spellEnd"/>
      <w:r w:rsidRPr="00B94952">
        <w:rPr>
          <w:rFonts w:ascii="Tw Cen MT" w:hAnsi="Tw Cen MT" w:cs="Calibri"/>
          <w:sz w:val="20"/>
          <w:szCs w:val="20"/>
        </w:rPr>
        <w:t xml:space="preserve"> and prior experience working on </w:t>
      </w:r>
      <w:r w:rsidRPr="00B94952">
        <w:rPr>
          <w:rFonts w:ascii="Tw Cen MT" w:hAnsi="Tw Cen MT" w:cs="Calibri"/>
          <w:sz w:val="20"/>
          <w:szCs w:val="20"/>
        </w:rPr>
        <w:t xml:space="preserve">cross border </w:t>
      </w:r>
      <w:r w:rsidRPr="00B94952">
        <w:rPr>
          <w:rFonts w:ascii="Tw Cen MT" w:hAnsi="Tw Cen MT" w:cs="Calibri"/>
          <w:sz w:val="20"/>
          <w:szCs w:val="20"/>
        </w:rPr>
        <w:t>cooperation are highly desirable.</w:t>
      </w:r>
    </w:p>
    <w:p w14:paraId="693AA623" w14:textId="77777777" w:rsidR="00170FCA" w:rsidRPr="00B94952" w:rsidRDefault="00170FCA" w:rsidP="00B9495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</w:p>
    <w:p w14:paraId="64175941" w14:textId="2ABBDDD5" w:rsidR="00170FCA" w:rsidRPr="00B94952" w:rsidRDefault="00170FCA" w:rsidP="00B9495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  <w:u w:val="single"/>
        </w:rPr>
        <w:t>Language</w:t>
      </w:r>
      <w:r w:rsidRPr="00B94952">
        <w:rPr>
          <w:rFonts w:ascii="Tw Cen MT" w:hAnsi="Tw Cen MT" w:cs="Calibri"/>
          <w:sz w:val="20"/>
          <w:szCs w:val="20"/>
        </w:rPr>
        <w:t>: Excellent oral and written skills in English. Knowledge of Swahili and Amharic will be an asset</w:t>
      </w:r>
    </w:p>
    <w:p w14:paraId="196BE620" w14:textId="72E2F797" w:rsidR="00170FCA" w:rsidRPr="00B94952" w:rsidRDefault="00170FCA" w:rsidP="00B94952">
      <w:pPr>
        <w:jc w:val="both"/>
        <w:rPr>
          <w:rFonts w:ascii="Tw Cen MT" w:hAnsi="Tw Cen MT" w:cs="Calibri"/>
          <w:sz w:val="20"/>
          <w:szCs w:val="20"/>
        </w:rPr>
      </w:pPr>
    </w:p>
    <w:p w14:paraId="186F6825" w14:textId="32FA8693" w:rsidR="00170FCA" w:rsidRPr="00B94952" w:rsidRDefault="00170FCA" w:rsidP="00B94952">
      <w:pPr>
        <w:pStyle w:val="ListParagraph"/>
        <w:numPr>
          <w:ilvl w:val="0"/>
          <w:numId w:val="17"/>
        </w:numPr>
        <w:jc w:val="both"/>
        <w:rPr>
          <w:rFonts w:ascii="Tw Cen MT" w:hAnsi="Tw Cen MT"/>
        </w:rPr>
      </w:pPr>
      <w:r w:rsidRPr="00B94952">
        <w:rPr>
          <w:rFonts w:ascii="Tw Cen MT" w:hAnsi="Tw Cen MT" w:cs="Calibri"/>
          <w:sz w:val="20"/>
          <w:szCs w:val="20"/>
          <w:u w:val="single"/>
        </w:rPr>
        <w:t>Competencies:</w:t>
      </w:r>
      <w:r w:rsidRPr="00B94952">
        <w:rPr>
          <w:rFonts w:ascii="Tw Cen MT" w:hAnsi="Tw Cen MT" w:cs="Calibri"/>
          <w:sz w:val="20"/>
          <w:szCs w:val="20"/>
        </w:rPr>
        <w:t xml:space="preserve"> Strong background in M&amp;</w:t>
      </w:r>
      <w:proofErr w:type="gramStart"/>
      <w:r w:rsidRPr="00B94952">
        <w:rPr>
          <w:rFonts w:ascii="Tw Cen MT" w:hAnsi="Tw Cen MT" w:cs="Calibri"/>
          <w:sz w:val="20"/>
          <w:szCs w:val="20"/>
        </w:rPr>
        <w:t>E;</w:t>
      </w:r>
      <w:proofErr w:type="gramEnd"/>
    </w:p>
    <w:p w14:paraId="1750ABA6" w14:textId="77777777" w:rsidR="00170FCA" w:rsidRPr="00B94952" w:rsidRDefault="00170FCA" w:rsidP="00B94952">
      <w:pPr>
        <w:pStyle w:val="ListParagraph"/>
        <w:jc w:val="both"/>
        <w:rPr>
          <w:rFonts w:ascii="Tw Cen MT" w:hAnsi="Tw Cen MT"/>
        </w:rPr>
      </w:pPr>
    </w:p>
    <w:p w14:paraId="5AEC4A00" w14:textId="01F4059C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Excellent drafting, writing, proof reading and narrative reporting </w:t>
      </w:r>
      <w:proofErr w:type="gramStart"/>
      <w:r w:rsidRPr="00B94952">
        <w:rPr>
          <w:rFonts w:ascii="Tw Cen MT" w:hAnsi="Tw Cen MT" w:cs="Calibri"/>
          <w:sz w:val="20"/>
          <w:szCs w:val="20"/>
        </w:rPr>
        <w:t>skills;</w:t>
      </w:r>
      <w:proofErr w:type="gramEnd"/>
    </w:p>
    <w:p w14:paraId="0987D890" w14:textId="77777777" w:rsidR="00B94952" w:rsidRPr="00B94952" w:rsidRDefault="00B94952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</w:p>
    <w:p w14:paraId="35DFD2FE" w14:textId="3B8BCA35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Demonstrated experience with UNDP and EU evaluation requirements is </w:t>
      </w:r>
      <w:proofErr w:type="gramStart"/>
      <w:r w:rsidRPr="00B94952">
        <w:rPr>
          <w:rFonts w:ascii="Tw Cen MT" w:hAnsi="Tw Cen MT" w:cs="Calibri"/>
          <w:sz w:val="20"/>
          <w:szCs w:val="20"/>
        </w:rPr>
        <w:t>desirable;</w:t>
      </w:r>
      <w:proofErr w:type="gramEnd"/>
    </w:p>
    <w:p w14:paraId="7CD91F12" w14:textId="77777777" w:rsidR="00B94952" w:rsidRPr="00B94952" w:rsidRDefault="00B94952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</w:p>
    <w:p w14:paraId="66AE30D0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Strong working knowledge of the UN and its mandate in the region, and more specifically the</w:t>
      </w:r>
    </w:p>
    <w:p w14:paraId="439393E6" w14:textId="3089DF90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work of UNDP in support of cross-border initiatives in the </w:t>
      </w:r>
      <w:proofErr w:type="gramStart"/>
      <w:r w:rsidRPr="00B94952">
        <w:rPr>
          <w:rFonts w:ascii="Tw Cen MT" w:hAnsi="Tw Cen MT" w:cs="Calibri"/>
          <w:sz w:val="20"/>
          <w:szCs w:val="20"/>
        </w:rPr>
        <w:t>region;</w:t>
      </w:r>
      <w:proofErr w:type="gramEnd"/>
    </w:p>
    <w:p w14:paraId="3452720D" w14:textId="77777777" w:rsidR="00B94952" w:rsidRPr="00B94952" w:rsidRDefault="00B94952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</w:p>
    <w:p w14:paraId="0F9DAD75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Sound knowledge of results-based management systems, and monitoring and evaluation</w:t>
      </w:r>
    </w:p>
    <w:p w14:paraId="2F141F3F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methodologies; including experience in applying SMART (S Specific; M Measurable; A </w:t>
      </w:r>
      <w:proofErr w:type="gramStart"/>
      <w:r w:rsidRPr="00B94952">
        <w:rPr>
          <w:rFonts w:ascii="Tw Cen MT" w:hAnsi="Tw Cen MT" w:cs="Calibri"/>
          <w:sz w:val="20"/>
          <w:szCs w:val="20"/>
        </w:rPr>
        <w:t>Achievable;</w:t>
      </w:r>
      <w:proofErr w:type="gramEnd"/>
    </w:p>
    <w:p w14:paraId="31FF8124" w14:textId="59EE3549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R Relevant; T Time-bound) </w:t>
      </w:r>
      <w:proofErr w:type="gramStart"/>
      <w:r w:rsidRPr="00B94952">
        <w:rPr>
          <w:rFonts w:ascii="Tw Cen MT" w:hAnsi="Tw Cen MT" w:cs="Calibri"/>
          <w:sz w:val="20"/>
          <w:szCs w:val="20"/>
        </w:rPr>
        <w:t>indicators;</w:t>
      </w:r>
      <w:proofErr w:type="gramEnd"/>
    </w:p>
    <w:p w14:paraId="227F262F" w14:textId="77777777" w:rsidR="00B94952" w:rsidRPr="00B94952" w:rsidRDefault="00B94952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</w:p>
    <w:p w14:paraId="3209FFF8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Coordination experience working with government, development partners, and international</w:t>
      </w:r>
    </w:p>
    <w:p w14:paraId="44ADA848" w14:textId="02E8ABCD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partners would be an </w:t>
      </w:r>
      <w:proofErr w:type="gramStart"/>
      <w:r w:rsidRPr="00B94952">
        <w:rPr>
          <w:rFonts w:ascii="Tw Cen MT" w:hAnsi="Tw Cen MT" w:cs="Calibri"/>
          <w:sz w:val="20"/>
          <w:szCs w:val="20"/>
        </w:rPr>
        <w:t>asset;</w:t>
      </w:r>
      <w:proofErr w:type="gramEnd"/>
    </w:p>
    <w:p w14:paraId="331378F7" w14:textId="77777777" w:rsidR="00B94952" w:rsidRPr="00B94952" w:rsidRDefault="00B94952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</w:p>
    <w:p w14:paraId="551DAE2B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Excellent knowledge of and extensive experience in the East and Horn of Africa region in the past</w:t>
      </w:r>
    </w:p>
    <w:p w14:paraId="6EAF838E" w14:textId="77777777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seven years is desirable (experience in Ethiopia, Kenya and Somalia will be an asset</w:t>
      </w:r>
      <w:proofErr w:type="gramStart"/>
      <w:r w:rsidRPr="00B94952">
        <w:rPr>
          <w:rFonts w:ascii="Tw Cen MT" w:hAnsi="Tw Cen MT" w:cs="Calibri"/>
          <w:sz w:val="20"/>
          <w:szCs w:val="20"/>
        </w:rPr>
        <w:t>);</w:t>
      </w:r>
      <w:proofErr w:type="gramEnd"/>
    </w:p>
    <w:p w14:paraId="6D53EAED" w14:textId="77777777" w:rsidR="00B94952" w:rsidRPr="00B94952" w:rsidRDefault="00B94952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</w:p>
    <w:p w14:paraId="44F2E59C" w14:textId="394D80D3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Experience working with international technical assistance projects in the African countries would</w:t>
      </w:r>
      <w:r w:rsidR="00B94952" w:rsidRPr="00B94952">
        <w:rPr>
          <w:rFonts w:ascii="Tw Cen MT" w:hAnsi="Tw Cen MT" w:cs="Calibri"/>
          <w:sz w:val="20"/>
          <w:szCs w:val="20"/>
        </w:rPr>
        <w:t xml:space="preserve"> </w:t>
      </w:r>
      <w:r w:rsidRPr="00B94952">
        <w:rPr>
          <w:rFonts w:ascii="Tw Cen MT" w:hAnsi="Tw Cen MT" w:cs="Calibri"/>
          <w:sz w:val="20"/>
          <w:szCs w:val="20"/>
        </w:rPr>
        <w:t xml:space="preserve">be an </w:t>
      </w:r>
      <w:proofErr w:type="gramStart"/>
      <w:r w:rsidRPr="00B94952">
        <w:rPr>
          <w:rFonts w:ascii="Tw Cen MT" w:hAnsi="Tw Cen MT" w:cs="Calibri"/>
          <w:sz w:val="20"/>
          <w:szCs w:val="20"/>
        </w:rPr>
        <w:t>asset;</w:t>
      </w:r>
      <w:proofErr w:type="gramEnd"/>
    </w:p>
    <w:p w14:paraId="57B797F5" w14:textId="77777777" w:rsidR="00B94952" w:rsidRPr="00B94952" w:rsidRDefault="00B94952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</w:p>
    <w:p w14:paraId="75DBB13A" w14:textId="77777777" w:rsidR="00B94952" w:rsidRPr="00B94952" w:rsidRDefault="00170FCA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 xml:space="preserve">Experience in engaging in multi-stakeholder processes in domestication of regional </w:t>
      </w:r>
      <w:proofErr w:type="gramStart"/>
      <w:r w:rsidRPr="00B94952">
        <w:rPr>
          <w:rFonts w:ascii="Tw Cen MT" w:hAnsi="Tw Cen MT" w:cs="Calibri"/>
          <w:sz w:val="20"/>
          <w:szCs w:val="20"/>
        </w:rPr>
        <w:t>protocols;</w:t>
      </w:r>
      <w:proofErr w:type="gramEnd"/>
    </w:p>
    <w:p w14:paraId="75388BDD" w14:textId="77777777" w:rsidR="00B94952" w:rsidRPr="00B94952" w:rsidRDefault="00B94952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</w:p>
    <w:p w14:paraId="50097EC2" w14:textId="155A87D6" w:rsidR="00170FCA" w:rsidRPr="00B94952" w:rsidRDefault="00170FCA" w:rsidP="00B9495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w Cen MT" w:hAnsi="Tw Cen MT" w:cs="Calibri"/>
          <w:sz w:val="20"/>
          <w:szCs w:val="20"/>
        </w:rPr>
      </w:pPr>
      <w:r w:rsidRPr="00B94952">
        <w:rPr>
          <w:rFonts w:ascii="Tw Cen MT" w:hAnsi="Tw Cen MT" w:cs="Calibri"/>
          <w:sz w:val="20"/>
          <w:szCs w:val="20"/>
        </w:rPr>
        <w:t>Experience working with or supporting regional bodies (</w:t>
      </w:r>
      <w:proofErr w:type="spellStart"/>
      <w:r w:rsidRPr="00B94952">
        <w:rPr>
          <w:rFonts w:ascii="Tw Cen MT" w:hAnsi="Tw Cen MT" w:cs="Calibri"/>
          <w:sz w:val="20"/>
          <w:szCs w:val="20"/>
        </w:rPr>
        <w:t>eg.</w:t>
      </w:r>
      <w:proofErr w:type="spellEnd"/>
      <w:r w:rsidRPr="00B94952">
        <w:rPr>
          <w:rFonts w:ascii="Tw Cen MT" w:hAnsi="Tw Cen MT" w:cs="Calibri"/>
          <w:sz w:val="20"/>
          <w:szCs w:val="20"/>
        </w:rPr>
        <w:t xml:space="preserve"> IGAD and AU) is desirable.</w:t>
      </w:r>
    </w:p>
    <w:p w14:paraId="4D19DB9B" w14:textId="740AB25B" w:rsidR="00B94952" w:rsidRPr="00B94952" w:rsidRDefault="00B94952" w:rsidP="00B94952">
      <w:pPr>
        <w:jc w:val="both"/>
        <w:rPr>
          <w:rFonts w:ascii="Tw Cen MT" w:hAnsi="Tw Cen MT" w:cs="Calibri"/>
          <w:sz w:val="20"/>
          <w:szCs w:val="20"/>
        </w:rPr>
      </w:pPr>
    </w:p>
    <w:p w14:paraId="47B09460" w14:textId="01586871" w:rsidR="00B94952" w:rsidRPr="00B94952" w:rsidRDefault="00B94952" w:rsidP="00B94952">
      <w:pPr>
        <w:jc w:val="both"/>
        <w:rPr>
          <w:rFonts w:ascii="Tw Cen MT" w:hAnsi="Tw Cen MT" w:cs="Calibri-Bold"/>
          <w:b/>
          <w:bCs/>
          <w:sz w:val="20"/>
          <w:szCs w:val="20"/>
        </w:rPr>
      </w:pPr>
      <w:r w:rsidRPr="00B94952">
        <w:rPr>
          <w:rFonts w:ascii="Tw Cen MT" w:hAnsi="Tw Cen MT" w:cs="Calibri-Bold"/>
          <w:b/>
          <w:bCs/>
          <w:sz w:val="20"/>
          <w:szCs w:val="20"/>
        </w:rPr>
        <w:t>Payment Modality</w:t>
      </w:r>
    </w:p>
    <w:p w14:paraId="74A25E21" w14:textId="77777777" w:rsidR="00B94952" w:rsidRPr="00B94952" w:rsidRDefault="00B94952" w:rsidP="00B94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Calibri"/>
          <w:color w:val="333333"/>
          <w:sz w:val="20"/>
          <w:szCs w:val="20"/>
        </w:rPr>
      </w:pPr>
      <w:r w:rsidRPr="00B94952">
        <w:rPr>
          <w:rFonts w:ascii="Tw Cen MT" w:hAnsi="Tw Cen MT" w:cs="Calibri"/>
          <w:color w:val="333333"/>
          <w:sz w:val="20"/>
          <w:szCs w:val="20"/>
        </w:rPr>
        <w:t>Payment to the individual contractor will be made based on the actual number of days worked, deliverables</w:t>
      </w:r>
    </w:p>
    <w:p w14:paraId="37AB5FAA" w14:textId="725A6C87" w:rsidR="00B94952" w:rsidRDefault="00B94952" w:rsidP="00B94952">
      <w:pPr>
        <w:jc w:val="both"/>
        <w:rPr>
          <w:rFonts w:ascii="Tw Cen MT" w:hAnsi="Tw Cen MT" w:cs="Calibri"/>
          <w:color w:val="333333"/>
          <w:sz w:val="20"/>
          <w:szCs w:val="20"/>
        </w:rPr>
      </w:pPr>
      <w:r w:rsidRPr="00B94952">
        <w:rPr>
          <w:rFonts w:ascii="Tw Cen MT" w:hAnsi="Tw Cen MT" w:cs="Calibri"/>
          <w:color w:val="333333"/>
          <w:sz w:val="20"/>
          <w:szCs w:val="20"/>
        </w:rPr>
        <w:t>accepted and upon certification of satisfactory completion by the manager.</w:t>
      </w:r>
    </w:p>
    <w:p w14:paraId="12027ED1" w14:textId="04C7D080" w:rsidR="00AF7296" w:rsidRDefault="00AF7296" w:rsidP="00B94952">
      <w:pPr>
        <w:jc w:val="both"/>
        <w:rPr>
          <w:rFonts w:ascii="Tw Cen MT" w:hAnsi="Tw Cen MT" w:cs="Calibri"/>
          <w:color w:val="333333"/>
          <w:sz w:val="20"/>
          <w:szCs w:val="20"/>
        </w:rPr>
      </w:pPr>
    </w:p>
    <w:p w14:paraId="0096774D" w14:textId="276B6C50" w:rsidR="00AF7296" w:rsidRDefault="00AF7296" w:rsidP="00B94952">
      <w:pPr>
        <w:jc w:val="both"/>
        <w:rPr>
          <w:rFonts w:ascii="Tw Cen MT" w:hAnsi="Tw Cen MT" w:cs="Calibri"/>
          <w:color w:val="333333"/>
          <w:sz w:val="20"/>
          <w:szCs w:val="20"/>
        </w:rPr>
      </w:pPr>
    </w:p>
    <w:p w14:paraId="09D98E1D" w14:textId="77777777" w:rsidR="00AF7296" w:rsidRPr="00AF7296" w:rsidRDefault="00AF7296" w:rsidP="00AF7296">
      <w:pPr>
        <w:spacing w:after="0" w:line="312" w:lineRule="auto"/>
        <w:jc w:val="both"/>
        <w:outlineLvl w:val="5"/>
        <w:rPr>
          <w:rFonts w:ascii="Bookman Old Style" w:eastAsia="Calibri" w:hAnsi="Bookman Old Style" w:cs="Times New Roman"/>
          <w:b/>
          <w:lang w:val="en-ZW" w:eastAsia="ru-RU"/>
        </w:rPr>
      </w:pPr>
      <w:r w:rsidRPr="00AF7296">
        <w:rPr>
          <w:rFonts w:ascii="Bookman Old Style" w:eastAsia="Calibri" w:hAnsi="Bookman Old Style" w:cs="Times New Roman"/>
          <w:b/>
          <w:lang w:val="en-ZW" w:eastAsia="ru-RU"/>
        </w:rPr>
        <w:lastRenderedPageBreak/>
        <w:t>Annex 1 - Intervention Results Framework and Theory of Change</w:t>
      </w:r>
    </w:p>
    <w:p w14:paraId="7A2DA06F" w14:textId="77777777" w:rsidR="00AF7296" w:rsidRPr="00AF7296" w:rsidRDefault="00AF7296" w:rsidP="00AF7296">
      <w:pPr>
        <w:spacing w:after="0" w:line="312" w:lineRule="auto"/>
        <w:jc w:val="both"/>
        <w:outlineLvl w:val="5"/>
        <w:rPr>
          <w:rFonts w:ascii="Bookman Old Style" w:eastAsia="Calibri" w:hAnsi="Bookman Old Style" w:cs="Times New Roman"/>
          <w:b/>
          <w:lang w:val="en-ZW" w:eastAsia="ru-RU"/>
        </w:rPr>
      </w:pPr>
    </w:p>
    <w:p w14:paraId="4370C17A" w14:textId="77777777" w:rsidR="00AF7296" w:rsidRPr="00AF7296" w:rsidRDefault="00AF7296" w:rsidP="00AF7296">
      <w:pPr>
        <w:spacing w:after="0" w:line="312" w:lineRule="auto"/>
        <w:jc w:val="both"/>
        <w:outlineLvl w:val="5"/>
        <w:rPr>
          <w:rFonts w:ascii="Bookman Old Style" w:eastAsia="Calibri" w:hAnsi="Bookman Old Style" w:cs="Times New Roman"/>
          <w:b/>
          <w:lang w:val="en-ZW" w:eastAsia="ru-RU"/>
        </w:rPr>
      </w:pPr>
      <w:r w:rsidRPr="00AF7296">
        <w:rPr>
          <w:rFonts w:ascii="Bookman Old Style" w:eastAsia="Calibri" w:hAnsi="Bookman Old Style" w:cs="Times New Roman"/>
          <w:b/>
          <w:lang w:val="en-ZW" w:eastAsia="ru-RU"/>
        </w:rPr>
        <w:t>Annex 2 – List of Key stakeholders and partners</w:t>
      </w:r>
    </w:p>
    <w:p w14:paraId="57BB4899" w14:textId="77777777" w:rsidR="00AF7296" w:rsidRPr="00AF7296" w:rsidRDefault="00AF7296" w:rsidP="00AF7296">
      <w:pPr>
        <w:spacing w:after="0" w:line="312" w:lineRule="auto"/>
        <w:jc w:val="both"/>
        <w:outlineLvl w:val="5"/>
        <w:rPr>
          <w:rFonts w:ascii="Bookman Old Style" w:eastAsia="Calibri" w:hAnsi="Bookman Old Style" w:cs="Times New Roman"/>
          <w:b/>
          <w:lang w:val="en-ZW" w:eastAsia="ru-RU"/>
        </w:rPr>
      </w:pPr>
    </w:p>
    <w:p w14:paraId="46DD0945" w14:textId="77777777" w:rsidR="00AF7296" w:rsidRPr="00AF7296" w:rsidRDefault="00AF7296" w:rsidP="00AF7296">
      <w:pPr>
        <w:spacing w:after="0" w:line="312" w:lineRule="auto"/>
        <w:jc w:val="both"/>
        <w:outlineLvl w:val="5"/>
        <w:rPr>
          <w:rFonts w:ascii="Bookman Old Style" w:eastAsia="Calibri" w:hAnsi="Bookman Old Style" w:cs="Times New Roman"/>
          <w:b/>
          <w:lang w:val="en-ZW" w:eastAsia="ru-RU"/>
        </w:rPr>
      </w:pPr>
      <w:r w:rsidRPr="00AF7296">
        <w:rPr>
          <w:rFonts w:ascii="Bookman Old Style" w:eastAsia="Calibri" w:hAnsi="Bookman Old Style" w:cs="Times New Roman"/>
          <w:b/>
          <w:lang w:val="en-ZW" w:eastAsia="ru-RU"/>
        </w:rPr>
        <w:t>Annex 3 - Documents to be consulted</w:t>
      </w:r>
    </w:p>
    <w:p w14:paraId="28B9874A" w14:textId="77777777" w:rsidR="00AF7296" w:rsidRPr="00AF7296" w:rsidRDefault="00AF7296" w:rsidP="00AF7296">
      <w:pPr>
        <w:spacing w:after="0" w:line="312" w:lineRule="auto"/>
        <w:jc w:val="both"/>
        <w:outlineLvl w:val="5"/>
        <w:rPr>
          <w:rFonts w:ascii="Bookman Old Style" w:eastAsia="Calibri" w:hAnsi="Bookman Old Style" w:cs="Times New Roman"/>
          <w:lang w:val="en-ZW" w:eastAsia="ru-RU"/>
        </w:rPr>
      </w:pPr>
    </w:p>
    <w:p w14:paraId="7087F8F2" w14:textId="77777777" w:rsidR="00AF7296" w:rsidRPr="00AF7296" w:rsidRDefault="00AF7296" w:rsidP="00AF7296">
      <w:pPr>
        <w:spacing w:after="0" w:line="312" w:lineRule="auto"/>
        <w:jc w:val="both"/>
        <w:outlineLvl w:val="5"/>
        <w:rPr>
          <w:rFonts w:ascii="Bookman Old Style" w:eastAsia="Calibri" w:hAnsi="Bookman Old Style" w:cs="Times New Roman"/>
          <w:b/>
          <w:lang w:val="en-ZW" w:eastAsia="ru-RU"/>
        </w:rPr>
      </w:pPr>
      <w:r w:rsidRPr="00AF7296">
        <w:rPr>
          <w:rFonts w:ascii="Bookman Old Style" w:eastAsia="Calibri" w:hAnsi="Bookman Old Style" w:cs="Times New Roman"/>
          <w:b/>
          <w:lang w:val="en-ZW" w:eastAsia="ru-RU"/>
        </w:rPr>
        <w:t>Annex 4 - Evaluation Matrix</w:t>
      </w:r>
    </w:p>
    <w:p w14:paraId="2B665EAA" w14:textId="77777777" w:rsidR="00AF7296" w:rsidRPr="00AF7296" w:rsidRDefault="00AF7296" w:rsidP="00AF7296">
      <w:pPr>
        <w:spacing w:after="0" w:line="312" w:lineRule="auto"/>
        <w:jc w:val="both"/>
        <w:outlineLvl w:val="5"/>
        <w:rPr>
          <w:rFonts w:ascii="Bookman Old Style" w:eastAsia="Calibri" w:hAnsi="Bookman Old Style" w:cs="Times New Roman"/>
          <w:b/>
          <w:lang w:val="en-ZW" w:eastAsia="ru-RU"/>
        </w:rPr>
      </w:pPr>
    </w:p>
    <w:p w14:paraId="114A7840" w14:textId="77777777" w:rsidR="00AF7296" w:rsidRPr="00AF7296" w:rsidRDefault="00AF7296" w:rsidP="00AF7296">
      <w:pPr>
        <w:spacing w:after="0" w:line="312" w:lineRule="auto"/>
        <w:jc w:val="both"/>
        <w:outlineLvl w:val="5"/>
        <w:rPr>
          <w:rFonts w:ascii="Bookman Old Style" w:eastAsia="Calibri" w:hAnsi="Bookman Old Style" w:cs="Times New Roman"/>
          <w:b/>
          <w:lang w:val="en-ZW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294"/>
        <w:gridCol w:w="1294"/>
        <w:gridCol w:w="1068"/>
        <w:gridCol w:w="1818"/>
        <w:gridCol w:w="1421"/>
        <w:gridCol w:w="1129"/>
      </w:tblGrid>
      <w:tr w:rsidR="00AF7296" w:rsidRPr="00AF7296" w14:paraId="5A4788F8" w14:textId="77777777" w:rsidTr="00E2056E">
        <w:tc>
          <w:tcPr>
            <w:tcW w:w="9350" w:type="dxa"/>
            <w:gridSpan w:val="7"/>
          </w:tcPr>
          <w:p w14:paraId="70F3F694" w14:textId="77777777" w:rsidR="00AF7296" w:rsidRPr="00AF7296" w:rsidRDefault="00AF7296" w:rsidP="00AF7296">
            <w:pPr>
              <w:rPr>
                <w:rFonts w:ascii="Bookman Old Style" w:eastAsia="Calibri" w:hAnsi="Bookman Old Style" w:cs="Times New Roman"/>
                <w:b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lang w:val="en-ZW" w:eastAsia="ru-RU"/>
              </w:rPr>
              <w:t>EVALUATION MATRIX</w:t>
            </w:r>
          </w:p>
        </w:tc>
      </w:tr>
      <w:tr w:rsidR="00AF7296" w:rsidRPr="00AF7296" w14:paraId="0D2C4676" w14:textId="77777777" w:rsidTr="00E2056E">
        <w:tc>
          <w:tcPr>
            <w:tcW w:w="1326" w:type="dxa"/>
            <w:shd w:val="clear" w:color="auto" w:fill="C6D9F1"/>
          </w:tcPr>
          <w:p w14:paraId="055E8004" w14:textId="77777777" w:rsidR="00AF7296" w:rsidRPr="00AF7296" w:rsidRDefault="00AF7296" w:rsidP="00AF729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Relevant</w:t>
            </w:r>
          </w:p>
          <w:p w14:paraId="1561DED7" w14:textId="77777777" w:rsidR="00AF7296" w:rsidRPr="00AF7296" w:rsidRDefault="00AF7296" w:rsidP="00AF729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evaluation</w:t>
            </w:r>
          </w:p>
          <w:p w14:paraId="66AE9939" w14:textId="77777777" w:rsidR="00AF7296" w:rsidRPr="00AF7296" w:rsidRDefault="00AF7296" w:rsidP="00AF7296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criteria</w:t>
            </w:r>
          </w:p>
        </w:tc>
        <w:tc>
          <w:tcPr>
            <w:tcW w:w="1294" w:type="dxa"/>
            <w:shd w:val="clear" w:color="auto" w:fill="C6D9F1"/>
          </w:tcPr>
          <w:p w14:paraId="5339059C" w14:textId="77777777" w:rsidR="00AF7296" w:rsidRPr="00AF7296" w:rsidRDefault="00AF7296" w:rsidP="00AF729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Key</w:t>
            </w:r>
          </w:p>
          <w:p w14:paraId="4D990CB6" w14:textId="77777777" w:rsidR="00AF7296" w:rsidRPr="00AF7296" w:rsidRDefault="00AF7296" w:rsidP="00AF729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Questions</w:t>
            </w:r>
          </w:p>
          <w:p w14:paraId="03897032" w14:textId="77777777" w:rsidR="00AF7296" w:rsidRPr="00AF7296" w:rsidRDefault="00AF7296" w:rsidP="00AF729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</w:p>
          <w:p w14:paraId="4AA1EBFB" w14:textId="77777777" w:rsidR="00AF7296" w:rsidRPr="00AF7296" w:rsidRDefault="00AF7296" w:rsidP="00AF729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</w:p>
        </w:tc>
        <w:tc>
          <w:tcPr>
            <w:tcW w:w="1294" w:type="dxa"/>
            <w:shd w:val="clear" w:color="auto" w:fill="C6D9F1"/>
          </w:tcPr>
          <w:p w14:paraId="40E6D067" w14:textId="77777777" w:rsidR="00AF7296" w:rsidRPr="00AF7296" w:rsidRDefault="00AF7296" w:rsidP="00AF729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Specific</w:t>
            </w:r>
          </w:p>
          <w:p w14:paraId="71D5DF8C" w14:textId="77777777" w:rsidR="00AF7296" w:rsidRPr="00AF7296" w:rsidRDefault="00AF7296" w:rsidP="00AF729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Sub-</w:t>
            </w:r>
          </w:p>
          <w:p w14:paraId="34EDFFC9" w14:textId="77777777" w:rsidR="00AF7296" w:rsidRPr="00AF7296" w:rsidRDefault="00AF7296" w:rsidP="00AF7296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Questions</w:t>
            </w:r>
          </w:p>
        </w:tc>
        <w:tc>
          <w:tcPr>
            <w:tcW w:w="1068" w:type="dxa"/>
            <w:shd w:val="clear" w:color="auto" w:fill="C6D9F1"/>
          </w:tcPr>
          <w:p w14:paraId="297A9AA9" w14:textId="77777777" w:rsidR="00AF7296" w:rsidRPr="00AF7296" w:rsidRDefault="00AF7296" w:rsidP="00AF729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Data</w:t>
            </w:r>
          </w:p>
          <w:p w14:paraId="5F8C1AA9" w14:textId="77777777" w:rsidR="00AF7296" w:rsidRPr="00AF7296" w:rsidRDefault="00AF7296" w:rsidP="00AF729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Sources</w:t>
            </w:r>
          </w:p>
          <w:p w14:paraId="1CE7BA5C" w14:textId="77777777" w:rsidR="00AF7296" w:rsidRPr="00AF7296" w:rsidRDefault="00AF7296" w:rsidP="00AF7296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</w:p>
        </w:tc>
        <w:tc>
          <w:tcPr>
            <w:tcW w:w="1818" w:type="dxa"/>
            <w:shd w:val="clear" w:color="auto" w:fill="C6D9F1"/>
          </w:tcPr>
          <w:p w14:paraId="00E523A8" w14:textId="77777777" w:rsidR="00AF7296" w:rsidRPr="00AF7296" w:rsidRDefault="00AF7296" w:rsidP="00AF729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Data collection</w:t>
            </w:r>
          </w:p>
          <w:p w14:paraId="71959B67" w14:textId="77777777" w:rsidR="00AF7296" w:rsidRPr="00AF7296" w:rsidRDefault="00AF7296" w:rsidP="00AF7296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Methods/Tools</w:t>
            </w:r>
          </w:p>
        </w:tc>
        <w:tc>
          <w:tcPr>
            <w:tcW w:w="1421" w:type="dxa"/>
            <w:shd w:val="clear" w:color="auto" w:fill="C6D9F1"/>
          </w:tcPr>
          <w:p w14:paraId="1377A12D" w14:textId="77777777" w:rsidR="00AF7296" w:rsidRPr="00AF7296" w:rsidRDefault="00AF7296" w:rsidP="00AF729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Indicators/</w:t>
            </w:r>
          </w:p>
          <w:p w14:paraId="6F6F09CC" w14:textId="77777777" w:rsidR="00AF7296" w:rsidRPr="00AF7296" w:rsidRDefault="00AF7296" w:rsidP="00AF7296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Success</w:t>
            </w:r>
          </w:p>
          <w:p w14:paraId="11D7B7C5" w14:textId="77777777" w:rsidR="00AF7296" w:rsidRPr="00AF7296" w:rsidRDefault="00AF7296" w:rsidP="00AF7296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Standard</w:t>
            </w:r>
          </w:p>
        </w:tc>
        <w:tc>
          <w:tcPr>
            <w:tcW w:w="1129" w:type="dxa"/>
            <w:shd w:val="clear" w:color="auto" w:fill="C6D9F1"/>
          </w:tcPr>
          <w:p w14:paraId="1BB1C055" w14:textId="77777777" w:rsidR="00AF7296" w:rsidRPr="00AF7296" w:rsidRDefault="00AF7296" w:rsidP="00AF7296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</w:pPr>
            <w:r w:rsidRPr="00AF7296">
              <w:rPr>
                <w:rFonts w:ascii="Bookman Old Style" w:eastAsia="Calibri" w:hAnsi="Bookman Old Style" w:cs="Times New Roman"/>
                <w:b/>
                <w:sz w:val="20"/>
                <w:szCs w:val="20"/>
                <w:lang w:val="en-ZW" w:eastAsia="ru-RU"/>
              </w:rPr>
              <w:t>Methods for Data Analysis</w:t>
            </w:r>
          </w:p>
        </w:tc>
      </w:tr>
      <w:tr w:rsidR="00AF7296" w:rsidRPr="00AF7296" w14:paraId="6751C403" w14:textId="77777777" w:rsidTr="00E2056E">
        <w:tc>
          <w:tcPr>
            <w:tcW w:w="1326" w:type="dxa"/>
          </w:tcPr>
          <w:p w14:paraId="7697DE94" w14:textId="77777777" w:rsidR="00AF7296" w:rsidRPr="00AF7296" w:rsidRDefault="00AF7296" w:rsidP="00AF7296">
            <w:pPr>
              <w:rPr>
                <w:rFonts w:ascii="Bookman Old Style" w:eastAsia="Calibri" w:hAnsi="Bookman Old Style" w:cs="Times New Roman"/>
                <w:lang w:val="en-ZW" w:eastAsia="ru-RU"/>
              </w:rPr>
            </w:pPr>
          </w:p>
        </w:tc>
        <w:tc>
          <w:tcPr>
            <w:tcW w:w="1294" w:type="dxa"/>
          </w:tcPr>
          <w:p w14:paraId="3B42B912" w14:textId="77777777" w:rsidR="00AF7296" w:rsidRPr="00AF7296" w:rsidRDefault="00AF7296" w:rsidP="00AF7296">
            <w:pPr>
              <w:rPr>
                <w:rFonts w:ascii="Bookman Old Style" w:eastAsia="Calibri" w:hAnsi="Bookman Old Style" w:cs="Times New Roman"/>
                <w:lang w:val="en-ZW" w:eastAsia="ru-RU"/>
              </w:rPr>
            </w:pPr>
          </w:p>
        </w:tc>
        <w:tc>
          <w:tcPr>
            <w:tcW w:w="1294" w:type="dxa"/>
          </w:tcPr>
          <w:p w14:paraId="09C2B132" w14:textId="77777777" w:rsidR="00AF7296" w:rsidRPr="00AF7296" w:rsidRDefault="00AF7296" w:rsidP="00AF7296">
            <w:pPr>
              <w:rPr>
                <w:rFonts w:ascii="Bookman Old Style" w:eastAsia="Calibri" w:hAnsi="Bookman Old Style" w:cs="Times New Roman"/>
                <w:lang w:val="en-ZW" w:eastAsia="ru-RU"/>
              </w:rPr>
            </w:pPr>
          </w:p>
        </w:tc>
        <w:tc>
          <w:tcPr>
            <w:tcW w:w="1068" w:type="dxa"/>
          </w:tcPr>
          <w:p w14:paraId="0D1493D9" w14:textId="77777777" w:rsidR="00AF7296" w:rsidRPr="00AF7296" w:rsidRDefault="00AF7296" w:rsidP="00AF7296">
            <w:pPr>
              <w:rPr>
                <w:rFonts w:ascii="Bookman Old Style" w:eastAsia="Calibri" w:hAnsi="Bookman Old Style" w:cs="Times New Roman"/>
                <w:lang w:val="en-ZW" w:eastAsia="ru-RU"/>
              </w:rPr>
            </w:pPr>
          </w:p>
        </w:tc>
        <w:tc>
          <w:tcPr>
            <w:tcW w:w="1818" w:type="dxa"/>
          </w:tcPr>
          <w:p w14:paraId="6978A6A6" w14:textId="77777777" w:rsidR="00AF7296" w:rsidRPr="00AF7296" w:rsidRDefault="00AF7296" w:rsidP="00AF7296">
            <w:pPr>
              <w:rPr>
                <w:rFonts w:ascii="Bookman Old Style" w:eastAsia="Calibri" w:hAnsi="Bookman Old Style" w:cs="Times New Roman"/>
                <w:lang w:val="en-ZW" w:eastAsia="ru-RU"/>
              </w:rPr>
            </w:pPr>
          </w:p>
        </w:tc>
        <w:tc>
          <w:tcPr>
            <w:tcW w:w="1421" w:type="dxa"/>
          </w:tcPr>
          <w:p w14:paraId="549E1EB2" w14:textId="77777777" w:rsidR="00AF7296" w:rsidRPr="00AF7296" w:rsidRDefault="00AF7296" w:rsidP="00AF7296">
            <w:pPr>
              <w:rPr>
                <w:rFonts w:ascii="Bookman Old Style" w:eastAsia="Calibri" w:hAnsi="Bookman Old Style" w:cs="Times New Roman"/>
                <w:lang w:val="en-ZW" w:eastAsia="ru-RU"/>
              </w:rPr>
            </w:pPr>
          </w:p>
        </w:tc>
        <w:tc>
          <w:tcPr>
            <w:tcW w:w="1129" w:type="dxa"/>
          </w:tcPr>
          <w:p w14:paraId="510C7E2F" w14:textId="77777777" w:rsidR="00AF7296" w:rsidRPr="00AF7296" w:rsidRDefault="00AF7296" w:rsidP="00AF7296">
            <w:pPr>
              <w:rPr>
                <w:rFonts w:ascii="Bookman Old Style" w:eastAsia="Calibri" w:hAnsi="Bookman Old Style" w:cs="Times New Roman"/>
                <w:lang w:val="en-ZW" w:eastAsia="ru-RU"/>
              </w:rPr>
            </w:pPr>
          </w:p>
        </w:tc>
      </w:tr>
      <w:tr w:rsidR="00AF7296" w:rsidRPr="00AF7296" w14:paraId="738767EF" w14:textId="77777777" w:rsidTr="00E2056E">
        <w:tc>
          <w:tcPr>
            <w:tcW w:w="1326" w:type="dxa"/>
          </w:tcPr>
          <w:p w14:paraId="46D9995B" w14:textId="77777777" w:rsidR="00AF7296" w:rsidRPr="00AF7296" w:rsidRDefault="00AF7296" w:rsidP="00AF7296">
            <w:pPr>
              <w:rPr>
                <w:rFonts w:ascii="Bookman Old Style" w:eastAsia="Calibri" w:hAnsi="Bookman Old Style" w:cs="Times New Roman"/>
                <w:lang w:val="en-ZW" w:eastAsia="ru-RU"/>
              </w:rPr>
            </w:pPr>
          </w:p>
        </w:tc>
        <w:tc>
          <w:tcPr>
            <w:tcW w:w="1294" w:type="dxa"/>
          </w:tcPr>
          <w:p w14:paraId="24DD11F9" w14:textId="77777777" w:rsidR="00AF7296" w:rsidRPr="00AF7296" w:rsidRDefault="00AF7296" w:rsidP="00AF7296">
            <w:pPr>
              <w:rPr>
                <w:rFonts w:ascii="Bookman Old Style" w:eastAsia="Calibri" w:hAnsi="Bookman Old Style" w:cs="Times New Roman"/>
                <w:lang w:val="en-ZW" w:eastAsia="ru-RU"/>
              </w:rPr>
            </w:pPr>
          </w:p>
        </w:tc>
        <w:tc>
          <w:tcPr>
            <w:tcW w:w="1294" w:type="dxa"/>
          </w:tcPr>
          <w:p w14:paraId="50075619" w14:textId="77777777" w:rsidR="00AF7296" w:rsidRPr="00AF7296" w:rsidRDefault="00AF7296" w:rsidP="00AF7296">
            <w:pPr>
              <w:rPr>
                <w:rFonts w:ascii="Bookman Old Style" w:eastAsia="Calibri" w:hAnsi="Bookman Old Style" w:cs="Times New Roman"/>
                <w:lang w:val="en-ZW" w:eastAsia="ru-RU"/>
              </w:rPr>
            </w:pPr>
          </w:p>
        </w:tc>
        <w:tc>
          <w:tcPr>
            <w:tcW w:w="1068" w:type="dxa"/>
          </w:tcPr>
          <w:p w14:paraId="447ED25A" w14:textId="77777777" w:rsidR="00AF7296" w:rsidRPr="00AF7296" w:rsidRDefault="00AF7296" w:rsidP="00AF7296">
            <w:pPr>
              <w:rPr>
                <w:rFonts w:ascii="Bookman Old Style" w:eastAsia="Calibri" w:hAnsi="Bookman Old Style" w:cs="Times New Roman"/>
                <w:lang w:val="en-ZW" w:eastAsia="ru-RU"/>
              </w:rPr>
            </w:pPr>
          </w:p>
        </w:tc>
        <w:tc>
          <w:tcPr>
            <w:tcW w:w="1818" w:type="dxa"/>
          </w:tcPr>
          <w:p w14:paraId="5058954B" w14:textId="77777777" w:rsidR="00AF7296" w:rsidRPr="00AF7296" w:rsidRDefault="00AF7296" w:rsidP="00AF7296">
            <w:pPr>
              <w:rPr>
                <w:rFonts w:ascii="Bookman Old Style" w:eastAsia="Calibri" w:hAnsi="Bookman Old Style" w:cs="Times New Roman"/>
                <w:lang w:val="en-ZW" w:eastAsia="ru-RU"/>
              </w:rPr>
            </w:pPr>
          </w:p>
        </w:tc>
        <w:tc>
          <w:tcPr>
            <w:tcW w:w="1421" w:type="dxa"/>
          </w:tcPr>
          <w:p w14:paraId="71644CD6" w14:textId="77777777" w:rsidR="00AF7296" w:rsidRPr="00AF7296" w:rsidRDefault="00AF7296" w:rsidP="00AF7296">
            <w:pPr>
              <w:rPr>
                <w:rFonts w:ascii="Bookman Old Style" w:eastAsia="Calibri" w:hAnsi="Bookman Old Style" w:cs="Times New Roman"/>
                <w:lang w:val="en-ZW" w:eastAsia="ru-RU"/>
              </w:rPr>
            </w:pPr>
          </w:p>
        </w:tc>
        <w:tc>
          <w:tcPr>
            <w:tcW w:w="1129" w:type="dxa"/>
          </w:tcPr>
          <w:p w14:paraId="2FE4B1D8" w14:textId="77777777" w:rsidR="00AF7296" w:rsidRPr="00AF7296" w:rsidRDefault="00AF7296" w:rsidP="00AF7296">
            <w:pPr>
              <w:rPr>
                <w:rFonts w:ascii="Bookman Old Style" w:eastAsia="Calibri" w:hAnsi="Bookman Old Style" w:cs="Times New Roman"/>
                <w:lang w:val="en-ZW" w:eastAsia="ru-RU"/>
              </w:rPr>
            </w:pPr>
          </w:p>
        </w:tc>
      </w:tr>
    </w:tbl>
    <w:p w14:paraId="2CAB2C11" w14:textId="77777777" w:rsidR="00AF7296" w:rsidRPr="00AF7296" w:rsidRDefault="00AF7296" w:rsidP="00AF7296">
      <w:pPr>
        <w:spacing w:after="120" w:line="276" w:lineRule="auto"/>
        <w:rPr>
          <w:rFonts w:ascii="Bookman Old Style" w:eastAsia="Calibri" w:hAnsi="Bookman Old Style" w:cs="Abel-Regular-Identity-H"/>
        </w:rPr>
      </w:pPr>
    </w:p>
    <w:p w14:paraId="3DC665E9" w14:textId="77777777" w:rsidR="00AF7296" w:rsidRPr="00AF7296" w:rsidRDefault="00AF7296" w:rsidP="00AF7296">
      <w:pPr>
        <w:spacing w:after="120" w:line="276" w:lineRule="auto"/>
        <w:rPr>
          <w:rFonts w:ascii="Bookman Old Style" w:eastAsia="Calibri" w:hAnsi="Bookman Old Style" w:cs="Times New Roman"/>
          <w:b/>
          <w:lang w:val="en-ZW" w:eastAsia="ru-RU"/>
        </w:rPr>
      </w:pPr>
      <w:r w:rsidRPr="00AF7296">
        <w:rPr>
          <w:rFonts w:ascii="Bookman Old Style" w:eastAsia="Calibri" w:hAnsi="Bookman Old Style" w:cs="Times New Roman"/>
          <w:b/>
          <w:lang w:val="en-ZW" w:eastAsia="ru-RU"/>
        </w:rPr>
        <w:t xml:space="preserve">Annex 5 - </w:t>
      </w:r>
      <w:r w:rsidRPr="00AF7296">
        <w:rPr>
          <w:rFonts w:ascii="Bookman Old Style" w:eastAsia="Calibri" w:hAnsi="Bookman Old Style" w:cs="Abel-Regular-Identity-H"/>
          <w:b/>
          <w:lang w:val="en-ZW"/>
        </w:rPr>
        <w:t xml:space="preserve">The code of conduct (to be signed by the evaluator upon signing </w:t>
      </w:r>
      <w:proofErr w:type="spellStart"/>
      <w:r w:rsidRPr="00AF7296">
        <w:rPr>
          <w:rFonts w:ascii="Bookman Old Style" w:eastAsia="Calibri" w:hAnsi="Bookman Old Style" w:cs="Abel-Regular-Identity-H"/>
          <w:b/>
          <w:lang w:val="en-ZW"/>
        </w:rPr>
        <w:t>he</w:t>
      </w:r>
      <w:proofErr w:type="spellEnd"/>
      <w:r w:rsidRPr="00AF7296">
        <w:rPr>
          <w:rFonts w:ascii="Bookman Old Style" w:eastAsia="Calibri" w:hAnsi="Bookman Old Style" w:cs="Abel-Regular-Identity-H"/>
          <w:b/>
          <w:lang w:val="en-ZW"/>
        </w:rPr>
        <w:t xml:space="preserve"> contract)</w:t>
      </w:r>
    </w:p>
    <w:p w14:paraId="7F407E65" w14:textId="77777777" w:rsidR="00AF7296" w:rsidRPr="00AF7296" w:rsidRDefault="00AF7296" w:rsidP="00AF7296">
      <w:pPr>
        <w:spacing w:after="0" w:line="312" w:lineRule="auto"/>
        <w:jc w:val="both"/>
        <w:outlineLvl w:val="5"/>
        <w:rPr>
          <w:rFonts w:ascii="Bookman Old Style" w:eastAsia="Calibri" w:hAnsi="Bookman Old Style" w:cs="Abel-Regular-Identity-H"/>
        </w:rPr>
      </w:pPr>
    </w:p>
    <w:p w14:paraId="5F26FA66" w14:textId="77777777" w:rsidR="00AF7296" w:rsidRPr="00B94952" w:rsidRDefault="00AF7296" w:rsidP="00B94952">
      <w:pPr>
        <w:jc w:val="both"/>
        <w:rPr>
          <w:rFonts w:ascii="Tw Cen MT" w:hAnsi="Tw Cen MT" w:cs="Calibri"/>
          <w:sz w:val="20"/>
          <w:szCs w:val="20"/>
        </w:rPr>
      </w:pPr>
    </w:p>
    <w:sectPr w:rsidR="00AF7296" w:rsidRPr="00B9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2868" w14:textId="77777777" w:rsidR="003C5247" w:rsidRDefault="003C5247" w:rsidP="00424430">
      <w:pPr>
        <w:spacing w:after="0" w:line="240" w:lineRule="auto"/>
      </w:pPr>
      <w:r>
        <w:separator/>
      </w:r>
    </w:p>
  </w:endnote>
  <w:endnote w:type="continuationSeparator" w:id="0">
    <w:p w14:paraId="3CFA14CB" w14:textId="77777777" w:rsidR="003C5247" w:rsidRDefault="003C5247" w:rsidP="0042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el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49172" w14:textId="77777777" w:rsidR="003C5247" w:rsidRDefault="003C5247" w:rsidP="00424430">
      <w:pPr>
        <w:spacing w:after="0" w:line="240" w:lineRule="auto"/>
      </w:pPr>
      <w:r>
        <w:separator/>
      </w:r>
    </w:p>
  </w:footnote>
  <w:footnote w:type="continuationSeparator" w:id="0">
    <w:p w14:paraId="40D0469C" w14:textId="77777777" w:rsidR="003C5247" w:rsidRDefault="003C5247" w:rsidP="00424430">
      <w:pPr>
        <w:spacing w:after="0" w:line="240" w:lineRule="auto"/>
      </w:pPr>
      <w:r>
        <w:continuationSeparator/>
      </w:r>
    </w:p>
  </w:footnote>
  <w:footnote w:id="1">
    <w:p w14:paraId="633634E4" w14:textId="0B5162D7" w:rsidR="00424430" w:rsidRDefault="00424430" w:rsidP="004244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4430">
        <w:rPr>
          <w:sz w:val="16"/>
          <w:szCs w:val="16"/>
        </w:rPr>
        <w:t xml:space="preserve">Cluster 1: South Omo-Turkana bordering Ethiopia and Kenya. Cluster 2: </w:t>
      </w:r>
      <w:proofErr w:type="spellStart"/>
      <w:r w:rsidRPr="00424430">
        <w:rPr>
          <w:sz w:val="16"/>
          <w:szCs w:val="16"/>
        </w:rPr>
        <w:t>Marsabit</w:t>
      </w:r>
      <w:proofErr w:type="spellEnd"/>
      <w:r w:rsidRPr="00424430">
        <w:rPr>
          <w:sz w:val="16"/>
          <w:szCs w:val="16"/>
        </w:rPr>
        <w:t xml:space="preserve">-Borana and </w:t>
      </w:r>
      <w:proofErr w:type="spellStart"/>
      <w:r w:rsidRPr="00424430">
        <w:rPr>
          <w:sz w:val="16"/>
          <w:szCs w:val="16"/>
        </w:rPr>
        <w:t>Liben</w:t>
      </w:r>
      <w:proofErr w:type="spellEnd"/>
      <w:r w:rsidRPr="00424430">
        <w:rPr>
          <w:sz w:val="16"/>
          <w:szCs w:val="16"/>
        </w:rPr>
        <w:t xml:space="preserve"> bordering Ethiopia and Kenya.</w:t>
      </w:r>
      <w:r w:rsidRPr="00424430">
        <w:rPr>
          <w:sz w:val="16"/>
          <w:szCs w:val="16"/>
        </w:rPr>
        <w:t xml:space="preserve"> </w:t>
      </w:r>
      <w:r w:rsidRPr="00424430">
        <w:rPr>
          <w:sz w:val="16"/>
          <w:szCs w:val="16"/>
        </w:rPr>
        <w:t>Cluster 3: Mandera-Gedo-</w:t>
      </w:r>
      <w:proofErr w:type="spellStart"/>
      <w:r w:rsidRPr="00424430">
        <w:rPr>
          <w:sz w:val="16"/>
          <w:szCs w:val="16"/>
        </w:rPr>
        <w:t>Doolow</w:t>
      </w:r>
      <w:proofErr w:type="spellEnd"/>
      <w:r w:rsidRPr="00424430">
        <w:rPr>
          <w:sz w:val="16"/>
          <w:szCs w:val="16"/>
        </w:rPr>
        <w:t>-</w:t>
      </w:r>
      <w:proofErr w:type="spellStart"/>
      <w:r w:rsidRPr="00424430">
        <w:rPr>
          <w:sz w:val="16"/>
          <w:szCs w:val="16"/>
        </w:rPr>
        <w:t>Dawa</w:t>
      </w:r>
      <w:proofErr w:type="spellEnd"/>
      <w:r w:rsidRPr="00424430">
        <w:rPr>
          <w:sz w:val="16"/>
          <w:szCs w:val="16"/>
        </w:rPr>
        <w:t xml:space="preserve"> which is at the Mandera Triangle bordering Ethiopia, </w:t>
      </w:r>
      <w:proofErr w:type="gramStart"/>
      <w:r w:rsidRPr="00424430">
        <w:rPr>
          <w:sz w:val="16"/>
          <w:szCs w:val="16"/>
        </w:rPr>
        <w:t>Kenya</w:t>
      </w:r>
      <w:proofErr w:type="gramEnd"/>
      <w:r w:rsidRPr="00424430">
        <w:rPr>
          <w:sz w:val="16"/>
          <w:szCs w:val="16"/>
        </w:rPr>
        <w:t xml:space="preserve"> and Somalia.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A2D"/>
    <w:multiLevelType w:val="hybridMultilevel"/>
    <w:tmpl w:val="105E39C4"/>
    <w:lvl w:ilvl="0" w:tplc="F3222924">
      <w:numFmt w:val="bullet"/>
      <w:lvlText w:val="•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03D"/>
    <w:multiLevelType w:val="hybridMultilevel"/>
    <w:tmpl w:val="4B5C9FE6"/>
    <w:lvl w:ilvl="0" w:tplc="F3222924">
      <w:numFmt w:val="bullet"/>
      <w:lvlText w:val="•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32D3"/>
    <w:multiLevelType w:val="hybridMultilevel"/>
    <w:tmpl w:val="02804A50"/>
    <w:lvl w:ilvl="0" w:tplc="F3222924">
      <w:numFmt w:val="bullet"/>
      <w:lvlText w:val="•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2E02"/>
    <w:multiLevelType w:val="hybridMultilevel"/>
    <w:tmpl w:val="5FDE208A"/>
    <w:lvl w:ilvl="0" w:tplc="F3222924">
      <w:numFmt w:val="bullet"/>
      <w:lvlText w:val="•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7D4B"/>
    <w:multiLevelType w:val="hybridMultilevel"/>
    <w:tmpl w:val="DB1A14F2"/>
    <w:lvl w:ilvl="0" w:tplc="F3222924">
      <w:numFmt w:val="bullet"/>
      <w:lvlText w:val="•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A4CE9"/>
    <w:multiLevelType w:val="hybridMultilevel"/>
    <w:tmpl w:val="840E8B2A"/>
    <w:lvl w:ilvl="0" w:tplc="F3222924">
      <w:numFmt w:val="bullet"/>
      <w:lvlText w:val="•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613E"/>
    <w:multiLevelType w:val="hybridMultilevel"/>
    <w:tmpl w:val="9B6C2528"/>
    <w:lvl w:ilvl="0" w:tplc="F3222924">
      <w:numFmt w:val="bullet"/>
      <w:lvlText w:val="•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6FF2"/>
    <w:multiLevelType w:val="hybridMultilevel"/>
    <w:tmpl w:val="B2E46910"/>
    <w:lvl w:ilvl="0" w:tplc="F3222924">
      <w:numFmt w:val="bullet"/>
      <w:lvlText w:val="•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E4495"/>
    <w:multiLevelType w:val="hybridMultilevel"/>
    <w:tmpl w:val="B6CE81C8"/>
    <w:lvl w:ilvl="0" w:tplc="39B2DC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B624D"/>
    <w:multiLevelType w:val="hybridMultilevel"/>
    <w:tmpl w:val="CFBAAD4C"/>
    <w:lvl w:ilvl="0" w:tplc="F3222924">
      <w:numFmt w:val="bullet"/>
      <w:lvlText w:val="•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D7C12"/>
    <w:multiLevelType w:val="hybridMultilevel"/>
    <w:tmpl w:val="30B859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E00DE"/>
    <w:multiLevelType w:val="hybridMultilevel"/>
    <w:tmpl w:val="389625BE"/>
    <w:lvl w:ilvl="0" w:tplc="F3222924">
      <w:numFmt w:val="bullet"/>
      <w:lvlText w:val="•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019F0"/>
    <w:multiLevelType w:val="hybridMultilevel"/>
    <w:tmpl w:val="6074BAB6"/>
    <w:lvl w:ilvl="0" w:tplc="F3222924">
      <w:numFmt w:val="bullet"/>
      <w:lvlText w:val="•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22531"/>
    <w:multiLevelType w:val="hybridMultilevel"/>
    <w:tmpl w:val="14869E58"/>
    <w:lvl w:ilvl="0" w:tplc="F3222924">
      <w:numFmt w:val="bullet"/>
      <w:lvlText w:val="•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A1B92"/>
    <w:multiLevelType w:val="hybridMultilevel"/>
    <w:tmpl w:val="983C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47018"/>
    <w:multiLevelType w:val="hybridMultilevel"/>
    <w:tmpl w:val="11E29174"/>
    <w:lvl w:ilvl="0" w:tplc="F3222924">
      <w:numFmt w:val="bullet"/>
      <w:lvlText w:val="•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E4FD5"/>
    <w:multiLevelType w:val="hybridMultilevel"/>
    <w:tmpl w:val="AC1A0D66"/>
    <w:lvl w:ilvl="0" w:tplc="F3222924">
      <w:numFmt w:val="bullet"/>
      <w:lvlText w:val="•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984DDD"/>
    <w:multiLevelType w:val="hybridMultilevel"/>
    <w:tmpl w:val="B87C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3"/>
  </w:num>
  <w:num w:numId="5">
    <w:abstractNumId w:val="2"/>
  </w:num>
  <w:num w:numId="6">
    <w:abstractNumId w:val="16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15"/>
  </w:num>
  <w:num w:numId="13">
    <w:abstractNumId w:val="0"/>
  </w:num>
  <w:num w:numId="14">
    <w:abstractNumId w:val="5"/>
  </w:num>
  <w:num w:numId="15">
    <w:abstractNumId w:val="13"/>
  </w:num>
  <w:num w:numId="16">
    <w:abstractNumId w:val="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30"/>
    <w:rsid w:val="00170FCA"/>
    <w:rsid w:val="003C5247"/>
    <w:rsid w:val="00424430"/>
    <w:rsid w:val="00AF7296"/>
    <w:rsid w:val="00B37A28"/>
    <w:rsid w:val="00B94952"/>
    <w:rsid w:val="00CF0989"/>
    <w:rsid w:val="00D86B9D"/>
    <w:rsid w:val="00F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4494"/>
  <w15:chartTrackingRefBased/>
  <w15:docId w15:val="{005B286C-9E16-40F1-82F2-5440C42A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4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4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4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B9D"/>
  </w:style>
  <w:style w:type="paragraph" w:styleId="Footer">
    <w:name w:val="footer"/>
    <w:basedOn w:val="Normal"/>
    <w:link w:val="FooterChar"/>
    <w:uiPriority w:val="99"/>
    <w:unhideWhenUsed/>
    <w:rsid w:val="00D8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9D"/>
  </w:style>
  <w:style w:type="table" w:styleId="TableGrid">
    <w:name w:val="Table Grid"/>
    <w:basedOn w:val="TableNormal"/>
    <w:uiPriority w:val="59"/>
    <w:rsid w:val="001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8A27-4049-4678-BF59-2C0A5DA1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Conteh</dc:creator>
  <cp:keywords/>
  <dc:description/>
  <cp:lastModifiedBy>Sophie Conteh</cp:lastModifiedBy>
  <cp:revision>2</cp:revision>
  <dcterms:created xsi:type="dcterms:W3CDTF">2021-10-11T06:34:00Z</dcterms:created>
  <dcterms:modified xsi:type="dcterms:W3CDTF">2021-10-11T07:24:00Z</dcterms:modified>
</cp:coreProperties>
</file>