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74813469"/>
        <w:docPartObj>
          <w:docPartGallery w:val="Cover Pages"/>
          <w:docPartUnique/>
        </w:docPartObj>
      </w:sdtPr>
      <w:sdtEndPr>
        <w:rPr>
          <w:rFonts w:cstheme="minorHAnsi"/>
        </w:rPr>
      </w:sdtEndPr>
      <w:sdtContent>
        <w:p w14:paraId="14AC2367" w14:textId="1B05A226" w:rsidR="0060744D" w:rsidRDefault="0060744D"/>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7476"/>
          </w:tblGrid>
          <w:tr w:rsidR="0060744D" w14:paraId="0EEDBDD1" w14:textId="77777777">
            <w:tc>
              <w:tcPr>
                <w:tcW w:w="7672" w:type="dxa"/>
                <w:tcMar>
                  <w:top w:w="216" w:type="dxa"/>
                  <w:left w:w="115" w:type="dxa"/>
                  <w:bottom w:w="216" w:type="dxa"/>
                  <w:right w:w="115" w:type="dxa"/>
                </w:tcMar>
              </w:tcPr>
              <w:p w14:paraId="2AD6D673" w14:textId="3F08B758" w:rsidR="0060744D" w:rsidRDefault="0060744D">
                <w:pPr>
                  <w:pStyle w:val="NoSpacing"/>
                  <w:rPr>
                    <w:color w:val="365F91" w:themeColor="accent1" w:themeShade="BF"/>
                    <w:sz w:val="24"/>
                  </w:rPr>
                </w:pPr>
              </w:p>
            </w:tc>
          </w:tr>
          <w:tr w:rsidR="0060744D" w14:paraId="42A2FBBF" w14:textId="77777777">
            <w:tc>
              <w:tcPr>
                <w:tcW w:w="7672" w:type="dxa"/>
              </w:tcPr>
              <w:p w14:paraId="5197ABB4" w14:textId="2C557E06" w:rsidR="0060744D" w:rsidRPr="0060744D" w:rsidRDefault="0060744D" w:rsidP="0060744D">
                <w:pPr>
                  <w:pStyle w:val="NoSpacing"/>
                  <w:spacing w:line="216" w:lineRule="auto"/>
                  <w:jc w:val="both"/>
                  <w:rPr>
                    <w:rFonts w:eastAsiaTheme="majorEastAsia" w:cstheme="minorHAnsi"/>
                    <w:color w:val="4F81BD" w:themeColor="accent1"/>
                    <w:sz w:val="88"/>
                    <w:szCs w:val="88"/>
                  </w:rPr>
                </w:pPr>
                <w:sdt>
                  <w:sdtPr>
                    <w:rPr>
                      <w:rFonts w:eastAsiaTheme="majorEastAsia" w:cstheme="minorHAnsi"/>
                      <w:sz w:val="40"/>
                      <w:szCs w:val="40"/>
                    </w:rPr>
                    <w:alias w:val="Title"/>
                    <w:id w:val="13406919"/>
                    <w:placeholder>
                      <w:docPart w:val="8C530D9C21C842F38C45263387367F0D"/>
                    </w:placeholder>
                    <w:dataBinding w:prefixMappings="xmlns:ns0='http://schemas.openxmlformats.org/package/2006/metadata/core-properties' xmlns:ns1='http://purl.org/dc/elements/1.1/'" w:xpath="/ns0:coreProperties[1]/ns1:title[1]" w:storeItemID="{6C3C8BC8-F283-45AE-878A-BAB7291924A1}"/>
                    <w:text/>
                  </w:sdtPr>
                  <w:sdtContent>
                    <w:r w:rsidRPr="0060744D">
                      <w:rPr>
                        <w:rFonts w:eastAsiaTheme="majorEastAsia" w:cstheme="minorHAnsi"/>
                        <w:sz w:val="40"/>
                        <w:szCs w:val="40"/>
                      </w:rPr>
                      <w:t>Evaluation of the UNDP Angola Country</w:t>
                    </w:r>
                  </w:sdtContent>
                </w:sdt>
                <w:r w:rsidRPr="0060744D">
                  <w:rPr>
                    <w:rFonts w:eastAsiaTheme="majorEastAsia" w:cstheme="minorHAnsi"/>
                    <w:sz w:val="40"/>
                    <w:szCs w:val="40"/>
                  </w:rPr>
                  <w:t xml:space="preserve"> Programme (2020-2022)</w:t>
                </w:r>
              </w:p>
            </w:tc>
          </w:tr>
          <w:tr w:rsidR="0060744D" w14:paraId="0A8DD451" w14:textId="77777777">
            <w:sdt>
              <w:sdtPr>
                <w:rPr>
                  <w:b/>
                  <w:bCs/>
                  <w:sz w:val="28"/>
                  <w:szCs w:val="28"/>
                </w:rPr>
                <w:alias w:val="Subtitle"/>
                <w:id w:val="13406923"/>
                <w:placeholder>
                  <w:docPart w:val="B84A34BA74E34B1EABCB5848CB67B39A"/>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14:paraId="01A0A2AF" w14:textId="4AED1BA7" w:rsidR="0060744D" w:rsidRDefault="0060744D">
                    <w:pPr>
                      <w:pStyle w:val="NoSpacing"/>
                      <w:rPr>
                        <w:color w:val="365F91" w:themeColor="accent1" w:themeShade="BF"/>
                        <w:sz w:val="24"/>
                      </w:rPr>
                    </w:pPr>
                    <w:r w:rsidRPr="0060744D">
                      <w:rPr>
                        <w:b/>
                        <w:bCs/>
                        <w:sz w:val="28"/>
                        <w:szCs w:val="28"/>
                      </w:rPr>
                      <w:t>Draft Report</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220"/>
          </w:tblGrid>
          <w:tr w:rsidR="0060744D" w14:paraId="1DB8E1C7" w14:textId="77777777">
            <w:tc>
              <w:tcPr>
                <w:tcW w:w="7221" w:type="dxa"/>
                <w:tcMar>
                  <w:top w:w="216" w:type="dxa"/>
                  <w:left w:w="115" w:type="dxa"/>
                  <w:bottom w:w="216" w:type="dxa"/>
                  <w:right w:w="115" w:type="dxa"/>
                </w:tcMar>
              </w:tcPr>
              <w:sdt>
                <w:sdtPr>
                  <w:rPr>
                    <w:b/>
                    <w:bCs/>
                    <w:sz w:val="28"/>
                    <w:szCs w:val="28"/>
                  </w:rPr>
                  <w:alias w:val="Author"/>
                  <w:id w:val="13406928"/>
                  <w:placeholder>
                    <w:docPart w:val="EB0A32026CDA438684C6F16D57354C17"/>
                  </w:placeholder>
                  <w:dataBinding w:prefixMappings="xmlns:ns0='http://schemas.openxmlformats.org/package/2006/metadata/core-properties' xmlns:ns1='http://purl.org/dc/elements/1.1/'" w:xpath="/ns0:coreProperties[1]/ns1:creator[1]" w:storeItemID="{6C3C8BC8-F283-45AE-878A-BAB7291924A1}"/>
                  <w:text/>
                </w:sdtPr>
                <w:sdtContent>
                  <w:p w14:paraId="7E16D880" w14:textId="2F3EA95C" w:rsidR="0060744D" w:rsidRPr="00161DF4" w:rsidRDefault="0060744D">
                    <w:pPr>
                      <w:pStyle w:val="NoSpacing"/>
                      <w:rPr>
                        <w:b/>
                        <w:bCs/>
                        <w:sz w:val="28"/>
                        <w:szCs w:val="28"/>
                      </w:rPr>
                    </w:pPr>
                    <w:r w:rsidRPr="00161DF4">
                      <w:rPr>
                        <w:b/>
                        <w:bCs/>
                        <w:sz w:val="28"/>
                        <w:szCs w:val="28"/>
                      </w:rPr>
                      <w:t>Dr. Ahmad Tijan Jallow and Malaquias Tenente</w:t>
                    </w:r>
                  </w:p>
                </w:sdtContent>
              </w:sdt>
              <w:p w14:paraId="4D7CB13B" w14:textId="7E7A01AC" w:rsidR="0060744D" w:rsidRPr="00161DF4" w:rsidRDefault="00161DF4">
                <w:pPr>
                  <w:pStyle w:val="NoSpacing"/>
                  <w:rPr>
                    <w:b/>
                    <w:bCs/>
                    <w:sz w:val="28"/>
                    <w:szCs w:val="28"/>
                  </w:rPr>
                </w:pPr>
                <w:r w:rsidRPr="00161DF4">
                  <w:rPr>
                    <w:b/>
                    <w:bCs/>
                    <w:sz w:val="28"/>
                    <w:szCs w:val="28"/>
                  </w:rPr>
                  <w:t>November 2021</w:t>
                </w:r>
              </w:p>
              <w:p w14:paraId="43A7F6EE" w14:textId="77777777" w:rsidR="0060744D" w:rsidRDefault="0060744D">
                <w:pPr>
                  <w:pStyle w:val="NoSpacing"/>
                  <w:rPr>
                    <w:color w:val="4F81BD" w:themeColor="accent1"/>
                  </w:rPr>
                </w:pPr>
              </w:p>
            </w:tc>
          </w:tr>
        </w:tbl>
        <w:p w14:paraId="6FC932BB" w14:textId="600AD7CC" w:rsidR="0060744D" w:rsidRDefault="0060744D">
          <w:pPr>
            <w:rPr>
              <w:rFonts w:eastAsiaTheme="majorEastAsia" w:cstheme="minorHAnsi"/>
              <w:color w:val="365F91" w:themeColor="accent1" w:themeShade="BF"/>
            </w:rPr>
          </w:pPr>
          <w:r>
            <w:rPr>
              <w:rFonts w:cstheme="minorHAnsi"/>
            </w:rPr>
            <w:br w:type="page"/>
          </w:r>
        </w:p>
      </w:sdtContent>
    </w:sdt>
    <w:p w14:paraId="4C215A6B" w14:textId="30455B38" w:rsidR="00241228" w:rsidRPr="00241228" w:rsidRDefault="00785016" w:rsidP="00241228">
      <w:pPr>
        <w:pStyle w:val="Heading1"/>
        <w:rPr>
          <w:rFonts w:asciiTheme="minorHAnsi" w:hAnsiTheme="minorHAnsi" w:cstheme="minorHAnsi"/>
          <w:sz w:val="22"/>
          <w:szCs w:val="22"/>
        </w:rPr>
        <w:sectPr w:rsidR="00241228" w:rsidRPr="00241228" w:rsidSect="0060744D">
          <w:footerReference w:type="default" r:id="rId9"/>
          <w:pgSz w:w="12240" w:h="15840"/>
          <w:pgMar w:top="1440" w:right="1440" w:bottom="1440" w:left="1440" w:header="720" w:footer="720" w:gutter="0"/>
          <w:pgNumType w:start="0"/>
          <w:cols w:space="720"/>
          <w:titlePg/>
          <w:docGrid w:linePitch="360"/>
        </w:sectPr>
      </w:pPr>
      <w:bookmarkStart w:id="0" w:name="_Toc88741757"/>
      <w:r w:rsidRPr="00241228">
        <w:rPr>
          <w:rFonts w:asciiTheme="minorHAnsi" w:hAnsiTheme="minorHAnsi" w:cstheme="minorHAnsi"/>
          <w:sz w:val="22"/>
          <w:szCs w:val="22"/>
        </w:rPr>
        <w:lastRenderedPageBreak/>
        <w:t>Acknowledgements</w:t>
      </w:r>
      <w:bookmarkEnd w:id="0"/>
    </w:p>
    <w:sdt>
      <w:sdtPr>
        <w:rPr>
          <w:rFonts w:asciiTheme="minorHAnsi" w:eastAsiaTheme="minorHAnsi" w:hAnsiTheme="minorHAnsi" w:cstheme="minorHAnsi"/>
          <w:color w:val="auto"/>
          <w:sz w:val="24"/>
          <w:szCs w:val="24"/>
          <w:lang w:val="en-GB"/>
        </w:rPr>
        <w:id w:val="1629354484"/>
        <w:docPartObj>
          <w:docPartGallery w:val="Table of Contents"/>
          <w:docPartUnique/>
        </w:docPartObj>
      </w:sdtPr>
      <w:sdtEndPr>
        <w:rPr>
          <w:rFonts w:cstheme="minorBidi"/>
          <w:b/>
          <w:bCs/>
          <w:noProof/>
          <w:sz w:val="22"/>
          <w:szCs w:val="22"/>
        </w:rPr>
      </w:sdtEndPr>
      <w:sdtContent>
        <w:p w14:paraId="645379B0" w14:textId="77777777" w:rsidR="001330BE" w:rsidRDefault="001330BE">
          <w:pPr>
            <w:pStyle w:val="TOCHeading"/>
            <w:rPr>
              <w:rFonts w:asciiTheme="minorHAnsi" w:eastAsiaTheme="minorHAnsi" w:hAnsiTheme="minorHAnsi" w:cstheme="minorHAnsi"/>
              <w:color w:val="auto"/>
              <w:sz w:val="24"/>
              <w:szCs w:val="24"/>
              <w:lang w:val="en-GB"/>
            </w:rPr>
          </w:pPr>
          <w:r>
            <w:rPr>
              <w:rFonts w:asciiTheme="minorHAnsi" w:eastAsiaTheme="minorHAnsi" w:hAnsiTheme="minorHAnsi" w:cstheme="minorHAnsi"/>
              <w:color w:val="auto"/>
              <w:sz w:val="24"/>
              <w:szCs w:val="24"/>
              <w:lang w:val="en-GB"/>
            </w:rPr>
            <w:t xml:space="preserve"> </w:t>
          </w:r>
        </w:p>
        <w:p w14:paraId="000EC71F" w14:textId="29FD6EEE" w:rsidR="009133E8" w:rsidRPr="009133E8" w:rsidRDefault="009133E8">
          <w:pPr>
            <w:pStyle w:val="TOCHeading"/>
            <w:rPr>
              <w:rFonts w:asciiTheme="minorHAnsi" w:hAnsiTheme="minorHAnsi" w:cstheme="minorHAnsi"/>
              <w:sz w:val="24"/>
              <w:szCs w:val="24"/>
            </w:rPr>
          </w:pPr>
          <w:r w:rsidRPr="009133E8">
            <w:rPr>
              <w:rFonts w:asciiTheme="minorHAnsi" w:hAnsiTheme="minorHAnsi" w:cstheme="minorHAnsi"/>
              <w:sz w:val="24"/>
              <w:szCs w:val="24"/>
            </w:rPr>
            <w:t>Table of Contents</w:t>
          </w:r>
        </w:p>
        <w:p w14:paraId="38742765" w14:textId="34E8BAF0" w:rsidR="007D6FE9" w:rsidRDefault="009133E8">
          <w:pPr>
            <w:pStyle w:val="TOC1"/>
            <w:tabs>
              <w:tab w:val="right" w:leader="dot" w:pos="9350"/>
            </w:tabs>
            <w:rPr>
              <w:rFonts w:eastAsiaTheme="minorEastAsia"/>
              <w:noProof/>
              <w:lang w:eastAsia="en-GB"/>
            </w:rPr>
          </w:pPr>
          <w:r>
            <w:fldChar w:fldCharType="begin"/>
          </w:r>
          <w:r>
            <w:instrText xml:space="preserve"> TOC \o "1-3" \h \z \u </w:instrText>
          </w:r>
          <w:r>
            <w:fldChar w:fldCharType="separate"/>
          </w:r>
          <w:hyperlink w:anchor="_Toc88741757" w:history="1">
            <w:r w:rsidR="007D6FE9" w:rsidRPr="000B3A27">
              <w:rPr>
                <w:rStyle w:val="Hyperlink"/>
                <w:rFonts w:cstheme="minorHAnsi"/>
                <w:noProof/>
              </w:rPr>
              <w:t>Acknowledgements</w:t>
            </w:r>
            <w:r w:rsidR="007D6FE9">
              <w:rPr>
                <w:noProof/>
                <w:webHidden/>
              </w:rPr>
              <w:tab/>
            </w:r>
            <w:r w:rsidR="007D6FE9">
              <w:rPr>
                <w:noProof/>
                <w:webHidden/>
              </w:rPr>
              <w:fldChar w:fldCharType="begin"/>
            </w:r>
            <w:r w:rsidR="007D6FE9">
              <w:rPr>
                <w:noProof/>
                <w:webHidden/>
              </w:rPr>
              <w:instrText xml:space="preserve"> PAGEREF _Toc88741757 \h </w:instrText>
            </w:r>
            <w:r w:rsidR="007D6FE9">
              <w:rPr>
                <w:noProof/>
                <w:webHidden/>
              </w:rPr>
            </w:r>
            <w:r w:rsidR="007D6FE9">
              <w:rPr>
                <w:noProof/>
                <w:webHidden/>
              </w:rPr>
              <w:fldChar w:fldCharType="separate"/>
            </w:r>
            <w:r w:rsidR="007D6FE9">
              <w:rPr>
                <w:noProof/>
                <w:webHidden/>
              </w:rPr>
              <w:t>1</w:t>
            </w:r>
            <w:r w:rsidR="007D6FE9">
              <w:rPr>
                <w:noProof/>
                <w:webHidden/>
              </w:rPr>
              <w:fldChar w:fldCharType="end"/>
            </w:r>
          </w:hyperlink>
        </w:p>
        <w:p w14:paraId="5B1812EC" w14:textId="0F003004" w:rsidR="007D6FE9" w:rsidRDefault="007D6FE9">
          <w:pPr>
            <w:pStyle w:val="TOC1"/>
            <w:tabs>
              <w:tab w:val="right" w:leader="dot" w:pos="9350"/>
            </w:tabs>
            <w:rPr>
              <w:rFonts w:eastAsiaTheme="minorEastAsia"/>
              <w:noProof/>
              <w:lang w:eastAsia="en-GB"/>
            </w:rPr>
          </w:pPr>
          <w:hyperlink w:anchor="_Toc88741758" w:history="1">
            <w:r w:rsidRPr="000B3A27">
              <w:rPr>
                <w:rStyle w:val="Hyperlink"/>
                <w:rFonts w:cstheme="minorHAnsi"/>
                <w:noProof/>
              </w:rPr>
              <w:t>List of Acronyms and Abbreviations</w:t>
            </w:r>
            <w:r>
              <w:rPr>
                <w:noProof/>
                <w:webHidden/>
              </w:rPr>
              <w:tab/>
            </w:r>
            <w:r>
              <w:rPr>
                <w:noProof/>
                <w:webHidden/>
              </w:rPr>
              <w:fldChar w:fldCharType="begin"/>
            </w:r>
            <w:r>
              <w:rPr>
                <w:noProof/>
                <w:webHidden/>
              </w:rPr>
              <w:instrText xml:space="preserve"> PAGEREF _Toc88741758 \h </w:instrText>
            </w:r>
            <w:r>
              <w:rPr>
                <w:noProof/>
                <w:webHidden/>
              </w:rPr>
            </w:r>
            <w:r>
              <w:rPr>
                <w:noProof/>
                <w:webHidden/>
              </w:rPr>
              <w:fldChar w:fldCharType="separate"/>
            </w:r>
            <w:r>
              <w:rPr>
                <w:noProof/>
                <w:webHidden/>
              </w:rPr>
              <w:t>5</w:t>
            </w:r>
            <w:r>
              <w:rPr>
                <w:noProof/>
                <w:webHidden/>
              </w:rPr>
              <w:fldChar w:fldCharType="end"/>
            </w:r>
          </w:hyperlink>
        </w:p>
        <w:p w14:paraId="459AE1A5" w14:textId="4467BD6C" w:rsidR="007D6FE9" w:rsidRDefault="007D6FE9">
          <w:pPr>
            <w:pStyle w:val="TOC1"/>
            <w:tabs>
              <w:tab w:val="right" w:leader="dot" w:pos="9350"/>
            </w:tabs>
            <w:rPr>
              <w:rFonts w:eastAsiaTheme="minorEastAsia"/>
              <w:noProof/>
              <w:lang w:eastAsia="en-GB"/>
            </w:rPr>
          </w:pPr>
          <w:hyperlink w:anchor="_Toc88741759" w:history="1">
            <w:r w:rsidRPr="000B3A27">
              <w:rPr>
                <w:rStyle w:val="Hyperlink"/>
                <w:rFonts w:cstheme="minorHAnsi"/>
                <w:noProof/>
              </w:rPr>
              <w:t>Executive Summary</w:t>
            </w:r>
            <w:r>
              <w:rPr>
                <w:noProof/>
                <w:webHidden/>
              </w:rPr>
              <w:tab/>
            </w:r>
            <w:r>
              <w:rPr>
                <w:noProof/>
                <w:webHidden/>
              </w:rPr>
              <w:fldChar w:fldCharType="begin"/>
            </w:r>
            <w:r>
              <w:rPr>
                <w:noProof/>
                <w:webHidden/>
              </w:rPr>
              <w:instrText xml:space="preserve"> PAGEREF _Toc88741759 \h </w:instrText>
            </w:r>
            <w:r>
              <w:rPr>
                <w:noProof/>
                <w:webHidden/>
              </w:rPr>
            </w:r>
            <w:r>
              <w:rPr>
                <w:noProof/>
                <w:webHidden/>
              </w:rPr>
              <w:fldChar w:fldCharType="separate"/>
            </w:r>
            <w:r>
              <w:rPr>
                <w:noProof/>
                <w:webHidden/>
              </w:rPr>
              <w:t>6</w:t>
            </w:r>
            <w:r>
              <w:rPr>
                <w:noProof/>
                <w:webHidden/>
              </w:rPr>
              <w:fldChar w:fldCharType="end"/>
            </w:r>
          </w:hyperlink>
        </w:p>
        <w:p w14:paraId="61CF3EB9" w14:textId="59D481D4" w:rsidR="007D6FE9" w:rsidRDefault="007D6FE9">
          <w:pPr>
            <w:pStyle w:val="TOC1"/>
            <w:tabs>
              <w:tab w:val="left" w:pos="440"/>
              <w:tab w:val="right" w:leader="dot" w:pos="9350"/>
            </w:tabs>
            <w:rPr>
              <w:rFonts w:eastAsiaTheme="minorEastAsia"/>
              <w:noProof/>
              <w:lang w:eastAsia="en-GB"/>
            </w:rPr>
          </w:pPr>
          <w:hyperlink w:anchor="_Toc88741760" w:history="1">
            <w:r w:rsidRPr="000B3A27">
              <w:rPr>
                <w:rStyle w:val="Hyperlink"/>
                <w:rFonts w:cstheme="minorHAnsi"/>
                <w:noProof/>
                <w:lang w:val="en-US"/>
              </w:rPr>
              <w:t>1.</w:t>
            </w:r>
            <w:r>
              <w:rPr>
                <w:rFonts w:eastAsiaTheme="minorEastAsia"/>
                <w:noProof/>
                <w:lang w:eastAsia="en-GB"/>
              </w:rPr>
              <w:tab/>
            </w:r>
            <w:r w:rsidRPr="000B3A27">
              <w:rPr>
                <w:rStyle w:val="Hyperlink"/>
                <w:rFonts w:cstheme="minorHAnsi"/>
                <w:noProof/>
              </w:rPr>
              <w:t>Introduction and Background</w:t>
            </w:r>
            <w:r>
              <w:rPr>
                <w:noProof/>
                <w:webHidden/>
              </w:rPr>
              <w:tab/>
            </w:r>
            <w:r>
              <w:rPr>
                <w:noProof/>
                <w:webHidden/>
              </w:rPr>
              <w:fldChar w:fldCharType="begin"/>
            </w:r>
            <w:r>
              <w:rPr>
                <w:noProof/>
                <w:webHidden/>
              </w:rPr>
              <w:instrText xml:space="preserve"> PAGEREF _Toc88741760 \h </w:instrText>
            </w:r>
            <w:r>
              <w:rPr>
                <w:noProof/>
                <w:webHidden/>
              </w:rPr>
            </w:r>
            <w:r>
              <w:rPr>
                <w:noProof/>
                <w:webHidden/>
              </w:rPr>
              <w:fldChar w:fldCharType="separate"/>
            </w:r>
            <w:r>
              <w:rPr>
                <w:noProof/>
                <w:webHidden/>
              </w:rPr>
              <w:t>7</w:t>
            </w:r>
            <w:r>
              <w:rPr>
                <w:noProof/>
                <w:webHidden/>
              </w:rPr>
              <w:fldChar w:fldCharType="end"/>
            </w:r>
          </w:hyperlink>
        </w:p>
        <w:p w14:paraId="66A6197E" w14:textId="07879673" w:rsidR="007D6FE9" w:rsidRDefault="007D6FE9">
          <w:pPr>
            <w:pStyle w:val="TOC2"/>
            <w:tabs>
              <w:tab w:val="right" w:leader="dot" w:pos="9350"/>
            </w:tabs>
            <w:rPr>
              <w:rFonts w:eastAsiaTheme="minorEastAsia"/>
              <w:noProof/>
              <w:lang w:eastAsia="en-GB"/>
            </w:rPr>
          </w:pPr>
          <w:hyperlink w:anchor="_Toc88741761" w:history="1">
            <w:r w:rsidRPr="000B3A27">
              <w:rPr>
                <w:rStyle w:val="Hyperlink"/>
                <w:rFonts w:cstheme="minorHAnsi"/>
                <w:noProof/>
              </w:rPr>
              <w:t>1.1 Introduction</w:t>
            </w:r>
            <w:r>
              <w:rPr>
                <w:noProof/>
                <w:webHidden/>
              </w:rPr>
              <w:tab/>
            </w:r>
            <w:r>
              <w:rPr>
                <w:noProof/>
                <w:webHidden/>
              </w:rPr>
              <w:fldChar w:fldCharType="begin"/>
            </w:r>
            <w:r>
              <w:rPr>
                <w:noProof/>
                <w:webHidden/>
              </w:rPr>
              <w:instrText xml:space="preserve"> PAGEREF _Toc88741761 \h </w:instrText>
            </w:r>
            <w:r>
              <w:rPr>
                <w:noProof/>
                <w:webHidden/>
              </w:rPr>
            </w:r>
            <w:r>
              <w:rPr>
                <w:noProof/>
                <w:webHidden/>
              </w:rPr>
              <w:fldChar w:fldCharType="separate"/>
            </w:r>
            <w:r>
              <w:rPr>
                <w:noProof/>
                <w:webHidden/>
              </w:rPr>
              <w:t>7</w:t>
            </w:r>
            <w:r>
              <w:rPr>
                <w:noProof/>
                <w:webHidden/>
              </w:rPr>
              <w:fldChar w:fldCharType="end"/>
            </w:r>
          </w:hyperlink>
        </w:p>
        <w:p w14:paraId="0D2CF242" w14:textId="0414477E" w:rsidR="007D6FE9" w:rsidRDefault="007D6FE9">
          <w:pPr>
            <w:pStyle w:val="TOC2"/>
            <w:tabs>
              <w:tab w:val="right" w:leader="dot" w:pos="9350"/>
            </w:tabs>
            <w:rPr>
              <w:rFonts w:eastAsiaTheme="minorEastAsia"/>
              <w:noProof/>
              <w:lang w:eastAsia="en-GB"/>
            </w:rPr>
          </w:pPr>
          <w:hyperlink w:anchor="_Toc88741762" w:history="1">
            <w:r w:rsidRPr="000B3A27">
              <w:rPr>
                <w:rStyle w:val="Hyperlink"/>
                <w:rFonts w:cstheme="minorHAnsi"/>
                <w:noProof/>
              </w:rPr>
              <w:t>1.2 Background and Context</w:t>
            </w:r>
            <w:r>
              <w:rPr>
                <w:noProof/>
                <w:webHidden/>
              </w:rPr>
              <w:tab/>
            </w:r>
            <w:r>
              <w:rPr>
                <w:noProof/>
                <w:webHidden/>
              </w:rPr>
              <w:fldChar w:fldCharType="begin"/>
            </w:r>
            <w:r>
              <w:rPr>
                <w:noProof/>
                <w:webHidden/>
              </w:rPr>
              <w:instrText xml:space="preserve"> PAGEREF _Toc88741762 \h </w:instrText>
            </w:r>
            <w:r>
              <w:rPr>
                <w:noProof/>
                <w:webHidden/>
              </w:rPr>
            </w:r>
            <w:r>
              <w:rPr>
                <w:noProof/>
                <w:webHidden/>
              </w:rPr>
              <w:fldChar w:fldCharType="separate"/>
            </w:r>
            <w:r>
              <w:rPr>
                <w:noProof/>
                <w:webHidden/>
              </w:rPr>
              <w:t>7</w:t>
            </w:r>
            <w:r>
              <w:rPr>
                <w:noProof/>
                <w:webHidden/>
              </w:rPr>
              <w:fldChar w:fldCharType="end"/>
            </w:r>
          </w:hyperlink>
        </w:p>
        <w:p w14:paraId="10568EA5" w14:textId="080C3885" w:rsidR="007D6FE9" w:rsidRDefault="007D6FE9">
          <w:pPr>
            <w:pStyle w:val="TOC3"/>
            <w:tabs>
              <w:tab w:val="right" w:leader="dot" w:pos="9350"/>
            </w:tabs>
            <w:rPr>
              <w:rFonts w:eastAsiaTheme="minorEastAsia"/>
              <w:noProof/>
              <w:lang w:eastAsia="en-GB"/>
            </w:rPr>
          </w:pPr>
          <w:hyperlink w:anchor="_Toc88741763" w:history="1">
            <w:r w:rsidRPr="000B3A27">
              <w:rPr>
                <w:rStyle w:val="Hyperlink"/>
                <w:rFonts w:cstheme="minorHAnsi"/>
                <w:noProof/>
              </w:rPr>
              <w:t>1.2.1 Governance and Political Developments</w:t>
            </w:r>
            <w:r>
              <w:rPr>
                <w:noProof/>
                <w:webHidden/>
              </w:rPr>
              <w:tab/>
            </w:r>
            <w:r>
              <w:rPr>
                <w:noProof/>
                <w:webHidden/>
              </w:rPr>
              <w:fldChar w:fldCharType="begin"/>
            </w:r>
            <w:r>
              <w:rPr>
                <w:noProof/>
                <w:webHidden/>
              </w:rPr>
              <w:instrText xml:space="preserve"> PAGEREF _Toc88741763 \h </w:instrText>
            </w:r>
            <w:r>
              <w:rPr>
                <w:noProof/>
                <w:webHidden/>
              </w:rPr>
            </w:r>
            <w:r>
              <w:rPr>
                <w:noProof/>
                <w:webHidden/>
              </w:rPr>
              <w:fldChar w:fldCharType="separate"/>
            </w:r>
            <w:r>
              <w:rPr>
                <w:noProof/>
                <w:webHidden/>
              </w:rPr>
              <w:t>7</w:t>
            </w:r>
            <w:r>
              <w:rPr>
                <w:noProof/>
                <w:webHidden/>
              </w:rPr>
              <w:fldChar w:fldCharType="end"/>
            </w:r>
          </w:hyperlink>
        </w:p>
        <w:p w14:paraId="63AAFA0D" w14:textId="7AC54130" w:rsidR="007D6FE9" w:rsidRDefault="007D6FE9">
          <w:pPr>
            <w:pStyle w:val="TOC3"/>
            <w:tabs>
              <w:tab w:val="right" w:leader="dot" w:pos="9350"/>
            </w:tabs>
            <w:rPr>
              <w:rFonts w:eastAsiaTheme="minorEastAsia"/>
              <w:noProof/>
              <w:lang w:eastAsia="en-GB"/>
            </w:rPr>
          </w:pPr>
          <w:hyperlink w:anchor="_Toc88741764" w:history="1">
            <w:r w:rsidRPr="000B3A27">
              <w:rPr>
                <w:rStyle w:val="Hyperlink"/>
                <w:rFonts w:cstheme="minorHAnsi"/>
                <w:noProof/>
              </w:rPr>
              <w:t>1.2.2 Economic</w:t>
            </w:r>
            <w:r>
              <w:rPr>
                <w:noProof/>
                <w:webHidden/>
              </w:rPr>
              <w:tab/>
            </w:r>
            <w:r>
              <w:rPr>
                <w:noProof/>
                <w:webHidden/>
              </w:rPr>
              <w:fldChar w:fldCharType="begin"/>
            </w:r>
            <w:r>
              <w:rPr>
                <w:noProof/>
                <w:webHidden/>
              </w:rPr>
              <w:instrText xml:space="preserve"> PAGEREF _Toc88741764 \h </w:instrText>
            </w:r>
            <w:r>
              <w:rPr>
                <w:noProof/>
                <w:webHidden/>
              </w:rPr>
            </w:r>
            <w:r>
              <w:rPr>
                <w:noProof/>
                <w:webHidden/>
              </w:rPr>
              <w:fldChar w:fldCharType="separate"/>
            </w:r>
            <w:r>
              <w:rPr>
                <w:noProof/>
                <w:webHidden/>
              </w:rPr>
              <w:t>9</w:t>
            </w:r>
            <w:r>
              <w:rPr>
                <w:noProof/>
                <w:webHidden/>
              </w:rPr>
              <w:fldChar w:fldCharType="end"/>
            </w:r>
          </w:hyperlink>
        </w:p>
        <w:p w14:paraId="3147A1B6" w14:textId="69063E53" w:rsidR="007D6FE9" w:rsidRDefault="007D6FE9">
          <w:pPr>
            <w:pStyle w:val="TOC3"/>
            <w:tabs>
              <w:tab w:val="right" w:leader="dot" w:pos="9350"/>
            </w:tabs>
            <w:rPr>
              <w:rFonts w:eastAsiaTheme="minorEastAsia"/>
              <w:noProof/>
              <w:lang w:eastAsia="en-GB"/>
            </w:rPr>
          </w:pPr>
          <w:hyperlink w:anchor="_Toc88741765" w:history="1">
            <w:r w:rsidRPr="000B3A27">
              <w:rPr>
                <w:rStyle w:val="Hyperlink"/>
                <w:rFonts w:cstheme="minorHAnsi"/>
                <w:noProof/>
              </w:rPr>
              <w:t>1.2.3 Social</w:t>
            </w:r>
            <w:r>
              <w:rPr>
                <w:noProof/>
                <w:webHidden/>
              </w:rPr>
              <w:tab/>
            </w:r>
            <w:r>
              <w:rPr>
                <w:noProof/>
                <w:webHidden/>
              </w:rPr>
              <w:fldChar w:fldCharType="begin"/>
            </w:r>
            <w:r>
              <w:rPr>
                <w:noProof/>
                <w:webHidden/>
              </w:rPr>
              <w:instrText xml:space="preserve"> PAGEREF _Toc88741765 \h </w:instrText>
            </w:r>
            <w:r>
              <w:rPr>
                <w:noProof/>
                <w:webHidden/>
              </w:rPr>
            </w:r>
            <w:r>
              <w:rPr>
                <w:noProof/>
                <w:webHidden/>
              </w:rPr>
              <w:fldChar w:fldCharType="separate"/>
            </w:r>
            <w:r>
              <w:rPr>
                <w:noProof/>
                <w:webHidden/>
              </w:rPr>
              <w:t>11</w:t>
            </w:r>
            <w:r>
              <w:rPr>
                <w:noProof/>
                <w:webHidden/>
              </w:rPr>
              <w:fldChar w:fldCharType="end"/>
            </w:r>
          </w:hyperlink>
        </w:p>
        <w:p w14:paraId="2413868E" w14:textId="57EFB600" w:rsidR="007D6FE9" w:rsidRDefault="007D6FE9">
          <w:pPr>
            <w:pStyle w:val="TOC3"/>
            <w:tabs>
              <w:tab w:val="right" w:leader="dot" w:pos="9350"/>
            </w:tabs>
            <w:rPr>
              <w:rFonts w:eastAsiaTheme="minorEastAsia"/>
              <w:noProof/>
              <w:lang w:eastAsia="en-GB"/>
            </w:rPr>
          </w:pPr>
          <w:hyperlink w:anchor="_Toc88741766" w:history="1">
            <w:r w:rsidRPr="000B3A27">
              <w:rPr>
                <w:rStyle w:val="Hyperlink"/>
                <w:rFonts w:cstheme="minorHAnsi"/>
                <w:noProof/>
              </w:rPr>
              <w:t>1.2.4 Environment and Climate Change</w:t>
            </w:r>
            <w:r>
              <w:rPr>
                <w:noProof/>
                <w:webHidden/>
              </w:rPr>
              <w:tab/>
            </w:r>
            <w:r>
              <w:rPr>
                <w:noProof/>
                <w:webHidden/>
              </w:rPr>
              <w:fldChar w:fldCharType="begin"/>
            </w:r>
            <w:r>
              <w:rPr>
                <w:noProof/>
                <w:webHidden/>
              </w:rPr>
              <w:instrText xml:space="preserve"> PAGEREF _Toc88741766 \h </w:instrText>
            </w:r>
            <w:r>
              <w:rPr>
                <w:noProof/>
                <w:webHidden/>
              </w:rPr>
            </w:r>
            <w:r>
              <w:rPr>
                <w:noProof/>
                <w:webHidden/>
              </w:rPr>
              <w:fldChar w:fldCharType="separate"/>
            </w:r>
            <w:r>
              <w:rPr>
                <w:noProof/>
                <w:webHidden/>
              </w:rPr>
              <w:t>13</w:t>
            </w:r>
            <w:r>
              <w:rPr>
                <w:noProof/>
                <w:webHidden/>
              </w:rPr>
              <w:fldChar w:fldCharType="end"/>
            </w:r>
          </w:hyperlink>
        </w:p>
        <w:p w14:paraId="1C1DBB59" w14:textId="2E354E9C" w:rsidR="007D6FE9" w:rsidRDefault="007D6FE9">
          <w:pPr>
            <w:pStyle w:val="TOC3"/>
            <w:tabs>
              <w:tab w:val="right" w:leader="dot" w:pos="9350"/>
            </w:tabs>
            <w:rPr>
              <w:rFonts w:eastAsiaTheme="minorEastAsia"/>
              <w:noProof/>
              <w:lang w:eastAsia="en-GB"/>
            </w:rPr>
          </w:pPr>
          <w:hyperlink w:anchor="_Toc88741767" w:history="1">
            <w:r w:rsidRPr="000B3A27">
              <w:rPr>
                <w:rStyle w:val="Hyperlink"/>
                <w:rFonts w:cstheme="minorHAnsi"/>
                <w:noProof/>
              </w:rPr>
              <w:t>1.2.5 Overall Conclusion</w:t>
            </w:r>
            <w:r>
              <w:rPr>
                <w:noProof/>
                <w:webHidden/>
              </w:rPr>
              <w:tab/>
            </w:r>
            <w:r>
              <w:rPr>
                <w:noProof/>
                <w:webHidden/>
              </w:rPr>
              <w:fldChar w:fldCharType="begin"/>
            </w:r>
            <w:r>
              <w:rPr>
                <w:noProof/>
                <w:webHidden/>
              </w:rPr>
              <w:instrText xml:space="preserve"> PAGEREF _Toc88741767 \h </w:instrText>
            </w:r>
            <w:r>
              <w:rPr>
                <w:noProof/>
                <w:webHidden/>
              </w:rPr>
            </w:r>
            <w:r>
              <w:rPr>
                <w:noProof/>
                <w:webHidden/>
              </w:rPr>
              <w:fldChar w:fldCharType="separate"/>
            </w:r>
            <w:r>
              <w:rPr>
                <w:noProof/>
                <w:webHidden/>
              </w:rPr>
              <w:t>14</w:t>
            </w:r>
            <w:r>
              <w:rPr>
                <w:noProof/>
                <w:webHidden/>
              </w:rPr>
              <w:fldChar w:fldCharType="end"/>
            </w:r>
          </w:hyperlink>
        </w:p>
        <w:p w14:paraId="3BA8FCEE" w14:textId="5559E24E" w:rsidR="007D6FE9" w:rsidRDefault="007D6FE9">
          <w:pPr>
            <w:pStyle w:val="TOC3"/>
            <w:tabs>
              <w:tab w:val="right" w:leader="dot" w:pos="9350"/>
            </w:tabs>
            <w:rPr>
              <w:rFonts w:eastAsiaTheme="minorEastAsia"/>
              <w:noProof/>
              <w:lang w:eastAsia="en-GB"/>
            </w:rPr>
          </w:pPr>
          <w:hyperlink w:anchor="_Toc88741768" w:history="1">
            <w:r w:rsidRPr="000B3A27">
              <w:rPr>
                <w:rStyle w:val="Hyperlink"/>
                <w:rFonts w:cstheme="minorHAnsi"/>
                <w:noProof/>
              </w:rPr>
              <w:t>1.2.6 Socio-economic impacts of Covid – 19</w:t>
            </w:r>
            <w:r>
              <w:rPr>
                <w:noProof/>
                <w:webHidden/>
              </w:rPr>
              <w:tab/>
            </w:r>
            <w:r>
              <w:rPr>
                <w:noProof/>
                <w:webHidden/>
              </w:rPr>
              <w:fldChar w:fldCharType="begin"/>
            </w:r>
            <w:r>
              <w:rPr>
                <w:noProof/>
                <w:webHidden/>
              </w:rPr>
              <w:instrText xml:space="preserve"> PAGEREF _Toc88741768 \h </w:instrText>
            </w:r>
            <w:r>
              <w:rPr>
                <w:noProof/>
                <w:webHidden/>
              </w:rPr>
            </w:r>
            <w:r>
              <w:rPr>
                <w:noProof/>
                <w:webHidden/>
              </w:rPr>
              <w:fldChar w:fldCharType="separate"/>
            </w:r>
            <w:r>
              <w:rPr>
                <w:noProof/>
                <w:webHidden/>
              </w:rPr>
              <w:t>15</w:t>
            </w:r>
            <w:r>
              <w:rPr>
                <w:noProof/>
                <w:webHidden/>
              </w:rPr>
              <w:fldChar w:fldCharType="end"/>
            </w:r>
          </w:hyperlink>
        </w:p>
        <w:p w14:paraId="5CFC07C2" w14:textId="1103F0C5" w:rsidR="007D6FE9" w:rsidRDefault="007D6FE9">
          <w:pPr>
            <w:pStyle w:val="TOC1"/>
            <w:tabs>
              <w:tab w:val="left" w:pos="440"/>
              <w:tab w:val="right" w:leader="dot" w:pos="9350"/>
            </w:tabs>
            <w:rPr>
              <w:rFonts w:eastAsiaTheme="minorEastAsia"/>
              <w:noProof/>
              <w:lang w:eastAsia="en-GB"/>
            </w:rPr>
          </w:pPr>
          <w:hyperlink w:anchor="_Toc88741769" w:history="1">
            <w:r w:rsidRPr="000B3A27">
              <w:rPr>
                <w:rStyle w:val="Hyperlink"/>
                <w:rFonts w:cstheme="minorHAnsi"/>
                <w:noProof/>
                <w:lang w:val="en-US"/>
              </w:rPr>
              <w:t>2.</w:t>
            </w:r>
            <w:r>
              <w:rPr>
                <w:rFonts w:eastAsiaTheme="minorEastAsia"/>
                <w:noProof/>
                <w:lang w:eastAsia="en-GB"/>
              </w:rPr>
              <w:tab/>
            </w:r>
            <w:r w:rsidRPr="000B3A27">
              <w:rPr>
                <w:rStyle w:val="Hyperlink"/>
                <w:rFonts w:cstheme="minorHAnsi"/>
                <w:noProof/>
              </w:rPr>
              <w:t>Overview of UNDP Angola Country Programme</w:t>
            </w:r>
            <w:r>
              <w:rPr>
                <w:noProof/>
                <w:webHidden/>
              </w:rPr>
              <w:tab/>
            </w:r>
            <w:r>
              <w:rPr>
                <w:noProof/>
                <w:webHidden/>
              </w:rPr>
              <w:fldChar w:fldCharType="begin"/>
            </w:r>
            <w:r>
              <w:rPr>
                <w:noProof/>
                <w:webHidden/>
              </w:rPr>
              <w:instrText xml:space="preserve"> PAGEREF _Toc88741769 \h </w:instrText>
            </w:r>
            <w:r>
              <w:rPr>
                <w:noProof/>
                <w:webHidden/>
              </w:rPr>
            </w:r>
            <w:r>
              <w:rPr>
                <w:noProof/>
                <w:webHidden/>
              </w:rPr>
              <w:fldChar w:fldCharType="separate"/>
            </w:r>
            <w:r>
              <w:rPr>
                <w:noProof/>
                <w:webHidden/>
              </w:rPr>
              <w:t>16</w:t>
            </w:r>
            <w:r>
              <w:rPr>
                <w:noProof/>
                <w:webHidden/>
              </w:rPr>
              <w:fldChar w:fldCharType="end"/>
            </w:r>
          </w:hyperlink>
        </w:p>
        <w:p w14:paraId="4BC27A63" w14:textId="37E4A64F" w:rsidR="007D6FE9" w:rsidRDefault="007D6FE9">
          <w:pPr>
            <w:pStyle w:val="TOC2"/>
            <w:tabs>
              <w:tab w:val="right" w:leader="dot" w:pos="9350"/>
            </w:tabs>
            <w:rPr>
              <w:rFonts w:eastAsiaTheme="minorEastAsia"/>
              <w:noProof/>
              <w:lang w:eastAsia="en-GB"/>
            </w:rPr>
          </w:pPr>
          <w:hyperlink w:anchor="_Toc88741770" w:history="1">
            <w:r w:rsidRPr="000B3A27">
              <w:rPr>
                <w:rStyle w:val="Hyperlink"/>
                <w:rFonts w:cstheme="minorHAnsi"/>
                <w:noProof/>
              </w:rPr>
              <w:t>2.1 The UNDP Project Portfolio</w:t>
            </w:r>
            <w:r>
              <w:rPr>
                <w:noProof/>
                <w:webHidden/>
              </w:rPr>
              <w:tab/>
            </w:r>
            <w:r>
              <w:rPr>
                <w:noProof/>
                <w:webHidden/>
              </w:rPr>
              <w:fldChar w:fldCharType="begin"/>
            </w:r>
            <w:r>
              <w:rPr>
                <w:noProof/>
                <w:webHidden/>
              </w:rPr>
              <w:instrText xml:space="preserve"> PAGEREF _Toc88741770 \h </w:instrText>
            </w:r>
            <w:r>
              <w:rPr>
                <w:noProof/>
                <w:webHidden/>
              </w:rPr>
            </w:r>
            <w:r>
              <w:rPr>
                <w:noProof/>
                <w:webHidden/>
              </w:rPr>
              <w:fldChar w:fldCharType="separate"/>
            </w:r>
            <w:r>
              <w:rPr>
                <w:noProof/>
                <w:webHidden/>
              </w:rPr>
              <w:t>16</w:t>
            </w:r>
            <w:r>
              <w:rPr>
                <w:noProof/>
                <w:webHidden/>
              </w:rPr>
              <w:fldChar w:fldCharType="end"/>
            </w:r>
          </w:hyperlink>
        </w:p>
        <w:p w14:paraId="7EDE0ACB" w14:textId="45E55A92" w:rsidR="007D6FE9" w:rsidRDefault="007D6FE9">
          <w:pPr>
            <w:pStyle w:val="TOC2"/>
            <w:tabs>
              <w:tab w:val="right" w:leader="dot" w:pos="9350"/>
            </w:tabs>
            <w:rPr>
              <w:rFonts w:eastAsiaTheme="minorEastAsia"/>
              <w:noProof/>
              <w:lang w:eastAsia="en-GB"/>
            </w:rPr>
          </w:pPr>
          <w:hyperlink w:anchor="_Toc88741771" w:history="1">
            <w:r w:rsidRPr="000B3A27">
              <w:rPr>
                <w:rStyle w:val="Hyperlink"/>
                <w:rFonts w:cstheme="minorHAnsi"/>
                <w:noProof/>
              </w:rPr>
              <w:t>2.2 UNDP Programme Resources</w:t>
            </w:r>
            <w:r>
              <w:rPr>
                <w:noProof/>
                <w:webHidden/>
              </w:rPr>
              <w:tab/>
            </w:r>
            <w:r>
              <w:rPr>
                <w:noProof/>
                <w:webHidden/>
              </w:rPr>
              <w:fldChar w:fldCharType="begin"/>
            </w:r>
            <w:r>
              <w:rPr>
                <w:noProof/>
                <w:webHidden/>
              </w:rPr>
              <w:instrText xml:space="preserve"> PAGEREF _Toc88741771 \h </w:instrText>
            </w:r>
            <w:r>
              <w:rPr>
                <w:noProof/>
                <w:webHidden/>
              </w:rPr>
            </w:r>
            <w:r>
              <w:rPr>
                <w:noProof/>
                <w:webHidden/>
              </w:rPr>
              <w:fldChar w:fldCharType="separate"/>
            </w:r>
            <w:r>
              <w:rPr>
                <w:noProof/>
                <w:webHidden/>
              </w:rPr>
              <w:t>16</w:t>
            </w:r>
            <w:r>
              <w:rPr>
                <w:noProof/>
                <w:webHidden/>
              </w:rPr>
              <w:fldChar w:fldCharType="end"/>
            </w:r>
          </w:hyperlink>
        </w:p>
        <w:p w14:paraId="2750FDFE" w14:textId="6B123096" w:rsidR="007D6FE9" w:rsidRDefault="007D6FE9">
          <w:pPr>
            <w:pStyle w:val="TOC2"/>
            <w:tabs>
              <w:tab w:val="right" w:leader="dot" w:pos="9350"/>
            </w:tabs>
            <w:rPr>
              <w:rFonts w:eastAsiaTheme="minorEastAsia"/>
              <w:noProof/>
              <w:lang w:eastAsia="en-GB"/>
            </w:rPr>
          </w:pPr>
          <w:hyperlink w:anchor="_Toc88741772" w:history="1">
            <w:r w:rsidRPr="000B3A27">
              <w:rPr>
                <w:rStyle w:val="Hyperlink"/>
                <w:rFonts w:cstheme="minorHAnsi"/>
                <w:noProof/>
              </w:rPr>
              <w:t>2.3 Programme Expenditures and Delivery</w:t>
            </w:r>
            <w:r>
              <w:rPr>
                <w:noProof/>
                <w:webHidden/>
              </w:rPr>
              <w:tab/>
            </w:r>
            <w:r>
              <w:rPr>
                <w:noProof/>
                <w:webHidden/>
              </w:rPr>
              <w:fldChar w:fldCharType="begin"/>
            </w:r>
            <w:r>
              <w:rPr>
                <w:noProof/>
                <w:webHidden/>
              </w:rPr>
              <w:instrText xml:space="preserve"> PAGEREF _Toc88741772 \h </w:instrText>
            </w:r>
            <w:r>
              <w:rPr>
                <w:noProof/>
                <w:webHidden/>
              </w:rPr>
            </w:r>
            <w:r>
              <w:rPr>
                <w:noProof/>
                <w:webHidden/>
              </w:rPr>
              <w:fldChar w:fldCharType="separate"/>
            </w:r>
            <w:r>
              <w:rPr>
                <w:noProof/>
                <w:webHidden/>
              </w:rPr>
              <w:t>19</w:t>
            </w:r>
            <w:r>
              <w:rPr>
                <w:noProof/>
                <w:webHidden/>
              </w:rPr>
              <w:fldChar w:fldCharType="end"/>
            </w:r>
          </w:hyperlink>
        </w:p>
        <w:p w14:paraId="692CB0A5" w14:textId="0DC71BDE" w:rsidR="007D6FE9" w:rsidRDefault="007D6FE9">
          <w:pPr>
            <w:pStyle w:val="TOC3"/>
            <w:tabs>
              <w:tab w:val="right" w:leader="dot" w:pos="9350"/>
            </w:tabs>
            <w:rPr>
              <w:rFonts w:eastAsiaTheme="minorEastAsia"/>
              <w:noProof/>
              <w:lang w:eastAsia="en-GB"/>
            </w:rPr>
          </w:pPr>
          <w:hyperlink w:anchor="_Toc88741773" w:history="1">
            <w:r w:rsidRPr="000B3A27">
              <w:rPr>
                <w:rStyle w:val="Hyperlink"/>
                <w:rFonts w:cstheme="minorHAnsi"/>
                <w:noProof/>
              </w:rPr>
              <w:t>2.3.1 Country Office Performance in 2020 and 2021</w:t>
            </w:r>
            <w:r>
              <w:rPr>
                <w:noProof/>
                <w:webHidden/>
              </w:rPr>
              <w:tab/>
            </w:r>
            <w:r>
              <w:rPr>
                <w:noProof/>
                <w:webHidden/>
              </w:rPr>
              <w:fldChar w:fldCharType="begin"/>
            </w:r>
            <w:r>
              <w:rPr>
                <w:noProof/>
                <w:webHidden/>
              </w:rPr>
              <w:instrText xml:space="preserve"> PAGEREF _Toc88741773 \h </w:instrText>
            </w:r>
            <w:r>
              <w:rPr>
                <w:noProof/>
                <w:webHidden/>
              </w:rPr>
            </w:r>
            <w:r>
              <w:rPr>
                <w:noProof/>
                <w:webHidden/>
              </w:rPr>
              <w:fldChar w:fldCharType="separate"/>
            </w:r>
            <w:r>
              <w:rPr>
                <w:noProof/>
                <w:webHidden/>
              </w:rPr>
              <w:t>19</w:t>
            </w:r>
            <w:r>
              <w:rPr>
                <w:noProof/>
                <w:webHidden/>
              </w:rPr>
              <w:fldChar w:fldCharType="end"/>
            </w:r>
          </w:hyperlink>
        </w:p>
        <w:p w14:paraId="72818CB2" w14:textId="69CF76C9" w:rsidR="007D6FE9" w:rsidRDefault="007D6FE9">
          <w:pPr>
            <w:pStyle w:val="TOC3"/>
            <w:tabs>
              <w:tab w:val="right" w:leader="dot" w:pos="9350"/>
            </w:tabs>
            <w:rPr>
              <w:rFonts w:eastAsiaTheme="minorEastAsia"/>
              <w:noProof/>
              <w:lang w:eastAsia="en-GB"/>
            </w:rPr>
          </w:pPr>
          <w:hyperlink w:anchor="_Toc88741774" w:history="1">
            <w:r w:rsidRPr="000B3A27">
              <w:rPr>
                <w:rStyle w:val="Hyperlink"/>
                <w:rFonts w:cstheme="minorHAnsi"/>
                <w:noProof/>
              </w:rPr>
              <w:t>2.3.2 Comparative Delivery with Other Southern Africa Countries</w:t>
            </w:r>
            <w:r>
              <w:rPr>
                <w:noProof/>
                <w:webHidden/>
              </w:rPr>
              <w:tab/>
            </w:r>
            <w:r>
              <w:rPr>
                <w:noProof/>
                <w:webHidden/>
              </w:rPr>
              <w:fldChar w:fldCharType="begin"/>
            </w:r>
            <w:r>
              <w:rPr>
                <w:noProof/>
                <w:webHidden/>
              </w:rPr>
              <w:instrText xml:space="preserve"> PAGEREF _Toc88741774 \h </w:instrText>
            </w:r>
            <w:r>
              <w:rPr>
                <w:noProof/>
                <w:webHidden/>
              </w:rPr>
            </w:r>
            <w:r>
              <w:rPr>
                <w:noProof/>
                <w:webHidden/>
              </w:rPr>
              <w:fldChar w:fldCharType="separate"/>
            </w:r>
            <w:r>
              <w:rPr>
                <w:noProof/>
                <w:webHidden/>
              </w:rPr>
              <w:t>21</w:t>
            </w:r>
            <w:r>
              <w:rPr>
                <w:noProof/>
                <w:webHidden/>
              </w:rPr>
              <w:fldChar w:fldCharType="end"/>
            </w:r>
          </w:hyperlink>
        </w:p>
        <w:p w14:paraId="6EFF71F0" w14:textId="15BD204A" w:rsidR="007D6FE9" w:rsidRDefault="007D6FE9">
          <w:pPr>
            <w:pStyle w:val="TOC2"/>
            <w:tabs>
              <w:tab w:val="right" w:leader="dot" w:pos="9350"/>
            </w:tabs>
            <w:rPr>
              <w:rFonts w:eastAsiaTheme="minorEastAsia"/>
              <w:noProof/>
              <w:lang w:eastAsia="en-GB"/>
            </w:rPr>
          </w:pPr>
          <w:hyperlink w:anchor="_Toc88741775" w:history="1">
            <w:r w:rsidRPr="000B3A27">
              <w:rPr>
                <w:rStyle w:val="Hyperlink"/>
                <w:rFonts w:cstheme="minorHAnsi"/>
                <w:noProof/>
              </w:rPr>
              <w:t>2.4 UNDP in the United Nations Development System in Angola</w:t>
            </w:r>
            <w:r>
              <w:rPr>
                <w:noProof/>
                <w:webHidden/>
              </w:rPr>
              <w:tab/>
            </w:r>
            <w:r>
              <w:rPr>
                <w:noProof/>
                <w:webHidden/>
              </w:rPr>
              <w:fldChar w:fldCharType="begin"/>
            </w:r>
            <w:r>
              <w:rPr>
                <w:noProof/>
                <w:webHidden/>
              </w:rPr>
              <w:instrText xml:space="preserve"> PAGEREF _Toc88741775 \h </w:instrText>
            </w:r>
            <w:r>
              <w:rPr>
                <w:noProof/>
                <w:webHidden/>
              </w:rPr>
            </w:r>
            <w:r>
              <w:rPr>
                <w:noProof/>
                <w:webHidden/>
              </w:rPr>
              <w:fldChar w:fldCharType="separate"/>
            </w:r>
            <w:r>
              <w:rPr>
                <w:noProof/>
                <w:webHidden/>
              </w:rPr>
              <w:t>24</w:t>
            </w:r>
            <w:r>
              <w:rPr>
                <w:noProof/>
                <w:webHidden/>
              </w:rPr>
              <w:fldChar w:fldCharType="end"/>
            </w:r>
          </w:hyperlink>
        </w:p>
        <w:p w14:paraId="58C2E5F8" w14:textId="0A504D31" w:rsidR="007D6FE9" w:rsidRDefault="007D6FE9">
          <w:pPr>
            <w:pStyle w:val="TOC1"/>
            <w:tabs>
              <w:tab w:val="left" w:pos="440"/>
              <w:tab w:val="right" w:leader="dot" w:pos="9350"/>
            </w:tabs>
            <w:rPr>
              <w:rFonts w:eastAsiaTheme="minorEastAsia"/>
              <w:noProof/>
              <w:lang w:eastAsia="en-GB"/>
            </w:rPr>
          </w:pPr>
          <w:hyperlink w:anchor="_Toc88741776" w:history="1">
            <w:r w:rsidRPr="000B3A27">
              <w:rPr>
                <w:rStyle w:val="Hyperlink"/>
                <w:rFonts w:cstheme="minorHAnsi"/>
                <w:noProof/>
                <w:lang w:val="en-US"/>
              </w:rPr>
              <w:t>3.</w:t>
            </w:r>
            <w:r>
              <w:rPr>
                <w:rFonts w:eastAsiaTheme="minorEastAsia"/>
                <w:noProof/>
                <w:lang w:eastAsia="en-GB"/>
              </w:rPr>
              <w:tab/>
            </w:r>
            <w:r w:rsidRPr="000B3A27">
              <w:rPr>
                <w:rStyle w:val="Hyperlink"/>
                <w:rFonts w:cstheme="minorHAnsi"/>
                <w:noProof/>
              </w:rPr>
              <w:t>Evaluation Scope, Methods and Challenges</w:t>
            </w:r>
            <w:r>
              <w:rPr>
                <w:noProof/>
                <w:webHidden/>
              </w:rPr>
              <w:tab/>
            </w:r>
            <w:r>
              <w:rPr>
                <w:noProof/>
                <w:webHidden/>
              </w:rPr>
              <w:fldChar w:fldCharType="begin"/>
            </w:r>
            <w:r>
              <w:rPr>
                <w:noProof/>
                <w:webHidden/>
              </w:rPr>
              <w:instrText xml:space="preserve"> PAGEREF _Toc88741776 \h </w:instrText>
            </w:r>
            <w:r>
              <w:rPr>
                <w:noProof/>
                <w:webHidden/>
              </w:rPr>
            </w:r>
            <w:r>
              <w:rPr>
                <w:noProof/>
                <w:webHidden/>
              </w:rPr>
              <w:fldChar w:fldCharType="separate"/>
            </w:r>
            <w:r>
              <w:rPr>
                <w:noProof/>
                <w:webHidden/>
              </w:rPr>
              <w:t>25</w:t>
            </w:r>
            <w:r>
              <w:rPr>
                <w:noProof/>
                <w:webHidden/>
              </w:rPr>
              <w:fldChar w:fldCharType="end"/>
            </w:r>
          </w:hyperlink>
        </w:p>
        <w:p w14:paraId="47FD3695" w14:textId="6A833A01" w:rsidR="007D6FE9" w:rsidRDefault="007D6FE9">
          <w:pPr>
            <w:pStyle w:val="TOC2"/>
            <w:tabs>
              <w:tab w:val="right" w:leader="dot" w:pos="9350"/>
            </w:tabs>
            <w:rPr>
              <w:rFonts w:eastAsiaTheme="minorEastAsia"/>
              <w:noProof/>
              <w:lang w:eastAsia="en-GB"/>
            </w:rPr>
          </w:pPr>
          <w:hyperlink w:anchor="_Toc88741777" w:history="1">
            <w:r w:rsidRPr="000B3A27">
              <w:rPr>
                <w:rStyle w:val="Hyperlink"/>
                <w:rFonts w:cstheme="minorHAnsi"/>
                <w:noProof/>
              </w:rPr>
              <w:t>3.1 Evaluation Purpose and Scope</w:t>
            </w:r>
            <w:r>
              <w:rPr>
                <w:noProof/>
                <w:webHidden/>
              </w:rPr>
              <w:tab/>
            </w:r>
            <w:r>
              <w:rPr>
                <w:noProof/>
                <w:webHidden/>
              </w:rPr>
              <w:fldChar w:fldCharType="begin"/>
            </w:r>
            <w:r>
              <w:rPr>
                <w:noProof/>
                <w:webHidden/>
              </w:rPr>
              <w:instrText xml:space="preserve"> PAGEREF _Toc88741777 \h </w:instrText>
            </w:r>
            <w:r>
              <w:rPr>
                <w:noProof/>
                <w:webHidden/>
              </w:rPr>
            </w:r>
            <w:r>
              <w:rPr>
                <w:noProof/>
                <w:webHidden/>
              </w:rPr>
              <w:fldChar w:fldCharType="separate"/>
            </w:r>
            <w:r>
              <w:rPr>
                <w:noProof/>
                <w:webHidden/>
              </w:rPr>
              <w:t>25</w:t>
            </w:r>
            <w:r>
              <w:rPr>
                <w:noProof/>
                <w:webHidden/>
              </w:rPr>
              <w:fldChar w:fldCharType="end"/>
            </w:r>
          </w:hyperlink>
        </w:p>
        <w:p w14:paraId="5823C3A6" w14:textId="00D67A98" w:rsidR="007D6FE9" w:rsidRDefault="007D6FE9">
          <w:pPr>
            <w:pStyle w:val="TOC2"/>
            <w:tabs>
              <w:tab w:val="right" w:leader="dot" w:pos="9350"/>
            </w:tabs>
            <w:rPr>
              <w:rFonts w:eastAsiaTheme="minorEastAsia"/>
              <w:noProof/>
              <w:lang w:eastAsia="en-GB"/>
            </w:rPr>
          </w:pPr>
          <w:hyperlink w:anchor="_Toc88741778" w:history="1">
            <w:r w:rsidRPr="000B3A27">
              <w:rPr>
                <w:rStyle w:val="Hyperlink"/>
                <w:rFonts w:cstheme="minorHAnsi"/>
                <w:noProof/>
              </w:rPr>
              <w:t>3.2 Evaluation Methods and Approach</w:t>
            </w:r>
            <w:r>
              <w:rPr>
                <w:noProof/>
                <w:webHidden/>
              </w:rPr>
              <w:tab/>
            </w:r>
            <w:r>
              <w:rPr>
                <w:noProof/>
                <w:webHidden/>
              </w:rPr>
              <w:fldChar w:fldCharType="begin"/>
            </w:r>
            <w:r>
              <w:rPr>
                <w:noProof/>
                <w:webHidden/>
              </w:rPr>
              <w:instrText xml:space="preserve"> PAGEREF _Toc88741778 \h </w:instrText>
            </w:r>
            <w:r>
              <w:rPr>
                <w:noProof/>
                <w:webHidden/>
              </w:rPr>
            </w:r>
            <w:r>
              <w:rPr>
                <w:noProof/>
                <w:webHidden/>
              </w:rPr>
              <w:fldChar w:fldCharType="separate"/>
            </w:r>
            <w:r>
              <w:rPr>
                <w:noProof/>
                <w:webHidden/>
              </w:rPr>
              <w:t>25</w:t>
            </w:r>
            <w:r>
              <w:rPr>
                <w:noProof/>
                <w:webHidden/>
              </w:rPr>
              <w:fldChar w:fldCharType="end"/>
            </w:r>
          </w:hyperlink>
        </w:p>
        <w:p w14:paraId="6F15A91E" w14:textId="6FA1F5D0" w:rsidR="007D6FE9" w:rsidRDefault="007D6FE9">
          <w:pPr>
            <w:pStyle w:val="TOC3"/>
            <w:tabs>
              <w:tab w:val="right" w:leader="dot" w:pos="9350"/>
            </w:tabs>
            <w:rPr>
              <w:rFonts w:eastAsiaTheme="minorEastAsia"/>
              <w:noProof/>
              <w:lang w:eastAsia="en-GB"/>
            </w:rPr>
          </w:pPr>
          <w:hyperlink w:anchor="_Toc88741779" w:history="1">
            <w:r w:rsidRPr="000B3A27">
              <w:rPr>
                <w:rStyle w:val="Hyperlink"/>
                <w:rFonts w:cstheme="minorHAnsi"/>
                <w:noProof/>
                <w:lang w:val="en-US"/>
              </w:rPr>
              <w:t>3.2.1 Evaluation Criteria</w:t>
            </w:r>
            <w:r>
              <w:rPr>
                <w:noProof/>
                <w:webHidden/>
              </w:rPr>
              <w:tab/>
            </w:r>
            <w:r>
              <w:rPr>
                <w:noProof/>
                <w:webHidden/>
              </w:rPr>
              <w:fldChar w:fldCharType="begin"/>
            </w:r>
            <w:r>
              <w:rPr>
                <w:noProof/>
                <w:webHidden/>
              </w:rPr>
              <w:instrText xml:space="preserve"> PAGEREF _Toc88741779 \h </w:instrText>
            </w:r>
            <w:r>
              <w:rPr>
                <w:noProof/>
                <w:webHidden/>
              </w:rPr>
            </w:r>
            <w:r>
              <w:rPr>
                <w:noProof/>
                <w:webHidden/>
              </w:rPr>
              <w:fldChar w:fldCharType="separate"/>
            </w:r>
            <w:r>
              <w:rPr>
                <w:noProof/>
                <w:webHidden/>
              </w:rPr>
              <w:t>25</w:t>
            </w:r>
            <w:r>
              <w:rPr>
                <w:noProof/>
                <w:webHidden/>
              </w:rPr>
              <w:fldChar w:fldCharType="end"/>
            </w:r>
          </w:hyperlink>
        </w:p>
        <w:p w14:paraId="2D05E0BB" w14:textId="1A726F21" w:rsidR="007D6FE9" w:rsidRDefault="007D6FE9">
          <w:pPr>
            <w:pStyle w:val="TOC3"/>
            <w:tabs>
              <w:tab w:val="right" w:leader="dot" w:pos="9350"/>
            </w:tabs>
            <w:rPr>
              <w:rFonts w:eastAsiaTheme="minorEastAsia"/>
              <w:noProof/>
              <w:lang w:eastAsia="en-GB"/>
            </w:rPr>
          </w:pPr>
          <w:hyperlink w:anchor="_Toc88741780" w:history="1">
            <w:r w:rsidRPr="000B3A27">
              <w:rPr>
                <w:rStyle w:val="Hyperlink"/>
                <w:rFonts w:cstheme="minorHAnsi"/>
                <w:noProof/>
              </w:rPr>
              <w:t>3.2.2 Evaluation Approach and Methodology</w:t>
            </w:r>
            <w:r>
              <w:rPr>
                <w:noProof/>
                <w:webHidden/>
              </w:rPr>
              <w:tab/>
            </w:r>
            <w:r>
              <w:rPr>
                <w:noProof/>
                <w:webHidden/>
              </w:rPr>
              <w:fldChar w:fldCharType="begin"/>
            </w:r>
            <w:r>
              <w:rPr>
                <w:noProof/>
                <w:webHidden/>
              </w:rPr>
              <w:instrText xml:space="preserve"> PAGEREF _Toc88741780 \h </w:instrText>
            </w:r>
            <w:r>
              <w:rPr>
                <w:noProof/>
                <w:webHidden/>
              </w:rPr>
            </w:r>
            <w:r>
              <w:rPr>
                <w:noProof/>
                <w:webHidden/>
              </w:rPr>
              <w:fldChar w:fldCharType="separate"/>
            </w:r>
            <w:r>
              <w:rPr>
                <w:noProof/>
                <w:webHidden/>
              </w:rPr>
              <w:t>25</w:t>
            </w:r>
            <w:r>
              <w:rPr>
                <w:noProof/>
                <w:webHidden/>
              </w:rPr>
              <w:fldChar w:fldCharType="end"/>
            </w:r>
          </w:hyperlink>
        </w:p>
        <w:p w14:paraId="558B3116" w14:textId="0E7B873B" w:rsidR="007D6FE9" w:rsidRDefault="007D6FE9">
          <w:pPr>
            <w:pStyle w:val="TOC3"/>
            <w:tabs>
              <w:tab w:val="right" w:leader="dot" w:pos="9350"/>
            </w:tabs>
            <w:rPr>
              <w:rFonts w:eastAsiaTheme="minorEastAsia"/>
              <w:noProof/>
              <w:lang w:eastAsia="en-GB"/>
            </w:rPr>
          </w:pPr>
          <w:hyperlink w:anchor="_Toc88741781" w:history="1">
            <w:r w:rsidRPr="000B3A27">
              <w:rPr>
                <w:rStyle w:val="Hyperlink"/>
                <w:rFonts w:cstheme="minorHAnsi"/>
                <w:noProof/>
              </w:rPr>
              <w:t>3.2.3 Stakeholder consultations and Site Visits</w:t>
            </w:r>
            <w:r>
              <w:rPr>
                <w:noProof/>
                <w:webHidden/>
              </w:rPr>
              <w:tab/>
            </w:r>
            <w:r>
              <w:rPr>
                <w:noProof/>
                <w:webHidden/>
              </w:rPr>
              <w:fldChar w:fldCharType="begin"/>
            </w:r>
            <w:r>
              <w:rPr>
                <w:noProof/>
                <w:webHidden/>
              </w:rPr>
              <w:instrText xml:space="preserve"> PAGEREF _Toc88741781 \h </w:instrText>
            </w:r>
            <w:r>
              <w:rPr>
                <w:noProof/>
                <w:webHidden/>
              </w:rPr>
            </w:r>
            <w:r>
              <w:rPr>
                <w:noProof/>
                <w:webHidden/>
              </w:rPr>
              <w:fldChar w:fldCharType="separate"/>
            </w:r>
            <w:r>
              <w:rPr>
                <w:noProof/>
                <w:webHidden/>
              </w:rPr>
              <w:t>26</w:t>
            </w:r>
            <w:r>
              <w:rPr>
                <w:noProof/>
                <w:webHidden/>
              </w:rPr>
              <w:fldChar w:fldCharType="end"/>
            </w:r>
          </w:hyperlink>
        </w:p>
        <w:p w14:paraId="57E6F9F3" w14:textId="0C931778" w:rsidR="007D6FE9" w:rsidRDefault="007D6FE9">
          <w:pPr>
            <w:pStyle w:val="TOC3"/>
            <w:tabs>
              <w:tab w:val="right" w:leader="dot" w:pos="9350"/>
            </w:tabs>
            <w:rPr>
              <w:rFonts w:eastAsiaTheme="minorEastAsia"/>
              <w:noProof/>
              <w:lang w:eastAsia="en-GB"/>
            </w:rPr>
          </w:pPr>
          <w:hyperlink w:anchor="_Toc88741782" w:history="1">
            <w:r w:rsidRPr="000B3A27">
              <w:rPr>
                <w:rStyle w:val="Hyperlink"/>
                <w:rFonts w:cstheme="minorHAnsi"/>
                <w:noProof/>
              </w:rPr>
              <w:t>3.2.4 Documents review</w:t>
            </w:r>
            <w:r>
              <w:rPr>
                <w:noProof/>
                <w:webHidden/>
              </w:rPr>
              <w:tab/>
            </w:r>
            <w:r>
              <w:rPr>
                <w:noProof/>
                <w:webHidden/>
              </w:rPr>
              <w:fldChar w:fldCharType="begin"/>
            </w:r>
            <w:r>
              <w:rPr>
                <w:noProof/>
                <w:webHidden/>
              </w:rPr>
              <w:instrText xml:space="preserve"> PAGEREF _Toc88741782 \h </w:instrText>
            </w:r>
            <w:r>
              <w:rPr>
                <w:noProof/>
                <w:webHidden/>
              </w:rPr>
            </w:r>
            <w:r>
              <w:rPr>
                <w:noProof/>
                <w:webHidden/>
              </w:rPr>
              <w:fldChar w:fldCharType="separate"/>
            </w:r>
            <w:r>
              <w:rPr>
                <w:noProof/>
                <w:webHidden/>
              </w:rPr>
              <w:t>27</w:t>
            </w:r>
            <w:r>
              <w:rPr>
                <w:noProof/>
                <w:webHidden/>
              </w:rPr>
              <w:fldChar w:fldCharType="end"/>
            </w:r>
          </w:hyperlink>
        </w:p>
        <w:p w14:paraId="530FBAC4" w14:textId="54EFE8EE" w:rsidR="007D6FE9" w:rsidRDefault="007D6FE9">
          <w:pPr>
            <w:pStyle w:val="TOC3"/>
            <w:tabs>
              <w:tab w:val="right" w:leader="dot" w:pos="9350"/>
            </w:tabs>
            <w:rPr>
              <w:rFonts w:eastAsiaTheme="minorEastAsia"/>
              <w:noProof/>
              <w:lang w:eastAsia="en-GB"/>
            </w:rPr>
          </w:pPr>
          <w:hyperlink w:anchor="_Toc88741783" w:history="1">
            <w:r w:rsidRPr="000B3A27">
              <w:rPr>
                <w:rStyle w:val="Hyperlink"/>
                <w:rFonts w:cstheme="minorHAnsi"/>
                <w:noProof/>
              </w:rPr>
              <w:t>3.2.5 Cross-cutting Issues</w:t>
            </w:r>
            <w:r>
              <w:rPr>
                <w:noProof/>
                <w:webHidden/>
              </w:rPr>
              <w:tab/>
            </w:r>
            <w:r>
              <w:rPr>
                <w:noProof/>
                <w:webHidden/>
              </w:rPr>
              <w:fldChar w:fldCharType="begin"/>
            </w:r>
            <w:r>
              <w:rPr>
                <w:noProof/>
                <w:webHidden/>
              </w:rPr>
              <w:instrText xml:space="preserve"> PAGEREF _Toc88741783 \h </w:instrText>
            </w:r>
            <w:r>
              <w:rPr>
                <w:noProof/>
                <w:webHidden/>
              </w:rPr>
            </w:r>
            <w:r>
              <w:rPr>
                <w:noProof/>
                <w:webHidden/>
              </w:rPr>
              <w:fldChar w:fldCharType="separate"/>
            </w:r>
            <w:r>
              <w:rPr>
                <w:noProof/>
                <w:webHidden/>
              </w:rPr>
              <w:t>27</w:t>
            </w:r>
            <w:r>
              <w:rPr>
                <w:noProof/>
                <w:webHidden/>
              </w:rPr>
              <w:fldChar w:fldCharType="end"/>
            </w:r>
          </w:hyperlink>
        </w:p>
        <w:p w14:paraId="1D7CC2BA" w14:textId="1994C8C5" w:rsidR="007D6FE9" w:rsidRDefault="007D6FE9">
          <w:pPr>
            <w:pStyle w:val="TOC3"/>
            <w:tabs>
              <w:tab w:val="right" w:leader="dot" w:pos="9350"/>
            </w:tabs>
            <w:rPr>
              <w:rFonts w:eastAsiaTheme="minorEastAsia"/>
              <w:noProof/>
              <w:lang w:eastAsia="en-GB"/>
            </w:rPr>
          </w:pPr>
          <w:hyperlink w:anchor="_Toc88741784" w:history="1">
            <w:r w:rsidRPr="000B3A27">
              <w:rPr>
                <w:rStyle w:val="Hyperlink"/>
                <w:rFonts w:cstheme="minorHAnsi"/>
                <w:noProof/>
              </w:rPr>
              <w:t>3.2.6 Data Analysis</w:t>
            </w:r>
            <w:r>
              <w:rPr>
                <w:noProof/>
                <w:webHidden/>
              </w:rPr>
              <w:tab/>
            </w:r>
            <w:r>
              <w:rPr>
                <w:noProof/>
                <w:webHidden/>
              </w:rPr>
              <w:fldChar w:fldCharType="begin"/>
            </w:r>
            <w:r>
              <w:rPr>
                <w:noProof/>
                <w:webHidden/>
              </w:rPr>
              <w:instrText xml:space="preserve"> PAGEREF _Toc88741784 \h </w:instrText>
            </w:r>
            <w:r>
              <w:rPr>
                <w:noProof/>
                <w:webHidden/>
              </w:rPr>
            </w:r>
            <w:r>
              <w:rPr>
                <w:noProof/>
                <w:webHidden/>
              </w:rPr>
              <w:fldChar w:fldCharType="separate"/>
            </w:r>
            <w:r>
              <w:rPr>
                <w:noProof/>
                <w:webHidden/>
              </w:rPr>
              <w:t>28</w:t>
            </w:r>
            <w:r>
              <w:rPr>
                <w:noProof/>
                <w:webHidden/>
              </w:rPr>
              <w:fldChar w:fldCharType="end"/>
            </w:r>
          </w:hyperlink>
        </w:p>
        <w:p w14:paraId="56472506" w14:textId="0E89F9AE" w:rsidR="007D6FE9" w:rsidRDefault="007D6FE9">
          <w:pPr>
            <w:pStyle w:val="TOC2"/>
            <w:tabs>
              <w:tab w:val="left" w:pos="880"/>
              <w:tab w:val="right" w:leader="dot" w:pos="9350"/>
            </w:tabs>
            <w:rPr>
              <w:rFonts w:eastAsiaTheme="minorEastAsia"/>
              <w:noProof/>
              <w:lang w:eastAsia="en-GB"/>
            </w:rPr>
          </w:pPr>
          <w:hyperlink w:anchor="_Toc88741785" w:history="1">
            <w:r w:rsidRPr="000B3A27">
              <w:rPr>
                <w:rStyle w:val="Hyperlink"/>
                <w:rFonts w:cstheme="minorHAnsi"/>
                <w:noProof/>
              </w:rPr>
              <w:t>3.3</w:t>
            </w:r>
            <w:r>
              <w:rPr>
                <w:rFonts w:eastAsiaTheme="minorEastAsia"/>
                <w:noProof/>
                <w:lang w:eastAsia="en-GB"/>
              </w:rPr>
              <w:tab/>
            </w:r>
            <w:r w:rsidRPr="000B3A27">
              <w:rPr>
                <w:rStyle w:val="Hyperlink"/>
                <w:rFonts w:cstheme="minorHAnsi"/>
                <w:noProof/>
              </w:rPr>
              <w:t>Challenges in carrying out the Evaluation</w:t>
            </w:r>
            <w:r>
              <w:rPr>
                <w:noProof/>
                <w:webHidden/>
              </w:rPr>
              <w:tab/>
            </w:r>
            <w:r>
              <w:rPr>
                <w:noProof/>
                <w:webHidden/>
              </w:rPr>
              <w:fldChar w:fldCharType="begin"/>
            </w:r>
            <w:r>
              <w:rPr>
                <w:noProof/>
                <w:webHidden/>
              </w:rPr>
              <w:instrText xml:space="preserve"> PAGEREF _Toc88741785 \h </w:instrText>
            </w:r>
            <w:r>
              <w:rPr>
                <w:noProof/>
                <w:webHidden/>
              </w:rPr>
            </w:r>
            <w:r>
              <w:rPr>
                <w:noProof/>
                <w:webHidden/>
              </w:rPr>
              <w:fldChar w:fldCharType="separate"/>
            </w:r>
            <w:r>
              <w:rPr>
                <w:noProof/>
                <w:webHidden/>
              </w:rPr>
              <w:t>28</w:t>
            </w:r>
            <w:r>
              <w:rPr>
                <w:noProof/>
                <w:webHidden/>
              </w:rPr>
              <w:fldChar w:fldCharType="end"/>
            </w:r>
          </w:hyperlink>
        </w:p>
        <w:p w14:paraId="02642DA7" w14:textId="7A949D8C" w:rsidR="007D6FE9" w:rsidRDefault="007D6FE9">
          <w:pPr>
            <w:pStyle w:val="TOC1"/>
            <w:tabs>
              <w:tab w:val="left" w:pos="440"/>
              <w:tab w:val="right" w:leader="dot" w:pos="9350"/>
            </w:tabs>
            <w:rPr>
              <w:rFonts w:eastAsiaTheme="minorEastAsia"/>
              <w:noProof/>
              <w:lang w:eastAsia="en-GB"/>
            </w:rPr>
          </w:pPr>
          <w:hyperlink w:anchor="_Toc88741786" w:history="1">
            <w:r w:rsidRPr="000B3A27">
              <w:rPr>
                <w:rStyle w:val="Hyperlink"/>
                <w:rFonts w:cstheme="minorHAnsi"/>
                <w:noProof/>
              </w:rPr>
              <w:t>4</w:t>
            </w:r>
            <w:r>
              <w:rPr>
                <w:rFonts w:eastAsiaTheme="minorEastAsia"/>
                <w:noProof/>
                <w:lang w:eastAsia="en-GB"/>
              </w:rPr>
              <w:tab/>
            </w:r>
            <w:r w:rsidRPr="000B3A27">
              <w:rPr>
                <w:rStyle w:val="Hyperlink"/>
                <w:rFonts w:cstheme="minorHAnsi"/>
                <w:noProof/>
              </w:rPr>
              <w:t>Evaluation Findings</w:t>
            </w:r>
            <w:r>
              <w:rPr>
                <w:noProof/>
                <w:webHidden/>
              </w:rPr>
              <w:tab/>
            </w:r>
            <w:r>
              <w:rPr>
                <w:noProof/>
                <w:webHidden/>
              </w:rPr>
              <w:fldChar w:fldCharType="begin"/>
            </w:r>
            <w:r>
              <w:rPr>
                <w:noProof/>
                <w:webHidden/>
              </w:rPr>
              <w:instrText xml:space="preserve"> PAGEREF _Toc88741786 \h </w:instrText>
            </w:r>
            <w:r>
              <w:rPr>
                <w:noProof/>
                <w:webHidden/>
              </w:rPr>
            </w:r>
            <w:r>
              <w:rPr>
                <w:noProof/>
                <w:webHidden/>
              </w:rPr>
              <w:fldChar w:fldCharType="separate"/>
            </w:r>
            <w:r>
              <w:rPr>
                <w:noProof/>
                <w:webHidden/>
              </w:rPr>
              <w:t>29</w:t>
            </w:r>
            <w:r>
              <w:rPr>
                <w:noProof/>
                <w:webHidden/>
              </w:rPr>
              <w:fldChar w:fldCharType="end"/>
            </w:r>
          </w:hyperlink>
        </w:p>
        <w:p w14:paraId="5838044F" w14:textId="6886ED4E" w:rsidR="007D6FE9" w:rsidRDefault="007D6FE9">
          <w:pPr>
            <w:pStyle w:val="TOC2"/>
            <w:tabs>
              <w:tab w:val="right" w:leader="dot" w:pos="9350"/>
            </w:tabs>
            <w:rPr>
              <w:rFonts w:eastAsiaTheme="minorEastAsia"/>
              <w:noProof/>
              <w:lang w:eastAsia="en-GB"/>
            </w:rPr>
          </w:pPr>
          <w:hyperlink w:anchor="_Toc88741787" w:history="1">
            <w:r w:rsidRPr="000B3A27">
              <w:rPr>
                <w:rStyle w:val="Hyperlink"/>
                <w:rFonts w:cstheme="minorHAnsi"/>
                <w:noProof/>
              </w:rPr>
              <w:t>4.1 Fostering poverty eradication and inclusive economic growth</w:t>
            </w:r>
            <w:r>
              <w:rPr>
                <w:noProof/>
                <w:webHidden/>
              </w:rPr>
              <w:tab/>
            </w:r>
            <w:r>
              <w:rPr>
                <w:noProof/>
                <w:webHidden/>
              </w:rPr>
              <w:fldChar w:fldCharType="begin"/>
            </w:r>
            <w:r>
              <w:rPr>
                <w:noProof/>
                <w:webHidden/>
              </w:rPr>
              <w:instrText xml:space="preserve"> PAGEREF _Toc88741787 \h </w:instrText>
            </w:r>
            <w:r>
              <w:rPr>
                <w:noProof/>
                <w:webHidden/>
              </w:rPr>
            </w:r>
            <w:r>
              <w:rPr>
                <w:noProof/>
                <w:webHidden/>
              </w:rPr>
              <w:fldChar w:fldCharType="separate"/>
            </w:r>
            <w:r>
              <w:rPr>
                <w:noProof/>
                <w:webHidden/>
              </w:rPr>
              <w:t>29</w:t>
            </w:r>
            <w:r>
              <w:rPr>
                <w:noProof/>
                <w:webHidden/>
              </w:rPr>
              <w:fldChar w:fldCharType="end"/>
            </w:r>
          </w:hyperlink>
        </w:p>
        <w:p w14:paraId="780A1DB8" w14:textId="087CCBCC" w:rsidR="007D6FE9" w:rsidRDefault="007D6FE9">
          <w:pPr>
            <w:pStyle w:val="TOC3"/>
            <w:tabs>
              <w:tab w:val="right" w:leader="dot" w:pos="9350"/>
            </w:tabs>
            <w:rPr>
              <w:rFonts w:eastAsiaTheme="minorEastAsia"/>
              <w:noProof/>
              <w:lang w:eastAsia="en-GB"/>
            </w:rPr>
          </w:pPr>
          <w:hyperlink w:anchor="_Toc88741788" w:history="1">
            <w:r w:rsidRPr="000B3A27">
              <w:rPr>
                <w:rStyle w:val="Hyperlink"/>
                <w:rFonts w:cstheme="minorHAnsi"/>
                <w:noProof/>
              </w:rPr>
              <w:t>4.1.1 Relevance</w:t>
            </w:r>
            <w:r>
              <w:rPr>
                <w:noProof/>
                <w:webHidden/>
              </w:rPr>
              <w:tab/>
            </w:r>
            <w:r>
              <w:rPr>
                <w:noProof/>
                <w:webHidden/>
              </w:rPr>
              <w:fldChar w:fldCharType="begin"/>
            </w:r>
            <w:r>
              <w:rPr>
                <w:noProof/>
                <w:webHidden/>
              </w:rPr>
              <w:instrText xml:space="preserve"> PAGEREF _Toc88741788 \h </w:instrText>
            </w:r>
            <w:r>
              <w:rPr>
                <w:noProof/>
                <w:webHidden/>
              </w:rPr>
            </w:r>
            <w:r>
              <w:rPr>
                <w:noProof/>
                <w:webHidden/>
              </w:rPr>
              <w:fldChar w:fldCharType="separate"/>
            </w:r>
            <w:r>
              <w:rPr>
                <w:noProof/>
                <w:webHidden/>
              </w:rPr>
              <w:t>29</w:t>
            </w:r>
            <w:r>
              <w:rPr>
                <w:noProof/>
                <w:webHidden/>
              </w:rPr>
              <w:fldChar w:fldCharType="end"/>
            </w:r>
          </w:hyperlink>
        </w:p>
        <w:p w14:paraId="37231694" w14:textId="648A0232" w:rsidR="007D6FE9" w:rsidRDefault="007D6FE9">
          <w:pPr>
            <w:pStyle w:val="TOC3"/>
            <w:tabs>
              <w:tab w:val="right" w:leader="dot" w:pos="9350"/>
            </w:tabs>
            <w:rPr>
              <w:rFonts w:eastAsiaTheme="minorEastAsia"/>
              <w:noProof/>
              <w:lang w:eastAsia="en-GB"/>
            </w:rPr>
          </w:pPr>
          <w:hyperlink w:anchor="_Toc88741789" w:history="1">
            <w:r w:rsidRPr="000B3A27">
              <w:rPr>
                <w:rStyle w:val="Hyperlink"/>
                <w:rFonts w:cstheme="minorHAnsi"/>
                <w:noProof/>
              </w:rPr>
              <w:t>4.1.2 Effectiveness</w:t>
            </w:r>
            <w:r>
              <w:rPr>
                <w:noProof/>
                <w:webHidden/>
              </w:rPr>
              <w:tab/>
            </w:r>
            <w:r>
              <w:rPr>
                <w:noProof/>
                <w:webHidden/>
              </w:rPr>
              <w:fldChar w:fldCharType="begin"/>
            </w:r>
            <w:r>
              <w:rPr>
                <w:noProof/>
                <w:webHidden/>
              </w:rPr>
              <w:instrText xml:space="preserve"> PAGEREF _Toc88741789 \h </w:instrText>
            </w:r>
            <w:r>
              <w:rPr>
                <w:noProof/>
                <w:webHidden/>
              </w:rPr>
            </w:r>
            <w:r>
              <w:rPr>
                <w:noProof/>
                <w:webHidden/>
              </w:rPr>
              <w:fldChar w:fldCharType="separate"/>
            </w:r>
            <w:r>
              <w:rPr>
                <w:noProof/>
                <w:webHidden/>
              </w:rPr>
              <w:t>30</w:t>
            </w:r>
            <w:r>
              <w:rPr>
                <w:noProof/>
                <w:webHidden/>
              </w:rPr>
              <w:fldChar w:fldCharType="end"/>
            </w:r>
          </w:hyperlink>
        </w:p>
        <w:p w14:paraId="5825F39F" w14:textId="18C26DFD" w:rsidR="007D6FE9" w:rsidRDefault="007D6FE9">
          <w:pPr>
            <w:pStyle w:val="TOC3"/>
            <w:tabs>
              <w:tab w:val="right" w:leader="dot" w:pos="9350"/>
            </w:tabs>
            <w:rPr>
              <w:rFonts w:eastAsiaTheme="minorEastAsia"/>
              <w:noProof/>
              <w:lang w:eastAsia="en-GB"/>
            </w:rPr>
          </w:pPr>
          <w:hyperlink w:anchor="_Toc88741790" w:history="1">
            <w:r w:rsidRPr="000B3A27">
              <w:rPr>
                <w:rStyle w:val="Hyperlink"/>
                <w:rFonts w:cstheme="minorHAnsi"/>
                <w:noProof/>
              </w:rPr>
              <w:t>4.1.3 Efficiency</w:t>
            </w:r>
            <w:r>
              <w:rPr>
                <w:noProof/>
                <w:webHidden/>
              </w:rPr>
              <w:tab/>
            </w:r>
            <w:r>
              <w:rPr>
                <w:noProof/>
                <w:webHidden/>
              </w:rPr>
              <w:fldChar w:fldCharType="begin"/>
            </w:r>
            <w:r>
              <w:rPr>
                <w:noProof/>
                <w:webHidden/>
              </w:rPr>
              <w:instrText xml:space="preserve"> PAGEREF _Toc88741790 \h </w:instrText>
            </w:r>
            <w:r>
              <w:rPr>
                <w:noProof/>
                <w:webHidden/>
              </w:rPr>
            </w:r>
            <w:r>
              <w:rPr>
                <w:noProof/>
                <w:webHidden/>
              </w:rPr>
              <w:fldChar w:fldCharType="separate"/>
            </w:r>
            <w:r>
              <w:rPr>
                <w:noProof/>
                <w:webHidden/>
              </w:rPr>
              <w:t>38</w:t>
            </w:r>
            <w:r>
              <w:rPr>
                <w:noProof/>
                <w:webHidden/>
              </w:rPr>
              <w:fldChar w:fldCharType="end"/>
            </w:r>
          </w:hyperlink>
        </w:p>
        <w:p w14:paraId="42FFFC05" w14:textId="32D575D6" w:rsidR="007D6FE9" w:rsidRDefault="007D6FE9">
          <w:pPr>
            <w:pStyle w:val="TOC3"/>
            <w:tabs>
              <w:tab w:val="right" w:leader="dot" w:pos="9350"/>
            </w:tabs>
            <w:rPr>
              <w:rFonts w:eastAsiaTheme="minorEastAsia"/>
              <w:noProof/>
              <w:lang w:eastAsia="en-GB"/>
            </w:rPr>
          </w:pPr>
          <w:hyperlink w:anchor="_Toc88741791" w:history="1">
            <w:r w:rsidRPr="000B3A27">
              <w:rPr>
                <w:rStyle w:val="Hyperlink"/>
                <w:rFonts w:cstheme="minorHAnsi"/>
                <w:noProof/>
              </w:rPr>
              <w:t>4.1.4 Sustainability</w:t>
            </w:r>
            <w:r>
              <w:rPr>
                <w:noProof/>
                <w:webHidden/>
              </w:rPr>
              <w:tab/>
            </w:r>
            <w:r>
              <w:rPr>
                <w:noProof/>
                <w:webHidden/>
              </w:rPr>
              <w:fldChar w:fldCharType="begin"/>
            </w:r>
            <w:r>
              <w:rPr>
                <w:noProof/>
                <w:webHidden/>
              </w:rPr>
              <w:instrText xml:space="preserve"> PAGEREF _Toc88741791 \h </w:instrText>
            </w:r>
            <w:r>
              <w:rPr>
                <w:noProof/>
                <w:webHidden/>
              </w:rPr>
            </w:r>
            <w:r>
              <w:rPr>
                <w:noProof/>
                <w:webHidden/>
              </w:rPr>
              <w:fldChar w:fldCharType="separate"/>
            </w:r>
            <w:r>
              <w:rPr>
                <w:noProof/>
                <w:webHidden/>
              </w:rPr>
              <w:t>39</w:t>
            </w:r>
            <w:r>
              <w:rPr>
                <w:noProof/>
                <w:webHidden/>
              </w:rPr>
              <w:fldChar w:fldCharType="end"/>
            </w:r>
          </w:hyperlink>
        </w:p>
        <w:p w14:paraId="71741CD0" w14:textId="1E4F5612" w:rsidR="007D6FE9" w:rsidRDefault="007D6FE9">
          <w:pPr>
            <w:pStyle w:val="TOC3"/>
            <w:tabs>
              <w:tab w:val="right" w:leader="dot" w:pos="9350"/>
            </w:tabs>
            <w:rPr>
              <w:rFonts w:eastAsiaTheme="minorEastAsia"/>
              <w:noProof/>
              <w:lang w:eastAsia="en-GB"/>
            </w:rPr>
          </w:pPr>
          <w:hyperlink w:anchor="_Toc88741792" w:history="1">
            <w:r w:rsidRPr="000B3A27">
              <w:rPr>
                <w:rStyle w:val="Hyperlink"/>
                <w:rFonts w:cstheme="minorHAnsi"/>
                <w:noProof/>
              </w:rPr>
              <w:t>4.1.5 Overall conclusions on UNDP’s work on the Poverty cluster</w:t>
            </w:r>
            <w:r>
              <w:rPr>
                <w:noProof/>
                <w:webHidden/>
              </w:rPr>
              <w:tab/>
            </w:r>
            <w:r>
              <w:rPr>
                <w:noProof/>
                <w:webHidden/>
              </w:rPr>
              <w:fldChar w:fldCharType="begin"/>
            </w:r>
            <w:r>
              <w:rPr>
                <w:noProof/>
                <w:webHidden/>
              </w:rPr>
              <w:instrText xml:space="preserve"> PAGEREF _Toc88741792 \h </w:instrText>
            </w:r>
            <w:r>
              <w:rPr>
                <w:noProof/>
                <w:webHidden/>
              </w:rPr>
            </w:r>
            <w:r>
              <w:rPr>
                <w:noProof/>
                <w:webHidden/>
              </w:rPr>
              <w:fldChar w:fldCharType="separate"/>
            </w:r>
            <w:r>
              <w:rPr>
                <w:noProof/>
                <w:webHidden/>
              </w:rPr>
              <w:t>40</w:t>
            </w:r>
            <w:r>
              <w:rPr>
                <w:noProof/>
                <w:webHidden/>
              </w:rPr>
              <w:fldChar w:fldCharType="end"/>
            </w:r>
          </w:hyperlink>
        </w:p>
        <w:p w14:paraId="0E823EF8" w14:textId="28EAEB61" w:rsidR="007D6FE9" w:rsidRDefault="007D6FE9">
          <w:pPr>
            <w:pStyle w:val="TOC2"/>
            <w:tabs>
              <w:tab w:val="right" w:leader="dot" w:pos="9350"/>
            </w:tabs>
            <w:rPr>
              <w:rFonts w:eastAsiaTheme="minorEastAsia"/>
              <w:noProof/>
              <w:lang w:eastAsia="en-GB"/>
            </w:rPr>
          </w:pPr>
          <w:hyperlink w:anchor="_Toc88741793" w:history="1">
            <w:r w:rsidRPr="000B3A27">
              <w:rPr>
                <w:rStyle w:val="Hyperlink"/>
                <w:rFonts w:cstheme="minorHAnsi"/>
                <w:noProof/>
              </w:rPr>
              <w:t>4.2 Increasing resilience to shocks and crises and enhancing management of natural resources for conservation and economic development</w:t>
            </w:r>
            <w:r>
              <w:rPr>
                <w:noProof/>
                <w:webHidden/>
              </w:rPr>
              <w:tab/>
            </w:r>
            <w:r>
              <w:rPr>
                <w:noProof/>
                <w:webHidden/>
              </w:rPr>
              <w:fldChar w:fldCharType="begin"/>
            </w:r>
            <w:r>
              <w:rPr>
                <w:noProof/>
                <w:webHidden/>
              </w:rPr>
              <w:instrText xml:space="preserve"> PAGEREF _Toc88741793 \h </w:instrText>
            </w:r>
            <w:r>
              <w:rPr>
                <w:noProof/>
                <w:webHidden/>
              </w:rPr>
            </w:r>
            <w:r>
              <w:rPr>
                <w:noProof/>
                <w:webHidden/>
              </w:rPr>
              <w:fldChar w:fldCharType="separate"/>
            </w:r>
            <w:r>
              <w:rPr>
                <w:noProof/>
                <w:webHidden/>
              </w:rPr>
              <w:t>40</w:t>
            </w:r>
            <w:r>
              <w:rPr>
                <w:noProof/>
                <w:webHidden/>
              </w:rPr>
              <w:fldChar w:fldCharType="end"/>
            </w:r>
          </w:hyperlink>
        </w:p>
        <w:p w14:paraId="35B656AF" w14:textId="20D97F82" w:rsidR="007D6FE9" w:rsidRDefault="007D6FE9">
          <w:pPr>
            <w:pStyle w:val="TOC3"/>
            <w:tabs>
              <w:tab w:val="right" w:leader="dot" w:pos="9350"/>
            </w:tabs>
            <w:rPr>
              <w:rFonts w:eastAsiaTheme="minorEastAsia"/>
              <w:noProof/>
              <w:lang w:eastAsia="en-GB"/>
            </w:rPr>
          </w:pPr>
          <w:hyperlink w:anchor="_Toc88741794" w:history="1">
            <w:r w:rsidRPr="000B3A27">
              <w:rPr>
                <w:rStyle w:val="Hyperlink"/>
                <w:rFonts w:cstheme="minorHAnsi"/>
                <w:noProof/>
              </w:rPr>
              <w:t>4.2.1 Relevance</w:t>
            </w:r>
            <w:r>
              <w:rPr>
                <w:noProof/>
                <w:webHidden/>
              </w:rPr>
              <w:tab/>
            </w:r>
            <w:r>
              <w:rPr>
                <w:noProof/>
                <w:webHidden/>
              </w:rPr>
              <w:fldChar w:fldCharType="begin"/>
            </w:r>
            <w:r>
              <w:rPr>
                <w:noProof/>
                <w:webHidden/>
              </w:rPr>
              <w:instrText xml:space="preserve"> PAGEREF _Toc88741794 \h </w:instrText>
            </w:r>
            <w:r>
              <w:rPr>
                <w:noProof/>
                <w:webHidden/>
              </w:rPr>
            </w:r>
            <w:r>
              <w:rPr>
                <w:noProof/>
                <w:webHidden/>
              </w:rPr>
              <w:fldChar w:fldCharType="separate"/>
            </w:r>
            <w:r>
              <w:rPr>
                <w:noProof/>
                <w:webHidden/>
              </w:rPr>
              <w:t>40</w:t>
            </w:r>
            <w:r>
              <w:rPr>
                <w:noProof/>
                <w:webHidden/>
              </w:rPr>
              <w:fldChar w:fldCharType="end"/>
            </w:r>
          </w:hyperlink>
        </w:p>
        <w:p w14:paraId="2F283FF5" w14:textId="4AE9127C" w:rsidR="007D6FE9" w:rsidRDefault="007D6FE9">
          <w:pPr>
            <w:pStyle w:val="TOC3"/>
            <w:tabs>
              <w:tab w:val="left" w:pos="1320"/>
              <w:tab w:val="right" w:leader="dot" w:pos="9350"/>
            </w:tabs>
            <w:rPr>
              <w:rFonts w:eastAsiaTheme="minorEastAsia"/>
              <w:noProof/>
              <w:lang w:eastAsia="en-GB"/>
            </w:rPr>
          </w:pPr>
          <w:hyperlink w:anchor="_Toc88741795" w:history="1">
            <w:r w:rsidRPr="000B3A27">
              <w:rPr>
                <w:rStyle w:val="Hyperlink"/>
                <w:rFonts w:cstheme="minorHAnsi"/>
                <w:noProof/>
              </w:rPr>
              <w:t>4.2.2</w:t>
            </w:r>
            <w:r>
              <w:rPr>
                <w:rFonts w:eastAsiaTheme="minorEastAsia"/>
                <w:noProof/>
                <w:lang w:eastAsia="en-GB"/>
              </w:rPr>
              <w:tab/>
            </w:r>
            <w:r w:rsidRPr="000B3A27">
              <w:rPr>
                <w:rStyle w:val="Hyperlink"/>
                <w:rFonts w:cstheme="minorHAnsi"/>
                <w:noProof/>
              </w:rPr>
              <w:t>Effectiveness</w:t>
            </w:r>
            <w:r>
              <w:rPr>
                <w:noProof/>
                <w:webHidden/>
              </w:rPr>
              <w:tab/>
            </w:r>
            <w:r>
              <w:rPr>
                <w:noProof/>
                <w:webHidden/>
              </w:rPr>
              <w:fldChar w:fldCharType="begin"/>
            </w:r>
            <w:r>
              <w:rPr>
                <w:noProof/>
                <w:webHidden/>
              </w:rPr>
              <w:instrText xml:space="preserve"> PAGEREF _Toc88741795 \h </w:instrText>
            </w:r>
            <w:r>
              <w:rPr>
                <w:noProof/>
                <w:webHidden/>
              </w:rPr>
            </w:r>
            <w:r>
              <w:rPr>
                <w:noProof/>
                <w:webHidden/>
              </w:rPr>
              <w:fldChar w:fldCharType="separate"/>
            </w:r>
            <w:r>
              <w:rPr>
                <w:noProof/>
                <w:webHidden/>
              </w:rPr>
              <w:t>41</w:t>
            </w:r>
            <w:r>
              <w:rPr>
                <w:noProof/>
                <w:webHidden/>
              </w:rPr>
              <w:fldChar w:fldCharType="end"/>
            </w:r>
          </w:hyperlink>
        </w:p>
        <w:p w14:paraId="362A5F50" w14:textId="5279C453" w:rsidR="007D6FE9" w:rsidRDefault="007D6FE9">
          <w:pPr>
            <w:pStyle w:val="TOC3"/>
            <w:tabs>
              <w:tab w:val="right" w:leader="dot" w:pos="9350"/>
            </w:tabs>
            <w:rPr>
              <w:rFonts w:eastAsiaTheme="minorEastAsia"/>
              <w:noProof/>
              <w:lang w:eastAsia="en-GB"/>
            </w:rPr>
          </w:pPr>
          <w:hyperlink w:anchor="_Toc88741796" w:history="1">
            <w:r w:rsidRPr="000B3A27">
              <w:rPr>
                <w:rStyle w:val="Hyperlink"/>
                <w:rFonts w:cstheme="minorHAnsi"/>
                <w:noProof/>
              </w:rPr>
              <w:t>4.2.3 Efficiency</w:t>
            </w:r>
            <w:r>
              <w:rPr>
                <w:noProof/>
                <w:webHidden/>
              </w:rPr>
              <w:tab/>
            </w:r>
            <w:r>
              <w:rPr>
                <w:noProof/>
                <w:webHidden/>
              </w:rPr>
              <w:fldChar w:fldCharType="begin"/>
            </w:r>
            <w:r>
              <w:rPr>
                <w:noProof/>
                <w:webHidden/>
              </w:rPr>
              <w:instrText xml:space="preserve"> PAGEREF _Toc88741796 \h </w:instrText>
            </w:r>
            <w:r>
              <w:rPr>
                <w:noProof/>
                <w:webHidden/>
              </w:rPr>
            </w:r>
            <w:r>
              <w:rPr>
                <w:noProof/>
                <w:webHidden/>
              </w:rPr>
              <w:fldChar w:fldCharType="separate"/>
            </w:r>
            <w:r>
              <w:rPr>
                <w:noProof/>
                <w:webHidden/>
              </w:rPr>
              <w:t>46</w:t>
            </w:r>
            <w:r>
              <w:rPr>
                <w:noProof/>
                <w:webHidden/>
              </w:rPr>
              <w:fldChar w:fldCharType="end"/>
            </w:r>
          </w:hyperlink>
        </w:p>
        <w:p w14:paraId="12975A94" w14:textId="60F861F1" w:rsidR="007D6FE9" w:rsidRDefault="007D6FE9">
          <w:pPr>
            <w:pStyle w:val="TOC3"/>
            <w:tabs>
              <w:tab w:val="right" w:leader="dot" w:pos="9350"/>
            </w:tabs>
            <w:rPr>
              <w:rFonts w:eastAsiaTheme="minorEastAsia"/>
              <w:noProof/>
              <w:lang w:eastAsia="en-GB"/>
            </w:rPr>
          </w:pPr>
          <w:hyperlink w:anchor="_Toc88741797" w:history="1">
            <w:r w:rsidRPr="000B3A27">
              <w:rPr>
                <w:rStyle w:val="Hyperlink"/>
                <w:rFonts w:cstheme="minorHAnsi"/>
                <w:noProof/>
              </w:rPr>
              <w:t>4.2.4 Sustainability</w:t>
            </w:r>
            <w:r>
              <w:rPr>
                <w:noProof/>
                <w:webHidden/>
              </w:rPr>
              <w:tab/>
            </w:r>
            <w:r>
              <w:rPr>
                <w:noProof/>
                <w:webHidden/>
              </w:rPr>
              <w:fldChar w:fldCharType="begin"/>
            </w:r>
            <w:r>
              <w:rPr>
                <w:noProof/>
                <w:webHidden/>
              </w:rPr>
              <w:instrText xml:space="preserve"> PAGEREF _Toc88741797 \h </w:instrText>
            </w:r>
            <w:r>
              <w:rPr>
                <w:noProof/>
                <w:webHidden/>
              </w:rPr>
            </w:r>
            <w:r>
              <w:rPr>
                <w:noProof/>
                <w:webHidden/>
              </w:rPr>
              <w:fldChar w:fldCharType="separate"/>
            </w:r>
            <w:r>
              <w:rPr>
                <w:noProof/>
                <w:webHidden/>
              </w:rPr>
              <w:t>47</w:t>
            </w:r>
            <w:r>
              <w:rPr>
                <w:noProof/>
                <w:webHidden/>
              </w:rPr>
              <w:fldChar w:fldCharType="end"/>
            </w:r>
          </w:hyperlink>
        </w:p>
        <w:p w14:paraId="537AA36D" w14:textId="518FF855" w:rsidR="007D6FE9" w:rsidRDefault="007D6FE9">
          <w:pPr>
            <w:pStyle w:val="TOC3"/>
            <w:tabs>
              <w:tab w:val="right" w:leader="dot" w:pos="9350"/>
            </w:tabs>
            <w:rPr>
              <w:rFonts w:eastAsiaTheme="minorEastAsia"/>
              <w:noProof/>
              <w:lang w:eastAsia="en-GB"/>
            </w:rPr>
          </w:pPr>
          <w:hyperlink w:anchor="_Toc88741798" w:history="1">
            <w:r w:rsidRPr="000B3A27">
              <w:rPr>
                <w:rStyle w:val="Hyperlink"/>
                <w:rFonts w:cstheme="minorHAnsi"/>
                <w:noProof/>
              </w:rPr>
              <w:t>4.2.5 Overall conclusions on UNDP’s work on Environment, Climate Change and Resilience Cluster</w:t>
            </w:r>
            <w:r>
              <w:rPr>
                <w:noProof/>
                <w:webHidden/>
              </w:rPr>
              <w:tab/>
            </w:r>
            <w:r>
              <w:rPr>
                <w:noProof/>
                <w:webHidden/>
              </w:rPr>
              <w:fldChar w:fldCharType="begin"/>
            </w:r>
            <w:r>
              <w:rPr>
                <w:noProof/>
                <w:webHidden/>
              </w:rPr>
              <w:instrText xml:space="preserve"> PAGEREF _Toc88741798 \h </w:instrText>
            </w:r>
            <w:r>
              <w:rPr>
                <w:noProof/>
                <w:webHidden/>
              </w:rPr>
            </w:r>
            <w:r>
              <w:rPr>
                <w:noProof/>
                <w:webHidden/>
              </w:rPr>
              <w:fldChar w:fldCharType="separate"/>
            </w:r>
            <w:r>
              <w:rPr>
                <w:noProof/>
                <w:webHidden/>
              </w:rPr>
              <w:t>47</w:t>
            </w:r>
            <w:r>
              <w:rPr>
                <w:noProof/>
                <w:webHidden/>
              </w:rPr>
              <w:fldChar w:fldCharType="end"/>
            </w:r>
          </w:hyperlink>
        </w:p>
        <w:p w14:paraId="22DC6743" w14:textId="53F5D646" w:rsidR="007D6FE9" w:rsidRDefault="007D6FE9">
          <w:pPr>
            <w:pStyle w:val="TOC2"/>
            <w:tabs>
              <w:tab w:val="right" w:leader="dot" w:pos="9350"/>
            </w:tabs>
            <w:rPr>
              <w:rFonts w:eastAsiaTheme="minorEastAsia"/>
              <w:noProof/>
              <w:lang w:eastAsia="en-GB"/>
            </w:rPr>
          </w:pPr>
          <w:hyperlink w:anchor="_Toc88741799" w:history="1">
            <w:r w:rsidRPr="000B3A27">
              <w:rPr>
                <w:rStyle w:val="Hyperlink"/>
                <w:rFonts w:cstheme="minorHAnsi"/>
                <w:noProof/>
              </w:rPr>
              <w:t>4.3 Strengthening inclusive democracy, human rights, justice and rule of law</w:t>
            </w:r>
            <w:r>
              <w:rPr>
                <w:noProof/>
                <w:webHidden/>
              </w:rPr>
              <w:tab/>
            </w:r>
            <w:r>
              <w:rPr>
                <w:noProof/>
                <w:webHidden/>
              </w:rPr>
              <w:fldChar w:fldCharType="begin"/>
            </w:r>
            <w:r>
              <w:rPr>
                <w:noProof/>
                <w:webHidden/>
              </w:rPr>
              <w:instrText xml:space="preserve"> PAGEREF _Toc88741799 \h </w:instrText>
            </w:r>
            <w:r>
              <w:rPr>
                <w:noProof/>
                <w:webHidden/>
              </w:rPr>
            </w:r>
            <w:r>
              <w:rPr>
                <w:noProof/>
                <w:webHidden/>
              </w:rPr>
              <w:fldChar w:fldCharType="separate"/>
            </w:r>
            <w:r>
              <w:rPr>
                <w:noProof/>
                <w:webHidden/>
              </w:rPr>
              <w:t>48</w:t>
            </w:r>
            <w:r>
              <w:rPr>
                <w:noProof/>
                <w:webHidden/>
              </w:rPr>
              <w:fldChar w:fldCharType="end"/>
            </w:r>
          </w:hyperlink>
        </w:p>
        <w:p w14:paraId="7C7246EF" w14:textId="74A369B7" w:rsidR="007D6FE9" w:rsidRDefault="007D6FE9">
          <w:pPr>
            <w:pStyle w:val="TOC2"/>
            <w:tabs>
              <w:tab w:val="right" w:leader="dot" w:pos="9350"/>
            </w:tabs>
            <w:rPr>
              <w:rFonts w:eastAsiaTheme="minorEastAsia"/>
              <w:noProof/>
              <w:lang w:eastAsia="en-GB"/>
            </w:rPr>
          </w:pPr>
          <w:hyperlink w:anchor="_Toc88741800" w:history="1">
            <w:r w:rsidRPr="000B3A27">
              <w:rPr>
                <w:rStyle w:val="Hyperlink"/>
                <w:rFonts w:cstheme="minorHAnsi"/>
                <w:noProof/>
              </w:rPr>
              <w:t>4.3.1 Relevance</w:t>
            </w:r>
            <w:r>
              <w:rPr>
                <w:noProof/>
                <w:webHidden/>
              </w:rPr>
              <w:tab/>
            </w:r>
            <w:r>
              <w:rPr>
                <w:noProof/>
                <w:webHidden/>
              </w:rPr>
              <w:fldChar w:fldCharType="begin"/>
            </w:r>
            <w:r>
              <w:rPr>
                <w:noProof/>
                <w:webHidden/>
              </w:rPr>
              <w:instrText xml:space="preserve"> PAGEREF _Toc88741800 \h </w:instrText>
            </w:r>
            <w:r>
              <w:rPr>
                <w:noProof/>
                <w:webHidden/>
              </w:rPr>
            </w:r>
            <w:r>
              <w:rPr>
                <w:noProof/>
                <w:webHidden/>
              </w:rPr>
              <w:fldChar w:fldCharType="separate"/>
            </w:r>
            <w:r>
              <w:rPr>
                <w:noProof/>
                <w:webHidden/>
              </w:rPr>
              <w:t>48</w:t>
            </w:r>
            <w:r>
              <w:rPr>
                <w:noProof/>
                <w:webHidden/>
              </w:rPr>
              <w:fldChar w:fldCharType="end"/>
            </w:r>
          </w:hyperlink>
        </w:p>
        <w:p w14:paraId="4718379C" w14:textId="19454FBF" w:rsidR="007D6FE9" w:rsidRDefault="007D6FE9">
          <w:pPr>
            <w:pStyle w:val="TOC3"/>
            <w:tabs>
              <w:tab w:val="left" w:pos="1320"/>
              <w:tab w:val="right" w:leader="dot" w:pos="9350"/>
            </w:tabs>
            <w:rPr>
              <w:rFonts w:eastAsiaTheme="minorEastAsia"/>
              <w:noProof/>
              <w:lang w:eastAsia="en-GB"/>
            </w:rPr>
          </w:pPr>
          <w:hyperlink w:anchor="_Toc88741801" w:history="1">
            <w:r w:rsidRPr="000B3A27">
              <w:rPr>
                <w:rStyle w:val="Hyperlink"/>
                <w:rFonts w:cstheme="minorHAnsi"/>
                <w:noProof/>
              </w:rPr>
              <w:t>4.3.2</w:t>
            </w:r>
            <w:r>
              <w:rPr>
                <w:rFonts w:eastAsiaTheme="minorEastAsia"/>
                <w:noProof/>
                <w:lang w:eastAsia="en-GB"/>
              </w:rPr>
              <w:tab/>
            </w:r>
            <w:r w:rsidRPr="000B3A27">
              <w:rPr>
                <w:rStyle w:val="Hyperlink"/>
                <w:rFonts w:cstheme="minorHAnsi"/>
                <w:noProof/>
              </w:rPr>
              <w:t>Effectiveness</w:t>
            </w:r>
            <w:r>
              <w:rPr>
                <w:noProof/>
                <w:webHidden/>
              </w:rPr>
              <w:tab/>
            </w:r>
            <w:r>
              <w:rPr>
                <w:noProof/>
                <w:webHidden/>
              </w:rPr>
              <w:fldChar w:fldCharType="begin"/>
            </w:r>
            <w:r>
              <w:rPr>
                <w:noProof/>
                <w:webHidden/>
              </w:rPr>
              <w:instrText xml:space="preserve"> PAGEREF _Toc88741801 \h </w:instrText>
            </w:r>
            <w:r>
              <w:rPr>
                <w:noProof/>
                <w:webHidden/>
              </w:rPr>
            </w:r>
            <w:r>
              <w:rPr>
                <w:noProof/>
                <w:webHidden/>
              </w:rPr>
              <w:fldChar w:fldCharType="separate"/>
            </w:r>
            <w:r>
              <w:rPr>
                <w:noProof/>
                <w:webHidden/>
              </w:rPr>
              <w:t>49</w:t>
            </w:r>
            <w:r>
              <w:rPr>
                <w:noProof/>
                <w:webHidden/>
              </w:rPr>
              <w:fldChar w:fldCharType="end"/>
            </w:r>
          </w:hyperlink>
        </w:p>
        <w:p w14:paraId="071A2E06" w14:textId="780BA2E4" w:rsidR="007D6FE9" w:rsidRDefault="007D6FE9">
          <w:pPr>
            <w:pStyle w:val="TOC3"/>
            <w:tabs>
              <w:tab w:val="right" w:leader="dot" w:pos="9350"/>
            </w:tabs>
            <w:rPr>
              <w:rFonts w:eastAsiaTheme="minorEastAsia"/>
              <w:noProof/>
              <w:lang w:eastAsia="en-GB"/>
            </w:rPr>
          </w:pPr>
          <w:hyperlink w:anchor="_Toc88741802" w:history="1">
            <w:r w:rsidRPr="000B3A27">
              <w:rPr>
                <w:rStyle w:val="Hyperlink"/>
                <w:rFonts w:cstheme="minorHAnsi"/>
                <w:noProof/>
              </w:rPr>
              <w:t>4.3.3 Efficiency</w:t>
            </w:r>
            <w:r>
              <w:rPr>
                <w:noProof/>
                <w:webHidden/>
              </w:rPr>
              <w:tab/>
            </w:r>
            <w:r>
              <w:rPr>
                <w:noProof/>
                <w:webHidden/>
              </w:rPr>
              <w:fldChar w:fldCharType="begin"/>
            </w:r>
            <w:r>
              <w:rPr>
                <w:noProof/>
                <w:webHidden/>
              </w:rPr>
              <w:instrText xml:space="preserve"> PAGEREF _Toc88741802 \h </w:instrText>
            </w:r>
            <w:r>
              <w:rPr>
                <w:noProof/>
                <w:webHidden/>
              </w:rPr>
            </w:r>
            <w:r>
              <w:rPr>
                <w:noProof/>
                <w:webHidden/>
              </w:rPr>
              <w:fldChar w:fldCharType="separate"/>
            </w:r>
            <w:r>
              <w:rPr>
                <w:noProof/>
                <w:webHidden/>
              </w:rPr>
              <w:t>54</w:t>
            </w:r>
            <w:r>
              <w:rPr>
                <w:noProof/>
                <w:webHidden/>
              </w:rPr>
              <w:fldChar w:fldCharType="end"/>
            </w:r>
          </w:hyperlink>
        </w:p>
        <w:p w14:paraId="12644133" w14:textId="25B18FF0" w:rsidR="007D6FE9" w:rsidRDefault="007D6FE9">
          <w:pPr>
            <w:pStyle w:val="TOC3"/>
            <w:tabs>
              <w:tab w:val="right" w:leader="dot" w:pos="9350"/>
            </w:tabs>
            <w:rPr>
              <w:rFonts w:eastAsiaTheme="minorEastAsia"/>
              <w:noProof/>
              <w:lang w:eastAsia="en-GB"/>
            </w:rPr>
          </w:pPr>
          <w:hyperlink w:anchor="_Toc88741803" w:history="1">
            <w:r w:rsidRPr="000B3A27">
              <w:rPr>
                <w:rStyle w:val="Hyperlink"/>
                <w:rFonts w:cstheme="minorHAnsi"/>
                <w:noProof/>
              </w:rPr>
              <w:t>4.3.4 Sustainability</w:t>
            </w:r>
            <w:r>
              <w:rPr>
                <w:noProof/>
                <w:webHidden/>
              </w:rPr>
              <w:tab/>
            </w:r>
            <w:r>
              <w:rPr>
                <w:noProof/>
                <w:webHidden/>
              </w:rPr>
              <w:fldChar w:fldCharType="begin"/>
            </w:r>
            <w:r>
              <w:rPr>
                <w:noProof/>
                <w:webHidden/>
              </w:rPr>
              <w:instrText xml:space="preserve"> PAGEREF _Toc88741803 \h </w:instrText>
            </w:r>
            <w:r>
              <w:rPr>
                <w:noProof/>
                <w:webHidden/>
              </w:rPr>
            </w:r>
            <w:r>
              <w:rPr>
                <w:noProof/>
                <w:webHidden/>
              </w:rPr>
              <w:fldChar w:fldCharType="separate"/>
            </w:r>
            <w:r>
              <w:rPr>
                <w:noProof/>
                <w:webHidden/>
              </w:rPr>
              <w:t>55</w:t>
            </w:r>
            <w:r>
              <w:rPr>
                <w:noProof/>
                <w:webHidden/>
              </w:rPr>
              <w:fldChar w:fldCharType="end"/>
            </w:r>
          </w:hyperlink>
        </w:p>
        <w:p w14:paraId="2B25EAAA" w14:textId="527A584B" w:rsidR="007D6FE9" w:rsidRDefault="007D6FE9">
          <w:pPr>
            <w:pStyle w:val="TOC3"/>
            <w:tabs>
              <w:tab w:val="right" w:leader="dot" w:pos="9350"/>
            </w:tabs>
            <w:rPr>
              <w:rFonts w:eastAsiaTheme="minorEastAsia"/>
              <w:noProof/>
              <w:lang w:eastAsia="en-GB"/>
            </w:rPr>
          </w:pPr>
          <w:hyperlink w:anchor="_Toc88741804" w:history="1">
            <w:r w:rsidRPr="000B3A27">
              <w:rPr>
                <w:rStyle w:val="Hyperlink"/>
                <w:rFonts w:cstheme="minorHAnsi"/>
                <w:noProof/>
              </w:rPr>
              <w:t>4.3.5 Overall conclusions on UNDP’s work on the Governance Cluster</w:t>
            </w:r>
            <w:r>
              <w:rPr>
                <w:noProof/>
                <w:webHidden/>
              </w:rPr>
              <w:tab/>
            </w:r>
            <w:r>
              <w:rPr>
                <w:noProof/>
                <w:webHidden/>
              </w:rPr>
              <w:fldChar w:fldCharType="begin"/>
            </w:r>
            <w:r>
              <w:rPr>
                <w:noProof/>
                <w:webHidden/>
              </w:rPr>
              <w:instrText xml:space="preserve"> PAGEREF _Toc88741804 \h </w:instrText>
            </w:r>
            <w:r>
              <w:rPr>
                <w:noProof/>
                <w:webHidden/>
              </w:rPr>
            </w:r>
            <w:r>
              <w:rPr>
                <w:noProof/>
                <w:webHidden/>
              </w:rPr>
              <w:fldChar w:fldCharType="separate"/>
            </w:r>
            <w:r>
              <w:rPr>
                <w:noProof/>
                <w:webHidden/>
              </w:rPr>
              <w:t>55</w:t>
            </w:r>
            <w:r>
              <w:rPr>
                <w:noProof/>
                <w:webHidden/>
              </w:rPr>
              <w:fldChar w:fldCharType="end"/>
            </w:r>
          </w:hyperlink>
        </w:p>
        <w:p w14:paraId="68A84AE1" w14:textId="6D0ECFE5" w:rsidR="007D6FE9" w:rsidRDefault="007D6FE9">
          <w:pPr>
            <w:pStyle w:val="TOC2"/>
            <w:tabs>
              <w:tab w:val="right" w:leader="dot" w:pos="9350"/>
            </w:tabs>
            <w:rPr>
              <w:rFonts w:eastAsiaTheme="minorEastAsia"/>
              <w:noProof/>
              <w:lang w:eastAsia="en-GB"/>
            </w:rPr>
          </w:pPr>
          <w:hyperlink w:anchor="_Toc88741805" w:history="1">
            <w:r w:rsidRPr="000B3A27">
              <w:rPr>
                <w:rStyle w:val="Hyperlink"/>
                <w:rFonts w:cstheme="minorHAnsi"/>
                <w:noProof/>
              </w:rPr>
              <w:t>4.4 Programme Interlinkages and Synergies</w:t>
            </w:r>
            <w:r>
              <w:rPr>
                <w:noProof/>
                <w:webHidden/>
              </w:rPr>
              <w:tab/>
            </w:r>
            <w:r>
              <w:rPr>
                <w:noProof/>
                <w:webHidden/>
              </w:rPr>
              <w:fldChar w:fldCharType="begin"/>
            </w:r>
            <w:r>
              <w:rPr>
                <w:noProof/>
                <w:webHidden/>
              </w:rPr>
              <w:instrText xml:space="preserve"> PAGEREF _Toc88741805 \h </w:instrText>
            </w:r>
            <w:r>
              <w:rPr>
                <w:noProof/>
                <w:webHidden/>
              </w:rPr>
            </w:r>
            <w:r>
              <w:rPr>
                <w:noProof/>
                <w:webHidden/>
              </w:rPr>
              <w:fldChar w:fldCharType="separate"/>
            </w:r>
            <w:r>
              <w:rPr>
                <w:noProof/>
                <w:webHidden/>
              </w:rPr>
              <w:t>55</w:t>
            </w:r>
            <w:r>
              <w:rPr>
                <w:noProof/>
                <w:webHidden/>
              </w:rPr>
              <w:fldChar w:fldCharType="end"/>
            </w:r>
          </w:hyperlink>
        </w:p>
        <w:p w14:paraId="1B4D92C0" w14:textId="6DA9DE46" w:rsidR="007D6FE9" w:rsidRDefault="007D6FE9">
          <w:pPr>
            <w:pStyle w:val="TOC2"/>
            <w:tabs>
              <w:tab w:val="right" w:leader="dot" w:pos="9350"/>
            </w:tabs>
            <w:rPr>
              <w:rFonts w:eastAsiaTheme="minorEastAsia"/>
              <w:noProof/>
              <w:lang w:eastAsia="en-GB"/>
            </w:rPr>
          </w:pPr>
          <w:hyperlink w:anchor="_Toc88741806" w:history="1">
            <w:r w:rsidRPr="000B3A27">
              <w:rPr>
                <w:rStyle w:val="Hyperlink"/>
                <w:rFonts w:cstheme="minorHAnsi"/>
                <w:noProof/>
              </w:rPr>
              <w:t>4.5 Impact of Covid-19 on Programme Delivery and Mitigation Measures</w:t>
            </w:r>
            <w:r>
              <w:rPr>
                <w:noProof/>
                <w:webHidden/>
              </w:rPr>
              <w:tab/>
            </w:r>
            <w:r>
              <w:rPr>
                <w:noProof/>
                <w:webHidden/>
              </w:rPr>
              <w:fldChar w:fldCharType="begin"/>
            </w:r>
            <w:r>
              <w:rPr>
                <w:noProof/>
                <w:webHidden/>
              </w:rPr>
              <w:instrText xml:space="preserve"> PAGEREF _Toc88741806 \h </w:instrText>
            </w:r>
            <w:r>
              <w:rPr>
                <w:noProof/>
                <w:webHidden/>
              </w:rPr>
            </w:r>
            <w:r>
              <w:rPr>
                <w:noProof/>
                <w:webHidden/>
              </w:rPr>
              <w:fldChar w:fldCharType="separate"/>
            </w:r>
            <w:r>
              <w:rPr>
                <w:noProof/>
                <w:webHidden/>
              </w:rPr>
              <w:t>57</w:t>
            </w:r>
            <w:r>
              <w:rPr>
                <w:noProof/>
                <w:webHidden/>
              </w:rPr>
              <w:fldChar w:fldCharType="end"/>
            </w:r>
          </w:hyperlink>
        </w:p>
        <w:p w14:paraId="0A0390A4" w14:textId="5480363B" w:rsidR="007D6FE9" w:rsidRDefault="007D6FE9">
          <w:pPr>
            <w:pStyle w:val="TOC3"/>
            <w:tabs>
              <w:tab w:val="right" w:leader="dot" w:pos="9350"/>
            </w:tabs>
            <w:rPr>
              <w:rFonts w:eastAsiaTheme="minorEastAsia"/>
              <w:noProof/>
              <w:lang w:eastAsia="en-GB"/>
            </w:rPr>
          </w:pPr>
          <w:hyperlink w:anchor="_Toc88741807" w:history="1">
            <w:r w:rsidRPr="000B3A27">
              <w:rPr>
                <w:rStyle w:val="Hyperlink"/>
                <w:rFonts w:cstheme="minorHAnsi"/>
                <w:noProof/>
              </w:rPr>
              <w:t>4.5.1 Impact of Covid-19 on UNDP programme delivery</w:t>
            </w:r>
            <w:r>
              <w:rPr>
                <w:noProof/>
                <w:webHidden/>
              </w:rPr>
              <w:tab/>
            </w:r>
            <w:r>
              <w:rPr>
                <w:noProof/>
                <w:webHidden/>
              </w:rPr>
              <w:fldChar w:fldCharType="begin"/>
            </w:r>
            <w:r>
              <w:rPr>
                <w:noProof/>
                <w:webHidden/>
              </w:rPr>
              <w:instrText xml:space="preserve"> PAGEREF _Toc88741807 \h </w:instrText>
            </w:r>
            <w:r>
              <w:rPr>
                <w:noProof/>
                <w:webHidden/>
              </w:rPr>
            </w:r>
            <w:r>
              <w:rPr>
                <w:noProof/>
                <w:webHidden/>
              </w:rPr>
              <w:fldChar w:fldCharType="separate"/>
            </w:r>
            <w:r>
              <w:rPr>
                <w:noProof/>
                <w:webHidden/>
              </w:rPr>
              <w:t>58</w:t>
            </w:r>
            <w:r>
              <w:rPr>
                <w:noProof/>
                <w:webHidden/>
              </w:rPr>
              <w:fldChar w:fldCharType="end"/>
            </w:r>
          </w:hyperlink>
        </w:p>
        <w:p w14:paraId="45D0A298" w14:textId="328746CC" w:rsidR="007D6FE9" w:rsidRDefault="007D6FE9">
          <w:pPr>
            <w:pStyle w:val="TOC3"/>
            <w:tabs>
              <w:tab w:val="right" w:leader="dot" w:pos="9350"/>
            </w:tabs>
            <w:rPr>
              <w:rFonts w:eastAsiaTheme="minorEastAsia"/>
              <w:noProof/>
              <w:lang w:eastAsia="en-GB"/>
            </w:rPr>
          </w:pPr>
          <w:hyperlink w:anchor="_Toc88741808" w:history="1">
            <w:r w:rsidRPr="000B3A27">
              <w:rPr>
                <w:rStyle w:val="Hyperlink"/>
                <w:rFonts w:cstheme="minorHAnsi"/>
                <w:noProof/>
              </w:rPr>
              <w:t>4.5.2 Response and Mitigation Measures</w:t>
            </w:r>
            <w:r>
              <w:rPr>
                <w:noProof/>
                <w:webHidden/>
              </w:rPr>
              <w:tab/>
            </w:r>
            <w:r>
              <w:rPr>
                <w:noProof/>
                <w:webHidden/>
              </w:rPr>
              <w:fldChar w:fldCharType="begin"/>
            </w:r>
            <w:r>
              <w:rPr>
                <w:noProof/>
                <w:webHidden/>
              </w:rPr>
              <w:instrText xml:space="preserve"> PAGEREF _Toc88741808 \h </w:instrText>
            </w:r>
            <w:r>
              <w:rPr>
                <w:noProof/>
                <w:webHidden/>
              </w:rPr>
            </w:r>
            <w:r>
              <w:rPr>
                <w:noProof/>
                <w:webHidden/>
              </w:rPr>
              <w:fldChar w:fldCharType="separate"/>
            </w:r>
            <w:r>
              <w:rPr>
                <w:noProof/>
                <w:webHidden/>
              </w:rPr>
              <w:t>59</w:t>
            </w:r>
            <w:r>
              <w:rPr>
                <w:noProof/>
                <w:webHidden/>
              </w:rPr>
              <w:fldChar w:fldCharType="end"/>
            </w:r>
          </w:hyperlink>
        </w:p>
        <w:p w14:paraId="6FFA71D7" w14:textId="2B25F225" w:rsidR="007D6FE9" w:rsidRDefault="007D6FE9">
          <w:pPr>
            <w:pStyle w:val="TOC2"/>
            <w:tabs>
              <w:tab w:val="right" w:leader="dot" w:pos="9350"/>
            </w:tabs>
            <w:rPr>
              <w:rFonts w:eastAsiaTheme="minorEastAsia"/>
              <w:noProof/>
              <w:lang w:eastAsia="en-GB"/>
            </w:rPr>
          </w:pPr>
          <w:hyperlink w:anchor="_Toc88741809" w:history="1">
            <w:r w:rsidRPr="000B3A27">
              <w:rPr>
                <w:rStyle w:val="Hyperlink"/>
                <w:rFonts w:cstheme="minorHAnsi"/>
                <w:noProof/>
              </w:rPr>
              <w:t>4.6 Cross-cutting Themes</w:t>
            </w:r>
            <w:r>
              <w:rPr>
                <w:noProof/>
                <w:webHidden/>
              </w:rPr>
              <w:tab/>
            </w:r>
            <w:r>
              <w:rPr>
                <w:noProof/>
                <w:webHidden/>
              </w:rPr>
              <w:fldChar w:fldCharType="begin"/>
            </w:r>
            <w:r>
              <w:rPr>
                <w:noProof/>
                <w:webHidden/>
              </w:rPr>
              <w:instrText xml:space="preserve"> PAGEREF _Toc88741809 \h </w:instrText>
            </w:r>
            <w:r>
              <w:rPr>
                <w:noProof/>
                <w:webHidden/>
              </w:rPr>
            </w:r>
            <w:r>
              <w:rPr>
                <w:noProof/>
                <w:webHidden/>
              </w:rPr>
              <w:fldChar w:fldCharType="separate"/>
            </w:r>
            <w:r>
              <w:rPr>
                <w:noProof/>
                <w:webHidden/>
              </w:rPr>
              <w:t>60</w:t>
            </w:r>
            <w:r>
              <w:rPr>
                <w:noProof/>
                <w:webHidden/>
              </w:rPr>
              <w:fldChar w:fldCharType="end"/>
            </w:r>
          </w:hyperlink>
        </w:p>
        <w:p w14:paraId="75EE3006" w14:textId="78EC74A7" w:rsidR="007D6FE9" w:rsidRDefault="007D6FE9">
          <w:pPr>
            <w:pStyle w:val="TOC3"/>
            <w:tabs>
              <w:tab w:val="left" w:pos="1320"/>
              <w:tab w:val="right" w:leader="dot" w:pos="9350"/>
            </w:tabs>
            <w:rPr>
              <w:rFonts w:eastAsiaTheme="minorEastAsia"/>
              <w:noProof/>
              <w:lang w:eastAsia="en-GB"/>
            </w:rPr>
          </w:pPr>
          <w:hyperlink w:anchor="_Toc88741810" w:history="1">
            <w:r w:rsidRPr="000B3A27">
              <w:rPr>
                <w:rStyle w:val="Hyperlink"/>
                <w:rFonts w:cstheme="minorHAnsi"/>
                <w:noProof/>
              </w:rPr>
              <w:t>4.6.1</w:t>
            </w:r>
            <w:r>
              <w:rPr>
                <w:rFonts w:eastAsiaTheme="minorEastAsia"/>
                <w:noProof/>
                <w:lang w:eastAsia="en-GB"/>
              </w:rPr>
              <w:tab/>
            </w:r>
            <w:r w:rsidRPr="000B3A27">
              <w:rPr>
                <w:rStyle w:val="Hyperlink"/>
                <w:rFonts w:cstheme="minorHAnsi"/>
                <w:noProof/>
              </w:rPr>
              <w:t>Gender</w:t>
            </w:r>
            <w:r>
              <w:rPr>
                <w:noProof/>
                <w:webHidden/>
              </w:rPr>
              <w:tab/>
            </w:r>
            <w:r>
              <w:rPr>
                <w:noProof/>
                <w:webHidden/>
              </w:rPr>
              <w:fldChar w:fldCharType="begin"/>
            </w:r>
            <w:r>
              <w:rPr>
                <w:noProof/>
                <w:webHidden/>
              </w:rPr>
              <w:instrText xml:space="preserve"> PAGEREF _Toc88741810 \h </w:instrText>
            </w:r>
            <w:r>
              <w:rPr>
                <w:noProof/>
                <w:webHidden/>
              </w:rPr>
            </w:r>
            <w:r>
              <w:rPr>
                <w:noProof/>
                <w:webHidden/>
              </w:rPr>
              <w:fldChar w:fldCharType="separate"/>
            </w:r>
            <w:r>
              <w:rPr>
                <w:noProof/>
                <w:webHidden/>
              </w:rPr>
              <w:t>60</w:t>
            </w:r>
            <w:r>
              <w:rPr>
                <w:noProof/>
                <w:webHidden/>
              </w:rPr>
              <w:fldChar w:fldCharType="end"/>
            </w:r>
          </w:hyperlink>
        </w:p>
        <w:p w14:paraId="4DB55E2D" w14:textId="0D00A4FD" w:rsidR="007D6FE9" w:rsidRDefault="007D6FE9">
          <w:pPr>
            <w:pStyle w:val="TOC3"/>
            <w:tabs>
              <w:tab w:val="right" w:leader="dot" w:pos="9350"/>
            </w:tabs>
            <w:rPr>
              <w:rFonts w:eastAsiaTheme="minorEastAsia"/>
              <w:noProof/>
              <w:lang w:eastAsia="en-GB"/>
            </w:rPr>
          </w:pPr>
          <w:hyperlink w:anchor="_Toc88741811" w:history="1">
            <w:r w:rsidRPr="000B3A27">
              <w:rPr>
                <w:rStyle w:val="Hyperlink"/>
                <w:rFonts w:cstheme="minorHAnsi"/>
                <w:noProof/>
              </w:rPr>
              <w:t>4.6.2 Capacity Development</w:t>
            </w:r>
            <w:r>
              <w:rPr>
                <w:noProof/>
                <w:webHidden/>
              </w:rPr>
              <w:tab/>
            </w:r>
            <w:r>
              <w:rPr>
                <w:noProof/>
                <w:webHidden/>
              </w:rPr>
              <w:fldChar w:fldCharType="begin"/>
            </w:r>
            <w:r>
              <w:rPr>
                <w:noProof/>
                <w:webHidden/>
              </w:rPr>
              <w:instrText xml:space="preserve"> PAGEREF _Toc88741811 \h </w:instrText>
            </w:r>
            <w:r>
              <w:rPr>
                <w:noProof/>
                <w:webHidden/>
              </w:rPr>
            </w:r>
            <w:r>
              <w:rPr>
                <w:noProof/>
                <w:webHidden/>
              </w:rPr>
              <w:fldChar w:fldCharType="separate"/>
            </w:r>
            <w:r>
              <w:rPr>
                <w:noProof/>
                <w:webHidden/>
              </w:rPr>
              <w:t>64</w:t>
            </w:r>
            <w:r>
              <w:rPr>
                <w:noProof/>
                <w:webHidden/>
              </w:rPr>
              <w:fldChar w:fldCharType="end"/>
            </w:r>
          </w:hyperlink>
        </w:p>
        <w:p w14:paraId="41EAB1E6" w14:textId="2F8ED37E" w:rsidR="007D6FE9" w:rsidRDefault="007D6FE9">
          <w:pPr>
            <w:pStyle w:val="TOC3"/>
            <w:tabs>
              <w:tab w:val="right" w:leader="dot" w:pos="9350"/>
            </w:tabs>
            <w:rPr>
              <w:rFonts w:eastAsiaTheme="minorEastAsia"/>
              <w:noProof/>
              <w:lang w:eastAsia="en-GB"/>
            </w:rPr>
          </w:pPr>
          <w:hyperlink w:anchor="_Toc88741812" w:history="1">
            <w:r w:rsidRPr="000B3A27">
              <w:rPr>
                <w:rStyle w:val="Hyperlink"/>
                <w:rFonts w:cstheme="minorHAnsi"/>
                <w:noProof/>
              </w:rPr>
              <w:t>4.6.3 UNDP Accelerator Facility</w:t>
            </w:r>
            <w:r>
              <w:rPr>
                <w:noProof/>
                <w:webHidden/>
              </w:rPr>
              <w:tab/>
            </w:r>
            <w:r>
              <w:rPr>
                <w:noProof/>
                <w:webHidden/>
              </w:rPr>
              <w:fldChar w:fldCharType="begin"/>
            </w:r>
            <w:r>
              <w:rPr>
                <w:noProof/>
                <w:webHidden/>
              </w:rPr>
              <w:instrText xml:space="preserve"> PAGEREF _Toc88741812 \h </w:instrText>
            </w:r>
            <w:r>
              <w:rPr>
                <w:noProof/>
                <w:webHidden/>
              </w:rPr>
            </w:r>
            <w:r>
              <w:rPr>
                <w:noProof/>
                <w:webHidden/>
              </w:rPr>
              <w:fldChar w:fldCharType="separate"/>
            </w:r>
            <w:r>
              <w:rPr>
                <w:noProof/>
                <w:webHidden/>
              </w:rPr>
              <w:t>64</w:t>
            </w:r>
            <w:r>
              <w:rPr>
                <w:noProof/>
                <w:webHidden/>
              </w:rPr>
              <w:fldChar w:fldCharType="end"/>
            </w:r>
          </w:hyperlink>
        </w:p>
        <w:p w14:paraId="63B79E51" w14:textId="62560FD1" w:rsidR="007D6FE9" w:rsidRDefault="007D6FE9">
          <w:pPr>
            <w:pStyle w:val="TOC3"/>
            <w:tabs>
              <w:tab w:val="right" w:leader="dot" w:pos="9350"/>
            </w:tabs>
            <w:rPr>
              <w:rFonts w:eastAsiaTheme="minorEastAsia"/>
              <w:noProof/>
              <w:lang w:eastAsia="en-GB"/>
            </w:rPr>
          </w:pPr>
          <w:hyperlink w:anchor="_Toc88741813" w:history="1">
            <w:r w:rsidRPr="000B3A27">
              <w:rPr>
                <w:rStyle w:val="Hyperlink"/>
                <w:rFonts w:cstheme="minorHAnsi"/>
                <w:noProof/>
              </w:rPr>
              <w:t>4.7 Partnerships and Resource Mobilization</w:t>
            </w:r>
            <w:r>
              <w:rPr>
                <w:noProof/>
                <w:webHidden/>
              </w:rPr>
              <w:tab/>
            </w:r>
            <w:r>
              <w:rPr>
                <w:noProof/>
                <w:webHidden/>
              </w:rPr>
              <w:fldChar w:fldCharType="begin"/>
            </w:r>
            <w:r>
              <w:rPr>
                <w:noProof/>
                <w:webHidden/>
              </w:rPr>
              <w:instrText xml:space="preserve"> PAGEREF _Toc88741813 \h </w:instrText>
            </w:r>
            <w:r>
              <w:rPr>
                <w:noProof/>
                <w:webHidden/>
              </w:rPr>
            </w:r>
            <w:r>
              <w:rPr>
                <w:noProof/>
                <w:webHidden/>
              </w:rPr>
              <w:fldChar w:fldCharType="separate"/>
            </w:r>
            <w:r>
              <w:rPr>
                <w:noProof/>
                <w:webHidden/>
              </w:rPr>
              <w:t>65</w:t>
            </w:r>
            <w:r>
              <w:rPr>
                <w:noProof/>
                <w:webHidden/>
              </w:rPr>
              <w:fldChar w:fldCharType="end"/>
            </w:r>
          </w:hyperlink>
        </w:p>
        <w:p w14:paraId="16417A7F" w14:textId="0BD0B20C" w:rsidR="007D6FE9" w:rsidRDefault="007D6FE9">
          <w:pPr>
            <w:pStyle w:val="TOC1"/>
            <w:tabs>
              <w:tab w:val="right" w:leader="dot" w:pos="9350"/>
            </w:tabs>
            <w:rPr>
              <w:rFonts w:eastAsiaTheme="minorEastAsia"/>
              <w:noProof/>
              <w:lang w:eastAsia="en-GB"/>
            </w:rPr>
          </w:pPr>
          <w:hyperlink w:anchor="_Toc88741814" w:history="1">
            <w:r w:rsidRPr="000B3A27">
              <w:rPr>
                <w:rStyle w:val="Hyperlink"/>
                <w:rFonts w:cstheme="minorHAnsi"/>
                <w:noProof/>
              </w:rPr>
              <w:t>4.8 Key Challenges in Programme Implementation</w:t>
            </w:r>
            <w:r>
              <w:rPr>
                <w:noProof/>
                <w:webHidden/>
              </w:rPr>
              <w:tab/>
            </w:r>
            <w:r>
              <w:rPr>
                <w:noProof/>
                <w:webHidden/>
              </w:rPr>
              <w:fldChar w:fldCharType="begin"/>
            </w:r>
            <w:r>
              <w:rPr>
                <w:noProof/>
                <w:webHidden/>
              </w:rPr>
              <w:instrText xml:space="preserve"> PAGEREF _Toc88741814 \h </w:instrText>
            </w:r>
            <w:r>
              <w:rPr>
                <w:noProof/>
                <w:webHidden/>
              </w:rPr>
            </w:r>
            <w:r>
              <w:rPr>
                <w:noProof/>
                <w:webHidden/>
              </w:rPr>
              <w:fldChar w:fldCharType="separate"/>
            </w:r>
            <w:r>
              <w:rPr>
                <w:noProof/>
                <w:webHidden/>
              </w:rPr>
              <w:t>66</w:t>
            </w:r>
            <w:r>
              <w:rPr>
                <w:noProof/>
                <w:webHidden/>
              </w:rPr>
              <w:fldChar w:fldCharType="end"/>
            </w:r>
          </w:hyperlink>
        </w:p>
        <w:p w14:paraId="69051148" w14:textId="0DA18C2D" w:rsidR="007D6FE9" w:rsidRDefault="007D6FE9">
          <w:pPr>
            <w:pStyle w:val="TOC3"/>
            <w:tabs>
              <w:tab w:val="right" w:leader="dot" w:pos="9350"/>
            </w:tabs>
            <w:rPr>
              <w:rFonts w:eastAsiaTheme="minorEastAsia"/>
              <w:noProof/>
              <w:lang w:eastAsia="en-GB"/>
            </w:rPr>
          </w:pPr>
          <w:hyperlink w:anchor="_Toc88741815" w:history="1">
            <w:r w:rsidRPr="000B3A27">
              <w:rPr>
                <w:rStyle w:val="Hyperlink"/>
                <w:rFonts w:cstheme="minorHAnsi"/>
                <w:noProof/>
              </w:rPr>
              <w:t>4.8.1 Endogenous Factors</w:t>
            </w:r>
            <w:r>
              <w:rPr>
                <w:noProof/>
                <w:webHidden/>
              </w:rPr>
              <w:tab/>
            </w:r>
            <w:r>
              <w:rPr>
                <w:noProof/>
                <w:webHidden/>
              </w:rPr>
              <w:fldChar w:fldCharType="begin"/>
            </w:r>
            <w:r>
              <w:rPr>
                <w:noProof/>
                <w:webHidden/>
              </w:rPr>
              <w:instrText xml:space="preserve"> PAGEREF _Toc88741815 \h </w:instrText>
            </w:r>
            <w:r>
              <w:rPr>
                <w:noProof/>
                <w:webHidden/>
              </w:rPr>
            </w:r>
            <w:r>
              <w:rPr>
                <w:noProof/>
                <w:webHidden/>
              </w:rPr>
              <w:fldChar w:fldCharType="separate"/>
            </w:r>
            <w:r>
              <w:rPr>
                <w:noProof/>
                <w:webHidden/>
              </w:rPr>
              <w:t>66</w:t>
            </w:r>
            <w:r>
              <w:rPr>
                <w:noProof/>
                <w:webHidden/>
              </w:rPr>
              <w:fldChar w:fldCharType="end"/>
            </w:r>
          </w:hyperlink>
        </w:p>
        <w:p w14:paraId="0274EB60" w14:textId="7C93AD3F" w:rsidR="007D6FE9" w:rsidRDefault="007D6FE9">
          <w:pPr>
            <w:pStyle w:val="TOC3"/>
            <w:tabs>
              <w:tab w:val="right" w:leader="dot" w:pos="9350"/>
            </w:tabs>
            <w:rPr>
              <w:rFonts w:eastAsiaTheme="minorEastAsia"/>
              <w:noProof/>
              <w:lang w:eastAsia="en-GB"/>
            </w:rPr>
          </w:pPr>
          <w:hyperlink w:anchor="_Toc88741816" w:history="1">
            <w:r w:rsidRPr="000B3A27">
              <w:rPr>
                <w:rStyle w:val="Hyperlink"/>
                <w:rFonts w:cstheme="minorHAnsi"/>
                <w:noProof/>
              </w:rPr>
              <w:t>4.8.2. Exogenous Factors</w:t>
            </w:r>
            <w:r>
              <w:rPr>
                <w:noProof/>
                <w:webHidden/>
              </w:rPr>
              <w:tab/>
            </w:r>
            <w:r>
              <w:rPr>
                <w:noProof/>
                <w:webHidden/>
              </w:rPr>
              <w:fldChar w:fldCharType="begin"/>
            </w:r>
            <w:r>
              <w:rPr>
                <w:noProof/>
                <w:webHidden/>
              </w:rPr>
              <w:instrText xml:space="preserve"> PAGEREF _Toc88741816 \h </w:instrText>
            </w:r>
            <w:r>
              <w:rPr>
                <w:noProof/>
                <w:webHidden/>
              </w:rPr>
            </w:r>
            <w:r>
              <w:rPr>
                <w:noProof/>
                <w:webHidden/>
              </w:rPr>
              <w:fldChar w:fldCharType="separate"/>
            </w:r>
            <w:r>
              <w:rPr>
                <w:noProof/>
                <w:webHidden/>
              </w:rPr>
              <w:t>67</w:t>
            </w:r>
            <w:r>
              <w:rPr>
                <w:noProof/>
                <w:webHidden/>
              </w:rPr>
              <w:fldChar w:fldCharType="end"/>
            </w:r>
          </w:hyperlink>
        </w:p>
        <w:p w14:paraId="5A766AC9" w14:textId="3A4DF2FD" w:rsidR="007D6FE9" w:rsidRDefault="007D6FE9">
          <w:pPr>
            <w:pStyle w:val="TOC2"/>
            <w:tabs>
              <w:tab w:val="left" w:pos="880"/>
              <w:tab w:val="right" w:leader="dot" w:pos="9350"/>
            </w:tabs>
            <w:rPr>
              <w:rFonts w:eastAsiaTheme="minorEastAsia"/>
              <w:noProof/>
              <w:lang w:eastAsia="en-GB"/>
            </w:rPr>
          </w:pPr>
          <w:hyperlink w:anchor="_Toc88741817" w:history="1">
            <w:r w:rsidRPr="000B3A27">
              <w:rPr>
                <w:rStyle w:val="Hyperlink"/>
                <w:rFonts w:cstheme="minorHAnsi"/>
                <w:noProof/>
              </w:rPr>
              <w:t>4.9</w:t>
            </w:r>
            <w:r>
              <w:rPr>
                <w:rFonts w:eastAsiaTheme="minorEastAsia"/>
                <w:noProof/>
                <w:lang w:eastAsia="en-GB"/>
              </w:rPr>
              <w:tab/>
            </w:r>
            <w:r w:rsidRPr="000B3A27">
              <w:rPr>
                <w:rStyle w:val="Hyperlink"/>
                <w:rFonts w:cstheme="minorHAnsi"/>
                <w:noProof/>
              </w:rPr>
              <w:t>Human Resources, Operations Support and Quality Assurance</w:t>
            </w:r>
            <w:r>
              <w:rPr>
                <w:noProof/>
                <w:webHidden/>
              </w:rPr>
              <w:tab/>
            </w:r>
            <w:r>
              <w:rPr>
                <w:noProof/>
                <w:webHidden/>
              </w:rPr>
              <w:fldChar w:fldCharType="begin"/>
            </w:r>
            <w:r>
              <w:rPr>
                <w:noProof/>
                <w:webHidden/>
              </w:rPr>
              <w:instrText xml:space="preserve"> PAGEREF _Toc88741817 \h </w:instrText>
            </w:r>
            <w:r>
              <w:rPr>
                <w:noProof/>
                <w:webHidden/>
              </w:rPr>
            </w:r>
            <w:r>
              <w:rPr>
                <w:noProof/>
                <w:webHidden/>
              </w:rPr>
              <w:fldChar w:fldCharType="separate"/>
            </w:r>
            <w:r>
              <w:rPr>
                <w:noProof/>
                <w:webHidden/>
              </w:rPr>
              <w:t>68</w:t>
            </w:r>
            <w:r>
              <w:rPr>
                <w:noProof/>
                <w:webHidden/>
              </w:rPr>
              <w:fldChar w:fldCharType="end"/>
            </w:r>
          </w:hyperlink>
        </w:p>
        <w:p w14:paraId="0BEB819C" w14:textId="370612F3" w:rsidR="007D6FE9" w:rsidRDefault="007D6FE9">
          <w:pPr>
            <w:pStyle w:val="TOC3"/>
            <w:tabs>
              <w:tab w:val="left" w:pos="1320"/>
              <w:tab w:val="right" w:leader="dot" w:pos="9350"/>
            </w:tabs>
            <w:rPr>
              <w:rFonts w:eastAsiaTheme="minorEastAsia"/>
              <w:noProof/>
              <w:lang w:eastAsia="en-GB"/>
            </w:rPr>
          </w:pPr>
          <w:hyperlink w:anchor="_Toc88741818" w:history="1">
            <w:r w:rsidRPr="000B3A27">
              <w:rPr>
                <w:rStyle w:val="Hyperlink"/>
                <w:rFonts w:cstheme="minorHAnsi"/>
                <w:noProof/>
              </w:rPr>
              <w:t>4.9.1</w:t>
            </w:r>
            <w:r>
              <w:rPr>
                <w:rFonts w:eastAsiaTheme="minorEastAsia"/>
                <w:noProof/>
                <w:lang w:eastAsia="en-GB"/>
              </w:rPr>
              <w:tab/>
            </w:r>
            <w:r w:rsidRPr="000B3A27">
              <w:rPr>
                <w:rStyle w:val="Hyperlink"/>
                <w:rFonts w:cstheme="minorHAnsi"/>
                <w:noProof/>
              </w:rPr>
              <w:t>Human Resources and Operations</w:t>
            </w:r>
            <w:r>
              <w:rPr>
                <w:noProof/>
                <w:webHidden/>
              </w:rPr>
              <w:tab/>
            </w:r>
            <w:r>
              <w:rPr>
                <w:noProof/>
                <w:webHidden/>
              </w:rPr>
              <w:fldChar w:fldCharType="begin"/>
            </w:r>
            <w:r>
              <w:rPr>
                <w:noProof/>
                <w:webHidden/>
              </w:rPr>
              <w:instrText xml:space="preserve"> PAGEREF _Toc88741818 \h </w:instrText>
            </w:r>
            <w:r>
              <w:rPr>
                <w:noProof/>
                <w:webHidden/>
              </w:rPr>
            </w:r>
            <w:r>
              <w:rPr>
                <w:noProof/>
                <w:webHidden/>
              </w:rPr>
              <w:fldChar w:fldCharType="separate"/>
            </w:r>
            <w:r>
              <w:rPr>
                <w:noProof/>
                <w:webHidden/>
              </w:rPr>
              <w:t>68</w:t>
            </w:r>
            <w:r>
              <w:rPr>
                <w:noProof/>
                <w:webHidden/>
              </w:rPr>
              <w:fldChar w:fldCharType="end"/>
            </w:r>
          </w:hyperlink>
        </w:p>
        <w:p w14:paraId="64D7E6F5" w14:textId="3647095A" w:rsidR="007D6FE9" w:rsidRDefault="007D6FE9">
          <w:pPr>
            <w:pStyle w:val="TOC3"/>
            <w:tabs>
              <w:tab w:val="right" w:leader="dot" w:pos="9350"/>
            </w:tabs>
            <w:rPr>
              <w:rFonts w:eastAsiaTheme="minorEastAsia"/>
              <w:noProof/>
              <w:lang w:eastAsia="en-GB"/>
            </w:rPr>
          </w:pPr>
          <w:hyperlink w:anchor="_Toc88741819" w:history="1">
            <w:r w:rsidRPr="000B3A27">
              <w:rPr>
                <w:rStyle w:val="Hyperlink"/>
                <w:rFonts w:cstheme="minorHAnsi"/>
                <w:noProof/>
              </w:rPr>
              <w:t>4.9.2 Quality Assurance Mechanisms</w:t>
            </w:r>
            <w:r>
              <w:rPr>
                <w:noProof/>
                <w:webHidden/>
              </w:rPr>
              <w:tab/>
            </w:r>
            <w:r>
              <w:rPr>
                <w:noProof/>
                <w:webHidden/>
              </w:rPr>
              <w:fldChar w:fldCharType="begin"/>
            </w:r>
            <w:r>
              <w:rPr>
                <w:noProof/>
                <w:webHidden/>
              </w:rPr>
              <w:instrText xml:space="preserve"> PAGEREF _Toc88741819 \h </w:instrText>
            </w:r>
            <w:r>
              <w:rPr>
                <w:noProof/>
                <w:webHidden/>
              </w:rPr>
            </w:r>
            <w:r>
              <w:rPr>
                <w:noProof/>
                <w:webHidden/>
              </w:rPr>
              <w:fldChar w:fldCharType="separate"/>
            </w:r>
            <w:r>
              <w:rPr>
                <w:noProof/>
                <w:webHidden/>
              </w:rPr>
              <w:t>69</w:t>
            </w:r>
            <w:r>
              <w:rPr>
                <w:noProof/>
                <w:webHidden/>
              </w:rPr>
              <w:fldChar w:fldCharType="end"/>
            </w:r>
          </w:hyperlink>
        </w:p>
        <w:p w14:paraId="49C42211" w14:textId="5CC32243" w:rsidR="007D6FE9" w:rsidRDefault="007D6FE9">
          <w:pPr>
            <w:pStyle w:val="TOC1"/>
            <w:tabs>
              <w:tab w:val="right" w:leader="dot" w:pos="9350"/>
            </w:tabs>
            <w:rPr>
              <w:rFonts w:eastAsiaTheme="minorEastAsia"/>
              <w:noProof/>
              <w:lang w:eastAsia="en-GB"/>
            </w:rPr>
          </w:pPr>
          <w:hyperlink w:anchor="_Toc88741820" w:history="1">
            <w:r w:rsidRPr="000B3A27">
              <w:rPr>
                <w:rStyle w:val="Hyperlink"/>
                <w:rFonts w:cstheme="minorHAnsi"/>
                <w:noProof/>
              </w:rPr>
              <w:t>5. Conclusions and Lessons</w:t>
            </w:r>
            <w:r>
              <w:rPr>
                <w:noProof/>
                <w:webHidden/>
              </w:rPr>
              <w:tab/>
            </w:r>
            <w:r>
              <w:rPr>
                <w:noProof/>
                <w:webHidden/>
              </w:rPr>
              <w:fldChar w:fldCharType="begin"/>
            </w:r>
            <w:r>
              <w:rPr>
                <w:noProof/>
                <w:webHidden/>
              </w:rPr>
              <w:instrText xml:space="preserve"> PAGEREF _Toc88741820 \h </w:instrText>
            </w:r>
            <w:r>
              <w:rPr>
                <w:noProof/>
                <w:webHidden/>
              </w:rPr>
            </w:r>
            <w:r>
              <w:rPr>
                <w:noProof/>
                <w:webHidden/>
              </w:rPr>
              <w:fldChar w:fldCharType="separate"/>
            </w:r>
            <w:r>
              <w:rPr>
                <w:noProof/>
                <w:webHidden/>
              </w:rPr>
              <w:t>70</w:t>
            </w:r>
            <w:r>
              <w:rPr>
                <w:noProof/>
                <w:webHidden/>
              </w:rPr>
              <w:fldChar w:fldCharType="end"/>
            </w:r>
          </w:hyperlink>
        </w:p>
        <w:p w14:paraId="045BB095" w14:textId="3516689F" w:rsidR="007D6FE9" w:rsidRDefault="007D6FE9">
          <w:pPr>
            <w:pStyle w:val="TOC2"/>
            <w:tabs>
              <w:tab w:val="right" w:leader="dot" w:pos="9350"/>
            </w:tabs>
            <w:rPr>
              <w:rFonts w:eastAsiaTheme="minorEastAsia"/>
              <w:noProof/>
              <w:lang w:eastAsia="en-GB"/>
            </w:rPr>
          </w:pPr>
          <w:hyperlink w:anchor="_Toc88741821" w:history="1">
            <w:r w:rsidRPr="000B3A27">
              <w:rPr>
                <w:rStyle w:val="Hyperlink"/>
                <w:rFonts w:cstheme="minorHAnsi"/>
                <w:noProof/>
              </w:rPr>
              <w:t>5.1 Conclusions</w:t>
            </w:r>
            <w:r>
              <w:rPr>
                <w:noProof/>
                <w:webHidden/>
              </w:rPr>
              <w:tab/>
            </w:r>
            <w:r>
              <w:rPr>
                <w:noProof/>
                <w:webHidden/>
              </w:rPr>
              <w:fldChar w:fldCharType="begin"/>
            </w:r>
            <w:r>
              <w:rPr>
                <w:noProof/>
                <w:webHidden/>
              </w:rPr>
              <w:instrText xml:space="preserve"> PAGEREF _Toc88741821 \h </w:instrText>
            </w:r>
            <w:r>
              <w:rPr>
                <w:noProof/>
                <w:webHidden/>
              </w:rPr>
            </w:r>
            <w:r>
              <w:rPr>
                <w:noProof/>
                <w:webHidden/>
              </w:rPr>
              <w:fldChar w:fldCharType="separate"/>
            </w:r>
            <w:r>
              <w:rPr>
                <w:noProof/>
                <w:webHidden/>
              </w:rPr>
              <w:t>70</w:t>
            </w:r>
            <w:r>
              <w:rPr>
                <w:noProof/>
                <w:webHidden/>
              </w:rPr>
              <w:fldChar w:fldCharType="end"/>
            </w:r>
          </w:hyperlink>
        </w:p>
        <w:p w14:paraId="4C9205C4" w14:textId="43BA19D1" w:rsidR="007D6FE9" w:rsidRDefault="007D6FE9">
          <w:pPr>
            <w:pStyle w:val="TOC2"/>
            <w:tabs>
              <w:tab w:val="right" w:leader="dot" w:pos="9350"/>
            </w:tabs>
            <w:rPr>
              <w:rFonts w:eastAsiaTheme="minorEastAsia"/>
              <w:noProof/>
              <w:lang w:eastAsia="en-GB"/>
            </w:rPr>
          </w:pPr>
          <w:hyperlink w:anchor="_Toc88741822" w:history="1">
            <w:r w:rsidRPr="000B3A27">
              <w:rPr>
                <w:rStyle w:val="Hyperlink"/>
                <w:rFonts w:cstheme="minorHAnsi"/>
                <w:noProof/>
              </w:rPr>
              <w:t>5.2 Lessons Learnt</w:t>
            </w:r>
            <w:r>
              <w:rPr>
                <w:noProof/>
                <w:webHidden/>
              </w:rPr>
              <w:tab/>
            </w:r>
            <w:r>
              <w:rPr>
                <w:noProof/>
                <w:webHidden/>
              </w:rPr>
              <w:fldChar w:fldCharType="begin"/>
            </w:r>
            <w:r>
              <w:rPr>
                <w:noProof/>
                <w:webHidden/>
              </w:rPr>
              <w:instrText xml:space="preserve"> PAGEREF _Toc88741822 \h </w:instrText>
            </w:r>
            <w:r>
              <w:rPr>
                <w:noProof/>
                <w:webHidden/>
              </w:rPr>
            </w:r>
            <w:r>
              <w:rPr>
                <w:noProof/>
                <w:webHidden/>
              </w:rPr>
              <w:fldChar w:fldCharType="separate"/>
            </w:r>
            <w:r>
              <w:rPr>
                <w:noProof/>
                <w:webHidden/>
              </w:rPr>
              <w:t>73</w:t>
            </w:r>
            <w:r>
              <w:rPr>
                <w:noProof/>
                <w:webHidden/>
              </w:rPr>
              <w:fldChar w:fldCharType="end"/>
            </w:r>
          </w:hyperlink>
        </w:p>
        <w:p w14:paraId="18F40E8A" w14:textId="74EFE293" w:rsidR="007D6FE9" w:rsidRDefault="007D6FE9">
          <w:pPr>
            <w:pStyle w:val="TOC1"/>
            <w:tabs>
              <w:tab w:val="right" w:leader="dot" w:pos="9350"/>
            </w:tabs>
            <w:rPr>
              <w:rFonts w:eastAsiaTheme="minorEastAsia"/>
              <w:noProof/>
              <w:lang w:eastAsia="en-GB"/>
            </w:rPr>
          </w:pPr>
          <w:hyperlink w:anchor="_Toc88741823" w:history="1">
            <w:r w:rsidRPr="000B3A27">
              <w:rPr>
                <w:rStyle w:val="Hyperlink"/>
                <w:rFonts w:cstheme="minorHAnsi"/>
                <w:noProof/>
              </w:rPr>
              <w:t>7. Recommendations</w:t>
            </w:r>
            <w:r>
              <w:rPr>
                <w:noProof/>
                <w:webHidden/>
              </w:rPr>
              <w:tab/>
            </w:r>
            <w:r>
              <w:rPr>
                <w:noProof/>
                <w:webHidden/>
              </w:rPr>
              <w:fldChar w:fldCharType="begin"/>
            </w:r>
            <w:r>
              <w:rPr>
                <w:noProof/>
                <w:webHidden/>
              </w:rPr>
              <w:instrText xml:space="preserve"> PAGEREF _Toc88741823 \h </w:instrText>
            </w:r>
            <w:r>
              <w:rPr>
                <w:noProof/>
                <w:webHidden/>
              </w:rPr>
            </w:r>
            <w:r>
              <w:rPr>
                <w:noProof/>
                <w:webHidden/>
              </w:rPr>
              <w:fldChar w:fldCharType="separate"/>
            </w:r>
            <w:r>
              <w:rPr>
                <w:noProof/>
                <w:webHidden/>
              </w:rPr>
              <w:t>74</w:t>
            </w:r>
            <w:r>
              <w:rPr>
                <w:noProof/>
                <w:webHidden/>
              </w:rPr>
              <w:fldChar w:fldCharType="end"/>
            </w:r>
          </w:hyperlink>
        </w:p>
        <w:p w14:paraId="65DE91E8" w14:textId="177E14F6" w:rsidR="007D6FE9" w:rsidRDefault="007D6FE9">
          <w:pPr>
            <w:pStyle w:val="TOC1"/>
            <w:tabs>
              <w:tab w:val="right" w:leader="dot" w:pos="9350"/>
            </w:tabs>
            <w:rPr>
              <w:rFonts w:eastAsiaTheme="minorEastAsia"/>
              <w:noProof/>
              <w:lang w:eastAsia="en-GB"/>
            </w:rPr>
          </w:pPr>
          <w:hyperlink w:anchor="_Toc88741824" w:history="1">
            <w:r w:rsidRPr="000B3A27">
              <w:rPr>
                <w:rStyle w:val="Hyperlink"/>
                <w:rFonts w:cstheme="minorHAnsi"/>
                <w:noProof/>
              </w:rPr>
              <w:t>Annex 1: List of UNDP Projects by cluster and Budget Expenditures</w:t>
            </w:r>
            <w:r>
              <w:rPr>
                <w:noProof/>
                <w:webHidden/>
              </w:rPr>
              <w:tab/>
            </w:r>
            <w:r>
              <w:rPr>
                <w:noProof/>
                <w:webHidden/>
              </w:rPr>
              <w:fldChar w:fldCharType="begin"/>
            </w:r>
            <w:r>
              <w:rPr>
                <w:noProof/>
                <w:webHidden/>
              </w:rPr>
              <w:instrText xml:space="preserve"> PAGEREF _Toc88741824 \h </w:instrText>
            </w:r>
            <w:r>
              <w:rPr>
                <w:noProof/>
                <w:webHidden/>
              </w:rPr>
            </w:r>
            <w:r>
              <w:rPr>
                <w:noProof/>
                <w:webHidden/>
              </w:rPr>
              <w:fldChar w:fldCharType="separate"/>
            </w:r>
            <w:r>
              <w:rPr>
                <w:noProof/>
                <w:webHidden/>
              </w:rPr>
              <w:t>77</w:t>
            </w:r>
            <w:r>
              <w:rPr>
                <w:noProof/>
                <w:webHidden/>
              </w:rPr>
              <w:fldChar w:fldCharType="end"/>
            </w:r>
          </w:hyperlink>
        </w:p>
        <w:p w14:paraId="26905FF4" w14:textId="097FD764" w:rsidR="007D6FE9" w:rsidRDefault="007D6FE9">
          <w:pPr>
            <w:pStyle w:val="TOC1"/>
            <w:tabs>
              <w:tab w:val="right" w:leader="dot" w:pos="9350"/>
            </w:tabs>
            <w:rPr>
              <w:rFonts w:eastAsiaTheme="minorEastAsia"/>
              <w:noProof/>
              <w:lang w:eastAsia="en-GB"/>
            </w:rPr>
          </w:pPr>
          <w:hyperlink w:anchor="_Toc88741825" w:history="1">
            <w:r w:rsidRPr="000B3A27">
              <w:rPr>
                <w:rStyle w:val="Hyperlink"/>
                <w:rFonts w:cstheme="minorHAnsi"/>
                <w:noProof/>
              </w:rPr>
              <w:t>Annex 2: UNDP in the United Nations Sustainable Development Framework (UNSDF 2018-2022)</w:t>
            </w:r>
            <w:r>
              <w:rPr>
                <w:noProof/>
                <w:webHidden/>
              </w:rPr>
              <w:tab/>
            </w:r>
            <w:r>
              <w:rPr>
                <w:noProof/>
                <w:webHidden/>
              </w:rPr>
              <w:fldChar w:fldCharType="begin"/>
            </w:r>
            <w:r>
              <w:rPr>
                <w:noProof/>
                <w:webHidden/>
              </w:rPr>
              <w:instrText xml:space="preserve"> PAGEREF _Toc88741825 \h </w:instrText>
            </w:r>
            <w:r>
              <w:rPr>
                <w:noProof/>
                <w:webHidden/>
              </w:rPr>
            </w:r>
            <w:r>
              <w:rPr>
                <w:noProof/>
                <w:webHidden/>
              </w:rPr>
              <w:fldChar w:fldCharType="separate"/>
            </w:r>
            <w:r>
              <w:rPr>
                <w:noProof/>
                <w:webHidden/>
              </w:rPr>
              <w:t>79</w:t>
            </w:r>
            <w:r>
              <w:rPr>
                <w:noProof/>
                <w:webHidden/>
              </w:rPr>
              <w:fldChar w:fldCharType="end"/>
            </w:r>
          </w:hyperlink>
        </w:p>
        <w:p w14:paraId="0BBDD1FC" w14:textId="4D356964" w:rsidR="007D6FE9" w:rsidRDefault="007D6FE9">
          <w:pPr>
            <w:pStyle w:val="TOC1"/>
            <w:tabs>
              <w:tab w:val="right" w:leader="dot" w:pos="9350"/>
            </w:tabs>
            <w:rPr>
              <w:rFonts w:eastAsiaTheme="minorEastAsia"/>
              <w:noProof/>
              <w:lang w:eastAsia="en-GB"/>
            </w:rPr>
          </w:pPr>
          <w:hyperlink w:anchor="_Toc88741826" w:history="1">
            <w:r w:rsidRPr="000B3A27">
              <w:rPr>
                <w:rStyle w:val="Hyperlink"/>
                <w:rFonts w:cstheme="minorHAnsi"/>
                <w:noProof/>
              </w:rPr>
              <w:t>Annex 3: Evaluation Matrix</w:t>
            </w:r>
            <w:r>
              <w:rPr>
                <w:noProof/>
                <w:webHidden/>
              </w:rPr>
              <w:tab/>
            </w:r>
            <w:r>
              <w:rPr>
                <w:noProof/>
                <w:webHidden/>
              </w:rPr>
              <w:fldChar w:fldCharType="begin"/>
            </w:r>
            <w:r>
              <w:rPr>
                <w:noProof/>
                <w:webHidden/>
              </w:rPr>
              <w:instrText xml:space="preserve"> PAGEREF _Toc88741826 \h </w:instrText>
            </w:r>
            <w:r>
              <w:rPr>
                <w:noProof/>
                <w:webHidden/>
              </w:rPr>
            </w:r>
            <w:r>
              <w:rPr>
                <w:noProof/>
                <w:webHidden/>
              </w:rPr>
              <w:fldChar w:fldCharType="separate"/>
            </w:r>
            <w:r>
              <w:rPr>
                <w:noProof/>
                <w:webHidden/>
              </w:rPr>
              <w:t>80</w:t>
            </w:r>
            <w:r>
              <w:rPr>
                <w:noProof/>
                <w:webHidden/>
              </w:rPr>
              <w:fldChar w:fldCharType="end"/>
            </w:r>
          </w:hyperlink>
        </w:p>
        <w:p w14:paraId="0C2D68D2" w14:textId="4F272C33" w:rsidR="007D6FE9" w:rsidRDefault="007D6FE9">
          <w:pPr>
            <w:pStyle w:val="TOC1"/>
            <w:tabs>
              <w:tab w:val="right" w:leader="dot" w:pos="9350"/>
            </w:tabs>
            <w:rPr>
              <w:rFonts w:eastAsiaTheme="minorEastAsia"/>
              <w:noProof/>
              <w:lang w:eastAsia="en-GB"/>
            </w:rPr>
          </w:pPr>
          <w:hyperlink w:anchor="_Toc88741827" w:history="1">
            <w:r w:rsidRPr="000B3A27">
              <w:rPr>
                <w:rStyle w:val="Hyperlink"/>
                <w:rFonts w:ascii="Calibri" w:hAnsi="Calibri" w:cs="Calibri"/>
                <w:noProof/>
              </w:rPr>
              <w:t>Annex 4a: List of UNDP Staff met during Entry Meetings</w:t>
            </w:r>
            <w:r>
              <w:rPr>
                <w:noProof/>
                <w:webHidden/>
              </w:rPr>
              <w:tab/>
            </w:r>
            <w:r>
              <w:rPr>
                <w:noProof/>
                <w:webHidden/>
              </w:rPr>
              <w:fldChar w:fldCharType="begin"/>
            </w:r>
            <w:r>
              <w:rPr>
                <w:noProof/>
                <w:webHidden/>
              </w:rPr>
              <w:instrText xml:space="preserve"> PAGEREF _Toc88741827 \h </w:instrText>
            </w:r>
            <w:r>
              <w:rPr>
                <w:noProof/>
                <w:webHidden/>
              </w:rPr>
            </w:r>
            <w:r>
              <w:rPr>
                <w:noProof/>
                <w:webHidden/>
              </w:rPr>
              <w:fldChar w:fldCharType="separate"/>
            </w:r>
            <w:r>
              <w:rPr>
                <w:noProof/>
                <w:webHidden/>
              </w:rPr>
              <w:t>84</w:t>
            </w:r>
            <w:r>
              <w:rPr>
                <w:noProof/>
                <w:webHidden/>
              </w:rPr>
              <w:fldChar w:fldCharType="end"/>
            </w:r>
          </w:hyperlink>
        </w:p>
        <w:p w14:paraId="451B0393" w14:textId="7A310EEC" w:rsidR="007D6FE9" w:rsidRDefault="007D6FE9">
          <w:pPr>
            <w:pStyle w:val="TOC1"/>
            <w:tabs>
              <w:tab w:val="right" w:leader="dot" w:pos="9350"/>
            </w:tabs>
            <w:rPr>
              <w:rFonts w:eastAsiaTheme="minorEastAsia"/>
              <w:noProof/>
              <w:lang w:eastAsia="en-GB"/>
            </w:rPr>
          </w:pPr>
          <w:hyperlink w:anchor="_Toc88741828" w:history="1">
            <w:r w:rsidRPr="000B3A27">
              <w:rPr>
                <w:rStyle w:val="Hyperlink"/>
                <w:rFonts w:cstheme="minorHAnsi"/>
                <w:noProof/>
              </w:rPr>
              <w:t>Annex 4b: List of Stakeholders Consulted</w:t>
            </w:r>
            <w:r>
              <w:rPr>
                <w:noProof/>
                <w:webHidden/>
              </w:rPr>
              <w:tab/>
            </w:r>
            <w:r>
              <w:rPr>
                <w:noProof/>
                <w:webHidden/>
              </w:rPr>
              <w:fldChar w:fldCharType="begin"/>
            </w:r>
            <w:r>
              <w:rPr>
                <w:noProof/>
                <w:webHidden/>
              </w:rPr>
              <w:instrText xml:space="preserve"> PAGEREF _Toc88741828 \h </w:instrText>
            </w:r>
            <w:r>
              <w:rPr>
                <w:noProof/>
                <w:webHidden/>
              </w:rPr>
            </w:r>
            <w:r>
              <w:rPr>
                <w:noProof/>
                <w:webHidden/>
              </w:rPr>
              <w:fldChar w:fldCharType="separate"/>
            </w:r>
            <w:r>
              <w:rPr>
                <w:noProof/>
                <w:webHidden/>
              </w:rPr>
              <w:t>85</w:t>
            </w:r>
            <w:r>
              <w:rPr>
                <w:noProof/>
                <w:webHidden/>
              </w:rPr>
              <w:fldChar w:fldCharType="end"/>
            </w:r>
          </w:hyperlink>
        </w:p>
        <w:p w14:paraId="3864FC97" w14:textId="08508704" w:rsidR="007D6FE9" w:rsidRDefault="007D6FE9">
          <w:pPr>
            <w:pStyle w:val="TOC1"/>
            <w:tabs>
              <w:tab w:val="right" w:leader="dot" w:pos="9350"/>
            </w:tabs>
            <w:rPr>
              <w:rFonts w:eastAsiaTheme="minorEastAsia"/>
              <w:noProof/>
              <w:lang w:eastAsia="en-GB"/>
            </w:rPr>
          </w:pPr>
          <w:hyperlink w:anchor="_Toc88741829" w:history="1">
            <w:r w:rsidRPr="000B3A27">
              <w:rPr>
                <w:rStyle w:val="Hyperlink"/>
                <w:rFonts w:cstheme="minorHAnsi"/>
                <w:noProof/>
              </w:rPr>
              <w:t>Annex 5: Indicative Checklist of Questions for Stakeholders</w:t>
            </w:r>
            <w:r>
              <w:rPr>
                <w:noProof/>
                <w:webHidden/>
              </w:rPr>
              <w:tab/>
            </w:r>
            <w:r>
              <w:rPr>
                <w:noProof/>
                <w:webHidden/>
              </w:rPr>
              <w:fldChar w:fldCharType="begin"/>
            </w:r>
            <w:r>
              <w:rPr>
                <w:noProof/>
                <w:webHidden/>
              </w:rPr>
              <w:instrText xml:space="preserve"> PAGEREF _Toc88741829 \h </w:instrText>
            </w:r>
            <w:r>
              <w:rPr>
                <w:noProof/>
                <w:webHidden/>
              </w:rPr>
            </w:r>
            <w:r>
              <w:rPr>
                <w:noProof/>
                <w:webHidden/>
              </w:rPr>
              <w:fldChar w:fldCharType="separate"/>
            </w:r>
            <w:r>
              <w:rPr>
                <w:noProof/>
                <w:webHidden/>
              </w:rPr>
              <w:t>88</w:t>
            </w:r>
            <w:r>
              <w:rPr>
                <w:noProof/>
                <w:webHidden/>
              </w:rPr>
              <w:fldChar w:fldCharType="end"/>
            </w:r>
          </w:hyperlink>
        </w:p>
        <w:p w14:paraId="153AECB3" w14:textId="08E59D6E" w:rsidR="007D6FE9" w:rsidRDefault="007D6FE9">
          <w:pPr>
            <w:pStyle w:val="TOC1"/>
            <w:tabs>
              <w:tab w:val="right" w:leader="dot" w:pos="9350"/>
            </w:tabs>
            <w:rPr>
              <w:rFonts w:eastAsiaTheme="minorEastAsia"/>
              <w:noProof/>
              <w:lang w:eastAsia="en-GB"/>
            </w:rPr>
          </w:pPr>
          <w:hyperlink w:anchor="_Toc88741830" w:history="1">
            <w:r w:rsidRPr="000B3A27">
              <w:rPr>
                <w:rStyle w:val="Hyperlink"/>
                <w:rFonts w:cstheme="minorHAnsi"/>
                <w:noProof/>
              </w:rPr>
              <w:t>Annex 6: List of Documents (In addition to those listed in ToRs)</w:t>
            </w:r>
            <w:r>
              <w:rPr>
                <w:noProof/>
                <w:webHidden/>
              </w:rPr>
              <w:tab/>
            </w:r>
            <w:r>
              <w:rPr>
                <w:noProof/>
                <w:webHidden/>
              </w:rPr>
              <w:fldChar w:fldCharType="begin"/>
            </w:r>
            <w:r>
              <w:rPr>
                <w:noProof/>
                <w:webHidden/>
              </w:rPr>
              <w:instrText xml:space="preserve"> PAGEREF _Toc88741830 \h </w:instrText>
            </w:r>
            <w:r>
              <w:rPr>
                <w:noProof/>
                <w:webHidden/>
              </w:rPr>
            </w:r>
            <w:r>
              <w:rPr>
                <w:noProof/>
                <w:webHidden/>
              </w:rPr>
              <w:fldChar w:fldCharType="separate"/>
            </w:r>
            <w:r>
              <w:rPr>
                <w:noProof/>
                <w:webHidden/>
              </w:rPr>
              <w:t>89</w:t>
            </w:r>
            <w:r>
              <w:rPr>
                <w:noProof/>
                <w:webHidden/>
              </w:rPr>
              <w:fldChar w:fldCharType="end"/>
            </w:r>
          </w:hyperlink>
        </w:p>
        <w:p w14:paraId="10973937" w14:textId="29E68B4B" w:rsidR="007D6FE9" w:rsidRDefault="007D6FE9">
          <w:pPr>
            <w:pStyle w:val="TOC1"/>
            <w:tabs>
              <w:tab w:val="right" w:leader="dot" w:pos="9350"/>
            </w:tabs>
            <w:rPr>
              <w:rFonts w:eastAsiaTheme="minorEastAsia"/>
              <w:noProof/>
              <w:lang w:eastAsia="en-GB"/>
            </w:rPr>
          </w:pPr>
          <w:hyperlink w:anchor="_Toc88741831" w:history="1">
            <w:r w:rsidRPr="000B3A27">
              <w:rPr>
                <w:rStyle w:val="Hyperlink"/>
                <w:rFonts w:eastAsia="Times New Roman" w:cstheme="minorHAnsi"/>
                <w:noProof/>
                <w:lang w:eastAsia="pt-PT"/>
              </w:rPr>
              <w:t xml:space="preserve">Annex 7: </w:t>
            </w:r>
            <w:r w:rsidRPr="000B3A27">
              <w:rPr>
                <w:rStyle w:val="Hyperlink"/>
                <w:rFonts w:cstheme="minorHAnsi"/>
                <w:noProof/>
              </w:rPr>
              <w:t>Fostering Poverty Eradication and Inclusive Economic Growth</w:t>
            </w:r>
            <w:r w:rsidRPr="000B3A27">
              <w:rPr>
                <w:rStyle w:val="Hyperlink"/>
                <w:rFonts w:eastAsia="Times New Roman" w:cstheme="minorHAnsi"/>
                <w:noProof/>
                <w:lang w:eastAsia="pt-PT"/>
              </w:rPr>
              <w:t xml:space="preserve"> Results Template</w:t>
            </w:r>
            <w:r>
              <w:rPr>
                <w:noProof/>
                <w:webHidden/>
              </w:rPr>
              <w:tab/>
            </w:r>
            <w:r>
              <w:rPr>
                <w:noProof/>
                <w:webHidden/>
              </w:rPr>
              <w:fldChar w:fldCharType="begin"/>
            </w:r>
            <w:r>
              <w:rPr>
                <w:noProof/>
                <w:webHidden/>
              </w:rPr>
              <w:instrText xml:space="preserve"> PAGEREF _Toc88741831 \h </w:instrText>
            </w:r>
            <w:r>
              <w:rPr>
                <w:noProof/>
                <w:webHidden/>
              </w:rPr>
            </w:r>
            <w:r>
              <w:rPr>
                <w:noProof/>
                <w:webHidden/>
              </w:rPr>
              <w:fldChar w:fldCharType="separate"/>
            </w:r>
            <w:r>
              <w:rPr>
                <w:noProof/>
                <w:webHidden/>
              </w:rPr>
              <w:t>92</w:t>
            </w:r>
            <w:r>
              <w:rPr>
                <w:noProof/>
                <w:webHidden/>
              </w:rPr>
              <w:fldChar w:fldCharType="end"/>
            </w:r>
          </w:hyperlink>
        </w:p>
        <w:p w14:paraId="147AB093" w14:textId="4F103D43" w:rsidR="007D6FE9" w:rsidRDefault="007D6FE9">
          <w:pPr>
            <w:pStyle w:val="TOC1"/>
            <w:tabs>
              <w:tab w:val="right" w:leader="dot" w:pos="9350"/>
            </w:tabs>
            <w:rPr>
              <w:rFonts w:eastAsiaTheme="minorEastAsia"/>
              <w:noProof/>
              <w:lang w:eastAsia="en-GB"/>
            </w:rPr>
          </w:pPr>
          <w:hyperlink w:anchor="_Toc88741832" w:history="1">
            <w:r w:rsidRPr="000B3A27">
              <w:rPr>
                <w:rStyle w:val="Hyperlink"/>
                <w:rFonts w:eastAsia="Times New Roman" w:cstheme="minorHAnsi"/>
                <w:noProof/>
                <w:lang w:eastAsia="pt-PT"/>
              </w:rPr>
              <w:t xml:space="preserve">Annex 8: </w:t>
            </w:r>
            <w:r w:rsidRPr="000B3A27">
              <w:rPr>
                <w:rStyle w:val="Hyperlink"/>
                <w:rFonts w:cstheme="minorHAnsi"/>
                <w:noProof/>
              </w:rPr>
              <w:t xml:space="preserve">Increasing Resilience to Shocks and crises and enhancing management of natural resources for conservation and economic development - </w:t>
            </w:r>
            <w:r w:rsidRPr="000B3A27">
              <w:rPr>
                <w:rStyle w:val="Hyperlink"/>
                <w:rFonts w:eastAsia="Times New Roman" w:cstheme="minorHAnsi"/>
                <w:noProof/>
                <w:lang w:eastAsia="pt-PT"/>
              </w:rPr>
              <w:t>Results Template</w:t>
            </w:r>
            <w:r>
              <w:rPr>
                <w:noProof/>
                <w:webHidden/>
              </w:rPr>
              <w:tab/>
            </w:r>
            <w:r>
              <w:rPr>
                <w:noProof/>
                <w:webHidden/>
              </w:rPr>
              <w:fldChar w:fldCharType="begin"/>
            </w:r>
            <w:r>
              <w:rPr>
                <w:noProof/>
                <w:webHidden/>
              </w:rPr>
              <w:instrText xml:space="preserve"> PAGEREF _Toc88741832 \h </w:instrText>
            </w:r>
            <w:r>
              <w:rPr>
                <w:noProof/>
                <w:webHidden/>
              </w:rPr>
            </w:r>
            <w:r>
              <w:rPr>
                <w:noProof/>
                <w:webHidden/>
              </w:rPr>
              <w:fldChar w:fldCharType="separate"/>
            </w:r>
            <w:r>
              <w:rPr>
                <w:noProof/>
                <w:webHidden/>
              </w:rPr>
              <w:t>99</w:t>
            </w:r>
            <w:r>
              <w:rPr>
                <w:noProof/>
                <w:webHidden/>
              </w:rPr>
              <w:fldChar w:fldCharType="end"/>
            </w:r>
          </w:hyperlink>
        </w:p>
        <w:p w14:paraId="41D4B6B8" w14:textId="1EF2ACF2" w:rsidR="007D6FE9" w:rsidRDefault="007D6FE9">
          <w:pPr>
            <w:pStyle w:val="TOC1"/>
            <w:tabs>
              <w:tab w:val="right" w:leader="dot" w:pos="9350"/>
            </w:tabs>
            <w:rPr>
              <w:rFonts w:eastAsiaTheme="minorEastAsia"/>
              <w:noProof/>
              <w:lang w:eastAsia="en-GB"/>
            </w:rPr>
          </w:pPr>
          <w:hyperlink w:anchor="_Toc88741833" w:history="1">
            <w:r w:rsidRPr="000B3A27">
              <w:rPr>
                <w:rStyle w:val="Hyperlink"/>
                <w:rFonts w:eastAsia="Times New Roman" w:cstheme="minorHAnsi"/>
                <w:noProof/>
                <w:lang w:eastAsia="pt-PT"/>
              </w:rPr>
              <w:t>Annex 9:</w:t>
            </w:r>
            <w:r w:rsidRPr="000B3A27">
              <w:rPr>
                <w:rStyle w:val="Hyperlink"/>
                <w:rFonts w:cstheme="minorHAnsi"/>
                <w:noProof/>
              </w:rPr>
              <w:t xml:space="preserve"> Strengthening Inclusive Democracy, Human Rights, Justice and Rule of Law:</w:t>
            </w:r>
            <w:r w:rsidRPr="000B3A27">
              <w:rPr>
                <w:rStyle w:val="Hyperlink"/>
                <w:rFonts w:eastAsia="Times New Roman" w:cstheme="minorHAnsi"/>
                <w:noProof/>
                <w:lang w:eastAsia="pt-PT"/>
              </w:rPr>
              <w:t xml:space="preserve"> Consolidated Results Template</w:t>
            </w:r>
            <w:r>
              <w:rPr>
                <w:noProof/>
                <w:webHidden/>
              </w:rPr>
              <w:tab/>
            </w:r>
            <w:r>
              <w:rPr>
                <w:noProof/>
                <w:webHidden/>
              </w:rPr>
              <w:fldChar w:fldCharType="begin"/>
            </w:r>
            <w:r>
              <w:rPr>
                <w:noProof/>
                <w:webHidden/>
              </w:rPr>
              <w:instrText xml:space="preserve"> PAGEREF _Toc88741833 \h </w:instrText>
            </w:r>
            <w:r>
              <w:rPr>
                <w:noProof/>
                <w:webHidden/>
              </w:rPr>
            </w:r>
            <w:r>
              <w:rPr>
                <w:noProof/>
                <w:webHidden/>
              </w:rPr>
              <w:fldChar w:fldCharType="separate"/>
            </w:r>
            <w:r>
              <w:rPr>
                <w:noProof/>
                <w:webHidden/>
              </w:rPr>
              <w:t>104</w:t>
            </w:r>
            <w:r>
              <w:rPr>
                <w:noProof/>
                <w:webHidden/>
              </w:rPr>
              <w:fldChar w:fldCharType="end"/>
            </w:r>
          </w:hyperlink>
        </w:p>
        <w:p w14:paraId="187276FB" w14:textId="0F3DED71" w:rsidR="007D6FE9" w:rsidRDefault="007D6FE9">
          <w:pPr>
            <w:pStyle w:val="TOC1"/>
            <w:tabs>
              <w:tab w:val="right" w:leader="dot" w:pos="9350"/>
            </w:tabs>
            <w:rPr>
              <w:rFonts w:eastAsiaTheme="minorEastAsia"/>
              <w:noProof/>
              <w:lang w:eastAsia="en-GB"/>
            </w:rPr>
          </w:pPr>
          <w:hyperlink w:anchor="_Toc88741834" w:history="1">
            <w:r w:rsidRPr="000B3A27">
              <w:rPr>
                <w:rStyle w:val="Hyperlink"/>
                <w:rFonts w:cstheme="minorHAnsi"/>
                <w:noProof/>
              </w:rPr>
              <w:t>Annex 10: Implementation Plan for Evaluation Recommendations</w:t>
            </w:r>
            <w:r>
              <w:rPr>
                <w:noProof/>
                <w:webHidden/>
              </w:rPr>
              <w:tab/>
            </w:r>
            <w:r>
              <w:rPr>
                <w:noProof/>
                <w:webHidden/>
              </w:rPr>
              <w:fldChar w:fldCharType="begin"/>
            </w:r>
            <w:r>
              <w:rPr>
                <w:noProof/>
                <w:webHidden/>
              </w:rPr>
              <w:instrText xml:space="preserve"> PAGEREF _Toc88741834 \h </w:instrText>
            </w:r>
            <w:r>
              <w:rPr>
                <w:noProof/>
                <w:webHidden/>
              </w:rPr>
            </w:r>
            <w:r>
              <w:rPr>
                <w:noProof/>
                <w:webHidden/>
              </w:rPr>
              <w:fldChar w:fldCharType="separate"/>
            </w:r>
            <w:r>
              <w:rPr>
                <w:noProof/>
                <w:webHidden/>
              </w:rPr>
              <w:t>108</w:t>
            </w:r>
            <w:r>
              <w:rPr>
                <w:noProof/>
                <w:webHidden/>
              </w:rPr>
              <w:fldChar w:fldCharType="end"/>
            </w:r>
          </w:hyperlink>
        </w:p>
        <w:p w14:paraId="51F98EFB" w14:textId="7A4B2F41" w:rsidR="009133E8" w:rsidRDefault="009133E8">
          <w:r>
            <w:rPr>
              <w:b/>
              <w:bCs/>
              <w:noProof/>
            </w:rPr>
            <w:fldChar w:fldCharType="end"/>
          </w:r>
        </w:p>
      </w:sdtContent>
    </w:sdt>
    <w:p w14:paraId="0A9861ED" w14:textId="49B1FC1A" w:rsidR="00785016" w:rsidRDefault="00785016" w:rsidP="00241228">
      <w:pPr>
        <w:pStyle w:val="ListParagraph"/>
      </w:pPr>
    </w:p>
    <w:p w14:paraId="03937E68" w14:textId="77777777" w:rsidR="00241228" w:rsidRDefault="00241228" w:rsidP="00241228">
      <w:pPr>
        <w:ind w:left="360"/>
        <w:sectPr w:rsidR="00241228" w:rsidSect="00146D4C">
          <w:pgSz w:w="12240" w:h="15840"/>
          <w:pgMar w:top="1440" w:right="1440" w:bottom="1440" w:left="1440" w:header="720" w:footer="720" w:gutter="0"/>
          <w:cols w:space="720"/>
          <w:docGrid w:linePitch="360"/>
        </w:sectPr>
      </w:pPr>
    </w:p>
    <w:p w14:paraId="458D7882" w14:textId="77777777" w:rsidR="00241228" w:rsidRDefault="00785016" w:rsidP="00241228">
      <w:pPr>
        <w:pStyle w:val="Heading1"/>
        <w:rPr>
          <w:rFonts w:asciiTheme="minorHAnsi" w:hAnsiTheme="minorHAnsi" w:cstheme="minorHAnsi"/>
          <w:sz w:val="22"/>
          <w:szCs w:val="22"/>
        </w:rPr>
      </w:pPr>
      <w:bookmarkStart w:id="1" w:name="_Toc88741758"/>
      <w:r w:rsidRPr="00241228">
        <w:rPr>
          <w:rFonts w:asciiTheme="minorHAnsi" w:hAnsiTheme="minorHAnsi" w:cstheme="minorHAnsi"/>
          <w:sz w:val="22"/>
          <w:szCs w:val="22"/>
        </w:rPr>
        <w:lastRenderedPageBreak/>
        <w:t xml:space="preserve">List of </w:t>
      </w:r>
      <w:r w:rsidR="009133E8">
        <w:rPr>
          <w:rFonts w:asciiTheme="minorHAnsi" w:hAnsiTheme="minorHAnsi" w:cstheme="minorHAnsi"/>
          <w:sz w:val="22"/>
          <w:szCs w:val="22"/>
        </w:rPr>
        <w:t>A</w:t>
      </w:r>
      <w:r w:rsidRPr="00241228">
        <w:rPr>
          <w:rFonts w:asciiTheme="minorHAnsi" w:hAnsiTheme="minorHAnsi" w:cstheme="minorHAnsi"/>
          <w:sz w:val="22"/>
          <w:szCs w:val="22"/>
        </w:rPr>
        <w:t>cronyms and Abbreviations</w:t>
      </w:r>
      <w:bookmarkEnd w:id="1"/>
    </w:p>
    <w:tbl>
      <w:tblPr>
        <w:tblStyle w:val="TableGrid"/>
        <w:tblW w:w="8784" w:type="dxa"/>
        <w:tblLook w:val="04A0" w:firstRow="1" w:lastRow="0" w:firstColumn="1" w:lastColumn="0" w:noHBand="0" w:noVBand="1"/>
      </w:tblPr>
      <w:tblGrid>
        <w:gridCol w:w="2122"/>
        <w:gridCol w:w="6662"/>
      </w:tblGrid>
      <w:tr w:rsidR="00C333B6" w:rsidRPr="00D75532" w14:paraId="16D0D4BA" w14:textId="77777777" w:rsidTr="004A12DC">
        <w:tc>
          <w:tcPr>
            <w:tcW w:w="2122" w:type="dxa"/>
          </w:tcPr>
          <w:p w14:paraId="11829008" w14:textId="77777777" w:rsidR="00C333B6" w:rsidRPr="00D75532" w:rsidRDefault="00C333B6" w:rsidP="004A12DC">
            <w:pPr>
              <w:rPr>
                <w:rFonts w:cstheme="minorHAnsi"/>
              </w:rPr>
            </w:pPr>
            <w:r w:rsidRPr="00D75532">
              <w:rPr>
                <w:rFonts w:cstheme="minorHAnsi"/>
              </w:rPr>
              <w:t>ADPP</w:t>
            </w:r>
          </w:p>
        </w:tc>
        <w:tc>
          <w:tcPr>
            <w:tcW w:w="6662" w:type="dxa"/>
          </w:tcPr>
          <w:p w14:paraId="58DC4F08" w14:textId="77777777" w:rsidR="00C333B6" w:rsidRPr="00D75532" w:rsidRDefault="00C333B6" w:rsidP="004A12DC">
            <w:pPr>
              <w:rPr>
                <w:rFonts w:cstheme="minorHAnsi"/>
              </w:rPr>
            </w:pPr>
            <w:r w:rsidRPr="00D75532">
              <w:rPr>
                <w:rFonts w:cstheme="minorHAnsi"/>
              </w:rPr>
              <w:t>Development Aid from People to People</w:t>
            </w:r>
          </w:p>
        </w:tc>
      </w:tr>
      <w:tr w:rsidR="00C333B6" w:rsidRPr="00D75532" w14:paraId="77F2EB1A" w14:textId="77777777" w:rsidTr="004A12DC">
        <w:tc>
          <w:tcPr>
            <w:tcW w:w="2122" w:type="dxa"/>
          </w:tcPr>
          <w:p w14:paraId="647DAFD8" w14:textId="77777777" w:rsidR="00C333B6" w:rsidRPr="00D75532" w:rsidRDefault="00C333B6" w:rsidP="004A12DC">
            <w:pPr>
              <w:rPr>
                <w:rFonts w:cstheme="minorHAnsi"/>
              </w:rPr>
            </w:pPr>
            <w:r w:rsidRPr="00D75532">
              <w:rPr>
                <w:rFonts w:cstheme="minorHAnsi"/>
              </w:rPr>
              <w:t>ANASO</w:t>
            </w:r>
          </w:p>
        </w:tc>
        <w:tc>
          <w:tcPr>
            <w:tcW w:w="6662" w:type="dxa"/>
          </w:tcPr>
          <w:p w14:paraId="44CFEE39" w14:textId="77777777" w:rsidR="00C333B6" w:rsidRPr="00D75532" w:rsidRDefault="00C333B6" w:rsidP="004A12DC">
            <w:pPr>
              <w:rPr>
                <w:rFonts w:cstheme="minorHAnsi"/>
              </w:rPr>
            </w:pPr>
            <w:r w:rsidRPr="00D75532">
              <w:rPr>
                <w:rFonts w:cstheme="minorHAnsi"/>
              </w:rPr>
              <w:t>Angolan Network of Aids Service Organizations</w:t>
            </w:r>
          </w:p>
        </w:tc>
      </w:tr>
      <w:tr w:rsidR="00C333B6" w:rsidRPr="00D75532" w14:paraId="72F0FD04" w14:textId="77777777" w:rsidTr="004A12DC">
        <w:tc>
          <w:tcPr>
            <w:tcW w:w="2122" w:type="dxa"/>
          </w:tcPr>
          <w:p w14:paraId="3D3241F3" w14:textId="77777777" w:rsidR="00C333B6" w:rsidRPr="00D75532" w:rsidRDefault="00C333B6" w:rsidP="004A12DC">
            <w:pPr>
              <w:rPr>
                <w:rFonts w:cstheme="minorHAnsi"/>
              </w:rPr>
            </w:pPr>
            <w:r w:rsidRPr="00D75532">
              <w:rPr>
                <w:rFonts w:cstheme="minorHAnsi"/>
              </w:rPr>
              <w:t>ASCAM</w:t>
            </w:r>
          </w:p>
        </w:tc>
        <w:tc>
          <w:tcPr>
            <w:tcW w:w="6662" w:type="dxa"/>
          </w:tcPr>
          <w:p w14:paraId="4C18EAB5" w14:textId="77777777" w:rsidR="00C333B6" w:rsidRPr="00D75532" w:rsidRDefault="00C333B6" w:rsidP="004A12DC">
            <w:pPr>
              <w:rPr>
                <w:rFonts w:cstheme="minorHAnsi"/>
              </w:rPr>
            </w:pPr>
            <w:r w:rsidRPr="00D75532">
              <w:rPr>
                <w:rFonts w:cstheme="minorHAnsi"/>
              </w:rPr>
              <w:t>Christian Solidarity and Mutual Aid Association</w:t>
            </w:r>
          </w:p>
        </w:tc>
      </w:tr>
      <w:tr w:rsidR="00C333B6" w:rsidRPr="00D75532" w14:paraId="1665B94C" w14:textId="77777777" w:rsidTr="004A12DC">
        <w:tc>
          <w:tcPr>
            <w:tcW w:w="2122" w:type="dxa"/>
          </w:tcPr>
          <w:p w14:paraId="22276570" w14:textId="77777777" w:rsidR="00C333B6" w:rsidRPr="00D75532" w:rsidRDefault="00C333B6" w:rsidP="004A12DC">
            <w:pPr>
              <w:rPr>
                <w:rFonts w:cstheme="minorHAnsi"/>
              </w:rPr>
            </w:pPr>
            <w:r w:rsidRPr="00D75532">
              <w:rPr>
                <w:rFonts w:cstheme="minorHAnsi"/>
              </w:rPr>
              <w:t>CAJ</w:t>
            </w:r>
          </w:p>
        </w:tc>
        <w:tc>
          <w:tcPr>
            <w:tcW w:w="6662" w:type="dxa"/>
          </w:tcPr>
          <w:p w14:paraId="5C6B2B37" w14:textId="77777777" w:rsidR="00C333B6" w:rsidRPr="00D75532" w:rsidRDefault="00C333B6" w:rsidP="004A12DC">
            <w:pPr>
              <w:rPr>
                <w:rFonts w:cstheme="minorHAnsi"/>
              </w:rPr>
            </w:pPr>
            <w:r w:rsidRPr="00D75532">
              <w:rPr>
                <w:rFonts w:cstheme="minorHAnsi"/>
              </w:rPr>
              <w:t>Centro for Youth Support</w:t>
            </w:r>
          </w:p>
        </w:tc>
      </w:tr>
      <w:tr w:rsidR="00C333B6" w:rsidRPr="00D75532" w14:paraId="30EA3465" w14:textId="77777777" w:rsidTr="004A12DC">
        <w:tc>
          <w:tcPr>
            <w:tcW w:w="2122" w:type="dxa"/>
          </w:tcPr>
          <w:p w14:paraId="578243B1" w14:textId="77777777" w:rsidR="00C333B6" w:rsidRDefault="00C333B6" w:rsidP="004A12DC">
            <w:pPr>
              <w:rPr>
                <w:rFonts w:cstheme="minorHAnsi"/>
              </w:rPr>
            </w:pPr>
            <w:r>
              <w:rPr>
                <w:rFonts w:cstheme="minorHAnsi"/>
              </w:rPr>
              <w:t>CO</w:t>
            </w:r>
          </w:p>
        </w:tc>
        <w:tc>
          <w:tcPr>
            <w:tcW w:w="6662" w:type="dxa"/>
          </w:tcPr>
          <w:p w14:paraId="3B6BC826" w14:textId="77777777" w:rsidR="00C333B6" w:rsidRDefault="00C333B6" w:rsidP="004A12DC">
            <w:pPr>
              <w:rPr>
                <w:rFonts w:cstheme="minorHAnsi"/>
              </w:rPr>
            </w:pPr>
            <w:r>
              <w:rPr>
                <w:rFonts w:cstheme="minorHAnsi"/>
              </w:rPr>
              <w:t>Country Office</w:t>
            </w:r>
          </w:p>
        </w:tc>
      </w:tr>
      <w:tr w:rsidR="00C333B6" w:rsidRPr="00D75532" w14:paraId="311347DA" w14:textId="77777777" w:rsidTr="004A12DC">
        <w:tc>
          <w:tcPr>
            <w:tcW w:w="2122" w:type="dxa"/>
          </w:tcPr>
          <w:p w14:paraId="23E8D152" w14:textId="77777777" w:rsidR="00C333B6" w:rsidRPr="00D75532" w:rsidRDefault="00C333B6" w:rsidP="004A12DC">
            <w:pPr>
              <w:rPr>
                <w:rFonts w:cstheme="minorHAnsi"/>
              </w:rPr>
            </w:pPr>
            <w:r>
              <w:rPr>
                <w:rFonts w:cstheme="minorHAnsi"/>
              </w:rPr>
              <w:t>CPD</w:t>
            </w:r>
          </w:p>
        </w:tc>
        <w:tc>
          <w:tcPr>
            <w:tcW w:w="6662" w:type="dxa"/>
          </w:tcPr>
          <w:p w14:paraId="35B30D55" w14:textId="77777777" w:rsidR="00C333B6" w:rsidRPr="00D75532" w:rsidRDefault="00C333B6" w:rsidP="004A12DC">
            <w:pPr>
              <w:rPr>
                <w:rFonts w:cstheme="minorHAnsi"/>
              </w:rPr>
            </w:pPr>
            <w:r>
              <w:rPr>
                <w:rFonts w:cstheme="minorHAnsi"/>
              </w:rPr>
              <w:t>Country Programme Document</w:t>
            </w:r>
          </w:p>
        </w:tc>
      </w:tr>
      <w:tr w:rsidR="00C333B6" w:rsidRPr="00D75532" w14:paraId="5C30A4E7" w14:textId="77777777" w:rsidTr="004A12DC">
        <w:tc>
          <w:tcPr>
            <w:tcW w:w="2122" w:type="dxa"/>
          </w:tcPr>
          <w:p w14:paraId="4BB84518" w14:textId="77777777" w:rsidR="00C333B6" w:rsidRPr="00D75532" w:rsidRDefault="00C333B6" w:rsidP="004A12DC">
            <w:pPr>
              <w:rPr>
                <w:rFonts w:cstheme="minorHAnsi"/>
              </w:rPr>
            </w:pPr>
            <w:r w:rsidRPr="00D75532">
              <w:rPr>
                <w:rFonts w:cstheme="minorHAnsi"/>
              </w:rPr>
              <w:t>FRESAN</w:t>
            </w:r>
          </w:p>
        </w:tc>
        <w:tc>
          <w:tcPr>
            <w:tcW w:w="6662" w:type="dxa"/>
          </w:tcPr>
          <w:p w14:paraId="773F8DD2" w14:textId="77777777" w:rsidR="00C333B6" w:rsidRPr="00D75532" w:rsidRDefault="00C333B6" w:rsidP="004A12DC">
            <w:pPr>
              <w:rPr>
                <w:rFonts w:cstheme="minorHAnsi"/>
              </w:rPr>
            </w:pPr>
            <w:r w:rsidRPr="00D75532">
              <w:rPr>
                <w:rFonts w:cstheme="minorHAnsi"/>
              </w:rPr>
              <w:t>Strengthening Resilience and Security</w:t>
            </w:r>
          </w:p>
        </w:tc>
      </w:tr>
      <w:tr w:rsidR="00C333B6" w:rsidRPr="00D75532" w14:paraId="24D6EAE4" w14:textId="77777777" w:rsidTr="004A12DC">
        <w:tc>
          <w:tcPr>
            <w:tcW w:w="2122" w:type="dxa"/>
          </w:tcPr>
          <w:p w14:paraId="5133163F" w14:textId="77777777" w:rsidR="00C333B6" w:rsidRDefault="00C333B6" w:rsidP="004A12DC">
            <w:pPr>
              <w:rPr>
                <w:rFonts w:cstheme="minorHAnsi"/>
              </w:rPr>
            </w:pPr>
            <w:r>
              <w:rPr>
                <w:rFonts w:cstheme="minorHAnsi"/>
              </w:rPr>
              <w:t>GEF</w:t>
            </w:r>
          </w:p>
        </w:tc>
        <w:tc>
          <w:tcPr>
            <w:tcW w:w="6662" w:type="dxa"/>
          </w:tcPr>
          <w:p w14:paraId="2FE9510B" w14:textId="77777777" w:rsidR="00C333B6" w:rsidRDefault="00C333B6" w:rsidP="004A12DC">
            <w:pPr>
              <w:rPr>
                <w:rFonts w:cstheme="minorHAnsi"/>
              </w:rPr>
            </w:pPr>
            <w:r>
              <w:rPr>
                <w:rFonts w:cstheme="minorHAnsi"/>
              </w:rPr>
              <w:t>Global Environment Facility</w:t>
            </w:r>
          </w:p>
        </w:tc>
      </w:tr>
      <w:tr w:rsidR="00C333B6" w:rsidRPr="00D75532" w14:paraId="5E08E682" w14:textId="77777777" w:rsidTr="004A12DC">
        <w:tc>
          <w:tcPr>
            <w:tcW w:w="2122" w:type="dxa"/>
          </w:tcPr>
          <w:p w14:paraId="63FDE2C6" w14:textId="77777777" w:rsidR="00C333B6" w:rsidRPr="00D75532" w:rsidRDefault="00C333B6" w:rsidP="004A12DC">
            <w:pPr>
              <w:rPr>
                <w:rFonts w:cstheme="minorHAnsi"/>
              </w:rPr>
            </w:pPr>
            <w:r>
              <w:rPr>
                <w:rFonts w:cstheme="minorHAnsi"/>
              </w:rPr>
              <w:t>GF</w:t>
            </w:r>
          </w:p>
        </w:tc>
        <w:tc>
          <w:tcPr>
            <w:tcW w:w="6662" w:type="dxa"/>
          </w:tcPr>
          <w:p w14:paraId="1DF1BDBE" w14:textId="77777777" w:rsidR="00C333B6" w:rsidRPr="00D75532" w:rsidRDefault="00C333B6" w:rsidP="004A12DC">
            <w:pPr>
              <w:rPr>
                <w:rFonts w:cstheme="minorHAnsi"/>
              </w:rPr>
            </w:pPr>
            <w:r>
              <w:rPr>
                <w:rFonts w:cstheme="minorHAnsi"/>
              </w:rPr>
              <w:t>Global Fund</w:t>
            </w:r>
          </w:p>
        </w:tc>
      </w:tr>
      <w:tr w:rsidR="00C333B6" w:rsidRPr="00D75532" w14:paraId="78508520" w14:textId="77777777" w:rsidTr="004A12DC">
        <w:tc>
          <w:tcPr>
            <w:tcW w:w="2122" w:type="dxa"/>
          </w:tcPr>
          <w:p w14:paraId="167FE3D1" w14:textId="77777777" w:rsidR="00C333B6" w:rsidRDefault="00C333B6" w:rsidP="004A12DC">
            <w:pPr>
              <w:rPr>
                <w:rFonts w:cstheme="minorHAnsi"/>
              </w:rPr>
            </w:pPr>
            <w:r>
              <w:rPr>
                <w:rFonts w:cstheme="minorHAnsi"/>
              </w:rPr>
              <w:t>GRES</w:t>
            </w:r>
          </w:p>
        </w:tc>
        <w:tc>
          <w:tcPr>
            <w:tcW w:w="6662" w:type="dxa"/>
          </w:tcPr>
          <w:p w14:paraId="4353938E" w14:textId="77777777" w:rsidR="00C333B6" w:rsidRDefault="00C333B6" w:rsidP="004A12DC">
            <w:pPr>
              <w:rPr>
                <w:rFonts w:cstheme="minorHAnsi"/>
              </w:rPr>
            </w:pPr>
            <w:r>
              <w:rPr>
                <w:rFonts w:cstheme="minorHAnsi"/>
              </w:rPr>
              <w:t>Gender Results Effectiveness Scale</w:t>
            </w:r>
          </w:p>
        </w:tc>
      </w:tr>
      <w:tr w:rsidR="00C333B6" w:rsidRPr="00D75532" w14:paraId="1714048D" w14:textId="77777777" w:rsidTr="004A12DC">
        <w:tc>
          <w:tcPr>
            <w:tcW w:w="2122" w:type="dxa"/>
          </w:tcPr>
          <w:p w14:paraId="441014F6" w14:textId="77777777" w:rsidR="00C333B6" w:rsidRPr="00D75532" w:rsidRDefault="00C333B6" w:rsidP="004A12DC">
            <w:pPr>
              <w:rPr>
                <w:rFonts w:cstheme="minorHAnsi"/>
              </w:rPr>
            </w:pPr>
            <w:r w:rsidRPr="00D75532">
              <w:rPr>
                <w:rFonts w:cstheme="minorHAnsi"/>
              </w:rPr>
              <w:t>HR</w:t>
            </w:r>
          </w:p>
        </w:tc>
        <w:tc>
          <w:tcPr>
            <w:tcW w:w="6662" w:type="dxa"/>
          </w:tcPr>
          <w:p w14:paraId="3800F06B" w14:textId="77777777" w:rsidR="00C333B6" w:rsidRPr="00D75532" w:rsidRDefault="00C333B6" w:rsidP="004A12DC">
            <w:pPr>
              <w:rPr>
                <w:rFonts w:cstheme="minorHAnsi"/>
              </w:rPr>
            </w:pPr>
            <w:r w:rsidRPr="00D75532">
              <w:rPr>
                <w:rFonts w:cstheme="minorHAnsi"/>
              </w:rPr>
              <w:t>Human Resources</w:t>
            </w:r>
          </w:p>
        </w:tc>
      </w:tr>
      <w:tr w:rsidR="00C333B6" w:rsidRPr="00D75532" w14:paraId="7CDA92D4" w14:textId="77777777" w:rsidTr="004A12DC">
        <w:tc>
          <w:tcPr>
            <w:tcW w:w="2122" w:type="dxa"/>
          </w:tcPr>
          <w:p w14:paraId="75FF5A3B" w14:textId="77777777" w:rsidR="00C333B6" w:rsidRPr="00D75532" w:rsidRDefault="00C333B6" w:rsidP="004A12DC">
            <w:pPr>
              <w:rPr>
                <w:rFonts w:cstheme="minorHAnsi"/>
              </w:rPr>
            </w:pPr>
            <w:r>
              <w:rPr>
                <w:rFonts w:cstheme="minorHAnsi"/>
              </w:rPr>
              <w:t>IEO</w:t>
            </w:r>
          </w:p>
        </w:tc>
        <w:tc>
          <w:tcPr>
            <w:tcW w:w="6662" w:type="dxa"/>
          </w:tcPr>
          <w:p w14:paraId="60356E6F" w14:textId="77777777" w:rsidR="00C333B6" w:rsidRPr="00D75532" w:rsidRDefault="00C333B6" w:rsidP="004A12DC">
            <w:pPr>
              <w:rPr>
                <w:rFonts w:cstheme="minorHAnsi"/>
              </w:rPr>
            </w:pPr>
            <w:r>
              <w:rPr>
                <w:rFonts w:cstheme="minorHAnsi"/>
              </w:rPr>
              <w:t>Independent Evaluation Office (UNDP)</w:t>
            </w:r>
          </w:p>
        </w:tc>
      </w:tr>
      <w:tr w:rsidR="00C333B6" w:rsidRPr="00D75532" w14:paraId="1E3E9E92" w14:textId="77777777" w:rsidTr="004A12DC">
        <w:tc>
          <w:tcPr>
            <w:tcW w:w="2122" w:type="dxa"/>
          </w:tcPr>
          <w:p w14:paraId="683FCE8B" w14:textId="77777777" w:rsidR="00C333B6" w:rsidRPr="00D75532" w:rsidRDefault="00C333B6" w:rsidP="004A12DC">
            <w:pPr>
              <w:rPr>
                <w:rFonts w:cstheme="minorHAnsi"/>
              </w:rPr>
            </w:pPr>
            <w:r w:rsidRPr="00D75532">
              <w:rPr>
                <w:rFonts w:cstheme="minorHAnsi"/>
              </w:rPr>
              <w:t>INEFOP</w:t>
            </w:r>
          </w:p>
        </w:tc>
        <w:tc>
          <w:tcPr>
            <w:tcW w:w="6662" w:type="dxa"/>
          </w:tcPr>
          <w:p w14:paraId="72E38A54" w14:textId="77777777" w:rsidR="00C333B6" w:rsidRPr="00D75532" w:rsidRDefault="00C333B6" w:rsidP="004A12DC">
            <w:pPr>
              <w:rPr>
                <w:rFonts w:cstheme="minorHAnsi"/>
              </w:rPr>
            </w:pPr>
            <w:r w:rsidRPr="00D75532">
              <w:rPr>
                <w:rFonts w:cstheme="minorHAnsi"/>
              </w:rPr>
              <w:t>National Institute of Employment and Professional Training</w:t>
            </w:r>
          </w:p>
        </w:tc>
      </w:tr>
      <w:tr w:rsidR="00C333B6" w:rsidRPr="00D75532" w14:paraId="2AE21436" w14:textId="77777777" w:rsidTr="004A12DC">
        <w:tc>
          <w:tcPr>
            <w:tcW w:w="2122" w:type="dxa"/>
          </w:tcPr>
          <w:p w14:paraId="635609CC" w14:textId="77777777" w:rsidR="00C333B6" w:rsidRPr="00D75532" w:rsidRDefault="00C333B6" w:rsidP="004A12DC">
            <w:pPr>
              <w:rPr>
                <w:rFonts w:cstheme="minorHAnsi"/>
              </w:rPr>
            </w:pPr>
            <w:r w:rsidRPr="00D75532">
              <w:rPr>
                <w:rFonts w:cstheme="minorHAnsi"/>
              </w:rPr>
              <w:t>IRIS</w:t>
            </w:r>
          </w:p>
        </w:tc>
        <w:tc>
          <w:tcPr>
            <w:tcW w:w="6662" w:type="dxa"/>
          </w:tcPr>
          <w:p w14:paraId="76C2D13D" w14:textId="77777777" w:rsidR="00C333B6" w:rsidRPr="00D75532" w:rsidRDefault="00C333B6" w:rsidP="004A12DC">
            <w:pPr>
              <w:rPr>
                <w:rFonts w:cstheme="minorHAnsi"/>
              </w:rPr>
            </w:pPr>
            <w:r w:rsidRPr="00D75532">
              <w:rPr>
                <w:rFonts w:cstheme="minorHAnsi"/>
              </w:rPr>
              <w:t>Angolan Association for the Défense of the Rights of Sexual Minorities.</w:t>
            </w:r>
          </w:p>
        </w:tc>
      </w:tr>
      <w:tr w:rsidR="00C333B6" w:rsidRPr="00D75532" w14:paraId="61698C03" w14:textId="77777777" w:rsidTr="004A12DC">
        <w:tc>
          <w:tcPr>
            <w:tcW w:w="2122" w:type="dxa"/>
          </w:tcPr>
          <w:p w14:paraId="3E2E299E" w14:textId="77777777" w:rsidR="00C333B6" w:rsidRPr="00D75532" w:rsidRDefault="00C333B6" w:rsidP="004A12DC">
            <w:pPr>
              <w:rPr>
                <w:rFonts w:cstheme="minorHAnsi"/>
              </w:rPr>
            </w:pPr>
            <w:r>
              <w:rPr>
                <w:rFonts w:cstheme="minorHAnsi"/>
              </w:rPr>
              <w:t>KIIs</w:t>
            </w:r>
          </w:p>
        </w:tc>
        <w:tc>
          <w:tcPr>
            <w:tcW w:w="6662" w:type="dxa"/>
          </w:tcPr>
          <w:p w14:paraId="0BFF6F9D" w14:textId="77777777" w:rsidR="00C333B6" w:rsidRPr="00D75532" w:rsidRDefault="00C333B6" w:rsidP="004A12DC">
            <w:pPr>
              <w:rPr>
                <w:rFonts w:cstheme="minorHAnsi"/>
              </w:rPr>
            </w:pPr>
            <w:r>
              <w:rPr>
                <w:rFonts w:cstheme="minorHAnsi"/>
              </w:rPr>
              <w:t>Key Informants Interviews</w:t>
            </w:r>
          </w:p>
        </w:tc>
      </w:tr>
      <w:tr w:rsidR="00C333B6" w:rsidRPr="00D75532" w14:paraId="38CE131B" w14:textId="77777777" w:rsidTr="004A12DC">
        <w:tc>
          <w:tcPr>
            <w:tcW w:w="2122" w:type="dxa"/>
          </w:tcPr>
          <w:p w14:paraId="292D2EDA" w14:textId="77777777" w:rsidR="00C333B6" w:rsidRPr="00D75532" w:rsidRDefault="00C333B6" w:rsidP="004A12DC">
            <w:pPr>
              <w:rPr>
                <w:rFonts w:cstheme="minorHAnsi"/>
              </w:rPr>
            </w:pPr>
            <w:r w:rsidRPr="00D75532">
              <w:rPr>
                <w:rFonts w:cstheme="minorHAnsi"/>
              </w:rPr>
              <w:t>MASFAMU</w:t>
            </w:r>
          </w:p>
        </w:tc>
        <w:tc>
          <w:tcPr>
            <w:tcW w:w="6662" w:type="dxa"/>
          </w:tcPr>
          <w:p w14:paraId="456B19EB" w14:textId="77777777" w:rsidR="00C333B6" w:rsidRPr="00D75532" w:rsidRDefault="00C333B6" w:rsidP="004A12DC">
            <w:pPr>
              <w:rPr>
                <w:rFonts w:cstheme="minorHAnsi"/>
              </w:rPr>
            </w:pPr>
            <w:r w:rsidRPr="00D75532">
              <w:rPr>
                <w:rFonts w:cstheme="minorHAnsi"/>
              </w:rPr>
              <w:t>Ministry of Social Affairs, Family and Women's Promotion</w:t>
            </w:r>
          </w:p>
        </w:tc>
      </w:tr>
      <w:tr w:rsidR="00C333B6" w:rsidRPr="00D75532" w14:paraId="3D8C46F3" w14:textId="77777777" w:rsidTr="004A12DC">
        <w:tc>
          <w:tcPr>
            <w:tcW w:w="2122" w:type="dxa"/>
          </w:tcPr>
          <w:p w14:paraId="54BFB844" w14:textId="77777777" w:rsidR="00C333B6" w:rsidRPr="00D75532" w:rsidRDefault="00C333B6" w:rsidP="004A12DC">
            <w:pPr>
              <w:rPr>
                <w:rFonts w:cstheme="minorHAnsi"/>
              </w:rPr>
            </w:pPr>
            <w:r w:rsidRPr="00D75532">
              <w:rPr>
                <w:rFonts w:cstheme="minorHAnsi"/>
              </w:rPr>
              <w:t>MAT</w:t>
            </w:r>
          </w:p>
        </w:tc>
        <w:tc>
          <w:tcPr>
            <w:tcW w:w="6662" w:type="dxa"/>
          </w:tcPr>
          <w:p w14:paraId="5A0CF127" w14:textId="77777777" w:rsidR="00C333B6" w:rsidRPr="00D75532" w:rsidRDefault="00C333B6" w:rsidP="004A12DC">
            <w:pPr>
              <w:rPr>
                <w:rFonts w:cstheme="minorHAnsi"/>
              </w:rPr>
            </w:pPr>
            <w:r w:rsidRPr="00D75532">
              <w:rPr>
                <w:rFonts w:cstheme="minorHAnsi"/>
              </w:rPr>
              <w:t>Ministry pf Territorial Administration</w:t>
            </w:r>
          </w:p>
        </w:tc>
      </w:tr>
      <w:tr w:rsidR="00C333B6" w:rsidRPr="00D75532" w14:paraId="7F633C21" w14:textId="77777777" w:rsidTr="004A12DC">
        <w:tc>
          <w:tcPr>
            <w:tcW w:w="2122" w:type="dxa"/>
          </w:tcPr>
          <w:p w14:paraId="498AB3B1" w14:textId="77777777" w:rsidR="00C333B6" w:rsidRPr="00D75532" w:rsidRDefault="00C333B6" w:rsidP="004A12DC">
            <w:pPr>
              <w:rPr>
                <w:rFonts w:cstheme="minorHAnsi"/>
              </w:rPr>
            </w:pPr>
            <w:r w:rsidRPr="00D75532">
              <w:rPr>
                <w:rFonts w:cstheme="minorHAnsi"/>
              </w:rPr>
              <w:t>MWENHO</w:t>
            </w:r>
          </w:p>
        </w:tc>
        <w:tc>
          <w:tcPr>
            <w:tcW w:w="6662" w:type="dxa"/>
          </w:tcPr>
          <w:p w14:paraId="691C57DA" w14:textId="77777777" w:rsidR="00C333B6" w:rsidRPr="00D75532" w:rsidRDefault="00C333B6" w:rsidP="004A12DC">
            <w:pPr>
              <w:rPr>
                <w:rFonts w:cstheme="minorHAnsi"/>
              </w:rPr>
            </w:pPr>
            <w:r w:rsidRPr="00D75532">
              <w:rPr>
                <w:rFonts w:cstheme="minorHAnsi"/>
              </w:rPr>
              <w:t>Association of women living with HIV/AIDS</w:t>
            </w:r>
          </w:p>
        </w:tc>
      </w:tr>
      <w:tr w:rsidR="00C333B6" w:rsidRPr="00D75532" w14:paraId="6C5B3FAE" w14:textId="77777777" w:rsidTr="004A12DC">
        <w:tc>
          <w:tcPr>
            <w:tcW w:w="2122" w:type="dxa"/>
          </w:tcPr>
          <w:p w14:paraId="1D06BA72" w14:textId="77777777" w:rsidR="00C333B6" w:rsidRPr="00D75532" w:rsidRDefault="00C333B6" w:rsidP="004A12DC">
            <w:pPr>
              <w:rPr>
                <w:rFonts w:cstheme="minorHAnsi"/>
              </w:rPr>
            </w:pPr>
            <w:r>
              <w:rPr>
                <w:rFonts w:cstheme="minorHAnsi"/>
              </w:rPr>
              <w:t>NDP</w:t>
            </w:r>
          </w:p>
        </w:tc>
        <w:tc>
          <w:tcPr>
            <w:tcW w:w="6662" w:type="dxa"/>
          </w:tcPr>
          <w:p w14:paraId="262B7604" w14:textId="77777777" w:rsidR="00C333B6" w:rsidRPr="00D75532" w:rsidRDefault="00C333B6" w:rsidP="004A12DC">
            <w:pPr>
              <w:rPr>
                <w:rFonts w:cstheme="minorHAnsi"/>
              </w:rPr>
            </w:pPr>
            <w:r>
              <w:rPr>
                <w:rFonts w:cstheme="minorHAnsi"/>
              </w:rPr>
              <w:t>National Development Plan</w:t>
            </w:r>
          </w:p>
        </w:tc>
      </w:tr>
      <w:tr w:rsidR="00C333B6" w:rsidRPr="00D75532" w14:paraId="493EAA49" w14:textId="77777777" w:rsidTr="004A12DC">
        <w:tc>
          <w:tcPr>
            <w:tcW w:w="2122" w:type="dxa"/>
          </w:tcPr>
          <w:p w14:paraId="03A6FA50" w14:textId="77777777" w:rsidR="00C333B6" w:rsidRPr="00D75532" w:rsidRDefault="00C333B6" w:rsidP="004A12DC">
            <w:pPr>
              <w:rPr>
                <w:rFonts w:cstheme="minorHAnsi"/>
              </w:rPr>
            </w:pPr>
            <w:r w:rsidRPr="00D75532">
              <w:rPr>
                <w:rFonts w:cstheme="minorHAnsi"/>
              </w:rPr>
              <w:t>RBM</w:t>
            </w:r>
          </w:p>
        </w:tc>
        <w:tc>
          <w:tcPr>
            <w:tcW w:w="6662" w:type="dxa"/>
          </w:tcPr>
          <w:p w14:paraId="37DD8B88" w14:textId="77777777" w:rsidR="00C333B6" w:rsidRPr="00D75532" w:rsidRDefault="00C333B6" w:rsidP="004A12DC">
            <w:pPr>
              <w:rPr>
                <w:rFonts w:cstheme="minorHAnsi"/>
              </w:rPr>
            </w:pPr>
            <w:r w:rsidRPr="00D75532">
              <w:rPr>
                <w:rFonts w:cstheme="minorHAnsi"/>
              </w:rPr>
              <w:t>Results Based Management</w:t>
            </w:r>
          </w:p>
        </w:tc>
      </w:tr>
      <w:tr w:rsidR="00C333B6" w:rsidRPr="00D75532" w14:paraId="7D565BA3" w14:textId="77777777" w:rsidTr="004A12DC">
        <w:tc>
          <w:tcPr>
            <w:tcW w:w="2122" w:type="dxa"/>
          </w:tcPr>
          <w:p w14:paraId="0417901C" w14:textId="77777777" w:rsidR="00C333B6" w:rsidRDefault="00C333B6" w:rsidP="004A12DC">
            <w:pPr>
              <w:rPr>
                <w:rFonts w:cstheme="minorHAnsi"/>
              </w:rPr>
            </w:pPr>
            <w:r>
              <w:rPr>
                <w:rFonts w:cstheme="minorHAnsi"/>
              </w:rPr>
              <w:t>TB</w:t>
            </w:r>
          </w:p>
        </w:tc>
        <w:tc>
          <w:tcPr>
            <w:tcW w:w="6662" w:type="dxa"/>
          </w:tcPr>
          <w:p w14:paraId="170030A1" w14:textId="77777777" w:rsidR="00C333B6" w:rsidRDefault="00C333B6" w:rsidP="004A12DC">
            <w:pPr>
              <w:rPr>
                <w:rFonts w:cstheme="minorHAnsi"/>
              </w:rPr>
            </w:pPr>
            <w:r>
              <w:rPr>
                <w:rFonts w:cstheme="minorHAnsi"/>
              </w:rPr>
              <w:t>Tuberculosis</w:t>
            </w:r>
          </w:p>
        </w:tc>
      </w:tr>
      <w:tr w:rsidR="00C333B6" w:rsidRPr="00D75532" w14:paraId="58C34750" w14:textId="77777777" w:rsidTr="004A12DC">
        <w:tc>
          <w:tcPr>
            <w:tcW w:w="2122" w:type="dxa"/>
          </w:tcPr>
          <w:p w14:paraId="75068388" w14:textId="77777777" w:rsidR="00C333B6" w:rsidRPr="00D75532" w:rsidRDefault="00C333B6" w:rsidP="004A12DC">
            <w:pPr>
              <w:rPr>
                <w:rFonts w:cstheme="minorHAnsi"/>
              </w:rPr>
            </w:pPr>
            <w:r>
              <w:rPr>
                <w:rFonts w:cstheme="minorHAnsi"/>
              </w:rPr>
              <w:t>ToRs</w:t>
            </w:r>
          </w:p>
        </w:tc>
        <w:tc>
          <w:tcPr>
            <w:tcW w:w="6662" w:type="dxa"/>
          </w:tcPr>
          <w:p w14:paraId="15F0FA69" w14:textId="77777777" w:rsidR="00C333B6" w:rsidRPr="00D75532" w:rsidRDefault="00C333B6" w:rsidP="004A12DC">
            <w:pPr>
              <w:rPr>
                <w:rFonts w:cstheme="minorHAnsi"/>
              </w:rPr>
            </w:pPr>
            <w:r>
              <w:rPr>
                <w:rFonts w:cstheme="minorHAnsi"/>
              </w:rPr>
              <w:t>Terms of Reference</w:t>
            </w:r>
          </w:p>
        </w:tc>
      </w:tr>
      <w:tr w:rsidR="00C333B6" w:rsidRPr="00D75532" w14:paraId="21F68B1E" w14:textId="77777777" w:rsidTr="004A12DC">
        <w:tc>
          <w:tcPr>
            <w:tcW w:w="2122" w:type="dxa"/>
          </w:tcPr>
          <w:p w14:paraId="5693B89B" w14:textId="77777777" w:rsidR="00C333B6" w:rsidRPr="00D75532" w:rsidRDefault="00C333B6" w:rsidP="004A12DC">
            <w:pPr>
              <w:rPr>
                <w:rFonts w:cstheme="minorHAnsi"/>
              </w:rPr>
            </w:pPr>
            <w:r>
              <w:rPr>
                <w:rFonts w:cstheme="minorHAnsi"/>
              </w:rPr>
              <w:t>UNDP</w:t>
            </w:r>
          </w:p>
        </w:tc>
        <w:tc>
          <w:tcPr>
            <w:tcW w:w="6662" w:type="dxa"/>
          </w:tcPr>
          <w:p w14:paraId="7C1DE567" w14:textId="77777777" w:rsidR="00C333B6" w:rsidRPr="00D75532" w:rsidRDefault="00C333B6" w:rsidP="004A12DC">
            <w:pPr>
              <w:rPr>
                <w:rFonts w:cstheme="minorHAnsi"/>
              </w:rPr>
            </w:pPr>
            <w:r>
              <w:rPr>
                <w:rFonts w:cstheme="minorHAnsi"/>
              </w:rPr>
              <w:t>United Nations Development Programme</w:t>
            </w:r>
          </w:p>
        </w:tc>
      </w:tr>
      <w:tr w:rsidR="00C333B6" w:rsidRPr="00D75532" w14:paraId="51F9AC83" w14:textId="77777777" w:rsidTr="004A12DC">
        <w:tc>
          <w:tcPr>
            <w:tcW w:w="2122" w:type="dxa"/>
          </w:tcPr>
          <w:p w14:paraId="0A43CA8E" w14:textId="77777777" w:rsidR="00C333B6" w:rsidRDefault="00C333B6" w:rsidP="004A12DC">
            <w:pPr>
              <w:rPr>
                <w:rFonts w:cstheme="minorHAnsi"/>
              </w:rPr>
            </w:pPr>
            <w:r>
              <w:rPr>
                <w:rFonts w:cstheme="minorHAnsi"/>
              </w:rPr>
              <w:t>UNEP</w:t>
            </w:r>
          </w:p>
        </w:tc>
        <w:tc>
          <w:tcPr>
            <w:tcW w:w="6662" w:type="dxa"/>
          </w:tcPr>
          <w:p w14:paraId="65BE5617" w14:textId="77777777" w:rsidR="00C333B6" w:rsidRDefault="00C333B6" w:rsidP="004A12DC">
            <w:pPr>
              <w:rPr>
                <w:rFonts w:cstheme="minorHAnsi"/>
              </w:rPr>
            </w:pPr>
            <w:r>
              <w:rPr>
                <w:rFonts w:cstheme="minorHAnsi"/>
              </w:rPr>
              <w:t>United Nations Environment Programme</w:t>
            </w:r>
          </w:p>
        </w:tc>
      </w:tr>
      <w:tr w:rsidR="00C333B6" w:rsidRPr="00D75532" w14:paraId="09C17B86" w14:textId="77777777" w:rsidTr="004A12DC">
        <w:tc>
          <w:tcPr>
            <w:tcW w:w="2122" w:type="dxa"/>
          </w:tcPr>
          <w:p w14:paraId="725BF69A" w14:textId="77777777" w:rsidR="00C333B6" w:rsidRPr="00D75532" w:rsidRDefault="00C333B6" w:rsidP="004A12DC">
            <w:pPr>
              <w:rPr>
                <w:rFonts w:cstheme="minorHAnsi"/>
              </w:rPr>
            </w:pPr>
            <w:r>
              <w:rPr>
                <w:rFonts w:cstheme="minorHAnsi"/>
              </w:rPr>
              <w:t>UNICEF</w:t>
            </w:r>
          </w:p>
        </w:tc>
        <w:tc>
          <w:tcPr>
            <w:tcW w:w="6662" w:type="dxa"/>
          </w:tcPr>
          <w:p w14:paraId="4D106A0E" w14:textId="77777777" w:rsidR="00C333B6" w:rsidRPr="00D75532" w:rsidRDefault="00C333B6" w:rsidP="004A12DC">
            <w:pPr>
              <w:rPr>
                <w:rFonts w:cstheme="minorHAnsi"/>
              </w:rPr>
            </w:pPr>
            <w:r>
              <w:rPr>
                <w:rFonts w:cstheme="minorHAnsi"/>
              </w:rPr>
              <w:t>United Nations Children’s Fund</w:t>
            </w:r>
          </w:p>
        </w:tc>
      </w:tr>
      <w:tr w:rsidR="00C333B6" w:rsidRPr="00D75532" w14:paraId="47E03E13" w14:textId="77777777" w:rsidTr="004A12DC">
        <w:tc>
          <w:tcPr>
            <w:tcW w:w="2122" w:type="dxa"/>
          </w:tcPr>
          <w:p w14:paraId="5EAC6E63" w14:textId="77777777" w:rsidR="00C333B6" w:rsidRDefault="00C333B6" w:rsidP="004A12DC">
            <w:pPr>
              <w:rPr>
                <w:rFonts w:cstheme="minorHAnsi"/>
              </w:rPr>
            </w:pPr>
            <w:r>
              <w:t>UNSDCF</w:t>
            </w:r>
          </w:p>
        </w:tc>
        <w:tc>
          <w:tcPr>
            <w:tcW w:w="6662" w:type="dxa"/>
          </w:tcPr>
          <w:p w14:paraId="1813BA56" w14:textId="77777777" w:rsidR="00C333B6" w:rsidRDefault="00C333B6" w:rsidP="004A12DC">
            <w:pPr>
              <w:rPr>
                <w:rFonts w:cstheme="minorHAnsi"/>
              </w:rPr>
            </w:pPr>
            <w:r>
              <w:rPr>
                <w:rFonts w:cstheme="minorHAnsi"/>
              </w:rPr>
              <w:t>United Nations Sustainable Development Cooperation Framework</w:t>
            </w:r>
          </w:p>
        </w:tc>
      </w:tr>
      <w:tr w:rsidR="00C333B6" w:rsidRPr="00D75532" w14:paraId="38FB10FC" w14:textId="77777777" w:rsidTr="004A12DC">
        <w:tc>
          <w:tcPr>
            <w:tcW w:w="2122" w:type="dxa"/>
          </w:tcPr>
          <w:p w14:paraId="00BA27A9" w14:textId="77777777" w:rsidR="00C333B6" w:rsidRPr="00D75532" w:rsidRDefault="00C333B6" w:rsidP="004A12DC">
            <w:pPr>
              <w:rPr>
                <w:rFonts w:cstheme="minorHAnsi"/>
              </w:rPr>
            </w:pPr>
            <w:r>
              <w:rPr>
                <w:rFonts w:cstheme="minorHAnsi"/>
              </w:rPr>
              <w:t>WHO</w:t>
            </w:r>
          </w:p>
        </w:tc>
        <w:tc>
          <w:tcPr>
            <w:tcW w:w="6662" w:type="dxa"/>
          </w:tcPr>
          <w:p w14:paraId="00904030" w14:textId="77777777" w:rsidR="00C333B6" w:rsidRPr="00D75532" w:rsidRDefault="00C333B6" w:rsidP="004A12DC">
            <w:pPr>
              <w:rPr>
                <w:rFonts w:cstheme="minorHAnsi"/>
              </w:rPr>
            </w:pPr>
            <w:r>
              <w:rPr>
                <w:rFonts w:cstheme="minorHAnsi"/>
              </w:rPr>
              <w:t>World Health Organization</w:t>
            </w:r>
          </w:p>
        </w:tc>
      </w:tr>
    </w:tbl>
    <w:p w14:paraId="5E65C76D" w14:textId="5F54E4F9" w:rsidR="00C333B6" w:rsidRPr="00C333B6" w:rsidRDefault="00C333B6" w:rsidP="00C333B6">
      <w:pPr>
        <w:sectPr w:rsidR="00C333B6" w:rsidRPr="00C333B6" w:rsidSect="00146D4C">
          <w:pgSz w:w="12240" w:h="15840"/>
          <w:pgMar w:top="1440" w:right="1440" w:bottom="1440" w:left="1440" w:header="720" w:footer="720" w:gutter="0"/>
          <w:cols w:space="720"/>
          <w:docGrid w:linePitch="360"/>
        </w:sectPr>
      </w:pPr>
    </w:p>
    <w:p w14:paraId="0809A3E2" w14:textId="77777777" w:rsidR="00241228" w:rsidRPr="00241228" w:rsidRDefault="00785016" w:rsidP="00241228">
      <w:pPr>
        <w:pStyle w:val="Heading1"/>
        <w:rPr>
          <w:rFonts w:asciiTheme="minorHAnsi" w:hAnsiTheme="minorHAnsi" w:cstheme="minorHAnsi"/>
          <w:sz w:val="22"/>
          <w:szCs w:val="22"/>
        </w:rPr>
        <w:sectPr w:rsidR="00241228" w:rsidRPr="00241228" w:rsidSect="00146D4C">
          <w:pgSz w:w="12240" w:h="15840"/>
          <w:pgMar w:top="1440" w:right="1440" w:bottom="1440" w:left="1440" w:header="720" w:footer="720" w:gutter="0"/>
          <w:cols w:space="720"/>
          <w:docGrid w:linePitch="360"/>
        </w:sectPr>
      </w:pPr>
      <w:bookmarkStart w:id="2" w:name="_Toc88741759"/>
      <w:r w:rsidRPr="00241228">
        <w:rPr>
          <w:rFonts w:asciiTheme="minorHAnsi" w:hAnsiTheme="minorHAnsi" w:cstheme="minorHAnsi"/>
          <w:sz w:val="22"/>
          <w:szCs w:val="22"/>
        </w:rPr>
        <w:lastRenderedPageBreak/>
        <w:t>Executive Summary</w:t>
      </w:r>
      <w:bookmarkEnd w:id="2"/>
    </w:p>
    <w:p w14:paraId="19E6C414" w14:textId="7ABFB5DA" w:rsidR="00241228" w:rsidRDefault="00785016" w:rsidP="00241228">
      <w:pPr>
        <w:pStyle w:val="Heading1"/>
        <w:numPr>
          <w:ilvl w:val="0"/>
          <w:numId w:val="1"/>
        </w:numPr>
        <w:rPr>
          <w:rFonts w:asciiTheme="minorHAnsi" w:hAnsiTheme="minorHAnsi" w:cstheme="minorHAnsi"/>
          <w:sz w:val="22"/>
          <w:szCs w:val="22"/>
        </w:rPr>
      </w:pPr>
      <w:bookmarkStart w:id="3" w:name="_Toc88741760"/>
      <w:r w:rsidRPr="00241228">
        <w:rPr>
          <w:rFonts w:asciiTheme="minorHAnsi" w:hAnsiTheme="minorHAnsi" w:cstheme="minorHAnsi"/>
          <w:sz w:val="22"/>
          <w:szCs w:val="22"/>
        </w:rPr>
        <w:lastRenderedPageBreak/>
        <w:t>Introduction</w:t>
      </w:r>
      <w:r w:rsidR="00462FE9">
        <w:rPr>
          <w:rFonts w:asciiTheme="minorHAnsi" w:hAnsiTheme="minorHAnsi" w:cstheme="minorHAnsi"/>
          <w:sz w:val="22"/>
          <w:szCs w:val="22"/>
        </w:rPr>
        <w:t xml:space="preserve"> and </w:t>
      </w:r>
      <w:r w:rsidRPr="00241228">
        <w:rPr>
          <w:rFonts w:asciiTheme="minorHAnsi" w:hAnsiTheme="minorHAnsi" w:cstheme="minorHAnsi"/>
          <w:sz w:val="22"/>
          <w:szCs w:val="22"/>
        </w:rPr>
        <w:t>Background</w:t>
      </w:r>
      <w:bookmarkEnd w:id="3"/>
      <w:r w:rsidRPr="00241228">
        <w:rPr>
          <w:rFonts w:asciiTheme="minorHAnsi" w:hAnsiTheme="minorHAnsi" w:cstheme="minorHAnsi"/>
          <w:sz w:val="22"/>
          <w:szCs w:val="22"/>
        </w:rPr>
        <w:t xml:space="preserve"> </w:t>
      </w:r>
    </w:p>
    <w:p w14:paraId="44BE0680" w14:textId="1FB8A706" w:rsidR="00B20628" w:rsidRPr="00B20628" w:rsidRDefault="00B20628" w:rsidP="00B20628">
      <w:pPr>
        <w:pStyle w:val="Heading2"/>
        <w:rPr>
          <w:rFonts w:asciiTheme="minorHAnsi" w:hAnsiTheme="minorHAnsi" w:cstheme="minorHAnsi"/>
          <w:sz w:val="22"/>
          <w:szCs w:val="22"/>
        </w:rPr>
      </w:pPr>
      <w:bookmarkStart w:id="4" w:name="_Toc88741761"/>
      <w:r>
        <w:rPr>
          <w:rFonts w:asciiTheme="minorHAnsi" w:hAnsiTheme="minorHAnsi" w:cstheme="minorHAnsi"/>
          <w:sz w:val="22"/>
          <w:szCs w:val="22"/>
        </w:rPr>
        <w:t xml:space="preserve">1.1 </w:t>
      </w:r>
      <w:r w:rsidRPr="00B20628">
        <w:rPr>
          <w:rFonts w:asciiTheme="minorHAnsi" w:hAnsiTheme="minorHAnsi" w:cstheme="minorHAnsi"/>
          <w:sz w:val="22"/>
          <w:szCs w:val="22"/>
        </w:rPr>
        <w:t>Introduction</w:t>
      </w:r>
      <w:bookmarkEnd w:id="4"/>
    </w:p>
    <w:p w14:paraId="4C30B4BB" w14:textId="4E86EAD4" w:rsidR="003A3AF7" w:rsidRPr="001202EB" w:rsidRDefault="003A3AF7" w:rsidP="003A3AF7">
      <w:pPr>
        <w:jc w:val="both"/>
      </w:pPr>
      <w:r>
        <w:t>The UNDP Executive Board approved the UNDP Angola C</w:t>
      </w:r>
      <w:r w:rsidR="00CB3176">
        <w:t xml:space="preserve">ountry </w:t>
      </w:r>
      <w:r>
        <w:t>P</w:t>
      </w:r>
      <w:r w:rsidR="00CB3176">
        <w:t xml:space="preserve">rogramme </w:t>
      </w:r>
      <w:r>
        <w:t>D</w:t>
      </w:r>
      <w:r w:rsidR="00CB3176">
        <w:t>ocument</w:t>
      </w:r>
      <w:r>
        <w:t xml:space="preserve"> (</w:t>
      </w:r>
      <w:r w:rsidR="00CB3176">
        <w:t xml:space="preserve">CPD </w:t>
      </w:r>
      <w:r>
        <w:t>2020-2022) at its 2</w:t>
      </w:r>
      <w:r w:rsidRPr="00AB0478">
        <w:rPr>
          <w:vertAlign w:val="superscript"/>
        </w:rPr>
        <w:t>nd</w:t>
      </w:r>
      <w:r>
        <w:t xml:space="preserve"> regular session of 3-6 September 2019. </w:t>
      </w:r>
      <w:r w:rsidR="001202EB">
        <w:t xml:space="preserve">In line with requirements, </w:t>
      </w:r>
      <w:r>
        <w:rPr>
          <w:rFonts w:cstheme="minorHAnsi"/>
        </w:rPr>
        <w:t xml:space="preserve">UNDP Angola has commissioned an independent evaluation of </w:t>
      </w:r>
      <w:r w:rsidR="00CB3176">
        <w:rPr>
          <w:rFonts w:cstheme="minorHAnsi"/>
        </w:rPr>
        <w:t xml:space="preserve">the </w:t>
      </w:r>
      <w:r>
        <w:rPr>
          <w:rFonts w:cstheme="minorHAnsi"/>
        </w:rPr>
        <w:t>CPD  2020-2022)</w:t>
      </w:r>
      <w:r w:rsidR="00B02046">
        <w:rPr>
          <w:rFonts w:cstheme="minorHAnsi"/>
        </w:rPr>
        <w:t>, which was</w:t>
      </w:r>
      <w:r>
        <w:rPr>
          <w:rFonts w:cstheme="minorHAnsi"/>
        </w:rPr>
        <w:t xml:space="preserve"> undertaken from August – November 202</w:t>
      </w:r>
      <w:r w:rsidR="00DC7B30">
        <w:rPr>
          <w:rFonts w:cstheme="minorHAnsi"/>
        </w:rPr>
        <w:t>1</w:t>
      </w:r>
      <w:r>
        <w:rPr>
          <w:rFonts w:cstheme="minorHAnsi"/>
        </w:rPr>
        <w:t xml:space="preserve">. </w:t>
      </w:r>
      <w:r w:rsidRPr="002A1FFB">
        <w:rPr>
          <w:rFonts w:cstheme="minorHAnsi"/>
        </w:rPr>
        <w:t>This</w:t>
      </w:r>
      <w:r w:rsidR="000852FA">
        <w:rPr>
          <w:rFonts w:cstheme="minorHAnsi"/>
        </w:rPr>
        <w:t xml:space="preserve"> repor</w:t>
      </w:r>
      <w:r w:rsidRPr="002A1FFB">
        <w:rPr>
          <w:rFonts w:cstheme="minorHAnsi"/>
        </w:rPr>
        <w:t>t</w:t>
      </w:r>
      <w:r>
        <w:rPr>
          <w:rFonts w:cstheme="minorHAnsi"/>
        </w:rPr>
        <w:t xml:space="preserve"> </w:t>
      </w:r>
      <w:r w:rsidRPr="002A1FFB">
        <w:rPr>
          <w:rFonts w:cstheme="minorHAnsi"/>
        </w:rPr>
        <w:t xml:space="preserve">presents the </w:t>
      </w:r>
      <w:r w:rsidR="000852FA">
        <w:rPr>
          <w:rFonts w:cstheme="minorHAnsi"/>
        </w:rPr>
        <w:t>main findings, conclusions and recommendations of the e</w:t>
      </w:r>
      <w:r>
        <w:rPr>
          <w:rFonts w:cstheme="minorHAnsi"/>
        </w:rPr>
        <w:t xml:space="preserve">valuation in </w:t>
      </w:r>
      <w:r w:rsidR="00BB3AF3">
        <w:rPr>
          <w:rFonts w:cstheme="minorHAnsi"/>
        </w:rPr>
        <w:t xml:space="preserve">six </w:t>
      </w:r>
      <w:r>
        <w:rPr>
          <w:rFonts w:cstheme="minorHAnsi"/>
        </w:rPr>
        <w:t>chapters as follows:</w:t>
      </w:r>
    </w:p>
    <w:p w14:paraId="1B7FF650" w14:textId="6D18BFF9" w:rsidR="003E4457" w:rsidRPr="00CF6C1A" w:rsidRDefault="003E4457" w:rsidP="00CF6C1A">
      <w:pPr>
        <w:pStyle w:val="ListParagraph"/>
        <w:numPr>
          <w:ilvl w:val="0"/>
          <w:numId w:val="2"/>
        </w:numPr>
        <w:jc w:val="both"/>
        <w:rPr>
          <w:rFonts w:cstheme="minorHAnsi"/>
        </w:rPr>
      </w:pPr>
      <w:r>
        <w:rPr>
          <w:rFonts w:cstheme="minorHAnsi"/>
        </w:rPr>
        <w:t>Introduction</w:t>
      </w:r>
      <w:r w:rsidR="00CF6C1A">
        <w:rPr>
          <w:rFonts w:cstheme="minorHAnsi"/>
        </w:rPr>
        <w:t xml:space="preserve">, </w:t>
      </w:r>
      <w:r w:rsidRPr="00CF6C1A">
        <w:rPr>
          <w:rFonts w:cstheme="minorHAnsi"/>
        </w:rPr>
        <w:t>Background and Context</w:t>
      </w:r>
    </w:p>
    <w:p w14:paraId="179F4158" w14:textId="77777777" w:rsidR="003E4457" w:rsidRDefault="003E4457" w:rsidP="001C3CEC">
      <w:pPr>
        <w:pStyle w:val="ListParagraph"/>
        <w:numPr>
          <w:ilvl w:val="0"/>
          <w:numId w:val="2"/>
        </w:numPr>
        <w:jc w:val="both"/>
        <w:rPr>
          <w:rFonts w:cstheme="minorHAnsi"/>
        </w:rPr>
      </w:pPr>
      <w:r>
        <w:rPr>
          <w:rFonts w:cstheme="minorHAnsi"/>
        </w:rPr>
        <w:t>Overview of UNDP Angola Country Programme</w:t>
      </w:r>
    </w:p>
    <w:p w14:paraId="0EF892A1" w14:textId="2DB485A8" w:rsidR="003E4457" w:rsidRDefault="003E4457" w:rsidP="001C3CEC">
      <w:pPr>
        <w:pStyle w:val="ListParagraph"/>
        <w:numPr>
          <w:ilvl w:val="0"/>
          <w:numId w:val="2"/>
        </w:numPr>
        <w:jc w:val="both"/>
        <w:rPr>
          <w:rFonts w:cstheme="minorHAnsi"/>
        </w:rPr>
      </w:pPr>
      <w:r>
        <w:rPr>
          <w:rFonts w:cstheme="minorHAnsi"/>
        </w:rPr>
        <w:t>Evaluation Method</w:t>
      </w:r>
      <w:r w:rsidR="00CF6C1A">
        <w:rPr>
          <w:rFonts w:cstheme="minorHAnsi"/>
        </w:rPr>
        <w:t xml:space="preserve"> and</w:t>
      </w:r>
      <w:r>
        <w:rPr>
          <w:rFonts w:cstheme="minorHAnsi"/>
        </w:rPr>
        <w:t xml:space="preserve"> Approach </w:t>
      </w:r>
    </w:p>
    <w:p w14:paraId="3584194F" w14:textId="77777777" w:rsidR="003E4457" w:rsidRDefault="003E4457" w:rsidP="001C3CEC">
      <w:pPr>
        <w:pStyle w:val="ListParagraph"/>
        <w:numPr>
          <w:ilvl w:val="0"/>
          <w:numId w:val="2"/>
        </w:numPr>
        <w:jc w:val="both"/>
        <w:rPr>
          <w:rFonts w:cstheme="minorHAnsi"/>
        </w:rPr>
      </w:pPr>
      <w:r>
        <w:rPr>
          <w:rFonts w:cstheme="minorHAnsi"/>
        </w:rPr>
        <w:t>Evaluation Findings</w:t>
      </w:r>
    </w:p>
    <w:p w14:paraId="7B93E029" w14:textId="31D74F32" w:rsidR="003E4457" w:rsidRDefault="003E4457" w:rsidP="001C3CEC">
      <w:pPr>
        <w:pStyle w:val="ListParagraph"/>
        <w:numPr>
          <w:ilvl w:val="0"/>
          <w:numId w:val="2"/>
        </w:numPr>
        <w:jc w:val="both"/>
        <w:rPr>
          <w:rFonts w:cstheme="minorHAnsi"/>
        </w:rPr>
      </w:pPr>
      <w:r>
        <w:rPr>
          <w:rFonts w:cstheme="minorHAnsi"/>
        </w:rPr>
        <w:t>Evaluation Conclusions</w:t>
      </w:r>
      <w:r w:rsidR="00CF6C1A">
        <w:rPr>
          <w:rFonts w:cstheme="minorHAnsi"/>
        </w:rPr>
        <w:t xml:space="preserve"> and Lessons</w:t>
      </w:r>
    </w:p>
    <w:p w14:paraId="68D45F4E" w14:textId="77777777" w:rsidR="003E4457" w:rsidRDefault="003E4457" w:rsidP="001C3CEC">
      <w:pPr>
        <w:pStyle w:val="ListParagraph"/>
        <w:numPr>
          <w:ilvl w:val="0"/>
          <w:numId w:val="2"/>
        </w:numPr>
        <w:jc w:val="both"/>
        <w:rPr>
          <w:rFonts w:cstheme="minorHAnsi"/>
        </w:rPr>
      </w:pPr>
      <w:r>
        <w:rPr>
          <w:rFonts w:cstheme="minorHAnsi"/>
        </w:rPr>
        <w:t>Evaluation Recommendations</w:t>
      </w:r>
    </w:p>
    <w:p w14:paraId="2A6C87B5" w14:textId="5D22FC36" w:rsidR="003E4457" w:rsidRPr="003E4457" w:rsidRDefault="003E4457" w:rsidP="003E4457">
      <w:pPr>
        <w:jc w:val="both"/>
        <w:rPr>
          <w:rFonts w:cstheme="minorHAnsi"/>
        </w:rPr>
      </w:pPr>
      <w:r>
        <w:rPr>
          <w:rFonts w:cstheme="minorHAnsi"/>
        </w:rPr>
        <w:t xml:space="preserve">Several annexes provide additional details to the report. </w:t>
      </w:r>
      <w:r w:rsidRPr="003E4457">
        <w:rPr>
          <w:rFonts w:cstheme="minorHAnsi"/>
        </w:rPr>
        <w:t xml:space="preserve"> </w:t>
      </w:r>
    </w:p>
    <w:p w14:paraId="538E26BE" w14:textId="296CF1F8" w:rsidR="00B20628" w:rsidRDefault="00B20628" w:rsidP="00B20628">
      <w:pPr>
        <w:pStyle w:val="Heading2"/>
        <w:rPr>
          <w:rFonts w:asciiTheme="minorHAnsi" w:hAnsiTheme="minorHAnsi" w:cstheme="minorHAnsi"/>
          <w:sz w:val="22"/>
          <w:szCs w:val="22"/>
        </w:rPr>
      </w:pPr>
      <w:bookmarkStart w:id="5" w:name="_Toc88741762"/>
      <w:r w:rsidRPr="00B20628">
        <w:rPr>
          <w:rFonts w:asciiTheme="minorHAnsi" w:hAnsiTheme="minorHAnsi" w:cstheme="minorHAnsi"/>
          <w:sz w:val="22"/>
          <w:szCs w:val="22"/>
        </w:rPr>
        <w:t>1.2 Background</w:t>
      </w:r>
      <w:r w:rsidR="003E4457">
        <w:rPr>
          <w:rFonts w:asciiTheme="minorHAnsi" w:hAnsiTheme="minorHAnsi" w:cstheme="minorHAnsi"/>
          <w:sz w:val="22"/>
          <w:szCs w:val="22"/>
        </w:rPr>
        <w:t xml:space="preserve"> and </w:t>
      </w:r>
      <w:r w:rsidRPr="00B20628">
        <w:rPr>
          <w:rFonts w:asciiTheme="minorHAnsi" w:hAnsiTheme="minorHAnsi" w:cstheme="minorHAnsi"/>
          <w:sz w:val="22"/>
          <w:szCs w:val="22"/>
        </w:rPr>
        <w:t>Context</w:t>
      </w:r>
      <w:bookmarkEnd w:id="5"/>
    </w:p>
    <w:p w14:paraId="39B2760B" w14:textId="36D974CF" w:rsidR="003E4457" w:rsidRDefault="003E4457" w:rsidP="003E4457">
      <w:pPr>
        <w:jc w:val="both"/>
      </w:pPr>
      <w:r>
        <w:t>The UNDP Angola C</w:t>
      </w:r>
      <w:r w:rsidR="000852FA">
        <w:t xml:space="preserve">ountry </w:t>
      </w:r>
      <w:r>
        <w:t>P</w:t>
      </w:r>
      <w:r w:rsidR="000852FA">
        <w:t xml:space="preserve">rogramme </w:t>
      </w:r>
      <w:r>
        <w:t>D</w:t>
      </w:r>
      <w:r w:rsidR="000852FA">
        <w:t>ocument (CPD</w:t>
      </w:r>
      <w:r>
        <w:t xml:space="preserve"> 2020-2022</w:t>
      </w:r>
      <w:r w:rsidR="000852FA">
        <w:t>)</w:t>
      </w:r>
      <w:r>
        <w:t xml:space="preserve"> priorities were set to respond to a challenging macro-economic and socio-cultural situation. The onset of the COVID 19 pandemic </w:t>
      </w:r>
      <w:r w:rsidR="00E30E31">
        <w:t xml:space="preserve">has </w:t>
      </w:r>
      <w:r>
        <w:t xml:space="preserve">aggravated the situation and Angola witnessed unprecedented crisis which threatened to </w:t>
      </w:r>
      <w:r w:rsidR="00E30E31">
        <w:t>worsen</w:t>
      </w:r>
      <w:r>
        <w:t xml:space="preserve"> the already challenged economic situation and further put additional stress on the lives of the Angolans. With the UNDP promise of “leaving no-one behind’ and </w:t>
      </w:r>
      <w:r w:rsidRPr="00F13C05">
        <w:t>‘reaching those furthest behind first’</w:t>
      </w:r>
      <w:r>
        <w:t>, the organization employed integrated and complex solutions to contribute to the Country’s National Development Plan 2018-2022 (</w:t>
      </w:r>
      <w:r w:rsidRPr="00A92355">
        <w:t>NDP</w:t>
      </w:r>
      <w:r>
        <w:t xml:space="preserve">) and </w:t>
      </w:r>
      <w:r w:rsidRPr="00A92355">
        <w:t xml:space="preserve">support the Government on the overarching national objective of maintaining stability and peace. </w:t>
      </w:r>
    </w:p>
    <w:p w14:paraId="469B36EC" w14:textId="2F6F935A" w:rsidR="00CF3BD7" w:rsidRDefault="00C16830" w:rsidP="003E4457">
      <w:pPr>
        <w:jc w:val="both"/>
      </w:pPr>
      <w:r>
        <w:t>Angola has made impressive economic</w:t>
      </w:r>
      <w:r w:rsidR="00E30E31">
        <w:t>, social</w:t>
      </w:r>
      <w:r>
        <w:t xml:space="preserve"> and political progress since the end of the civil war in 2002. However, the country is faced with </w:t>
      </w:r>
      <w:r w:rsidR="001202EB">
        <w:t>significant development</w:t>
      </w:r>
      <w:r>
        <w:t xml:space="preserve"> challenges including: reducing its depende</w:t>
      </w:r>
      <w:r w:rsidR="00CF3BD7">
        <w:t>nc</w:t>
      </w:r>
      <w:r>
        <w:t xml:space="preserve">y on oil and diversifying its economy; rebuilding infrastructure; </w:t>
      </w:r>
      <w:r w:rsidR="00CF3BD7">
        <w:t xml:space="preserve">improving human and institutional capacities; strengthening governance and political participation; advancing social indicators, including for women and youth and improving living conditions of the population. </w:t>
      </w:r>
      <w:r>
        <w:t xml:space="preserve"> </w:t>
      </w:r>
    </w:p>
    <w:p w14:paraId="02BBA7D0" w14:textId="4346E87A" w:rsidR="00B20628" w:rsidRDefault="003E4457" w:rsidP="003E4457">
      <w:pPr>
        <w:jc w:val="both"/>
      </w:pPr>
      <w:r>
        <w:t xml:space="preserve">This section presents a brief overview of the </w:t>
      </w:r>
      <w:r w:rsidR="00BB3AF3">
        <w:t xml:space="preserve">governance and </w:t>
      </w:r>
      <w:r>
        <w:t>political, economic</w:t>
      </w:r>
      <w:r w:rsidR="00643039">
        <w:t xml:space="preserve">, </w:t>
      </w:r>
      <w:r w:rsidR="000852FA">
        <w:t xml:space="preserve">social and </w:t>
      </w:r>
      <w:r w:rsidR="00643039">
        <w:t>environmental</w:t>
      </w:r>
      <w:r>
        <w:t xml:space="preserve"> context within which the CPD is being implemented. It also examines the socio-economic impact of Covid-19 on Angola.</w:t>
      </w:r>
      <w:r w:rsidR="00CF3BD7">
        <w:t xml:space="preserve"> It draws upon multiple sources, including</w:t>
      </w:r>
      <w:r w:rsidR="000852FA">
        <w:t>:</w:t>
      </w:r>
      <w:r w:rsidR="00CF3BD7">
        <w:t xml:space="preserve"> national documents; UN-system publications</w:t>
      </w:r>
      <w:r w:rsidR="000852FA">
        <w:t>;</w:t>
      </w:r>
      <w:r w:rsidR="00CF3BD7">
        <w:t xml:space="preserve"> World Bank</w:t>
      </w:r>
      <w:r w:rsidR="000852FA">
        <w:t>;</w:t>
      </w:r>
      <w:r w:rsidR="00CF3BD7">
        <w:t xml:space="preserve"> </w:t>
      </w:r>
      <w:r w:rsidR="00E30E31">
        <w:t>IMF</w:t>
      </w:r>
      <w:r w:rsidR="000852FA">
        <w:t>;</w:t>
      </w:r>
      <w:r w:rsidR="00E30E31">
        <w:t xml:space="preserve"> </w:t>
      </w:r>
      <w:r w:rsidR="00CF3BD7">
        <w:t>African Development Bank and other sources.</w:t>
      </w:r>
    </w:p>
    <w:p w14:paraId="564C291F" w14:textId="1112C5EA" w:rsidR="00B20628" w:rsidRPr="00B20628" w:rsidRDefault="00B20628" w:rsidP="00B20628">
      <w:pPr>
        <w:pStyle w:val="Heading3"/>
        <w:rPr>
          <w:rFonts w:asciiTheme="minorHAnsi" w:hAnsiTheme="minorHAnsi" w:cstheme="minorHAnsi"/>
          <w:sz w:val="22"/>
          <w:szCs w:val="22"/>
        </w:rPr>
      </w:pPr>
      <w:bookmarkStart w:id="6" w:name="_Toc88741763"/>
      <w:r w:rsidRPr="00B20628">
        <w:rPr>
          <w:rFonts w:asciiTheme="minorHAnsi" w:hAnsiTheme="minorHAnsi" w:cstheme="minorHAnsi"/>
          <w:sz w:val="22"/>
          <w:szCs w:val="22"/>
        </w:rPr>
        <w:t xml:space="preserve">1.2.1 </w:t>
      </w:r>
      <w:r w:rsidR="00783E07">
        <w:rPr>
          <w:rFonts w:asciiTheme="minorHAnsi" w:hAnsiTheme="minorHAnsi" w:cstheme="minorHAnsi"/>
          <w:sz w:val="22"/>
          <w:szCs w:val="22"/>
        </w:rPr>
        <w:t xml:space="preserve">Governance and </w:t>
      </w:r>
      <w:r w:rsidRPr="00B20628">
        <w:rPr>
          <w:rFonts w:asciiTheme="minorHAnsi" w:hAnsiTheme="minorHAnsi" w:cstheme="minorHAnsi"/>
          <w:sz w:val="22"/>
          <w:szCs w:val="22"/>
        </w:rPr>
        <w:t>Political</w:t>
      </w:r>
      <w:r w:rsidR="00CB3176">
        <w:rPr>
          <w:rFonts w:asciiTheme="minorHAnsi" w:hAnsiTheme="minorHAnsi" w:cstheme="minorHAnsi"/>
          <w:sz w:val="22"/>
          <w:szCs w:val="22"/>
        </w:rPr>
        <w:t xml:space="preserve"> Developments</w:t>
      </w:r>
      <w:bookmarkEnd w:id="6"/>
    </w:p>
    <w:p w14:paraId="1DEEBDC8" w14:textId="552DBF0E" w:rsidR="00783E07" w:rsidRDefault="00C16830" w:rsidP="00783E07">
      <w:pPr>
        <w:jc w:val="both"/>
      </w:pPr>
      <w:r>
        <w:t>Angola has maintained political stability since the end of its 27-year civil</w:t>
      </w:r>
      <w:r w:rsidR="000852FA">
        <w:t xml:space="preserve"> war </w:t>
      </w:r>
      <w:r>
        <w:t xml:space="preserve">in 2002. </w:t>
      </w:r>
      <w:r w:rsidR="00783E07">
        <w:t xml:space="preserve">Much progress has been made with respect to political developments and democratic governance since. Three national legislative elections were held to consolidate its </w:t>
      </w:r>
      <w:r w:rsidR="00955E44">
        <w:t xml:space="preserve">nascent </w:t>
      </w:r>
      <w:r w:rsidR="00783E07">
        <w:t xml:space="preserve">democracy and a peaceful political transition. </w:t>
      </w:r>
      <w:r>
        <w:t>In 2010, a constitution established a presidential parliamentary system with the head of the party winning the most votes designated as President</w:t>
      </w:r>
      <w:r w:rsidR="00CA5F3E">
        <w:t>.</w:t>
      </w:r>
      <w:r w:rsidR="00783E07">
        <w:t xml:space="preserve"> </w:t>
      </w:r>
      <w:r w:rsidR="00D02305">
        <w:t xml:space="preserve">Angola held its fourth electoral process </w:t>
      </w:r>
      <w:r w:rsidR="000852FA">
        <w:t>in 201</w:t>
      </w:r>
      <w:r w:rsidR="008C3FF3">
        <w:t>7</w:t>
      </w:r>
      <w:r w:rsidR="000852FA">
        <w:t xml:space="preserve"> </w:t>
      </w:r>
      <w:r w:rsidR="00D02305">
        <w:t xml:space="preserve">and the government has taken a new political </w:t>
      </w:r>
      <w:r w:rsidR="000852FA">
        <w:t>direction</w:t>
      </w:r>
      <w:r w:rsidR="00D02305">
        <w:t>,</w:t>
      </w:r>
      <w:r w:rsidR="000852FA">
        <w:t xml:space="preserve"> recommitt</w:t>
      </w:r>
      <w:r w:rsidR="00BB3AF3">
        <w:t>ing</w:t>
      </w:r>
      <w:r w:rsidR="000852FA">
        <w:t xml:space="preserve"> itself </w:t>
      </w:r>
      <w:r w:rsidR="00D02305">
        <w:t xml:space="preserve">to </w:t>
      </w:r>
      <w:r w:rsidR="000852FA">
        <w:t xml:space="preserve">promote sound </w:t>
      </w:r>
      <w:r w:rsidR="00D02305">
        <w:t>democra</w:t>
      </w:r>
      <w:r w:rsidR="000852FA">
        <w:t>tic governance</w:t>
      </w:r>
      <w:r w:rsidR="00D02305">
        <w:t>, the rule of law, and human rights</w:t>
      </w:r>
      <w:r w:rsidR="000852FA">
        <w:t xml:space="preserve">. </w:t>
      </w:r>
      <w:r w:rsidR="00783E07">
        <w:t>In 2022, the country is expected to hold the 5</w:t>
      </w:r>
      <w:r w:rsidR="00783E07" w:rsidRPr="00783E07">
        <w:rPr>
          <w:vertAlign w:val="superscript"/>
        </w:rPr>
        <w:t>th</w:t>
      </w:r>
      <w:r w:rsidR="00783E07">
        <w:t xml:space="preserve"> national </w:t>
      </w:r>
      <w:r w:rsidR="00783E07">
        <w:lastRenderedPageBreak/>
        <w:t>and legislative elections</w:t>
      </w:r>
      <w:r w:rsidR="009E5D72">
        <w:t>, as well as local government elections which were due to be held in 2021 but were postponed</w:t>
      </w:r>
      <w:r w:rsidR="00783E07">
        <w:t>.</w:t>
      </w:r>
    </w:p>
    <w:p w14:paraId="4976193C" w14:textId="104E8EE2" w:rsidR="00192869" w:rsidRDefault="000852FA" w:rsidP="000852FA">
      <w:pPr>
        <w:tabs>
          <w:tab w:val="left" w:pos="6300"/>
        </w:tabs>
        <w:jc w:val="both"/>
      </w:pPr>
      <w:r>
        <w:t xml:space="preserve">One of the </w:t>
      </w:r>
      <w:r w:rsidR="00783E07">
        <w:t xml:space="preserve">flagship policies of the </w:t>
      </w:r>
      <w:r>
        <w:t>new administration</w:t>
      </w:r>
      <w:r w:rsidR="00783E07">
        <w:t xml:space="preserve"> that came to power in 2017, </w:t>
      </w:r>
      <w:r>
        <w:t xml:space="preserve">is to </w:t>
      </w:r>
      <w:r w:rsidR="00D02305">
        <w:t>fight against corruption</w:t>
      </w:r>
      <w:r>
        <w:t xml:space="preserve"> and</w:t>
      </w:r>
      <w:r w:rsidR="00D02305">
        <w:t xml:space="preserve"> </w:t>
      </w:r>
      <w:r>
        <w:t xml:space="preserve">undertake reform of </w:t>
      </w:r>
      <w:r w:rsidR="00D02305">
        <w:t xml:space="preserve">state </w:t>
      </w:r>
      <w:r>
        <w:t>institutions. It has also embarked upon</w:t>
      </w:r>
      <w:r w:rsidR="00D02305">
        <w:t xml:space="preserve"> political and administrative decentralization, economic diversification and expansion of the private sector, and </w:t>
      </w:r>
      <w:r w:rsidR="00F8068A">
        <w:t xml:space="preserve">fostering </w:t>
      </w:r>
      <w:r w:rsidR="00D02305">
        <w:t xml:space="preserve">closer cooperation between the government and civil society. </w:t>
      </w:r>
      <w:r>
        <w:t>Angola</w:t>
      </w:r>
      <w:r w:rsidR="008C3FF3">
        <w:t>’s</w:t>
      </w:r>
      <w:r>
        <w:t xml:space="preserve"> governance institutions are </w:t>
      </w:r>
      <w:r w:rsidR="00F8068A">
        <w:t xml:space="preserve">also being </w:t>
      </w:r>
      <w:r>
        <w:t>progressively strengthened</w:t>
      </w:r>
      <w:r w:rsidR="00F8068A">
        <w:t xml:space="preserve"> and new ones created</w:t>
      </w:r>
      <w:r>
        <w:t xml:space="preserve"> to play a more effective role in </w:t>
      </w:r>
      <w:r w:rsidR="00F8068A">
        <w:t xml:space="preserve">facilitating </w:t>
      </w:r>
      <w:r>
        <w:t xml:space="preserve">access to justice and aligning them with </w:t>
      </w:r>
      <w:r w:rsidR="00F8068A">
        <w:t xml:space="preserve">the country’s </w:t>
      </w:r>
      <w:r>
        <w:t xml:space="preserve">obligations under international conventions and treaties. </w:t>
      </w:r>
    </w:p>
    <w:p w14:paraId="275ED177" w14:textId="404235ED" w:rsidR="00D02305" w:rsidRDefault="00192869" w:rsidP="00192869">
      <w:pPr>
        <w:jc w:val="both"/>
      </w:pPr>
      <w:r>
        <w:t xml:space="preserve">Angola has </w:t>
      </w:r>
      <w:r w:rsidR="00955E44">
        <w:t xml:space="preserve">also </w:t>
      </w:r>
      <w:r w:rsidR="00F8068A">
        <w:t xml:space="preserve">undertaken </w:t>
      </w:r>
      <w:r>
        <w:t>reform</w:t>
      </w:r>
      <w:r w:rsidR="00F8068A">
        <w:t>s</w:t>
      </w:r>
      <w:r>
        <w:t xml:space="preserve"> of the justice system, with </w:t>
      </w:r>
      <w:r w:rsidR="00F8068A">
        <w:t xml:space="preserve">the adoption </w:t>
      </w:r>
      <w:r>
        <w:t xml:space="preserve">of the new Criminal Code and Criminal Procedure Code in 2019 to replace the code of 1892. </w:t>
      </w:r>
      <w:r w:rsidR="00F8068A">
        <w:t xml:space="preserve">The country has enacted laws for </w:t>
      </w:r>
      <w:r w:rsidR="00D02305">
        <w:t xml:space="preserve">the fight against corruption, </w:t>
      </w:r>
      <w:r w:rsidR="00F8068A">
        <w:t xml:space="preserve">specifically on </w:t>
      </w:r>
      <w:r w:rsidR="00D02305">
        <w:t>the laws on the repatriation of illicitly acquired assets (Law 9/18 on voluntary repatriation and Law 15/18 on coercive repatriation)</w:t>
      </w:r>
      <w:r w:rsidR="00F8068A">
        <w:t xml:space="preserve">. </w:t>
      </w:r>
      <w:r w:rsidR="00194230">
        <w:t>D</w:t>
      </w:r>
      <w:r w:rsidR="00F8068A">
        <w:t xml:space="preserve">etermined actions </w:t>
      </w:r>
      <w:r w:rsidR="00194230">
        <w:t>ha</w:t>
      </w:r>
      <w:r w:rsidR="00282640">
        <w:t>v</w:t>
      </w:r>
      <w:r w:rsidR="00194230">
        <w:t xml:space="preserve">e been taken </w:t>
      </w:r>
      <w:r w:rsidR="00F8068A">
        <w:t xml:space="preserve">to recover stolen </w:t>
      </w:r>
      <w:r w:rsidR="00D02305">
        <w:t>asset</w:t>
      </w:r>
      <w:r w:rsidR="00F8068A">
        <w:t xml:space="preserve">s, </w:t>
      </w:r>
      <w:r w:rsidR="00D02305">
        <w:t>leading to the ongoing criminal prosecutions, anti-corruption moral campaigns, as well as the development of strategic plans and actions.</w:t>
      </w:r>
    </w:p>
    <w:p w14:paraId="5AB8B5EB" w14:textId="6B69E3EA" w:rsidR="00CA5F3E" w:rsidRDefault="00F8068A" w:rsidP="00192869">
      <w:pPr>
        <w:jc w:val="both"/>
      </w:pPr>
      <w:r>
        <w:t>Government</w:t>
      </w:r>
      <w:r w:rsidR="008C3FF3">
        <w:t xml:space="preserve"> </w:t>
      </w:r>
      <w:r>
        <w:t xml:space="preserve">has recognized </w:t>
      </w:r>
      <w:r w:rsidR="00192869">
        <w:t xml:space="preserve">the </w:t>
      </w:r>
      <w:r>
        <w:t xml:space="preserve">important </w:t>
      </w:r>
      <w:r w:rsidR="00192869">
        <w:t xml:space="preserve">role of civil society </w:t>
      </w:r>
      <w:r>
        <w:t xml:space="preserve">and has </w:t>
      </w:r>
      <w:r w:rsidR="00282640">
        <w:t xml:space="preserve">taken action </w:t>
      </w:r>
      <w:r>
        <w:t>to foster greater government-civil society collaboration</w:t>
      </w:r>
      <w:r w:rsidR="00282640">
        <w:t>:</w:t>
      </w:r>
      <w:r>
        <w:t xml:space="preserve"> </w:t>
      </w:r>
      <w:r w:rsidR="00192869">
        <w:t>regular presidential press conferences with journalists from all political spectrums; presidential forums with youth and NGO groups; the creation of the Social and Economic Council composed of 45 civil society members to advise the President on economic, social, and political matters; presidential tributes to civil and political activists once considered persona non-grata; and the increasing openness of political space and press freedom</w:t>
      </w:r>
      <w:r>
        <w:rPr>
          <w:rStyle w:val="FootnoteReference"/>
        </w:rPr>
        <w:footnoteReference w:id="1"/>
      </w:r>
      <w:r w:rsidR="00192869">
        <w:t xml:space="preserve">. </w:t>
      </w:r>
      <w:r w:rsidR="00BB3AF3">
        <w:t>T</w:t>
      </w:r>
      <w:r w:rsidR="00192869">
        <w:t xml:space="preserve">he 2020 Mo-Ibrahim Index of good governance, </w:t>
      </w:r>
      <w:r w:rsidR="00BB3AF3">
        <w:t xml:space="preserve">ranked </w:t>
      </w:r>
      <w:r w:rsidR="00192869">
        <w:t xml:space="preserve">Angola among the eight countries with the most improvements in governance in the 2010-2019 period, which </w:t>
      </w:r>
      <w:r w:rsidR="00282640">
        <w:t>is</w:t>
      </w:r>
      <w:r w:rsidR="00192869">
        <w:t xml:space="preserve"> strong</w:t>
      </w:r>
      <w:r w:rsidR="00282640">
        <w:t>ly</w:t>
      </w:r>
      <w:r w:rsidR="00192869">
        <w:t xml:space="preserve"> correlat</w:t>
      </w:r>
      <w:r w:rsidR="00282640">
        <w:t>ed</w:t>
      </w:r>
      <w:r w:rsidR="00192869">
        <w:t xml:space="preserve"> with the political commitments of the new government</w:t>
      </w:r>
      <w:r>
        <w:rPr>
          <w:rStyle w:val="FootnoteReference"/>
        </w:rPr>
        <w:footnoteReference w:id="2"/>
      </w:r>
      <w:r w:rsidR="00192869">
        <w:t>. Much however, remains to be done, and in particular, in the area of l</w:t>
      </w:r>
      <w:r w:rsidR="00CA5F3E">
        <w:t xml:space="preserve">ocal governance </w:t>
      </w:r>
      <w:r w:rsidR="00192869">
        <w:t>which</w:t>
      </w:r>
      <w:r w:rsidR="00CA5F3E">
        <w:t xml:space="preserve"> remains challenging</w:t>
      </w:r>
      <w:r w:rsidR="00CB3176">
        <w:t>.</w:t>
      </w:r>
    </w:p>
    <w:p w14:paraId="4C510569" w14:textId="0B26DD1F" w:rsidR="00637689" w:rsidRDefault="00282640" w:rsidP="00637689">
      <w:pPr>
        <w:jc w:val="both"/>
      </w:pPr>
      <w:r>
        <w:t>T</w:t>
      </w:r>
      <w:r w:rsidR="00F8068A">
        <w:t xml:space="preserve">he </w:t>
      </w:r>
      <w:r w:rsidR="00637689">
        <w:t xml:space="preserve">Government of Angola has taken many steps since 2002 to strengthen citizens’ participation in </w:t>
      </w:r>
      <w:r w:rsidR="000D116C">
        <w:t>national policy processes</w:t>
      </w:r>
      <w:r w:rsidR="00637689">
        <w:t xml:space="preserve">. </w:t>
      </w:r>
      <w:r>
        <w:t>I</w:t>
      </w:r>
      <w:r w:rsidR="00637689">
        <w:t>n March 2021, Participatory Budget</w:t>
      </w:r>
      <w:r w:rsidR="000D116C">
        <w:t>ing</w:t>
      </w:r>
      <w:r w:rsidR="00637689">
        <w:t>, a mechanism that aims to allow citizens to become directly involved in the management of public finances at the local level through the Municipal Budget</w:t>
      </w:r>
      <w:r w:rsidR="000D116C">
        <w:t>s</w:t>
      </w:r>
      <w:r w:rsidR="008C3FF3">
        <w:rPr>
          <w:rStyle w:val="FootnoteReference"/>
        </w:rPr>
        <w:footnoteReference w:id="3"/>
      </w:r>
      <w:r>
        <w:t xml:space="preserve"> was launched</w:t>
      </w:r>
      <w:r w:rsidR="00637689">
        <w:t>. This important</w:t>
      </w:r>
      <w:r>
        <w:t xml:space="preserve"> mechanism</w:t>
      </w:r>
      <w:r w:rsidR="00637689">
        <w:t xml:space="preserve"> will allow citizens to freely define their</w:t>
      </w:r>
      <w:r>
        <w:t xml:space="preserve"> </w:t>
      </w:r>
      <w:r w:rsidR="00637689">
        <w:t xml:space="preserve">priorities and projects and to participate in the definition of priorities of local governments or administrations. </w:t>
      </w:r>
      <w:r w:rsidR="008C3FF3">
        <w:t>Similarly</w:t>
      </w:r>
      <w:r w:rsidR="00637689">
        <w:t xml:space="preserve">, the National Assembly in February 2021, </w:t>
      </w:r>
      <w:r w:rsidR="008C3FF3">
        <w:t xml:space="preserve">hosted a </w:t>
      </w:r>
      <w:r w:rsidR="00637689">
        <w:t>Seminar on Gender Budget Analysis and Monitoring, which aimed to promote the continuous process of information production, knowledge building and implementation of methodological practices for the promotion of gender equality through governance and democratic consolidation mechanisms, using Gender Budgeting as a vehicle.</w:t>
      </w:r>
    </w:p>
    <w:p w14:paraId="2EBA0D83" w14:textId="77777777" w:rsidR="00B20628" w:rsidRPr="00B20628" w:rsidRDefault="00B20628" w:rsidP="00B20628">
      <w:pPr>
        <w:pStyle w:val="Heading3"/>
        <w:rPr>
          <w:rFonts w:asciiTheme="minorHAnsi" w:hAnsiTheme="minorHAnsi" w:cstheme="minorHAnsi"/>
          <w:sz w:val="22"/>
          <w:szCs w:val="22"/>
        </w:rPr>
      </w:pPr>
      <w:bookmarkStart w:id="7" w:name="_Toc88741764"/>
      <w:r w:rsidRPr="00B20628">
        <w:rPr>
          <w:rFonts w:asciiTheme="minorHAnsi" w:hAnsiTheme="minorHAnsi" w:cstheme="minorHAnsi"/>
          <w:sz w:val="22"/>
          <w:szCs w:val="22"/>
        </w:rPr>
        <w:lastRenderedPageBreak/>
        <w:t>1.2.2 Economic</w:t>
      </w:r>
      <w:bookmarkEnd w:id="7"/>
    </w:p>
    <w:tbl>
      <w:tblPr>
        <w:tblStyle w:val="GridTable1Light"/>
        <w:tblpPr w:leftFromText="180" w:rightFromText="180" w:vertAnchor="text" w:horzAnchor="margin" w:tblpXSpec="right" w:tblpY="3512"/>
        <w:tblW w:w="0" w:type="auto"/>
        <w:tblLook w:val="04A0" w:firstRow="1" w:lastRow="0" w:firstColumn="1" w:lastColumn="0" w:noHBand="0" w:noVBand="1"/>
      </w:tblPr>
      <w:tblGrid>
        <w:gridCol w:w="4585"/>
      </w:tblGrid>
      <w:tr w:rsidR="00547D8A" w:rsidRPr="00146BC2" w14:paraId="23D249B9" w14:textId="77777777" w:rsidTr="00547D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6851C3D2" w14:textId="40EA30B5" w:rsidR="00547D8A" w:rsidRPr="00146BC2" w:rsidRDefault="00547D8A" w:rsidP="00547D8A">
            <w:pPr>
              <w:jc w:val="both"/>
              <w:rPr>
                <w:sz w:val="20"/>
                <w:szCs w:val="20"/>
              </w:rPr>
            </w:pPr>
            <w:r w:rsidRPr="00146BC2">
              <w:rPr>
                <w:sz w:val="20"/>
                <w:szCs w:val="20"/>
              </w:rPr>
              <w:t>Box 1: Angola - Key Economic and Social Indicators (2020)</w:t>
            </w:r>
            <w:r w:rsidRPr="00146BC2">
              <w:rPr>
                <w:rStyle w:val="FootnoteReference"/>
                <w:sz w:val="20"/>
                <w:szCs w:val="20"/>
              </w:rPr>
              <w:footnoteReference w:id="4"/>
            </w:r>
          </w:p>
        </w:tc>
      </w:tr>
      <w:tr w:rsidR="00547D8A" w:rsidRPr="00146BC2" w14:paraId="3B2B5FBC" w14:textId="77777777" w:rsidTr="00547D8A">
        <w:tc>
          <w:tcPr>
            <w:cnfStyle w:val="001000000000" w:firstRow="0" w:lastRow="0" w:firstColumn="1" w:lastColumn="0" w:oddVBand="0" w:evenVBand="0" w:oddHBand="0" w:evenHBand="0" w:firstRowFirstColumn="0" w:firstRowLastColumn="0" w:lastRowFirstColumn="0" w:lastRowLastColumn="0"/>
            <w:tcW w:w="4585" w:type="dxa"/>
          </w:tcPr>
          <w:p w14:paraId="55631067" w14:textId="77777777" w:rsidR="00547D8A" w:rsidRPr="00146BC2" w:rsidRDefault="00547D8A" w:rsidP="00547D8A">
            <w:pPr>
              <w:rPr>
                <w:sz w:val="20"/>
                <w:szCs w:val="20"/>
              </w:rPr>
            </w:pPr>
            <w:r w:rsidRPr="00146BC2">
              <w:rPr>
                <w:b w:val="0"/>
                <w:bCs w:val="0"/>
                <w:sz w:val="20"/>
                <w:szCs w:val="20"/>
              </w:rPr>
              <w:t>Population, millions                                           32.9</w:t>
            </w:r>
          </w:p>
          <w:p w14:paraId="54792339" w14:textId="77777777" w:rsidR="00547D8A" w:rsidRPr="00146BC2" w:rsidRDefault="00547D8A" w:rsidP="00547D8A">
            <w:pPr>
              <w:rPr>
                <w:b w:val="0"/>
                <w:bCs w:val="0"/>
                <w:sz w:val="20"/>
                <w:szCs w:val="20"/>
              </w:rPr>
            </w:pPr>
            <w:r w:rsidRPr="00146BC2">
              <w:rPr>
                <w:b w:val="0"/>
                <w:bCs w:val="0"/>
                <w:sz w:val="20"/>
                <w:szCs w:val="20"/>
              </w:rPr>
              <w:t>GDP, current US$ billion                                  62.6</w:t>
            </w:r>
          </w:p>
          <w:p w14:paraId="46491973" w14:textId="77777777" w:rsidR="00547D8A" w:rsidRPr="00146BC2" w:rsidRDefault="00547D8A" w:rsidP="00547D8A">
            <w:pPr>
              <w:rPr>
                <w:b w:val="0"/>
                <w:bCs w:val="0"/>
                <w:sz w:val="20"/>
                <w:szCs w:val="20"/>
              </w:rPr>
            </w:pPr>
            <w:r w:rsidRPr="00146BC2">
              <w:rPr>
                <w:b w:val="0"/>
                <w:bCs w:val="0"/>
                <w:sz w:val="20"/>
                <w:szCs w:val="20"/>
              </w:rPr>
              <w:t xml:space="preserve">GDP per capita, current                    US$ 1 903.05 International poverty rate ($1.9)                  49.9 </w:t>
            </w:r>
          </w:p>
          <w:p w14:paraId="7D621F26" w14:textId="77777777" w:rsidR="00547D8A" w:rsidRPr="00146BC2" w:rsidRDefault="00547D8A" w:rsidP="00547D8A">
            <w:pPr>
              <w:rPr>
                <w:b w:val="0"/>
                <w:bCs w:val="0"/>
                <w:sz w:val="20"/>
                <w:szCs w:val="20"/>
              </w:rPr>
            </w:pPr>
            <w:r w:rsidRPr="00146BC2">
              <w:rPr>
                <w:b w:val="0"/>
                <w:bCs w:val="0"/>
                <w:sz w:val="20"/>
                <w:szCs w:val="20"/>
              </w:rPr>
              <w:t xml:space="preserve">Lower middle-income poverty rate ($3.2) 71 .5 Upper middle-income poverty rate ($5.5)   88.5 Gini index                                                           51 .3 </w:t>
            </w:r>
          </w:p>
          <w:p w14:paraId="3851F4DC" w14:textId="0EB1065A" w:rsidR="00547D8A" w:rsidRPr="00146BC2" w:rsidRDefault="00547D8A" w:rsidP="00547D8A">
            <w:pPr>
              <w:rPr>
                <w:b w:val="0"/>
                <w:bCs w:val="0"/>
                <w:sz w:val="20"/>
                <w:szCs w:val="20"/>
              </w:rPr>
            </w:pPr>
            <w:r w:rsidRPr="00146BC2">
              <w:rPr>
                <w:b w:val="0"/>
                <w:bCs w:val="0"/>
                <w:sz w:val="20"/>
                <w:szCs w:val="20"/>
              </w:rPr>
              <w:t xml:space="preserve">School enrolment, primary (% </w:t>
            </w:r>
            <w:proofErr w:type="gramStart"/>
            <w:r w:rsidR="00B36154" w:rsidRPr="00146BC2">
              <w:rPr>
                <w:b w:val="0"/>
                <w:bCs w:val="0"/>
                <w:sz w:val="20"/>
                <w:szCs w:val="20"/>
              </w:rPr>
              <w:t xml:space="preserve">gross)  </w:t>
            </w:r>
            <w:r w:rsidRPr="00146BC2">
              <w:rPr>
                <w:b w:val="0"/>
                <w:bCs w:val="0"/>
                <w:sz w:val="20"/>
                <w:szCs w:val="20"/>
              </w:rPr>
              <w:t xml:space="preserve"> </w:t>
            </w:r>
            <w:proofErr w:type="gramEnd"/>
            <w:r w:rsidRPr="00146BC2">
              <w:rPr>
                <w:b w:val="0"/>
                <w:bCs w:val="0"/>
                <w:sz w:val="20"/>
                <w:szCs w:val="20"/>
              </w:rPr>
              <w:t xml:space="preserve">  </w:t>
            </w:r>
            <w:r w:rsidR="00B36154" w:rsidRPr="00146BC2">
              <w:rPr>
                <w:b w:val="0"/>
                <w:bCs w:val="0"/>
                <w:sz w:val="20"/>
                <w:szCs w:val="20"/>
              </w:rPr>
              <w:t xml:space="preserve">   </w:t>
            </w:r>
            <w:r w:rsidRPr="00146BC2">
              <w:rPr>
                <w:b w:val="0"/>
                <w:bCs w:val="0"/>
                <w:sz w:val="20"/>
                <w:szCs w:val="20"/>
              </w:rPr>
              <w:t>1 1 3.5 Life expectancy at birth, years                        60.8</w:t>
            </w:r>
          </w:p>
        </w:tc>
      </w:tr>
    </w:tbl>
    <w:p w14:paraId="3DD6E792" w14:textId="771B559E" w:rsidR="00146BC2" w:rsidRDefault="00146BC2" w:rsidP="00FE06C5">
      <w:pPr>
        <w:jc w:val="both"/>
        <w:rPr>
          <w:rFonts w:cstheme="minorHAnsi"/>
          <w:color w:val="111111"/>
          <w:shd w:val="clear" w:color="auto" w:fill="FFFFFF"/>
        </w:rPr>
      </w:pPr>
      <w:r w:rsidRPr="00146BC2">
        <w:rPr>
          <w:rFonts w:cstheme="minorHAnsi"/>
          <w:color w:val="111111"/>
          <w:shd w:val="clear" w:color="auto" w:fill="FFFFFF"/>
        </w:rPr>
        <w:t>Angola</w:t>
      </w:r>
      <w:r>
        <w:rPr>
          <w:rFonts w:cstheme="minorHAnsi"/>
          <w:color w:val="111111"/>
          <w:shd w:val="clear" w:color="auto" w:fill="FFFFFF"/>
        </w:rPr>
        <w:t xml:space="preserve"> has the third largest economy in Africa, after Nigeria and South Africa</w:t>
      </w:r>
      <w:r w:rsidR="000D116C">
        <w:rPr>
          <w:rFonts w:cstheme="minorHAnsi"/>
          <w:color w:val="111111"/>
          <w:shd w:val="clear" w:color="auto" w:fill="FFFFFF"/>
        </w:rPr>
        <w:t>,</w:t>
      </w:r>
      <w:r>
        <w:rPr>
          <w:rFonts w:cstheme="minorHAnsi"/>
          <w:color w:val="111111"/>
          <w:shd w:val="clear" w:color="auto" w:fill="FFFFFF"/>
        </w:rPr>
        <w:t xml:space="preserve"> and </w:t>
      </w:r>
      <w:r w:rsidRPr="00146BC2">
        <w:rPr>
          <w:rFonts w:cstheme="minorHAnsi"/>
          <w:color w:val="111111"/>
          <w:shd w:val="clear" w:color="auto" w:fill="FFFFFF"/>
        </w:rPr>
        <w:t>is Africa's second largest oil producer</w:t>
      </w:r>
      <w:r w:rsidR="000D116C">
        <w:rPr>
          <w:rFonts w:cstheme="minorHAnsi"/>
          <w:color w:val="111111"/>
          <w:shd w:val="clear" w:color="auto" w:fill="FFFFFF"/>
        </w:rPr>
        <w:t>. The country is</w:t>
      </w:r>
      <w:r w:rsidRPr="00146BC2">
        <w:rPr>
          <w:rFonts w:cstheme="minorHAnsi"/>
          <w:color w:val="111111"/>
          <w:shd w:val="clear" w:color="auto" w:fill="FFFFFF"/>
        </w:rPr>
        <w:t xml:space="preserve"> a net producer of natural gas and also the third largest producer of diamonds in the continent, surpassed only by Botswana and the Democratic Republic of Congo.</w:t>
      </w:r>
      <w:r>
        <w:rPr>
          <w:rFonts w:cstheme="minorHAnsi"/>
          <w:color w:val="111111"/>
          <w:shd w:val="clear" w:color="auto" w:fill="FFFFFF"/>
        </w:rPr>
        <w:t xml:space="preserve"> </w:t>
      </w:r>
      <w:r w:rsidRPr="00146BC2">
        <w:rPr>
          <w:rFonts w:cstheme="minorHAnsi"/>
          <w:color w:val="111111"/>
          <w:shd w:val="clear" w:color="auto" w:fill="FFFFFF"/>
        </w:rPr>
        <w:t>In addition to diamonds, the country also produces gold, granite, gypsum, marble, and salt, and possesses numerous undeveloped minerals with potential for extraction including beryllium, clay, copper, iron-ore, lead, lignite, manganese, mica, nickel, peat, phosphate rock, quartz, silver, tungsten, uranium, vanadium, and zinc.</w:t>
      </w:r>
    </w:p>
    <w:p w14:paraId="53AEBB1D" w14:textId="68BC8CAB" w:rsidR="00783E07" w:rsidRDefault="00137846" w:rsidP="00FE06C5">
      <w:pPr>
        <w:jc w:val="both"/>
      </w:pPr>
      <w:r>
        <w:rPr>
          <w:rFonts w:cstheme="minorHAnsi"/>
        </w:rPr>
        <w:t>I</w:t>
      </w:r>
      <w:r w:rsidR="00CA5F3E">
        <w:t>n February 2021</w:t>
      </w:r>
      <w:r>
        <w:t>, Angola</w:t>
      </w:r>
      <w:r w:rsidR="00CA5F3E">
        <w:t xml:space="preserve"> graduated to a Middle-income Country (MIC) </w:t>
      </w:r>
      <w:r w:rsidR="007E6DDC">
        <w:t>status,</w:t>
      </w:r>
      <w:r w:rsidR="00CA5F3E">
        <w:t xml:space="preserve"> a testimony </w:t>
      </w:r>
      <w:r w:rsidR="00CF7AA0">
        <w:t>to</w:t>
      </w:r>
      <w:r w:rsidR="00CA5F3E">
        <w:t xml:space="preserve"> the rapid economic growth the country has experienced in the</w:t>
      </w:r>
      <w:r w:rsidR="00955E44">
        <w:t xml:space="preserve"> last two</w:t>
      </w:r>
      <w:r w:rsidR="00CA5F3E">
        <w:t xml:space="preserve"> decades. </w:t>
      </w:r>
      <w:r w:rsidR="00955E44">
        <w:t>This implies that e</w:t>
      </w:r>
      <w:r w:rsidR="00783E07">
        <w:t xml:space="preserve">ffectively the context will change, because Angola </w:t>
      </w:r>
      <w:r w:rsidR="00955E44">
        <w:t xml:space="preserve">will now be expected to </w:t>
      </w:r>
      <w:r w:rsidR="00783E07">
        <w:t xml:space="preserve">be more self-sufficient in terms of financial resources to implement its own plans as </w:t>
      </w:r>
      <w:r w:rsidR="000D116C">
        <w:t xml:space="preserve">ODA </w:t>
      </w:r>
      <w:r w:rsidR="00783E07">
        <w:t xml:space="preserve">will diminish and it will be necessary to mobilise more </w:t>
      </w:r>
      <w:r w:rsidR="00955E44">
        <w:t>domestic/</w:t>
      </w:r>
      <w:r w:rsidR="00783E07">
        <w:t>local resources.</w:t>
      </w:r>
      <w:r w:rsidR="00783E07" w:rsidRPr="00783E07">
        <w:t xml:space="preserve"> </w:t>
      </w:r>
      <w:r w:rsidR="00783E07">
        <w:t xml:space="preserve">However, although Angola’s gross national income (GNI) per capita is </w:t>
      </w:r>
      <w:r w:rsidR="00547D8A">
        <w:t>well</w:t>
      </w:r>
      <w:r w:rsidR="00783E07">
        <w:t xml:space="preserve"> above the </w:t>
      </w:r>
      <w:r w:rsidR="000D116C">
        <w:t xml:space="preserve">MIC </w:t>
      </w:r>
      <w:r w:rsidR="00783E07">
        <w:t>graduation threshold (</w:t>
      </w:r>
      <w:r w:rsidR="00282640">
        <w:t>see Box 1</w:t>
      </w:r>
      <w:r w:rsidR="00783E07">
        <w:t>), the country faces challenges in the other two criteria for graduation: i) the Human Assets Index (HAI) remains at 55.9, which is below the graduation threshold which is set at 66</w:t>
      </w:r>
      <w:r w:rsidR="00282640">
        <w:t xml:space="preserve"> as</w:t>
      </w:r>
      <w:r w:rsidR="00CA5DCC">
        <w:t xml:space="preserve"> the country measured poorly with respect to education and health indicators</w:t>
      </w:r>
      <w:r w:rsidR="00783E07">
        <w:t>;</w:t>
      </w:r>
      <w:r w:rsidR="001F29A1">
        <w:t xml:space="preserve"> and</w:t>
      </w:r>
      <w:r w:rsidR="00783E07">
        <w:t xml:space="preserve"> ii) the index of Economic Vulnerability (EVI) is at 39.3, very much above the minimum for graduation which is set at 32 points</w:t>
      </w:r>
      <w:r w:rsidR="00547D8A">
        <w:rPr>
          <w:rStyle w:val="FootnoteReference"/>
        </w:rPr>
        <w:footnoteReference w:id="5"/>
      </w:r>
      <w:r w:rsidR="00CA5DCC">
        <w:t xml:space="preserve"> because of limited diversification of the economy</w:t>
      </w:r>
      <w:r w:rsidR="00783E07">
        <w:t xml:space="preserve">. This means that although </w:t>
      </w:r>
      <w:r w:rsidR="00FE06C5">
        <w:t>Angola is</w:t>
      </w:r>
      <w:r w:rsidR="00783E07">
        <w:t xml:space="preserve"> considered a Middle-Income Country, </w:t>
      </w:r>
      <w:r w:rsidR="00FE06C5">
        <w:t>it faces</w:t>
      </w:r>
      <w:r w:rsidR="00783E07">
        <w:t xml:space="preserve"> considerable human development and economic vulnerability challenges. This situation informs the </w:t>
      </w:r>
      <w:r w:rsidR="00FE06C5">
        <w:t xml:space="preserve">economic and social context within which the UNDP Country Programme is being implemented. </w:t>
      </w:r>
    </w:p>
    <w:p w14:paraId="2AFB8158" w14:textId="08FAEBD6" w:rsidR="008B1F9C" w:rsidRDefault="00547D8A" w:rsidP="007E6DDC">
      <w:pPr>
        <w:jc w:val="both"/>
      </w:pPr>
      <w:r>
        <w:t xml:space="preserve">The growth of Angola’s economy has for decades </w:t>
      </w:r>
      <w:r w:rsidR="00CA5F3E">
        <w:t xml:space="preserve">largely been </w:t>
      </w:r>
      <w:r w:rsidR="008C3FF3">
        <w:t>driven</w:t>
      </w:r>
      <w:r w:rsidR="00CA5F3E">
        <w:t xml:space="preserve"> by the oil and gas sector which accounts for</w:t>
      </w:r>
      <w:r w:rsidR="00734643">
        <w:t xml:space="preserve"> around 30 percent of GDP, 60 percent of fiscal revenues, and more than 90 percent of exports in 2019</w:t>
      </w:r>
      <w:r w:rsidR="00734643">
        <w:rPr>
          <w:rStyle w:val="FootnoteReference"/>
        </w:rPr>
        <w:footnoteReference w:id="6"/>
      </w:r>
      <w:r w:rsidR="00CF7AA0" w:rsidRPr="00CF7AA0">
        <w:rPr>
          <w:rFonts w:cstheme="minorHAnsi"/>
          <w:shd w:val="clear" w:color="auto" w:fill="FFFFFF"/>
        </w:rPr>
        <w:t>.</w:t>
      </w:r>
      <w:r w:rsidR="007E6DDC">
        <w:rPr>
          <w:rFonts w:cstheme="minorHAnsi"/>
          <w:shd w:val="clear" w:color="auto" w:fill="FFFFFF"/>
        </w:rPr>
        <w:t xml:space="preserve"> However, </w:t>
      </w:r>
      <w:r w:rsidR="007E6DDC">
        <w:t>a decline in</w:t>
      </w:r>
      <w:r w:rsidR="008B1F9C">
        <w:t xml:space="preserve"> oil prices in 2015, </w:t>
      </w:r>
      <w:r w:rsidR="007E6DDC">
        <w:t xml:space="preserve">resulted in </w:t>
      </w:r>
      <w:r w:rsidR="008B1F9C">
        <w:t>Angola’s real GDP shr</w:t>
      </w:r>
      <w:r w:rsidR="007E6DDC">
        <w:t>inking</w:t>
      </w:r>
      <w:r w:rsidR="008B1F9C">
        <w:t xml:space="preserve"> by a cumulative 9.5 percent, with GNI per capita (in dollar terms) cut in half</w:t>
      </w:r>
      <w:r w:rsidR="008B1F9C">
        <w:rPr>
          <w:rStyle w:val="FootnoteReference"/>
        </w:rPr>
        <w:footnoteReference w:id="7"/>
      </w:r>
      <w:r w:rsidR="008B1F9C">
        <w:t xml:space="preserve">. The lower oil prices have resulted in a prolonged recession and it is estimated that as result, half of the population lived on less than $1.90 per day (2011 PPP) in 2018 (a rate similar to 2008) and debt-to-GDP exploded to an estimated 128 percent by the end of 2020 from </w:t>
      </w:r>
      <w:r w:rsidR="00446F46">
        <w:t>69</w:t>
      </w:r>
      <w:r w:rsidR="008B1F9C">
        <w:t xml:space="preserve">% in </w:t>
      </w:r>
      <w:r w:rsidR="00446F46">
        <w:t>2017</w:t>
      </w:r>
      <w:r w:rsidR="000200C0">
        <w:rPr>
          <w:rStyle w:val="FootnoteReference"/>
        </w:rPr>
        <w:footnoteReference w:id="8"/>
      </w:r>
      <w:r w:rsidR="008B1F9C">
        <w:t>.</w:t>
      </w:r>
      <w:r w:rsidR="00755306">
        <w:t xml:space="preserve"> More than half (55.9 percent) of budgeted expenditure for 2020 is allocated to public debt operations, including amortizations. </w:t>
      </w:r>
      <w:r w:rsidR="007E6DDC">
        <w:t>Consequently, Angola experienced a fifth consecutive year of recession in 2020, as GDP contracted by an estimated 4</w:t>
      </w:r>
      <w:r w:rsidR="00D01BD7">
        <w:t>%</w:t>
      </w:r>
      <w:r w:rsidR="007E6DDC">
        <w:t xml:space="preserve">. </w:t>
      </w:r>
      <w:r w:rsidR="006D5B2D">
        <w:t xml:space="preserve">This has adversely affected fiscal space available for social expenditures on health, education and related sectors. </w:t>
      </w:r>
      <w:r w:rsidR="007E6DDC">
        <w:t xml:space="preserve">A partial recovery </w:t>
      </w:r>
      <w:r w:rsidR="007E6DDC">
        <w:lastRenderedPageBreak/>
        <w:t>is expected in 2021, with GDP projected to grow by 0.9 percent and accelerating to 3.5 percent in 2022, still slower than population growth</w:t>
      </w:r>
      <w:r w:rsidR="00C60EEB">
        <w:rPr>
          <w:rStyle w:val="FootnoteReference"/>
        </w:rPr>
        <w:footnoteReference w:id="9"/>
      </w:r>
      <w:r w:rsidR="007E6DDC">
        <w:t>.</w:t>
      </w:r>
    </w:p>
    <w:p w14:paraId="003CD24F" w14:textId="1C758251" w:rsidR="008B1F9C" w:rsidRDefault="007E6DDC" w:rsidP="007E6DDC">
      <w:pPr>
        <w:jc w:val="both"/>
      </w:pPr>
      <w:r>
        <w:t xml:space="preserve">The </w:t>
      </w:r>
      <w:r w:rsidR="008B1F9C">
        <w:t>Government of Angola has initiated</w:t>
      </w:r>
      <w:r w:rsidR="008C3FF3">
        <w:t>, with some degree of success,</w:t>
      </w:r>
      <w:r w:rsidR="008B1F9C">
        <w:t xml:space="preserve"> an ambitious reform program</w:t>
      </w:r>
      <w:r w:rsidR="008C3FF3">
        <w:t xml:space="preserve"> in order to re</w:t>
      </w:r>
      <w:r w:rsidR="00D01BD7">
        <w:t xml:space="preserve">dress the </w:t>
      </w:r>
      <w:r w:rsidR="00D01BD7">
        <w:rPr>
          <w:lang w:val="en-US"/>
        </w:rPr>
        <w:t>dire economic and social situation of</w:t>
      </w:r>
      <w:r w:rsidR="008C3FF3">
        <w:t xml:space="preserve"> the country</w:t>
      </w:r>
      <w:r w:rsidR="00C60EEB">
        <w:rPr>
          <w:rStyle w:val="FootnoteReference"/>
        </w:rPr>
        <w:footnoteReference w:id="10"/>
      </w:r>
      <w:r w:rsidR="008B1F9C">
        <w:t xml:space="preserve">. </w:t>
      </w:r>
      <w:r w:rsidR="008C3FF3">
        <w:t>The r</w:t>
      </w:r>
      <w:r w:rsidR="008B1F9C">
        <w:t xml:space="preserve">eforms </w:t>
      </w:r>
      <w:r w:rsidR="00D01BD7">
        <w:t>are</w:t>
      </w:r>
      <w:r w:rsidR="008C3FF3">
        <w:t xml:space="preserve"> </w:t>
      </w:r>
      <w:r w:rsidR="008B1F9C">
        <w:t xml:space="preserve">aimed at </w:t>
      </w:r>
      <w:r w:rsidR="008C3FF3">
        <w:t xml:space="preserve">achieving </w:t>
      </w:r>
      <w:r w:rsidR="008B1F9C">
        <w:t xml:space="preserve">macro-economic stabilization </w:t>
      </w:r>
      <w:r w:rsidR="008C3FF3">
        <w:t xml:space="preserve">through a number of measures </w:t>
      </w:r>
      <w:r w:rsidR="008B1F9C">
        <w:t>includ</w:t>
      </w:r>
      <w:r w:rsidR="008C3FF3">
        <w:t>ing,</w:t>
      </w:r>
      <w:r w:rsidR="008B1F9C">
        <w:t xml:space="preserve"> floating of the currency, strengthening tax revenue, and passage of a fiscal responsibility law. </w:t>
      </w:r>
      <w:r w:rsidR="00CE76F8">
        <w:t>A key government reform measure is the reprofiling of Angola’s debt and negotiations with Angola’s main creditors, through the G20 Debt Service Suspension Initiative (DSSI) which has</w:t>
      </w:r>
      <w:r w:rsidR="00D01BD7">
        <w:t xml:space="preserve"> led to</w:t>
      </w:r>
      <w:r w:rsidR="00CE76F8">
        <w:t xml:space="preserve"> increased social spending</w:t>
      </w:r>
      <w:r w:rsidR="00CE76F8">
        <w:rPr>
          <w:rStyle w:val="FootnoteReference"/>
        </w:rPr>
        <w:footnoteReference w:id="11"/>
      </w:r>
      <w:r w:rsidR="00CE76F8">
        <w:t xml:space="preserve">. </w:t>
      </w:r>
      <w:r w:rsidR="00455756">
        <w:t>Consequently, Angola was able to negotiate a new IMF agreement (Extended Fund Facility) of US$ 39 billion.</w:t>
      </w:r>
      <w:r w:rsidR="00455756">
        <w:rPr>
          <w:rStyle w:val="FootnoteReference"/>
        </w:rPr>
        <w:footnoteReference w:id="12"/>
      </w:r>
      <w:r w:rsidR="00455756">
        <w:t xml:space="preserve"> </w:t>
      </w:r>
      <w:r w:rsidR="008C3FF3">
        <w:t>Other r</w:t>
      </w:r>
      <w:r w:rsidR="008B1F9C">
        <w:t xml:space="preserve">eforms aimed at shifting the Angolan economy from dependence on oil and the SOE sector </w:t>
      </w:r>
      <w:r w:rsidR="008C3FF3">
        <w:t>through</w:t>
      </w:r>
      <w:r w:rsidR="008B1F9C">
        <w:t xml:space="preserve"> privatization of state assets, removal of </w:t>
      </w:r>
      <w:r w:rsidR="008C3FF3">
        <w:t>extensive</w:t>
      </w:r>
      <w:r w:rsidR="008B1F9C">
        <w:t xml:space="preserve"> price controls, improved regulation and oversight of financial institutions and creation of a competition authority. Finally, to reduce poverty and inequality, the </w:t>
      </w:r>
      <w:r w:rsidR="008C3FF3">
        <w:t xml:space="preserve">Government in 2020 launched the </w:t>
      </w:r>
      <w:r w:rsidR="008B1F9C">
        <w:t>Kwenda cash transfer program</w:t>
      </w:r>
      <w:r w:rsidR="008C3FF3">
        <w:t xml:space="preserve"> </w:t>
      </w:r>
      <w:r w:rsidR="00CB3176" w:rsidRPr="00CB3176">
        <w:rPr>
          <w:rFonts w:cstheme="minorHAnsi"/>
          <w:color w:val="333333"/>
          <w:shd w:val="clear" w:color="auto" w:fill="FFFFFF"/>
        </w:rPr>
        <w:t>which aims to reach 1.6 million poor families. However, lower oil revenues hampered the government’s capacity to fully protect livelihoods from the effects of the pandemic</w:t>
      </w:r>
      <w:r w:rsidR="00CB3176">
        <w:rPr>
          <w:rStyle w:val="FootnoteReference"/>
          <w:rFonts w:cstheme="minorHAnsi"/>
          <w:color w:val="333333"/>
          <w:shd w:val="clear" w:color="auto" w:fill="FFFFFF"/>
        </w:rPr>
        <w:footnoteReference w:id="13"/>
      </w:r>
      <w:r w:rsidR="00CB3176" w:rsidRPr="00CB3176">
        <w:rPr>
          <w:rFonts w:cstheme="minorHAnsi"/>
          <w:color w:val="333333"/>
          <w:shd w:val="clear" w:color="auto" w:fill="FFFFFF"/>
        </w:rPr>
        <w:t>. As a result, the socioeconomic situation worsened. The unemployment rate rose to 34.0% in the third quarter of 2020 compared with 30% a year before, with youth unemployment rising to a high of 56.4% from 54.2% in the third quarter 2019. The pandemic is expected to exacerbate the 2019 official poverty incidence of 40.6%</w:t>
      </w:r>
      <w:r w:rsidR="008B1F9C">
        <w:t xml:space="preserve">. </w:t>
      </w:r>
    </w:p>
    <w:p w14:paraId="0587A56E" w14:textId="3B0E8B65" w:rsidR="008B1F9C" w:rsidRPr="00C60EEB" w:rsidRDefault="008B1F9C" w:rsidP="00C60EEB">
      <w:pPr>
        <w:jc w:val="both"/>
      </w:pPr>
      <w:r>
        <w:t xml:space="preserve">Angola’s transition to a more diversified, private-sector led growth model </w:t>
      </w:r>
      <w:r w:rsidR="007E6DDC">
        <w:t xml:space="preserve">is yet to take off and </w:t>
      </w:r>
      <w:r w:rsidR="00347874">
        <w:t xml:space="preserve">accelerating the reforms </w:t>
      </w:r>
      <w:r>
        <w:t>has become even more urgent in the face of COVID-19</w:t>
      </w:r>
      <w:r w:rsidR="001412AD">
        <w:rPr>
          <w:rStyle w:val="FootnoteReference"/>
        </w:rPr>
        <w:footnoteReference w:id="14"/>
      </w:r>
      <w:r>
        <w:t xml:space="preserve">. </w:t>
      </w:r>
      <w:r w:rsidR="00347874">
        <w:t xml:space="preserve">It is recognized that </w:t>
      </w:r>
      <w:r>
        <w:t xml:space="preserve">agriculture </w:t>
      </w:r>
      <w:r w:rsidR="004C083E">
        <w:t>and</w:t>
      </w:r>
      <w:r>
        <w:t xml:space="preserve"> financial services have large untapped potential and can generate the jobs crucial for poverty reduction. </w:t>
      </w:r>
      <w:r w:rsidR="000E0C09" w:rsidRPr="000E0C09">
        <w:rPr>
          <w:rFonts w:cstheme="minorHAnsi"/>
        </w:rPr>
        <w:t>D</w:t>
      </w:r>
      <w:r w:rsidR="000E0C09" w:rsidRPr="000E0C09">
        <w:rPr>
          <w:rFonts w:cstheme="minorHAnsi"/>
          <w:color w:val="111111"/>
          <w:shd w:val="clear" w:color="auto" w:fill="FFFFFF"/>
        </w:rPr>
        <w:t>espite its potential, the agricultural sector is underdeveloped and not very productive, contributing 6.7% of GDP but employ</w:t>
      </w:r>
      <w:r w:rsidR="00D01BD7">
        <w:rPr>
          <w:rFonts w:cstheme="minorHAnsi"/>
          <w:color w:val="111111"/>
          <w:shd w:val="clear" w:color="auto" w:fill="FFFFFF"/>
        </w:rPr>
        <w:t>ing</w:t>
      </w:r>
      <w:r w:rsidR="000E0C09" w:rsidRPr="000E0C09">
        <w:rPr>
          <w:rFonts w:cstheme="minorHAnsi"/>
          <w:color w:val="111111"/>
          <w:shd w:val="clear" w:color="auto" w:fill="FFFFFF"/>
        </w:rPr>
        <w:t xml:space="preserve"> 50% of the population</w:t>
      </w:r>
      <w:r w:rsidR="00C60EEB">
        <w:t xml:space="preserve">. </w:t>
      </w:r>
      <w:r>
        <w:t xml:space="preserve">Continued progress on </w:t>
      </w:r>
      <w:r w:rsidR="00347874">
        <w:t xml:space="preserve">policy and </w:t>
      </w:r>
      <w:r>
        <w:t>structural reforms</w:t>
      </w:r>
      <w:r w:rsidR="00C60EEB">
        <w:t xml:space="preserve"> and</w:t>
      </w:r>
      <w:r>
        <w:t xml:space="preserve"> more effective investments in human capital are needed to advance towards a more productive and inclusive Angola</w:t>
      </w:r>
      <w:r w:rsidR="00C60EEB">
        <w:rPr>
          <w:rStyle w:val="FootnoteReference"/>
        </w:rPr>
        <w:footnoteReference w:id="15"/>
      </w:r>
      <w:r>
        <w:t>.</w:t>
      </w:r>
    </w:p>
    <w:p w14:paraId="792A1EB7" w14:textId="1AEB31A9" w:rsidR="00B20628" w:rsidRDefault="00C60EEB" w:rsidP="00DB2544">
      <w:pPr>
        <w:jc w:val="both"/>
      </w:pPr>
      <w:r>
        <w:t xml:space="preserve">Despite the robust growth experienced by Angola in previous decades, poverty is deep and endemic. </w:t>
      </w:r>
      <w:r w:rsidR="00DB2544">
        <w:t xml:space="preserve">The Angola </w:t>
      </w:r>
      <w:r w:rsidR="001412AD">
        <w:t>VNR 2021</w:t>
      </w:r>
      <w:r w:rsidR="00DB2544">
        <w:t xml:space="preserve"> reports that according to World Bank (WB) estimates, in 2018, 49.9% of the Angolan population lived below the international poverty line (extreme poverty) of USD 1.90 per day per person (2011 PPP). The Expenditure, Income and Employment Survey (IDREA) 2018-2019 on the other hand showed that 32.3% of the population lived below the national poverty line. </w:t>
      </w:r>
      <w:r w:rsidR="003C5567">
        <w:t>Angola has adopted the Multidimensional Poverty Index (IPM-A) as the national index to measure multidimensional poverty in the country</w:t>
      </w:r>
      <w:r w:rsidR="00347874">
        <w:rPr>
          <w:rStyle w:val="FootnoteReference"/>
        </w:rPr>
        <w:footnoteReference w:id="16"/>
      </w:r>
      <w:r w:rsidR="003C5567">
        <w:t xml:space="preserve">. </w:t>
      </w:r>
      <w:r w:rsidR="00DB2544">
        <w:t>The IPM-A)</w:t>
      </w:r>
      <w:r w:rsidR="003C5567">
        <w:t xml:space="preserve"> </w:t>
      </w:r>
      <w:r w:rsidR="00DB2544">
        <w:t>show</w:t>
      </w:r>
      <w:r w:rsidR="003C5567">
        <w:t>s</w:t>
      </w:r>
      <w:r w:rsidR="00DB2544">
        <w:t xml:space="preserve"> that 54.0% of the Angolan population lived in multidimensional poverty in </w:t>
      </w:r>
      <w:r w:rsidR="00DB2544">
        <w:lastRenderedPageBreak/>
        <w:t>th</w:t>
      </w:r>
      <w:r w:rsidR="003E7191">
        <w:t>e</w:t>
      </w:r>
      <w:r w:rsidR="00DB2544">
        <w:t xml:space="preserve"> period</w:t>
      </w:r>
      <w:r w:rsidR="003E7191">
        <w:t xml:space="preserve"> 2015-2016</w:t>
      </w:r>
      <w:r w:rsidR="00DB2544">
        <w:t>. To reach the SDG target 1.2 that aims to at least halve this proportion, the country needs to attain a percentage of multidimensional poverty less than or equal to 27.0% by the year 2030.</w:t>
      </w:r>
    </w:p>
    <w:p w14:paraId="1A1CC220" w14:textId="3045C686" w:rsidR="00A20A4C" w:rsidRDefault="00A20A4C" w:rsidP="00A20A4C">
      <w:pPr>
        <w:shd w:val="clear" w:color="auto" w:fill="FFFFFF"/>
        <w:spacing w:after="300" w:line="240" w:lineRule="auto"/>
        <w:jc w:val="both"/>
        <w:rPr>
          <w:rFonts w:eastAsia="Times New Roman" w:cstheme="minorHAnsi"/>
          <w:color w:val="000000"/>
          <w:lang w:eastAsia="en-GB"/>
        </w:rPr>
      </w:pPr>
      <w:r>
        <w:rPr>
          <w:rFonts w:eastAsia="Times New Roman" w:cstheme="minorHAnsi"/>
          <w:color w:val="000000"/>
          <w:lang w:eastAsia="en-GB"/>
        </w:rPr>
        <w:t xml:space="preserve">The </w:t>
      </w:r>
      <w:r w:rsidR="00347874">
        <w:rPr>
          <w:rFonts w:eastAsia="Times New Roman" w:cstheme="minorHAnsi"/>
          <w:color w:val="000000"/>
          <w:lang w:eastAsia="en-GB"/>
        </w:rPr>
        <w:t>IPM-A</w:t>
      </w:r>
      <w:r>
        <w:rPr>
          <w:rFonts w:eastAsia="Times New Roman" w:cstheme="minorHAnsi"/>
          <w:color w:val="000000"/>
          <w:lang w:eastAsia="en-GB"/>
        </w:rPr>
        <w:t xml:space="preserve"> provides a </w:t>
      </w:r>
      <w:r w:rsidR="00347874">
        <w:rPr>
          <w:rFonts w:eastAsia="Times New Roman" w:cstheme="minorHAnsi"/>
          <w:color w:val="000000"/>
          <w:lang w:eastAsia="en-GB"/>
        </w:rPr>
        <w:t>detailed</w:t>
      </w:r>
      <w:r>
        <w:rPr>
          <w:rFonts w:eastAsia="Times New Roman" w:cstheme="minorHAnsi"/>
          <w:color w:val="000000"/>
          <w:lang w:eastAsia="en-GB"/>
        </w:rPr>
        <w:t xml:space="preserve"> picture of which communities are most vulnerable and what investments can be made to improve certain indicators. </w:t>
      </w:r>
      <w:r w:rsidR="00347874">
        <w:rPr>
          <w:rFonts w:eastAsia="Times New Roman" w:cstheme="minorHAnsi"/>
          <w:color w:val="000000"/>
          <w:lang w:eastAsia="en-GB"/>
        </w:rPr>
        <w:t xml:space="preserve">For example, </w:t>
      </w:r>
      <w:r>
        <w:rPr>
          <w:rFonts w:eastAsia="Times New Roman" w:cstheme="minorHAnsi"/>
          <w:color w:val="000000"/>
          <w:lang w:eastAsia="en-GB"/>
        </w:rPr>
        <w:t xml:space="preserve">70% of multidimensional poverty in the country is due to deprivation in terms of education and quality of life. Indicators such as nutrition, maternal health, civil registration and years of schooling also contribute to this number. The </w:t>
      </w:r>
      <w:r w:rsidR="00347874">
        <w:rPr>
          <w:rFonts w:eastAsia="Times New Roman" w:cstheme="minorHAnsi"/>
          <w:color w:val="000000"/>
          <w:lang w:eastAsia="en-GB"/>
        </w:rPr>
        <w:t>I</w:t>
      </w:r>
      <w:r>
        <w:rPr>
          <w:rFonts w:eastAsia="Times New Roman" w:cstheme="minorHAnsi"/>
          <w:color w:val="000000"/>
          <w:lang w:eastAsia="en-GB"/>
        </w:rPr>
        <w:t xml:space="preserve">MP-A confirms the disparities observed in the country. In urban areas, approximately 1 in 3 people (35% of the population) is multidimensionally poor, while in rural areas this figure increases to 9 out of 10 people (88% of the population). In Luanda, 23.7% of the population is multidimensionally poor, but in Bié, Cunene, Lunda Norte, Moxico, Cubango, Uíge, Huíla, Cuanza Sul and Huambo, multidimensional poverty affects at least 70% of the population </w:t>
      </w:r>
      <w:r w:rsidR="00347874">
        <w:rPr>
          <w:rFonts w:eastAsia="Times New Roman" w:cstheme="minorHAnsi"/>
          <w:color w:val="000000"/>
          <w:lang w:eastAsia="en-GB"/>
        </w:rPr>
        <w:t>in those</w:t>
      </w:r>
      <w:r>
        <w:rPr>
          <w:rFonts w:eastAsia="Times New Roman" w:cstheme="minorHAnsi"/>
          <w:color w:val="000000"/>
          <w:lang w:eastAsia="en-GB"/>
        </w:rPr>
        <w:t xml:space="preserve"> province</w:t>
      </w:r>
      <w:r w:rsidR="00347874">
        <w:rPr>
          <w:rFonts w:eastAsia="Times New Roman" w:cstheme="minorHAnsi"/>
          <w:color w:val="000000"/>
          <w:lang w:eastAsia="en-GB"/>
        </w:rPr>
        <w:t>s</w:t>
      </w:r>
      <w:r>
        <w:rPr>
          <w:rFonts w:eastAsia="Times New Roman" w:cstheme="minorHAnsi"/>
          <w:color w:val="000000"/>
          <w:lang w:eastAsia="en-GB"/>
        </w:rPr>
        <w:t>.</w:t>
      </w:r>
    </w:p>
    <w:p w14:paraId="1944E23A" w14:textId="4A97E542" w:rsidR="00DF56AE" w:rsidRDefault="001F29A1" w:rsidP="001412AD">
      <w:pPr>
        <w:jc w:val="both"/>
      </w:pPr>
      <w:r>
        <w:t>K</w:t>
      </w:r>
      <w:r w:rsidR="00347874">
        <w:t>ey driv</w:t>
      </w:r>
      <w:r w:rsidR="00EE4C28">
        <w:t>ers of</w:t>
      </w:r>
      <w:r w:rsidR="00347874">
        <w:t xml:space="preserve"> poverty in Angola </w:t>
      </w:r>
      <w:r>
        <w:t>are</w:t>
      </w:r>
      <w:r w:rsidR="00347874">
        <w:t xml:space="preserve"> u</w:t>
      </w:r>
      <w:r w:rsidR="00CA5F3E">
        <w:t>nemployment, especially youth empl</w:t>
      </w:r>
      <w:r w:rsidR="00A73EEA">
        <w:t>o</w:t>
      </w:r>
      <w:r w:rsidR="00CA5F3E">
        <w:t>yment</w:t>
      </w:r>
      <w:r w:rsidR="00EE4C28">
        <w:t xml:space="preserve">, the predominance of the informal economy, which largely </w:t>
      </w:r>
      <w:r>
        <w:t>has a female face</w:t>
      </w:r>
      <w:r w:rsidR="00EE4C28">
        <w:t>,</w:t>
      </w:r>
      <w:r w:rsidR="00DB2544">
        <w:t xml:space="preserve"> </w:t>
      </w:r>
      <w:r w:rsidR="001412AD">
        <w:t xml:space="preserve">and lack of social protection. </w:t>
      </w:r>
      <w:r w:rsidR="00E30E31">
        <w:t>In accordance with the Angola VNR, in the fourth quarter of 2020, the employed population aged 15 and over was estimated at 10</w:t>
      </w:r>
      <w:r w:rsidR="00667690">
        <w:t>.</w:t>
      </w:r>
      <w:r w:rsidR="00E30E31">
        <w:t xml:space="preserve">7 </w:t>
      </w:r>
      <w:r w:rsidR="00667690">
        <w:t xml:space="preserve">million </w:t>
      </w:r>
      <w:r w:rsidR="00E30E31">
        <w:t>people, with 5</w:t>
      </w:r>
      <w:r w:rsidR="00667690">
        <w:t>.</w:t>
      </w:r>
      <w:r w:rsidR="00E30E31">
        <w:t>3</w:t>
      </w:r>
      <w:r w:rsidR="00667690">
        <w:t xml:space="preserve"> million</w:t>
      </w:r>
      <w:r w:rsidR="00E30E31">
        <w:t xml:space="preserve"> men and 5</w:t>
      </w:r>
      <w:r w:rsidR="00667690">
        <w:t>.</w:t>
      </w:r>
      <w:r w:rsidR="00E30E31">
        <w:t xml:space="preserve">4 </w:t>
      </w:r>
      <w:r w:rsidR="00667690">
        <w:t xml:space="preserve">million </w:t>
      </w:r>
      <w:r w:rsidR="00E30E31">
        <w:t>women. The employment rate was estimated at 62.8%, and was significantly higher in the rural than in urban areas (79.4% and 51.4%, respectively). Informality predominates in rural areas</w:t>
      </w:r>
      <w:r w:rsidR="00667690">
        <w:t>,</w:t>
      </w:r>
      <w:r w:rsidR="00E30E31">
        <w:t xml:space="preserve"> (93.3%) among women</w:t>
      </w:r>
      <w:r w:rsidR="00667690">
        <w:t>,</w:t>
      </w:r>
      <w:r w:rsidR="00E30E31">
        <w:t xml:space="preserve"> (90.3%)</w:t>
      </w:r>
      <w:r w:rsidR="00667690">
        <w:t xml:space="preserve"> among men</w:t>
      </w:r>
      <w:r w:rsidR="00E30E31">
        <w:t xml:space="preserve"> and </w:t>
      </w:r>
      <w:r w:rsidR="00667690">
        <w:t>(</w:t>
      </w:r>
      <w:r w:rsidR="00E213BC">
        <w:t>7</w:t>
      </w:r>
      <w:r w:rsidR="00667690">
        <w:t xml:space="preserve">7.1%) </w:t>
      </w:r>
      <w:r w:rsidR="00E30E31">
        <w:t>among youth aged 15-24. The rate of informal employment in the non-agricultural sector, was about 59.9% in 2019, with women showing the highest rate, about 79.5%, compared to 43.7% among men. Due to the weight of the informal economy</w:t>
      </w:r>
      <w:r w:rsidR="00347874">
        <w:t>,</w:t>
      </w:r>
      <w:r w:rsidR="00E30E31">
        <w:t xml:space="preserve"> a significant part of the employed population is concentrated in informal sector activities with low compensating wages. </w:t>
      </w:r>
      <w:r w:rsidR="00717EE1">
        <w:t xml:space="preserve">The minimum wage has stagnated due to consumer price inflation (20% in 2020); the constant high inflation and stalled growth has resulted in stagflation. </w:t>
      </w:r>
    </w:p>
    <w:p w14:paraId="478B85D7" w14:textId="516E8DDB" w:rsidR="00E30E31" w:rsidRDefault="001202EB" w:rsidP="001412AD">
      <w:pPr>
        <w:jc w:val="both"/>
      </w:pPr>
      <w:r>
        <w:t>Poverty</w:t>
      </w:r>
      <w:r w:rsidR="00DF56AE">
        <w:t xml:space="preserve"> and </w:t>
      </w:r>
      <w:r>
        <w:t xml:space="preserve">lack of employment opportunities is aggravated by </w:t>
      </w:r>
      <w:r w:rsidR="00DF56AE">
        <w:t>limited availability of social protection and inequities. It is estimated that only 7.4% of the population has mandatory social protection, which in turn is also related to the wide extent of the informal economy – about eight out of every 10 people employed in Angola have an informal job</w:t>
      </w:r>
      <w:r w:rsidR="00DF56AE">
        <w:rPr>
          <w:rStyle w:val="FootnoteReference"/>
        </w:rPr>
        <w:footnoteReference w:id="17"/>
      </w:r>
      <w:r w:rsidR="00DF56AE">
        <w:t>.</w:t>
      </w:r>
    </w:p>
    <w:p w14:paraId="5680C1B5" w14:textId="49361A31" w:rsidR="007B234D" w:rsidRDefault="007B234D" w:rsidP="001412AD">
      <w:pPr>
        <w:jc w:val="both"/>
      </w:pPr>
      <w:r>
        <w:t>Income inequality is significant in Angola, and</w:t>
      </w:r>
      <w:r w:rsidR="006D5B2D">
        <w:t xml:space="preserve"> appears to be </w:t>
      </w:r>
      <w:r w:rsidR="00717EE1">
        <w:t xml:space="preserve">growing; the Gini coefficient </w:t>
      </w:r>
      <w:r w:rsidR="00E213BC">
        <w:t xml:space="preserve">was </w:t>
      </w:r>
      <w:r w:rsidR="00717EE1">
        <w:t>43 in 2004, but by 2018</w:t>
      </w:r>
      <w:r w:rsidR="00E213BC">
        <w:t xml:space="preserve"> it</w:t>
      </w:r>
      <w:r w:rsidR="00717EE1">
        <w:t xml:space="preserve"> had risen to 51.3. I</w:t>
      </w:r>
      <w:r>
        <w:t>t is estimated that the poorest quintile captures only 3.8% of the national income, while the richest quintile captures 55.6% of this income</w:t>
      </w:r>
      <w:r w:rsidR="00DF56AE">
        <w:rPr>
          <w:rStyle w:val="FootnoteReference"/>
        </w:rPr>
        <w:footnoteReference w:id="18"/>
      </w:r>
      <w:r>
        <w:t>. That is, the average income of a person in the richest quintile is 15 times higher than the average income of a person in the poorest quintile. Given this difference between the first and fifth quintile, inequality in Angola is high, reaching 0.51 in urban areas, as measured by the Gini index. There is more inequality in urban areas (0.48) than in rural areas (0.44). The World Bank estimates that in 2018 the richest 10% of Angola captured 39.6% of national income, while the poorest 10% captured only 1.3% of national income.</w:t>
      </w:r>
      <w:r w:rsidR="007F69E2">
        <w:t xml:space="preserve"> </w:t>
      </w:r>
      <w:r w:rsidR="00E213BC">
        <w:t xml:space="preserve">Angola thus </w:t>
      </w:r>
      <w:r w:rsidR="007F69E2">
        <w:t xml:space="preserve">ranks among the ten most unequal countries in the world. </w:t>
      </w:r>
    </w:p>
    <w:p w14:paraId="4C89805A" w14:textId="77777777" w:rsidR="00B20628" w:rsidRPr="00B20628" w:rsidRDefault="00B20628" w:rsidP="00B20628">
      <w:pPr>
        <w:pStyle w:val="Heading3"/>
        <w:rPr>
          <w:rFonts w:asciiTheme="minorHAnsi" w:hAnsiTheme="minorHAnsi" w:cstheme="minorHAnsi"/>
          <w:sz w:val="22"/>
          <w:szCs w:val="22"/>
        </w:rPr>
      </w:pPr>
      <w:bookmarkStart w:id="8" w:name="_Toc88741765"/>
      <w:r w:rsidRPr="00B20628">
        <w:rPr>
          <w:rFonts w:asciiTheme="minorHAnsi" w:hAnsiTheme="minorHAnsi" w:cstheme="minorHAnsi"/>
          <w:sz w:val="22"/>
          <w:szCs w:val="22"/>
        </w:rPr>
        <w:t>1.2.3 Social</w:t>
      </w:r>
      <w:bookmarkEnd w:id="8"/>
    </w:p>
    <w:p w14:paraId="783F73B0" w14:textId="15FECEEB" w:rsidR="00B20628" w:rsidRDefault="00E5199A" w:rsidP="00637689">
      <w:pPr>
        <w:jc w:val="both"/>
      </w:pPr>
      <w:r>
        <w:t xml:space="preserve">The government´s past efforts to improve social and economic conditions have started yielding some </w:t>
      </w:r>
      <w:r w:rsidR="00233AD2">
        <w:t xml:space="preserve">positive </w:t>
      </w:r>
      <w:r>
        <w:t>results</w:t>
      </w:r>
      <w:r w:rsidR="00233AD2">
        <w:t xml:space="preserve"> and </w:t>
      </w:r>
      <w:r>
        <w:t xml:space="preserve">Angola </w:t>
      </w:r>
      <w:r w:rsidR="00233AD2">
        <w:t xml:space="preserve">has </w:t>
      </w:r>
      <w:r w:rsidR="00347874">
        <w:t xml:space="preserve">attained </w:t>
      </w:r>
      <w:r>
        <w:t>medium Human Development Index</w:t>
      </w:r>
      <w:r w:rsidR="00347874">
        <w:t xml:space="preserve"> status</w:t>
      </w:r>
      <w:r>
        <w:t xml:space="preserve">. Among others, the mortality rate of children under five fell from almost 300 per 100,000 live births at the beginning of the </w:t>
      </w:r>
      <w:r>
        <w:lastRenderedPageBreak/>
        <w:t>century to around 68 in 2015. The net attendance rate for secondary education is situated at 39.9% (2019) and, between 1990 and 2019, the average life expectancy increased by 15.8 years to 61.2 years</w:t>
      </w:r>
      <w:r w:rsidR="008B588B">
        <w:rPr>
          <w:rStyle w:val="FootnoteReference"/>
        </w:rPr>
        <w:footnoteReference w:id="19"/>
      </w:r>
      <w:r>
        <w:t xml:space="preserve">. The country has also managed to make great strides in the eradication of hunger, reducing the prevalence of malnutrition from 52.2% (2004-2006) to 19% (2017-2019). However, </w:t>
      </w:r>
      <w:r w:rsidR="00192869">
        <w:t>Angola’s social indicators demonstrate significant development challenges. More recently, with the fall in oil prices, the country has experienced an economic recession, exacerbated by the pandemic of COVID-19, in a context where social protection is already significantly limited.</w:t>
      </w:r>
    </w:p>
    <w:p w14:paraId="66F7FB55" w14:textId="6B70D037" w:rsidR="003C5567" w:rsidRDefault="003C5567" w:rsidP="00637689">
      <w:pPr>
        <w:jc w:val="both"/>
      </w:pPr>
      <w:r>
        <w:t>Regarding health, the maternal mortality ratio measured in the 2015-2016 IIMS was 239 maternal deaths per 100,000 live births</w:t>
      </w:r>
      <w:r w:rsidR="00E213BC">
        <w:t xml:space="preserve">. In </w:t>
      </w:r>
      <w:r>
        <w:t xml:space="preserve">the first quarter of 2021, administrative data obtained </w:t>
      </w:r>
      <w:r w:rsidR="00E213BC">
        <w:t xml:space="preserve">from </w:t>
      </w:r>
      <w:r>
        <w:t>health facilities record 248 maternal deaths per 100,000 live births. According to MINSA data, the maternal mortality ratio increased from 291.97 per 100,000 live births in 2018 to 287.89 per 100,000 in 2019</w:t>
      </w:r>
      <w:r w:rsidR="009A336D">
        <w:rPr>
          <w:rStyle w:val="FootnoteReference"/>
        </w:rPr>
        <w:footnoteReference w:id="20"/>
      </w:r>
      <w:r>
        <w:t>.</w:t>
      </w:r>
      <w:r w:rsidR="007F69E2">
        <w:t xml:space="preserve"> Thus, the situation with respect to maternal deaths has remained stagnant.  </w:t>
      </w:r>
    </w:p>
    <w:p w14:paraId="48B2311B" w14:textId="1B2C36C9" w:rsidR="003C5567" w:rsidRDefault="005209F8" w:rsidP="00637689">
      <w:pPr>
        <w:jc w:val="both"/>
      </w:pPr>
      <w:r>
        <w:t>The HIV prevalence among 15-49 years old in Angola is 2%, with significant regional, gender and age variations</w:t>
      </w:r>
      <w:r w:rsidR="00E213BC">
        <w:t xml:space="preserve">; </w:t>
      </w:r>
      <w:r>
        <w:t>a higher prevalence is seen among women (2.6%) compared to men (1.2%)</w:t>
      </w:r>
      <w:r>
        <w:rPr>
          <w:rStyle w:val="FootnoteReference"/>
        </w:rPr>
        <w:footnoteReference w:id="21"/>
      </w:r>
      <w:r>
        <w:t>. In relation to age differences, nearly 1% of 15-24 years old are living with HIV. Seven (7) provinces are identified as high disease burden. A recent Integrated Behavioural and Biological Survey (IBBS) data among Key Populations (KP) show HIV prevalence of 7.8% among female sex workers (FSW) and 2.4% among men who have sex with men (MSM) in Luanda and Benguela provinces.</w:t>
      </w:r>
      <w:r w:rsidR="007F69E2">
        <w:t xml:space="preserve"> </w:t>
      </w:r>
      <w:r>
        <w:t>Angola remains among the 30 high TB burden countries globally and TB incidence rates remain high (370/100,000, and Treatment success rate</w:t>
      </w:r>
      <w:r w:rsidR="008057C4">
        <w:t xml:space="preserve">s </w:t>
      </w:r>
      <w:r>
        <w:t>are slowly increasing but remain low. High loss to follow up (LTFU, 22% in 2016) rates remain a major concern. MDR/RR-TB case notification is rising</w:t>
      </w:r>
      <w:r>
        <w:rPr>
          <w:rStyle w:val="FootnoteReference"/>
        </w:rPr>
        <w:footnoteReference w:id="22"/>
      </w:r>
      <w:r>
        <w:t>.</w:t>
      </w:r>
      <w:r w:rsidR="007F69E2">
        <w:t xml:space="preserve"> </w:t>
      </w:r>
      <w:r w:rsidR="003C5567">
        <w:t>During 2020 the malaria Incidence rate was 250/1,000 population, higher compared to the year 2019, which recorded 234/1,000 population. According to the National Malaria Control Program (2020), the rise in cases, is due to the reduction in integrated preventive interventions</w:t>
      </w:r>
      <w:r w:rsidR="00637689">
        <w:t>.</w:t>
      </w:r>
    </w:p>
    <w:p w14:paraId="37202445" w14:textId="53BB90F4" w:rsidR="00637689" w:rsidRDefault="003C5567" w:rsidP="00637689">
      <w:pPr>
        <w:jc w:val="both"/>
      </w:pPr>
      <w:r>
        <w:t>Severe food insecurity affects almost two million households, with rural areas and female-headed households being the most affected</w:t>
      </w:r>
      <w:r w:rsidR="009A336D">
        <w:rPr>
          <w:rStyle w:val="FootnoteReference"/>
        </w:rPr>
        <w:footnoteReference w:id="23"/>
      </w:r>
      <w:r>
        <w:t>. Malnutrition and micronutrient deficiencies are highly prevalent.</w:t>
      </w:r>
      <w:r w:rsidR="007F69E2">
        <w:t xml:space="preserve"> D</w:t>
      </w:r>
      <w:r w:rsidR="00637689">
        <w:t>ata from the Ministry of Education for the year 2020 indicate a net school attendance rate in primary education of 76.1%. As a consequence, at least 23.9% of children in the 6-11 age group are outside elementary school</w:t>
      </w:r>
      <w:r w:rsidR="009A336D">
        <w:rPr>
          <w:rStyle w:val="FootnoteReference"/>
        </w:rPr>
        <w:footnoteReference w:id="24"/>
      </w:r>
      <w:r w:rsidR="00637689">
        <w:t xml:space="preserve">. Despite continued efforts by the sector to increase the completion rate, retention in primary education is </w:t>
      </w:r>
      <w:r w:rsidR="009A336D">
        <w:t>low</w:t>
      </w:r>
      <w:r w:rsidR="00637689">
        <w:t>. 2019</w:t>
      </w:r>
      <w:r w:rsidR="00DF56AE">
        <w:t xml:space="preserve"> has</w:t>
      </w:r>
      <w:r w:rsidR="00637689">
        <w:t xml:space="preserve"> seen a growth in the completion rate for both genders, being 69.70% for girls and 79.97% for boys. </w:t>
      </w:r>
      <w:r w:rsidR="00CC6882">
        <w:t>R</w:t>
      </w:r>
      <w:r w:rsidR="00637689">
        <w:t xml:space="preserve">etention in the Lower Secondary Education </w:t>
      </w:r>
      <w:r w:rsidR="008057C4">
        <w:t xml:space="preserve">and Upper Secondary Education levels are </w:t>
      </w:r>
      <w:r w:rsidR="00637689">
        <w:t xml:space="preserve">still </w:t>
      </w:r>
      <w:r w:rsidR="009A336D">
        <w:t>low</w:t>
      </w:r>
      <w:r w:rsidR="00637689">
        <w:t xml:space="preserve">, as a result of grade </w:t>
      </w:r>
      <w:r w:rsidR="008057C4">
        <w:t>repetition. Gender p</w:t>
      </w:r>
      <w:r w:rsidR="00637689">
        <w:t>arity indices showed that school attendance rates by gender are relatively balanced, as per the 2015-2016 IIMS results.</w:t>
      </w:r>
    </w:p>
    <w:p w14:paraId="05773117" w14:textId="77777777" w:rsidR="00465817" w:rsidRDefault="008057C4" w:rsidP="00637689">
      <w:pPr>
        <w:jc w:val="both"/>
      </w:pPr>
      <w:r>
        <w:t>T</w:t>
      </w:r>
      <w:r w:rsidR="00637689">
        <w:t>he 2014 Census shows that 52% of the population are women</w:t>
      </w:r>
      <w:r w:rsidR="00DF56AE">
        <w:t>, but they face significant challenges</w:t>
      </w:r>
      <w:r w:rsidR="00637689">
        <w:t>.</w:t>
      </w:r>
      <w:r w:rsidR="00DF56AE">
        <w:t xml:space="preserve"> </w:t>
      </w:r>
      <w:r w:rsidR="00C9737F">
        <w:t xml:space="preserve">Updated data from the 2015-2016 IIMS </w:t>
      </w:r>
      <w:r>
        <w:t>showed</w:t>
      </w:r>
      <w:r w:rsidR="00C9737F">
        <w:t xml:space="preserve"> that 32% of women had experienced physical violence </w:t>
      </w:r>
      <w:r w:rsidR="00C9737F">
        <w:lastRenderedPageBreak/>
        <w:t>since the age of 15; 8% had experienced sexual violence and 34% of women aged 15-49 and married, had experienced marital, physical or sexual violence</w:t>
      </w:r>
      <w:r w:rsidR="00A22157">
        <w:t>.</w:t>
      </w:r>
      <w:r w:rsidR="00A22157">
        <w:rPr>
          <w:rStyle w:val="FootnoteReference"/>
        </w:rPr>
        <w:footnoteReference w:id="25"/>
      </w:r>
    </w:p>
    <w:p w14:paraId="2E8CC414" w14:textId="56585863" w:rsidR="00465817" w:rsidRDefault="00DF56AE" w:rsidP="00637689">
      <w:pPr>
        <w:jc w:val="both"/>
      </w:pPr>
      <w:r>
        <w:t xml:space="preserve">With regards to women’s employment, </w:t>
      </w:r>
      <w:r w:rsidR="00B673CE">
        <w:t>official data produced by INE for the fourth quarter of 2020 indicate that the unemployment rate in the population aged 15 or older, estimated at 30.6% is higher for women (32.1%) than for men (29.1%)</w:t>
      </w:r>
      <w:r w:rsidR="00A22157">
        <w:rPr>
          <w:rStyle w:val="FootnoteReference"/>
        </w:rPr>
        <w:footnoteReference w:id="26"/>
      </w:r>
      <w:r w:rsidR="00B673CE">
        <w:t>. The vast majority of employed people are in informal employment (74.5% in 2019), and this proportion is higher among women (79.5%) compared to men (43.7%). The majority of women and young girls are employed in the informal market, which due to the low level of literacy and technical formal education</w:t>
      </w:r>
      <w:r w:rsidR="00465817">
        <w:t xml:space="preserve">, </w:t>
      </w:r>
      <w:r w:rsidR="00B673CE">
        <w:t>relegates them to commercial and similar activities, which do not require higher qualification</w:t>
      </w:r>
      <w:r w:rsidR="008F447C">
        <w:t xml:space="preserve">. </w:t>
      </w:r>
    </w:p>
    <w:p w14:paraId="6F0E8750" w14:textId="48A2F48E" w:rsidR="00B673CE" w:rsidRDefault="00B673CE" w:rsidP="00637689">
      <w:pPr>
        <w:jc w:val="both"/>
      </w:pPr>
      <w:r>
        <w:t xml:space="preserve">Currently, women are represented </w:t>
      </w:r>
      <w:r w:rsidR="00233AD2">
        <w:t>at various levels of governance:</w:t>
      </w:r>
      <w:r>
        <w:t xml:space="preserve"> 29.6% in Parliament; 39% in Central Government, 12% are State Secretaries; 22.2% Provincial Governors, 19.5% Vice-Governors, 25.6% lead Municipal Administrations; 27.4% in diplomacy. In the Judiciary, they represent 34.4% in the Public Prosecution, 38% in the Judicial Magistracy, and 31% in the Legal Profession</w:t>
      </w:r>
      <w:r w:rsidR="00A22157">
        <w:rPr>
          <w:rStyle w:val="FootnoteReference"/>
        </w:rPr>
        <w:footnoteReference w:id="27"/>
      </w:r>
      <w:r>
        <w:t>. The legal and policy framework</w:t>
      </w:r>
      <w:r w:rsidR="00A22157">
        <w:t xml:space="preserve"> in Angola</w:t>
      </w:r>
      <w:r>
        <w:t xml:space="preserve"> is conducive to promoting gender equality and non-discrimination against women and girls and empowerment. It is also progressively aligned to signed and ratified international and regional </w:t>
      </w:r>
      <w:r w:rsidR="00A22157">
        <w:t>conventions</w:t>
      </w:r>
      <w:r>
        <w:t xml:space="preserve">. </w:t>
      </w:r>
      <w:r w:rsidR="00EE4C28">
        <w:t>However, t</w:t>
      </w:r>
      <w:r w:rsidR="00A22157">
        <w:t xml:space="preserve">o ensure </w:t>
      </w:r>
      <w:r>
        <w:t>the transformation of the gender situation in the country, implementation of existing legal and policy provisions need</w:t>
      </w:r>
      <w:r w:rsidR="00A22157">
        <w:t>s to be accelerated</w:t>
      </w:r>
      <w:r>
        <w:t>.</w:t>
      </w:r>
    </w:p>
    <w:p w14:paraId="6A7B225B" w14:textId="56291A52" w:rsidR="00DB2544" w:rsidRPr="00DB2544" w:rsidRDefault="00DB2544" w:rsidP="00DB2544">
      <w:pPr>
        <w:pStyle w:val="Heading3"/>
        <w:rPr>
          <w:rFonts w:asciiTheme="minorHAnsi" w:hAnsiTheme="minorHAnsi" w:cstheme="minorHAnsi"/>
          <w:sz w:val="22"/>
          <w:szCs w:val="22"/>
        </w:rPr>
      </w:pPr>
      <w:bookmarkStart w:id="9" w:name="_Toc88741766"/>
      <w:r w:rsidRPr="00DB2544">
        <w:rPr>
          <w:rFonts w:asciiTheme="minorHAnsi" w:hAnsiTheme="minorHAnsi" w:cstheme="minorHAnsi"/>
          <w:sz w:val="22"/>
          <w:szCs w:val="22"/>
        </w:rPr>
        <w:t>1.2.4 Environment and Climate Change</w:t>
      </w:r>
      <w:bookmarkEnd w:id="9"/>
    </w:p>
    <w:p w14:paraId="57EB199A" w14:textId="5C311EFB" w:rsidR="00845BDB" w:rsidRDefault="00264CB5" w:rsidP="001D2DA9">
      <w:pPr>
        <w:jc w:val="both"/>
      </w:pPr>
      <w:r>
        <w:t>Angola has vast renewable natural resources – forests,</w:t>
      </w:r>
      <w:r w:rsidR="00233AD2">
        <w:t xml:space="preserve"> land,</w:t>
      </w:r>
      <w:r>
        <w:t xml:space="preserve"> water, biodiversity, etc</w:t>
      </w:r>
      <w:r w:rsidR="00845BDB">
        <w:t>.</w:t>
      </w:r>
      <w:r>
        <w:t xml:space="preserve"> </w:t>
      </w:r>
      <w:r w:rsidR="00845BDB">
        <w:t>The terrestrial ecosystems (forest, river and agricultural) of Angola provide food, income, employment and work directly to more than 90% of the population through agro-livestock activities, fishing and aquaculture, hunting and forest exploitation. The country has 66.6 million hectares of forests and 58 million hectares of arable land. The sustainable management of renewable natural resources</w:t>
      </w:r>
      <w:r w:rsidR="00CC6882">
        <w:t xml:space="preserve"> </w:t>
      </w:r>
      <w:r w:rsidR="00845BDB">
        <w:t>has great potential to contribute to the diversification of the economy and can potentially lead to job creation and income generation at the national and local levels</w:t>
      </w:r>
      <w:r w:rsidR="00233AD2">
        <w:t>.</w:t>
      </w:r>
    </w:p>
    <w:p w14:paraId="47FEA05F" w14:textId="41C73C8D" w:rsidR="00845BDB" w:rsidRDefault="00845BDB" w:rsidP="00D02305">
      <w:pPr>
        <w:jc w:val="both"/>
      </w:pPr>
      <w:r>
        <w:t xml:space="preserve">However, </w:t>
      </w:r>
      <w:r w:rsidR="001D2DA9">
        <w:t xml:space="preserve">Angola has a climate vulnerability and readiness index of 37.4, thus </w:t>
      </w:r>
      <w:r w:rsidR="00465817">
        <w:t xml:space="preserve">making it </w:t>
      </w:r>
      <w:r w:rsidR="001D2DA9">
        <w:t>the 50th most vulnerable country to climate change and the ninth least prepared to act and combat its effects and consequences out of a total of 181 countries analysed in 2018</w:t>
      </w:r>
      <w:r>
        <w:rPr>
          <w:rStyle w:val="FootnoteReference"/>
        </w:rPr>
        <w:footnoteReference w:id="28"/>
      </w:r>
      <w:r w:rsidR="001D2DA9">
        <w:t>.</w:t>
      </w:r>
      <w:r>
        <w:t xml:space="preserve"> Thus</w:t>
      </w:r>
      <w:r w:rsidR="00D02305">
        <w:t>,</w:t>
      </w:r>
      <w:r>
        <w:t xml:space="preserve"> climate change and environmental degradation pose real challenges to the country’s growth and development.</w:t>
      </w:r>
      <w:r w:rsidR="00CC6882">
        <w:t xml:space="preserve"> </w:t>
      </w:r>
      <w:r>
        <w:t xml:space="preserve">Angola is </w:t>
      </w:r>
      <w:r w:rsidR="00CC6882">
        <w:t xml:space="preserve">reported to be </w:t>
      </w:r>
      <w:r>
        <w:t>the fourth country with the highest annual net forest loss (difference between forest created and destroyed) in the last decade (2010-2020), losing 555,000 hectares on average every year</w:t>
      </w:r>
      <w:r w:rsidR="00A22157">
        <w:rPr>
          <w:rStyle w:val="FootnoteReference"/>
        </w:rPr>
        <w:footnoteReference w:id="29"/>
      </w:r>
      <w:r>
        <w:t>. Woody biomass and charcoal continue to be one of the most used forms of energy in rural and urban Angola, representing an income generation in rural areas. However, the current lack of regulation of this sector generates serious environmental problems through uncontrolled deforestation.</w:t>
      </w:r>
    </w:p>
    <w:p w14:paraId="5487A5E1" w14:textId="4F209DC0" w:rsidR="00CA0CDB" w:rsidRDefault="00845BDB" w:rsidP="001D2DA9">
      <w:pPr>
        <w:jc w:val="both"/>
      </w:pPr>
      <w:r>
        <w:t xml:space="preserve">The droughts of 2012-2015 and 2019-2021 have affected millions of Angolans, especially those living in the southern regions of the country. On the other hand, torrential rains and floods have been the </w:t>
      </w:r>
      <w:r>
        <w:lastRenderedPageBreak/>
        <w:t>catastrophic events that have caused the most victims and material damage, especially in urban areas and in infrastructure, namely social infrastructure. The 2020-2021 drought, the worst in forty years in the southwest of the country, has brought severe consequences for crops, with losses of up to 40% of crops, and also for livestock survival by causing food shortages.</w:t>
      </w:r>
      <w:r w:rsidR="00CC6882">
        <w:t xml:space="preserve"> </w:t>
      </w:r>
      <w:r w:rsidR="00CA0CDB">
        <w:t>Environmental issues, especially disasters, affect women in a variety of ways. Because women suffer disproportionately from poverty, they will also suffer more when the effects of an unstable climate cause droughts or floods. While existing evidence emphasizes women’s vulnerability to climate change, there is also much that highlights that, women play an important role in supporting families and communities to mitigate the effects of and adapt to climate change.</w:t>
      </w:r>
    </w:p>
    <w:p w14:paraId="5E9D8A4E" w14:textId="0444318F" w:rsidR="00B20628" w:rsidRDefault="00374711" w:rsidP="00374711">
      <w:pPr>
        <w:jc w:val="both"/>
      </w:pPr>
      <w:r>
        <w:t>Angola is rich in water resources</w:t>
      </w:r>
      <w:r w:rsidR="00CC6882">
        <w:t xml:space="preserve"> and t</w:t>
      </w:r>
      <w:r>
        <w:t>he hydrographic network of Angola is quite dense</w:t>
      </w:r>
      <w:r w:rsidR="00CC6882">
        <w:t>. M</w:t>
      </w:r>
      <w:r>
        <w:t xml:space="preserve">ost of the underground water resources are found in the southwest of the country, more specifically in Cunene (40%), Namibe (30%) and Huíla (15%), making a total of 85%, and also in Benguela (7%) and Cabinda (3%). </w:t>
      </w:r>
      <w:r w:rsidR="00264CB5">
        <w:t xml:space="preserve">The </w:t>
      </w:r>
      <w:r w:rsidR="00A22157">
        <w:t xml:space="preserve">2021 </w:t>
      </w:r>
      <w:r w:rsidR="00264CB5">
        <w:t>VNR notes that Angola shares five International or Transboundary River Basins: Cunene, Cuvelai, Cubango/Okavango, Zaire/Congo and Zambezi. In this context, it is part of five international river basin commissions: Cuvelai Watercourse Commission (CUVECOM); the former Angola/Namibia Permanent Joint Technical Commission for the Development and Use of Cunene River Basin Resources (CTPC), now the Angola/ Botswana/Namibia Trinational Permanent Okavango River Basin Water Commission (OKACOM); the Congo-Ubangui-Sangha CICOS International Commission; and the Zambezi Watercourse Commission (ZAMCOM). The proportion of transboundary basins with an operational agreement for water cooperation is 79% in 2020 (100% of transboundary rivers and lakes and 15% of transboundary aquifers).</w:t>
      </w:r>
      <w:r w:rsidR="00A22157">
        <w:t xml:space="preserve"> Sustainable exploitation of these water resources can assist in drought mitigation and promote robust socio-economic development of the country.</w:t>
      </w:r>
    </w:p>
    <w:p w14:paraId="208BBC53" w14:textId="2550FABD" w:rsidR="00E5199A" w:rsidRPr="00E5199A" w:rsidRDefault="00E5199A" w:rsidP="00E5199A">
      <w:pPr>
        <w:pStyle w:val="Heading3"/>
        <w:rPr>
          <w:rFonts w:asciiTheme="minorHAnsi" w:hAnsiTheme="minorHAnsi" w:cstheme="minorHAnsi"/>
          <w:sz w:val="22"/>
          <w:szCs w:val="22"/>
        </w:rPr>
      </w:pPr>
      <w:bookmarkStart w:id="10" w:name="_Toc88741767"/>
      <w:r w:rsidRPr="00E5199A">
        <w:rPr>
          <w:rFonts w:asciiTheme="minorHAnsi" w:hAnsiTheme="minorHAnsi" w:cstheme="minorHAnsi"/>
          <w:sz w:val="22"/>
          <w:szCs w:val="22"/>
        </w:rPr>
        <w:t>1.2.5 Overall Conclusion</w:t>
      </w:r>
      <w:bookmarkEnd w:id="10"/>
    </w:p>
    <w:p w14:paraId="5652198A" w14:textId="42FC1C55" w:rsidR="001D709D" w:rsidRDefault="00E5199A" w:rsidP="00374711">
      <w:pPr>
        <w:jc w:val="both"/>
      </w:pPr>
      <w:r>
        <w:t>As noted in the V</w:t>
      </w:r>
      <w:r w:rsidR="00F06D11">
        <w:t xml:space="preserve">oluntary </w:t>
      </w:r>
      <w:r>
        <w:t>N</w:t>
      </w:r>
      <w:r w:rsidR="00F06D11">
        <w:t xml:space="preserve">ational </w:t>
      </w:r>
      <w:r>
        <w:t>R</w:t>
      </w:r>
      <w:r w:rsidR="00F06D11">
        <w:t>eport (2021)</w:t>
      </w:r>
      <w:r>
        <w:t xml:space="preserve">, Angola is endowed with important human and natural resources, essential for structural transformation and diversification and to enhance inclusive and sustainable productivity and prosperity, underpinned by solid institutions. </w:t>
      </w:r>
      <w:r w:rsidR="001D709D">
        <w:t>The country has made much progress, culminating in graduation to a middle-income country in February 2021. However, lack of economic diversification and overdependence on the oil sector, corruption, rigid state structures, high unemployment and endemic poverty recently aggravated by Covid-19 pandemic continue to pose serious challenges.</w:t>
      </w:r>
    </w:p>
    <w:p w14:paraId="2EAFE433" w14:textId="5652AEAD" w:rsidR="00E5199A" w:rsidRDefault="001D709D" w:rsidP="00374711">
      <w:pPr>
        <w:jc w:val="both"/>
      </w:pPr>
      <w:r>
        <w:t xml:space="preserve"> The government that came to power in 2017 is making a determined effort and has launched an ambitious programme of reform.  </w:t>
      </w:r>
      <w:r w:rsidR="00A22157">
        <w:t xml:space="preserve">However, to succeed, </w:t>
      </w:r>
      <w:r w:rsidR="00E5199A">
        <w:t xml:space="preserve">the reforms </w:t>
      </w:r>
      <w:r w:rsidR="00A22157">
        <w:t xml:space="preserve">must </w:t>
      </w:r>
      <w:r w:rsidR="00E5199A">
        <w:t xml:space="preserve">translate into an increase in quality/decent employment and a reduction in multidimensional poverty, which remains high, with more than half of Angolans living in this condition, especially in rural areas. </w:t>
      </w:r>
      <w:r w:rsidR="00A22157">
        <w:t xml:space="preserve">It is therefore necessary that measures are taken </w:t>
      </w:r>
      <w:r w:rsidR="00E5199A">
        <w:t>to improve inclusive access to services, including quality education, technical and professional training, drinking water, electricity, internet and credit, in general reducing the main inequalities, between urban and rural areas, and the econo</w:t>
      </w:r>
      <w:r w:rsidR="00A22157">
        <w:t>mic</w:t>
      </w:r>
      <w:r w:rsidR="00E5199A">
        <w:t>. The gender inequality index in 2019 was 0.536 and women and girls generally have less access to education, are more affected by HIV-AIDS, suffer more from gender violence, are less represented in decision</w:t>
      </w:r>
      <w:r w:rsidR="003E3296">
        <w:t xml:space="preserve"> </w:t>
      </w:r>
      <w:r w:rsidR="00E5199A">
        <w:t>making bodies and have lower access to employment.</w:t>
      </w:r>
      <w:r w:rsidR="003E3296">
        <w:t xml:space="preserve"> Advances in gender equality will therefore act as an important stimulus to growth and poverty reduction efforts in Angola.</w:t>
      </w:r>
    </w:p>
    <w:p w14:paraId="7B6712AE" w14:textId="621A4835" w:rsidR="00B20628" w:rsidRDefault="00B20628" w:rsidP="00B20628">
      <w:pPr>
        <w:pStyle w:val="Heading3"/>
        <w:rPr>
          <w:rFonts w:asciiTheme="minorHAnsi" w:hAnsiTheme="minorHAnsi" w:cstheme="minorHAnsi"/>
          <w:sz w:val="22"/>
          <w:szCs w:val="22"/>
        </w:rPr>
      </w:pPr>
      <w:bookmarkStart w:id="11" w:name="_Toc88741768"/>
      <w:r w:rsidRPr="00B20628">
        <w:rPr>
          <w:rFonts w:asciiTheme="minorHAnsi" w:hAnsiTheme="minorHAnsi" w:cstheme="minorHAnsi"/>
          <w:sz w:val="22"/>
          <w:szCs w:val="22"/>
        </w:rPr>
        <w:lastRenderedPageBreak/>
        <w:t>1.2.</w:t>
      </w:r>
      <w:r w:rsidR="00E5199A">
        <w:rPr>
          <w:rFonts w:asciiTheme="minorHAnsi" w:hAnsiTheme="minorHAnsi" w:cstheme="minorHAnsi"/>
          <w:sz w:val="22"/>
          <w:szCs w:val="22"/>
        </w:rPr>
        <w:t>6</w:t>
      </w:r>
      <w:r w:rsidRPr="00B20628">
        <w:rPr>
          <w:rFonts w:asciiTheme="minorHAnsi" w:hAnsiTheme="minorHAnsi" w:cstheme="minorHAnsi"/>
          <w:sz w:val="22"/>
          <w:szCs w:val="22"/>
        </w:rPr>
        <w:t xml:space="preserve"> </w:t>
      </w:r>
      <w:r w:rsidR="00550D51">
        <w:rPr>
          <w:rFonts w:asciiTheme="minorHAnsi" w:hAnsiTheme="minorHAnsi" w:cstheme="minorHAnsi"/>
          <w:sz w:val="22"/>
          <w:szCs w:val="22"/>
        </w:rPr>
        <w:t xml:space="preserve">Socio-economic impacts of </w:t>
      </w:r>
      <w:r w:rsidRPr="00B20628">
        <w:rPr>
          <w:rFonts w:asciiTheme="minorHAnsi" w:hAnsiTheme="minorHAnsi" w:cstheme="minorHAnsi"/>
          <w:sz w:val="22"/>
          <w:szCs w:val="22"/>
        </w:rPr>
        <w:t>Covid – 19</w:t>
      </w:r>
      <w:bookmarkEnd w:id="11"/>
      <w:r w:rsidRPr="00B20628">
        <w:rPr>
          <w:rFonts w:asciiTheme="minorHAnsi" w:hAnsiTheme="minorHAnsi" w:cstheme="minorHAnsi"/>
          <w:sz w:val="22"/>
          <w:szCs w:val="22"/>
        </w:rPr>
        <w:t xml:space="preserve"> </w:t>
      </w:r>
    </w:p>
    <w:p w14:paraId="29FF7B37" w14:textId="7A5C76E5" w:rsidR="00B02046" w:rsidRDefault="00CA0CDB" w:rsidP="00E30E31">
      <w:pPr>
        <w:jc w:val="both"/>
      </w:pPr>
      <w:r>
        <w:t xml:space="preserve">The Covid-19 pandemic has had a devastating impact world-wide, with </w:t>
      </w:r>
      <w:r w:rsidR="0039292B">
        <w:t>over</w:t>
      </w:r>
      <w:r>
        <w:t xml:space="preserve"> 2</w:t>
      </w:r>
      <w:r w:rsidR="0039292B">
        <w:t>5</w:t>
      </w:r>
      <w:r>
        <w:t xml:space="preserve">0 million infected and </w:t>
      </w:r>
      <w:r w:rsidR="0039292B">
        <w:t xml:space="preserve">over </w:t>
      </w:r>
      <w:r>
        <w:t>5 million fatalities. Although official figures show that the Africa region has</w:t>
      </w:r>
      <w:r w:rsidR="004F7D50">
        <w:t xml:space="preserve"> largely been spared and the worst fears have </w:t>
      </w:r>
      <w:r w:rsidR="00BC23A2">
        <w:t xml:space="preserve">so far </w:t>
      </w:r>
      <w:r w:rsidR="004F7D50">
        <w:t xml:space="preserve">not materialized, </w:t>
      </w:r>
      <w:r w:rsidR="00BC23A2">
        <w:t xml:space="preserve">all </w:t>
      </w:r>
      <w:r>
        <w:t xml:space="preserve">countries have suffered </w:t>
      </w:r>
      <w:r w:rsidR="00BC23A2">
        <w:t xml:space="preserve">to varying degrees </w:t>
      </w:r>
      <w:r>
        <w:t xml:space="preserve">from </w:t>
      </w:r>
      <w:r w:rsidR="00BC23A2">
        <w:t xml:space="preserve">the </w:t>
      </w:r>
      <w:r>
        <w:t>severe socio-economic consequences</w:t>
      </w:r>
      <w:r w:rsidR="004F7D50">
        <w:t xml:space="preserve"> of the pandemic</w:t>
      </w:r>
      <w:r>
        <w:t xml:space="preserve">. </w:t>
      </w:r>
      <w:r w:rsidR="004F7D50">
        <w:t>In Africa, t</w:t>
      </w:r>
      <w:r>
        <w:t xml:space="preserve">he </w:t>
      </w:r>
      <w:r w:rsidR="00B02046">
        <w:t xml:space="preserve">Southern Africa </w:t>
      </w:r>
      <w:r>
        <w:t>region i</w:t>
      </w:r>
      <w:r w:rsidR="00B02046">
        <w:t xml:space="preserve">s </w:t>
      </w:r>
      <w:r>
        <w:t xml:space="preserve">the </w:t>
      </w:r>
      <w:r w:rsidR="00B02046">
        <w:t xml:space="preserve">hardest hit by the pandemic, with economic contraction of 7% </w:t>
      </w:r>
      <w:r w:rsidR="008F3B77">
        <w:t xml:space="preserve">of GDP </w:t>
      </w:r>
      <w:r w:rsidR="00B02046">
        <w:t>in 2020</w:t>
      </w:r>
      <w:r w:rsidR="00B02046">
        <w:rPr>
          <w:rStyle w:val="FootnoteReference"/>
        </w:rPr>
        <w:footnoteReference w:id="30"/>
      </w:r>
      <w:r w:rsidR="00B02046">
        <w:t>.  However, the region is expected to grow by 3.2% in 2021 and 2.4% in 2022, as lockdowns ease and both consumer and business spending rebounds.</w:t>
      </w:r>
    </w:p>
    <w:p w14:paraId="34CFD32A" w14:textId="7A491404" w:rsidR="001E31A6" w:rsidRDefault="00CA0CDB" w:rsidP="00B070B6">
      <w:pPr>
        <w:jc w:val="both"/>
      </w:pPr>
      <w:r>
        <w:t>Covid-19 has had devasting impact on Angola</w:t>
      </w:r>
      <w:r w:rsidR="004F7D50">
        <w:t xml:space="preserve"> as reported in the joint UN-World Bank study</w:t>
      </w:r>
      <w:r w:rsidR="004F7D50">
        <w:rPr>
          <w:rStyle w:val="FootnoteReference"/>
        </w:rPr>
        <w:footnoteReference w:id="31"/>
      </w:r>
      <w:r w:rsidR="00C344DD">
        <w:rPr>
          <w:rStyle w:val="FootnoteReference"/>
        </w:rPr>
        <w:footnoteReference w:id="32"/>
      </w:r>
      <w:r w:rsidR="004F7D50">
        <w:t xml:space="preserve">. </w:t>
      </w:r>
      <w:r w:rsidR="00446F46">
        <w:t xml:space="preserve">The study showed that </w:t>
      </w:r>
      <w:r w:rsidR="00734643">
        <w:t xml:space="preserve">the COVID-19 pandemic is affecting Angola directly but also has a severe indirect impact on the Angolan economy through its impact on the global oil market. The pandemic is also aggravating the recessionary dynamic the Angolan economy has been experiencing since the end of 2015. </w:t>
      </w:r>
      <w:r w:rsidR="001A3DBA">
        <w:t>T</w:t>
      </w:r>
      <w:r w:rsidR="00734643">
        <w:t xml:space="preserve">he key socio-economic impacts </w:t>
      </w:r>
      <w:r w:rsidR="001A3DBA">
        <w:t xml:space="preserve">have been </w:t>
      </w:r>
      <w:r w:rsidR="00734643">
        <w:t xml:space="preserve">highlighted </w:t>
      </w:r>
      <w:r w:rsidR="001A3DBA">
        <w:t>in detail in these studies</w:t>
      </w:r>
      <w:r w:rsidR="00111C90">
        <w:t xml:space="preserve">: (i) </w:t>
      </w:r>
      <w:r w:rsidR="001B3673">
        <w:t>poverty rate could increase from 53.6 percent in 2019 to 56.4 percent in 2020, with the absolute number of Angolans living below the international poverty line of US$ 1.90 PPP per day increasing by 1.5 million to 18.5 million</w:t>
      </w:r>
      <w:r w:rsidR="00111C90">
        <w:t>;(ii) t</w:t>
      </w:r>
      <w:r w:rsidR="001B3673">
        <w:t>he pandemic is putting pressure on informal workers, which has increased since the pandemic - Informal employment rose to 79.6 percent of total employment in the third quarter of 2020, from 74.5 percent averaged in 2019. This corresponds to about 600,000 more people in informal employment, nearly 8 million people in total</w:t>
      </w:r>
      <w:r w:rsidR="00111C90">
        <w:t>; (iii) t</w:t>
      </w:r>
      <w:r w:rsidR="001B3673">
        <w:t>he impact of COVID-19 on health and education threatens to exacerbate multidimensional poverty. In 2015-2016, 54.0 percent of Angolans lived in multidimensional poverty according to the Angola’s Multidimensional Poverty Index. The impacts of COVID-19 on health, education, and employment are threatening to exacerbate those deprivations</w:t>
      </w:r>
      <w:r w:rsidR="00B070B6">
        <w:t>; (i) i</w:t>
      </w:r>
      <w:r w:rsidR="001E31A6">
        <w:t>nequality has risen over the past decade and will remain a major obstacle to boosting an inclusive economic recovery post-</w:t>
      </w:r>
      <w:proofErr w:type="gramStart"/>
      <w:r w:rsidR="001E31A6">
        <w:t>pandemic</w:t>
      </w:r>
      <w:r w:rsidR="00B070B6">
        <w:t>;  and</w:t>
      </w:r>
      <w:proofErr w:type="gramEnd"/>
      <w:r w:rsidR="00B070B6">
        <w:t xml:space="preserve"> t</w:t>
      </w:r>
      <w:r w:rsidR="001E31A6">
        <w:t>he increase in poverty, fiscal constraints, and the interruption of learning caused by the COVID-19 crisis threaten to weaken Angola’s human capital even further.</w:t>
      </w:r>
    </w:p>
    <w:p w14:paraId="5F7C8951" w14:textId="053F9324" w:rsidR="00755306" w:rsidRDefault="00755306" w:rsidP="00755306">
      <w:pPr>
        <w:jc w:val="both"/>
      </w:pPr>
      <w:r>
        <w:t xml:space="preserve">The study highlights a number of </w:t>
      </w:r>
      <w:r w:rsidR="00C25AF9">
        <w:t>policies</w:t>
      </w:r>
      <w:r>
        <w:t xml:space="preserve"> </w:t>
      </w:r>
      <w:r w:rsidR="00BC23A2">
        <w:t xml:space="preserve">the </w:t>
      </w:r>
      <w:r>
        <w:t xml:space="preserve">government of Angola has taken to mitigate the situation, namely: actions to limit spread of the disease; measures to alleviate negative impacts on businesses; cash transfer as a key measure to alleviate poverty; measures to boost credit availability; review and alignment of the NDP; revision of the national budget; </w:t>
      </w:r>
      <w:r w:rsidR="0012425A">
        <w:t xml:space="preserve">fiscal reform; </w:t>
      </w:r>
      <w:r w:rsidR="00EC53CA">
        <w:t>re-</w:t>
      </w:r>
      <w:r w:rsidR="0012425A">
        <w:t>negotiat</w:t>
      </w:r>
      <w:r w:rsidR="00EC53CA">
        <w:t>ion of the country’s</w:t>
      </w:r>
      <w:r w:rsidR="0012425A">
        <w:t xml:space="preserve"> </w:t>
      </w:r>
      <w:r w:rsidR="00DC7B30">
        <w:t>longer-term</w:t>
      </w:r>
      <w:r w:rsidR="0012425A">
        <w:t xml:space="preserve"> debt </w:t>
      </w:r>
      <w:r w:rsidR="00EC53CA">
        <w:t xml:space="preserve">and </w:t>
      </w:r>
      <w:r w:rsidR="0012425A">
        <w:t>reprofiling; and continued progress on privatization.</w:t>
      </w:r>
    </w:p>
    <w:p w14:paraId="6B2E2B6E" w14:textId="77777777" w:rsidR="00CA0CDB" w:rsidRDefault="00CA0CDB" w:rsidP="00E30E31">
      <w:pPr>
        <w:jc w:val="both"/>
      </w:pPr>
    </w:p>
    <w:p w14:paraId="70953AC1" w14:textId="4926A8FF" w:rsidR="00CA0CDB" w:rsidRPr="00B02046" w:rsidRDefault="00CA0CDB" w:rsidP="00E30E31">
      <w:pPr>
        <w:jc w:val="both"/>
        <w:sectPr w:rsidR="00CA0CDB" w:rsidRPr="00B02046" w:rsidSect="00146D4C">
          <w:pgSz w:w="12240" w:h="15840"/>
          <w:pgMar w:top="1440" w:right="1440" w:bottom="1440" w:left="1440" w:header="720" w:footer="720" w:gutter="0"/>
          <w:cols w:space="720"/>
          <w:docGrid w:linePitch="360"/>
        </w:sectPr>
      </w:pPr>
    </w:p>
    <w:p w14:paraId="0CF24258" w14:textId="173B3B6C" w:rsidR="00241228" w:rsidRDefault="00241228" w:rsidP="00241228">
      <w:pPr>
        <w:pStyle w:val="Heading1"/>
        <w:numPr>
          <w:ilvl w:val="0"/>
          <w:numId w:val="1"/>
        </w:numPr>
        <w:rPr>
          <w:rFonts w:asciiTheme="minorHAnsi" w:hAnsiTheme="minorHAnsi" w:cstheme="minorHAnsi"/>
          <w:sz w:val="22"/>
          <w:szCs w:val="22"/>
        </w:rPr>
      </w:pPr>
      <w:bookmarkStart w:id="12" w:name="_Toc88741769"/>
      <w:r w:rsidRPr="00241228">
        <w:rPr>
          <w:rFonts w:asciiTheme="minorHAnsi" w:hAnsiTheme="minorHAnsi" w:cstheme="minorHAnsi"/>
          <w:sz w:val="22"/>
          <w:szCs w:val="22"/>
        </w:rPr>
        <w:lastRenderedPageBreak/>
        <w:t>Overview of UNDP Angola C</w:t>
      </w:r>
      <w:r w:rsidR="00550D51">
        <w:rPr>
          <w:rFonts w:asciiTheme="minorHAnsi" w:hAnsiTheme="minorHAnsi" w:cstheme="minorHAnsi"/>
          <w:sz w:val="22"/>
          <w:szCs w:val="22"/>
        </w:rPr>
        <w:t>ountry Programme</w:t>
      </w:r>
      <w:bookmarkEnd w:id="12"/>
      <w:r w:rsidRPr="00241228">
        <w:rPr>
          <w:rFonts w:asciiTheme="minorHAnsi" w:hAnsiTheme="minorHAnsi" w:cstheme="minorHAnsi"/>
          <w:sz w:val="22"/>
          <w:szCs w:val="22"/>
        </w:rPr>
        <w:t xml:space="preserve"> </w:t>
      </w:r>
    </w:p>
    <w:p w14:paraId="316E3665" w14:textId="0EDDE235" w:rsidR="00C73091" w:rsidRDefault="00C73091" w:rsidP="00C73091">
      <w:pPr>
        <w:jc w:val="both"/>
      </w:pPr>
      <w:r>
        <w:t xml:space="preserve">Three complementary priorities define the </w:t>
      </w:r>
      <w:r w:rsidR="00BC23A2">
        <w:t xml:space="preserve">UNDP Angola Country programme for the period </w:t>
      </w:r>
      <w:r>
        <w:t xml:space="preserve">2020-2022: </w:t>
      </w:r>
    </w:p>
    <w:p w14:paraId="6C297CEE" w14:textId="77777777" w:rsidR="00C73091" w:rsidRDefault="00C73091" w:rsidP="001C3CEC">
      <w:pPr>
        <w:pStyle w:val="ListParagraph"/>
        <w:numPr>
          <w:ilvl w:val="0"/>
          <w:numId w:val="3"/>
        </w:numPr>
        <w:jc w:val="both"/>
      </w:pPr>
      <w:r>
        <w:t xml:space="preserve">fostering poverty eradication and inclusive economic growth; </w:t>
      </w:r>
    </w:p>
    <w:p w14:paraId="0EAAB82A" w14:textId="77777777" w:rsidR="00C73091" w:rsidRDefault="00C73091" w:rsidP="001C3CEC">
      <w:pPr>
        <w:pStyle w:val="ListParagraph"/>
        <w:numPr>
          <w:ilvl w:val="0"/>
          <w:numId w:val="3"/>
        </w:numPr>
        <w:jc w:val="both"/>
      </w:pPr>
      <w:r>
        <w:t xml:space="preserve">increasing resilience to shocks and crises and enhancing management of natural resources for conservation and economic development; and </w:t>
      </w:r>
    </w:p>
    <w:p w14:paraId="4667E6EB" w14:textId="77777777" w:rsidR="00C73091" w:rsidRDefault="00C73091" w:rsidP="001C3CEC">
      <w:pPr>
        <w:pStyle w:val="ListParagraph"/>
        <w:numPr>
          <w:ilvl w:val="0"/>
          <w:numId w:val="3"/>
        </w:numPr>
        <w:jc w:val="both"/>
      </w:pPr>
      <w:r>
        <w:t xml:space="preserve">strengthening inclusive democracy, human rights, justice and rule of law. </w:t>
      </w:r>
    </w:p>
    <w:p w14:paraId="1B12A009" w14:textId="253AE625" w:rsidR="00C73091" w:rsidRDefault="00C73091" w:rsidP="00C73091">
      <w:pPr>
        <w:jc w:val="both"/>
      </w:pPr>
      <w:r>
        <w:t xml:space="preserve">The components of these three priority areas are based on the assumption that – if poverty eradication and inclusive economic growth are promoted, resilience is reinforced, and participatory and inclusive governance is strengthened – Angola will be able to accelerate its human development progress, end poverty in all its forms and reduce inequalities. The country programme </w:t>
      </w:r>
      <w:r w:rsidR="00E64C58">
        <w:t>aims to</w:t>
      </w:r>
      <w:r>
        <w:t xml:space="preserve"> support Angola in effectively managing its development resources and bolstering the voice of those furthest behind and their ability to hold government accountable. It will do this while building their resilience to shocks and crises through effective disaster and climate risk management, and increasing their access to inclusive, equitable employment. Within the three programme components, UNDP will support the Government on the overarching national objective in the NDP, 2018-2022, of maintaining stability and peace.</w:t>
      </w:r>
    </w:p>
    <w:p w14:paraId="7C285D4D" w14:textId="79CF3598" w:rsidR="00B20628" w:rsidRPr="00B20628" w:rsidRDefault="00B20628" w:rsidP="00B20628">
      <w:pPr>
        <w:pStyle w:val="Heading2"/>
        <w:rPr>
          <w:rFonts w:asciiTheme="minorHAnsi" w:hAnsiTheme="minorHAnsi" w:cstheme="minorHAnsi"/>
          <w:sz w:val="22"/>
          <w:szCs w:val="22"/>
        </w:rPr>
      </w:pPr>
      <w:bookmarkStart w:id="13" w:name="_Toc88741770"/>
      <w:r w:rsidRPr="00B20628">
        <w:rPr>
          <w:rFonts w:asciiTheme="minorHAnsi" w:hAnsiTheme="minorHAnsi" w:cstheme="minorHAnsi"/>
          <w:sz w:val="22"/>
          <w:szCs w:val="22"/>
        </w:rPr>
        <w:t xml:space="preserve">2.1 </w:t>
      </w:r>
      <w:r w:rsidR="00C73091">
        <w:rPr>
          <w:rFonts w:asciiTheme="minorHAnsi" w:hAnsiTheme="minorHAnsi" w:cstheme="minorHAnsi"/>
          <w:sz w:val="22"/>
          <w:szCs w:val="22"/>
        </w:rPr>
        <w:t xml:space="preserve">The </w:t>
      </w:r>
      <w:r w:rsidR="00CA4AAA">
        <w:rPr>
          <w:rFonts w:asciiTheme="minorHAnsi" w:hAnsiTheme="minorHAnsi" w:cstheme="minorHAnsi"/>
          <w:sz w:val="22"/>
          <w:szCs w:val="22"/>
        </w:rPr>
        <w:t>UNDP</w:t>
      </w:r>
      <w:r w:rsidR="00C73091">
        <w:rPr>
          <w:rFonts w:asciiTheme="minorHAnsi" w:hAnsiTheme="minorHAnsi" w:cstheme="minorHAnsi"/>
          <w:sz w:val="22"/>
          <w:szCs w:val="22"/>
        </w:rPr>
        <w:t xml:space="preserve"> Project Portfolio</w:t>
      </w:r>
      <w:bookmarkEnd w:id="13"/>
      <w:r>
        <w:rPr>
          <w:rFonts w:asciiTheme="minorHAnsi" w:hAnsiTheme="minorHAnsi" w:cstheme="minorHAnsi"/>
          <w:sz w:val="22"/>
          <w:szCs w:val="22"/>
        </w:rPr>
        <w:t xml:space="preserve"> </w:t>
      </w:r>
    </w:p>
    <w:p w14:paraId="7B48FECE" w14:textId="25B0652D" w:rsidR="00550C2D" w:rsidRDefault="00550C2D" w:rsidP="00550C2D">
      <w:pPr>
        <w:jc w:val="both"/>
      </w:pPr>
      <w:r>
        <w:t xml:space="preserve">A total of 24 projects are being implemented under the current </w:t>
      </w:r>
      <w:r w:rsidR="00BC23A2">
        <w:t xml:space="preserve">UNDP </w:t>
      </w:r>
      <w:r>
        <w:t>C</w:t>
      </w:r>
      <w:r w:rsidR="00BC23A2">
        <w:t xml:space="preserve">ountry </w:t>
      </w:r>
      <w:r>
        <w:t>P</w:t>
      </w:r>
      <w:r w:rsidR="00BC23A2">
        <w:t>rogramme.</w:t>
      </w:r>
      <w:r>
        <w:t xml:space="preserve"> The portfolio is evenly distributed across the three outcomes/programme clusters in terms of number of projects: Poverty/inclusive growth (6 - without the Global Fund), Environment (7), and Governance (6). The Global Fund Portfolio has 4 projects under implementation, while the Accelerator Lab has one activity. </w:t>
      </w:r>
      <w:r>
        <w:rPr>
          <w:lang w:val="en-US"/>
        </w:rPr>
        <w:t xml:space="preserve">All </w:t>
      </w:r>
      <w:r w:rsidR="00E64C58">
        <w:rPr>
          <w:lang w:val="en-US"/>
        </w:rPr>
        <w:t xml:space="preserve">the </w:t>
      </w:r>
      <w:r>
        <w:rPr>
          <w:lang w:val="en-US"/>
        </w:rPr>
        <w:t xml:space="preserve">relevant projects being implemented in the context of the current CPD are listed in Annex </w:t>
      </w:r>
      <w:r w:rsidR="001728A0">
        <w:rPr>
          <w:lang w:val="en-US"/>
        </w:rPr>
        <w:t>1</w:t>
      </w:r>
      <w:r>
        <w:rPr>
          <w:lang w:val="en-US"/>
        </w:rPr>
        <w:t>.</w:t>
      </w:r>
    </w:p>
    <w:p w14:paraId="5A5051F3" w14:textId="25CF673F" w:rsidR="00B20628" w:rsidRPr="00B20628" w:rsidRDefault="00B20628" w:rsidP="00B20628">
      <w:pPr>
        <w:pStyle w:val="Heading2"/>
        <w:rPr>
          <w:rFonts w:asciiTheme="minorHAnsi" w:hAnsiTheme="minorHAnsi" w:cstheme="minorHAnsi"/>
          <w:sz w:val="22"/>
          <w:szCs w:val="22"/>
        </w:rPr>
      </w:pPr>
      <w:bookmarkStart w:id="14" w:name="_Toc88741771"/>
      <w:r w:rsidRPr="00B20628">
        <w:rPr>
          <w:rFonts w:asciiTheme="minorHAnsi" w:hAnsiTheme="minorHAnsi" w:cstheme="minorHAnsi"/>
          <w:sz w:val="22"/>
          <w:szCs w:val="22"/>
        </w:rPr>
        <w:t xml:space="preserve">2.2 </w:t>
      </w:r>
      <w:r w:rsidR="00CA4AAA">
        <w:rPr>
          <w:rFonts w:asciiTheme="minorHAnsi" w:hAnsiTheme="minorHAnsi" w:cstheme="minorHAnsi"/>
          <w:sz w:val="22"/>
          <w:szCs w:val="22"/>
        </w:rPr>
        <w:t>UNDP</w:t>
      </w:r>
      <w:r w:rsidR="00550C2D">
        <w:rPr>
          <w:rFonts w:asciiTheme="minorHAnsi" w:hAnsiTheme="minorHAnsi" w:cstheme="minorHAnsi"/>
          <w:sz w:val="22"/>
          <w:szCs w:val="22"/>
        </w:rPr>
        <w:t xml:space="preserve"> </w:t>
      </w:r>
      <w:r w:rsidRPr="00B20628">
        <w:rPr>
          <w:rFonts w:asciiTheme="minorHAnsi" w:hAnsiTheme="minorHAnsi" w:cstheme="minorHAnsi"/>
          <w:sz w:val="22"/>
          <w:szCs w:val="22"/>
        </w:rPr>
        <w:t>Programme Resources</w:t>
      </w:r>
      <w:bookmarkEnd w:id="14"/>
    </w:p>
    <w:p w14:paraId="72052138" w14:textId="7F086765" w:rsidR="00550C2D" w:rsidRPr="004518B9" w:rsidRDefault="00550C2D" w:rsidP="00550C2D">
      <w:pPr>
        <w:jc w:val="both"/>
        <w:rPr>
          <w:lang w:val="en-US"/>
        </w:rPr>
      </w:pPr>
      <w:r>
        <w:rPr>
          <w:lang w:val="en-US"/>
        </w:rPr>
        <w:t xml:space="preserve">Analysis of the UNDP programme resources is presented in </w:t>
      </w:r>
      <w:r>
        <w:t>Tables 1</w:t>
      </w:r>
      <w:r w:rsidR="00EC4303">
        <w:t xml:space="preserve">, </w:t>
      </w:r>
      <w:r>
        <w:t xml:space="preserve">2 </w:t>
      </w:r>
      <w:r w:rsidR="00EC4303">
        <w:t xml:space="preserve">and 3, </w:t>
      </w:r>
      <w:r>
        <w:t>and Figure 1 below.</w:t>
      </w:r>
    </w:p>
    <w:p w14:paraId="49D864EB" w14:textId="77777777" w:rsidR="00550C2D" w:rsidRPr="00161DF4" w:rsidRDefault="00550C2D" w:rsidP="00550C2D">
      <w:pPr>
        <w:jc w:val="both"/>
        <w:rPr>
          <w:b/>
          <w:bCs/>
        </w:rPr>
      </w:pPr>
      <w:r w:rsidRPr="00161DF4">
        <w:rPr>
          <w:b/>
          <w:bCs/>
        </w:rPr>
        <w:t>Table 1: Summary of UNDP Project Portfolio</w:t>
      </w:r>
    </w:p>
    <w:tbl>
      <w:tblPr>
        <w:tblW w:w="9032" w:type="dxa"/>
        <w:tblInd w:w="40" w:type="dxa"/>
        <w:tblCellMar>
          <w:left w:w="70" w:type="dxa"/>
          <w:right w:w="70" w:type="dxa"/>
        </w:tblCellMar>
        <w:tblLook w:val="04A0" w:firstRow="1" w:lastRow="0" w:firstColumn="1" w:lastColumn="0" w:noHBand="0" w:noVBand="1"/>
      </w:tblPr>
      <w:tblGrid>
        <w:gridCol w:w="3580"/>
        <w:gridCol w:w="1645"/>
        <w:gridCol w:w="1833"/>
        <w:gridCol w:w="1974"/>
      </w:tblGrid>
      <w:tr w:rsidR="000365C0" w:rsidRPr="00CD2D3E" w14:paraId="0E2F76D5" w14:textId="77777777" w:rsidTr="00311629">
        <w:trPr>
          <w:trHeight w:val="300"/>
        </w:trPr>
        <w:tc>
          <w:tcPr>
            <w:tcW w:w="7058" w:type="dxa"/>
            <w:gridSpan w:val="3"/>
            <w:tcBorders>
              <w:top w:val="nil"/>
              <w:left w:val="nil"/>
              <w:bottom w:val="single" w:sz="8" w:space="0" w:color="999999"/>
              <w:right w:val="nil"/>
            </w:tcBorders>
            <w:shd w:val="clear" w:color="auto" w:fill="auto"/>
            <w:noWrap/>
            <w:vAlign w:val="center"/>
            <w:hideMark/>
          </w:tcPr>
          <w:p w14:paraId="0DD06D8E" w14:textId="77777777" w:rsidR="000365C0" w:rsidRPr="00CD2D3E" w:rsidRDefault="000365C0" w:rsidP="00311629">
            <w:pPr>
              <w:spacing w:after="0" w:line="240" w:lineRule="auto"/>
              <w:rPr>
                <w:rFonts w:ascii="Calibri" w:eastAsia="Times New Roman" w:hAnsi="Calibri" w:cs="Calibri"/>
                <w:color w:val="000000"/>
                <w:sz w:val="20"/>
                <w:szCs w:val="20"/>
                <w:lang w:eastAsia="pt-PT"/>
              </w:rPr>
            </w:pPr>
            <w:r w:rsidRPr="00CD2D3E">
              <w:rPr>
                <w:rFonts w:ascii="Calibri" w:eastAsia="Times New Roman" w:hAnsi="Calibri" w:cs="Calibri"/>
                <w:color w:val="4F81BD" w:themeColor="accent1"/>
                <w:sz w:val="20"/>
                <w:szCs w:val="20"/>
                <w:lang w:eastAsia="pt-PT"/>
              </w:rPr>
              <w:t>Table 1:  Summary of UNDP Project Portfolio</w:t>
            </w:r>
          </w:p>
        </w:tc>
        <w:tc>
          <w:tcPr>
            <w:tcW w:w="1974" w:type="dxa"/>
            <w:tcBorders>
              <w:top w:val="nil"/>
              <w:left w:val="nil"/>
              <w:bottom w:val="nil"/>
              <w:right w:val="nil"/>
            </w:tcBorders>
            <w:shd w:val="clear" w:color="auto" w:fill="auto"/>
            <w:noWrap/>
            <w:vAlign w:val="bottom"/>
            <w:hideMark/>
          </w:tcPr>
          <w:p w14:paraId="100796C3" w14:textId="77777777" w:rsidR="000365C0" w:rsidRPr="00CD2D3E" w:rsidRDefault="000365C0" w:rsidP="00311629">
            <w:pPr>
              <w:spacing w:after="0" w:line="240" w:lineRule="auto"/>
              <w:rPr>
                <w:rFonts w:ascii="Calibri" w:eastAsia="Times New Roman" w:hAnsi="Calibri" w:cs="Calibri"/>
                <w:color w:val="000000"/>
                <w:sz w:val="20"/>
                <w:szCs w:val="20"/>
                <w:lang w:eastAsia="pt-PT"/>
              </w:rPr>
            </w:pPr>
          </w:p>
        </w:tc>
      </w:tr>
      <w:tr w:rsidR="000365C0" w:rsidRPr="00CD2D3E" w14:paraId="6018835E" w14:textId="77777777" w:rsidTr="00311629">
        <w:trPr>
          <w:trHeight w:val="300"/>
        </w:trPr>
        <w:tc>
          <w:tcPr>
            <w:tcW w:w="3580" w:type="dxa"/>
            <w:tcBorders>
              <w:top w:val="nil"/>
              <w:left w:val="single" w:sz="8" w:space="0" w:color="999999"/>
              <w:bottom w:val="single" w:sz="12" w:space="0" w:color="666666"/>
              <w:right w:val="single" w:sz="8" w:space="0" w:color="999999"/>
            </w:tcBorders>
            <w:shd w:val="clear" w:color="auto" w:fill="auto"/>
            <w:vAlign w:val="center"/>
            <w:hideMark/>
          </w:tcPr>
          <w:p w14:paraId="4DEE8180" w14:textId="77777777" w:rsidR="000365C0" w:rsidRPr="00CD2D3E" w:rsidRDefault="000365C0" w:rsidP="00311629">
            <w:pPr>
              <w:spacing w:after="0" w:line="240" w:lineRule="auto"/>
              <w:jc w:val="both"/>
              <w:rPr>
                <w:rFonts w:ascii="Calibri" w:eastAsia="Times New Roman" w:hAnsi="Calibri" w:cs="Calibri"/>
                <w:b/>
                <w:bCs/>
                <w:color w:val="000000"/>
                <w:sz w:val="20"/>
                <w:szCs w:val="20"/>
                <w:lang w:eastAsia="pt-PT"/>
              </w:rPr>
            </w:pPr>
            <w:r w:rsidRPr="00CD2D3E">
              <w:rPr>
                <w:rFonts w:ascii="Calibri" w:eastAsia="Times New Roman" w:hAnsi="Calibri" w:cs="Calibri"/>
                <w:b/>
                <w:bCs/>
                <w:color w:val="000000"/>
                <w:sz w:val="20"/>
                <w:szCs w:val="20"/>
                <w:lang w:eastAsia="pt-PT"/>
              </w:rPr>
              <w:t>Programme Cluster/Outcome</w:t>
            </w:r>
          </w:p>
        </w:tc>
        <w:tc>
          <w:tcPr>
            <w:tcW w:w="1645" w:type="dxa"/>
            <w:tcBorders>
              <w:top w:val="nil"/>
              <w:left w:val="nil"/>
              <w:bottom w:val="single" w:sz="12" w:space="0" w:color="666666"/>
              <w:right w:val="single" w:sz="8" w:space="0" w:color="999999"/>
            </w:tcBorders>
            <w:shd w:val="clear" w:color="auto" w:fill="auto"/>
            <w:vAlign w:val="center"/>
            <w:hideMark/>
          </w:tcPr>
          <w:p w14:paraId="51EAE736" w14:textId="77777777" w:rsidR="000365C0" w:rsidRPr="00CD2D3E" w:rsidRDefault="000365C0" w:rsidP="00311629">
            <w:pPr>
              <w:spacing w:after="0" w:line="240" w:lineRule="auto"/>
              <w:jc w:val="both"/>
              <w:rPr>
                <w:rFonts w:ascii="Calibri" w:eastAsia="Times New Roman" w:hAnsi="Calibri" w:cs="Calibri"/>
                <w:b/>
                <w:bCs/>
                <w:color w:val="000000"/>
                <w:sz w:val="20"/>
                <w:szCs w:val="20"/>
                <w:lang w:eastAsia="pt-PT"/>
              </w:rPr>
            </w:pPr>
            <w:r w:rsidRPr="00CD2D3E">
              <w:rPr>
                <w:rFonts w:ascii="Calibri" w:eastAsia="Times New Roman" w:hAnsi="Calibri" w:cs="Calibri"/>
                <w:b/>
                <w:bCs/>
                <w:color w:val="000000"/>
                <w:sz w:val="20"/>
                <w:szCs w:val="20"/>
                <w:lang w:eastAsia="pt-PT"/>
              </w:rPr>
              <w:t>No. of Projects</w:t>
            </w:r>
          </w:p>
        </w:tc>
        <w:tc>
          <w:tcPr>
            <w:tcW w:w="1833" w:type="dxa"/>
            <w:tcBorders>
              <w:top w:val="nil"/>
              <w:left w:val="nil"/>
              <w:bottom w:val="single" w:sz="12" w:space="0" w:color="666666"/>
              <w:right w:val="nil"/>
            </w:tcBorders>
            <w:shd w:val="clear" w:color="auto" w:fill="auto"/>
            <w:vAlign w:val="center"/>
            <w:hideMark/>
          </w:tcPr>
          <w:p w14:paraId="3BB4E90B" w14:textId="77777777" w:rsidR="000365C0" w:rsidRPr="00CD2D3E" w:rsidRDefault="000365C0" w:rsidP="00311629">
            <w:pPr>
              <w:spacing w:after="0" w:line="240" w:lineRule="auto"/>
              <w:jc w:val="both"/>
              <w:rPr>
                <w:rFonts w:ascii="Calibri" w:eastAsia="Times New Roman" w:hAnsi="Calibri" w:cs="Calibri"/>
                <w:b/>
                <w:bCs/>
                <w:color w:val="000000"/>
                <w:sz w:val="20"/>
                <w:szCs w:val="20"/>
                <w:lang w:eastAsia="pt-PT"/>
              </w:rPr>
            </w:pPr>
            <w:r w:rsidRPr="00CD2D3E">
              <w:rPr>
                <w:rFonts w:ascii="Calibri" w:eastAsia="Times New Roman" w:hAnsi="Calibri" w:cs="Calibri"/>
                <w:b/>
                <w:bCs/>
                <w:color w:val="000000"/>
                <w:sz w:val="20"/>
                <w:szCs w:val="20"/>
                <w:lang w:eastAsia="pt-PT"/>
              </w:rPr>
              <w:t>Budget</w:t>
            </w:r>
          </w:p>
        </w:tc>
        <w:tc>
          <w:tcPr>
            <w:tcW w:w="1974"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265D3073" w14:textId="77777777" w:rsidR="000365C0" w:rsidRPr="00CD2D3E" w:rsidRDefault="000365C0" w:rsidP="00311629">
            <w:pPr>
              <w:spacing w:after="0" w:line="240" w:lineRule="auto"/>
              <w:rPr>
                <w:rFonts w:ascii="Calibri" w:eastAsia="Times New Roman" w:hAnsi="Calibri" w:cs="Calibri"/>
                <w:b/>
                <w:bCs/>
                <w:color w:val="000000"/>
                <w:sz w:val="20"/>
                <w:szCs w:val="20"/>
                <w:lang w:eastAsia="pt-PT"/>
              </w:rPr>
            </w:pPr>
            <w:r w:rsidRPr="00CD2D3E">
              <w:rPr>
                <w:rFonts w:ascii="Calibri" w:eastAsia="Times New Roman" w:hAnsi="Calibri" w:cs="Calibri"/>
                <w:b/>
                <w:bCs/>
                <w:color w:val="000000"/>
                <w:sz w:val="20"/>
                <w:szCs w:val="20"/>
                <w:lang w:eastAsia="pt-PT"/>
              </w:rPr>
              <w:t xml:space="preserve">% </w:t>
            </w:r>
            <w:proofErr w:type="gramStart"/>
            <w:r w:rsidRPr="00CD2D3E">
              <w:rPr>
                <w:rFonts w:ascii="Calibri" w:eastAsia="Times New Roman" w:hAnsi="Calibri" w:cs="Calibri"/>
                <w:b/>
                <w:bCs/>
                <w:color w:val="000000"/>
                <w:sz w:val="20"/>
                <w:szCs w:val="20"/>
                <w:lang w:eastAsia="pt-PT"/>
              </w:rPr>
              <w:t>of</w:t>
            </w:r>
            <w:proofErr w:type="gramEnd"/>
            <w:r w:rsidRPr="00CD2D3E">
              <w:rPr>
                <w:rFonts w:ascii="Calibri" w:eastAsia="Times New Roman" w:hAnsi="Calibri" w:cs="Calibri"/>
                <w:b/>
                <w:bCs/>
                <w:color w:val="000000"/>
                <w:sz w:val="20"/>
                <w:szCs w:val="20"/>
                <w:lang w:eastAsia="pt-PT"/>
              </w:rPr>
              <w:t xml:space="preserve"> Total Budget</w:t>
            </w:r>
          </w:p>
        </w:tc>
      </w:tr>
      <w:tr w:rsidR="000365C0" w:rsidRPr="00CD2D3E" w14:paraId="4997D916" w14:textId="77777777" w:rsidTr="00311629">
        <w:trPr>
          <w:trHeight w:val="310"/>
        </w:trPr>
        <w:tc>
          <w:tcPr>
            <w:tcW w:w="3580" w:type="dxa"/>
            <w:tcBorders>
              <w:top w:val="nil"/>
              <w:left w:val="single" w:sz="8" w:space="0" w:color="999999"/>
              <w:bottom w:val="single" w:sz="8" w:space="0" w:color="999999"/>
              <w:right w:val="single" w:sz="8" w:space="0" w:color="999999"/>
            </w:tcBorders>
            <w:shd w:val="clear" w:color="auto" w:fill="auto"/>
            <w:vAlign w:val="center"/>
            <w:hideMark/>
          </w:tcPr>
          <w:p w14:paraId="277493F4" w14:textId="77777777" w:rsidR="000365C0" w:rsidRPr="00CD2D3E" w:rsidRDefault="000365C0" w:rsidP="00311629">
            <w:pPr>
              <w:spacing w:after="0" w:line="240" w:lineRule="auto"/>
              <w:jc w:val="both"/>
              <w:rPr>
                <w:rFonts w:ascii="Calibri" w:eastAsia="Times New Roman" w:hAnsi="Calibri" w:cs="Calibri"/>
                <w:b/>
                <w:bCs/>
                <w:color w:val="000000"/>
                <w:sz w:val="20"/>
                <w:szCs w:val="20"/>
                <w:lang w:eastAsia="pt-PT"/>
              </w:rPr>
            </w:pPr>
            <w:r w:rsidRPr="00CD2D3E">
              <w:rPr>
                <w:rFonts w:ascii="Calibri" w:eastAsia="Times New Roman" w:hAnsi="Calibri" w:cs="Calibri"/>
                <w:b/>
                <w:bCs/>
                <w:color w:val="000000"/>
                <w:sz w:val="20"/>
                <w:szCs w:val="20"/>
                <w:lang w:eastAsia="pt-PT"/>
              </w:rPr>
              <w:t>Poverty/Inclusive Growth</w:t>
            </w:r>
          </w:p>
        </w:tc>
        <w:tc>
          <w:tcPr>
            <w:tcW w:w="1645" w:type="dxa"/>
            <w:tcBorders>
              <w:top w:val="nil"/>
              <w:left w:val="nil"/>
              <w:bottom w:val="single" w:sz="8" w:space="0" w:color="999999"/>
              <w:right w:val="single" w:sz="8" w:space="0" w:color="999999"/>
            </w:tcBorders>
            <w:shd w:val="clear" w:color="auto" w:fill="auto"/>
            <w:vAlign w:val="center"/>
            <w:hideMark/>
          </w:tcPr>
          <w:p w14:paraId="3E5CB336" w14:textId="77777777" w:rsidR="000365C0" w:rsidRPr="00CD2D3E" w:rsidRDefault="000365C0" w:rsidP="00311629">
            <w:pPr>
              <w:spacing w:after="0" w:line="240" w:lineRule="auto"/>
              <w:jc w:val="both"/>
              <w:rPr>
                <w:rFonts w:ascii="Calibri" w:eastAsia="Times New Roman" w:hAnsi="Calibri" w:cs="Calibri"/>
                <w:color w:val="000000"/>
                <w:sz w:val="20"/>
                <w:szCs w:val="20"/>
                <w:lang w:eastAsia="pt-PT"/>
              </w:rPr>
            </w:pPr>
            <w:r w:rsidRPr="00CD2D3E">
              <w:rPr>
                <w:rFonts w:ascii="Calibri" w:eastAsia="Times New Roman" w:hAnsi="Calibri" w:cs="Calibri"/>
                <w:color w:val="000000"/>
                <w:sz w:val="20"/>
                <w:szCs w:val="20"/>
                <w:lang w:eastAsia="pt-PT"/>
              </w:rPr>
              <w:t>6</w:t>
            </w:r>
          </w:p>
        </w:tc>
        <w:tc>
          <w:tcPr>
            <w:tcW w:w="1833" w:type="dxa"/>
            <w:tcBorders>
              <w:top w:val="nil"/>
              <w:left w:val="nil"/>
              <w:bottom w:val="single" w:sz="8" w:space="0" w:color="999999"/>
              <w:right w:val="single" w:sz="8" w:space="0" w:color="999999"/>
            </w:tcBorders>
            <w:shd w:val="clear" w:color="auto" w:fill="auto"/>
            <w:vAlign w:val="center"/>
            <w:hideMark/>
          </w:tcPr>
          <w:p w14:paraId="0553E19B" w14:textId="77777777" w:rsidR="000365C0" w:rsidRPr="00CD2D3E" w:rsidRDefault="000365C0" w:rsidP="00311629">
            <w:pPr>
              <w:spacing w:after="0" w:line="240" w:lineRule="auto"/>
              <w:jc w:val="right"/>
              <w:rPr>
                <w:rFonts w:ascii="Calibri" w:eastAsia="Times New Roman" w:hAnsi="Calibri" w:cs="Calibri"/>
                <w:color w:val="000000"/>
                <w:sz w:val="20"/>
                <w:szCs w:val="20"/>
                <w:lang w:eastAsia="pt-PT"/>
              </w:rPr>
            </w:pPr>
            <w:r w:rsidRPr="00CD2D3E">
              <w:rPr>
                <w:rFonts w:ascii="Calibri" w:eastAsia="Times New Roman" w:hAnsi="Calibri" w:cs="Calibri"/>
                <w:color w:val="000000"/>
                <w:sz w:val="20"/>
                <w:szCs w:val="20"/>
                <w:lang w:eastAsia="pt-PT"/>
              </w:rPr>
              <w:t xml:space="preserve">$1 959 948 </w:t>
            </w:r>
          </w:p>
        </w:tc>
        <w:tc>
          <w:tcPr>
            <w:tcW w:w="1974" w:type="dxa"/>
            <w:tcBorders>
              <w:top w:val="nil"/>
              <w:left w:val="nil"/>
              <w:bottom w:val="single" w:sz="8" w:space="0" w:color="999999"/>
              <w:right w:val="single" w:sz="8" w:space="0" w:color="999999"/>
            </w:tcBorders>
            <w:shd w:val="clear" w:color="auto" w:fill="auto"/>
            <w:vAlign w:val="center"/>
            <w:hideMark/>
          </w:tcPr>
          <w:p w14:paraId="7E02B99E" w14:textId="77777777" w:rsidR="000365C0" w:rsidRPr="00CD2D3E" w:rsidRDefault="000365C0" w:rsidP="00311629">
            <w:pPr>
              <w:spacing w:after="0" w:line="240" w:lineRule="auto"/>
              <w:jc w:val="right"/>
              <w:rPr>
                <w:rFonts w:ascii="Calibri" w:eastAsia="Times New Roman" w:hAnsi="Calibri" w:cs="Calibri"/>
                <w:color w:val="000000"/>
                <w:sz w:val="20"/>
                <w:szCs w:val="20"/>
                <w:lang w:eastAsia="pt-PT"/>
              </w:rPr>
            </w:pPr>
            <w:r w:rsidRPr="00CD2D3E">
              <w:rPr>
                <w:rFonts w:ascii="Calibri" w:eastAsia="Times New Roman" w:hAnsi="Calibri" w:cs="Calibri"/>
                <w:color w:val="000000"/>
                <w:sz w:val="20"/>
                <w:szCs w:val="20"/>
                <w:lang w:eastAsia="pt-PT"/>
              </w:rPr>
              <w:t>3%</w:t>
            </w:r>
          </w:p>
        </w:tc>
      </w:tr>
      <w:tr w:rsidR="000365C0" w:rsidRPr="00CD2D3E" w14:paraId="3D52A475" w14:textId="77777777" w:rsidTr="00311629">
        <w:trPr>
          <w:trHeight w:val="300"/>
        </w:trPr>
        <w:tc>
          <w:tcPr>
            <w:tcW w:w="3580" w:type="dxa"/>
            <w:tcBorders>
              <w:top w:val="nil"/>
              <w:left w:val="single" w:sz="8" w:space="0" w:color="999999"/>
              <w:bottom w:val="single" w:sz="8" w:space="0" w:color="999999"/>
              <w:right w:val="single" w:sz="8" w:space="0" w:color="999999"/>
            </w:tcBorders>
            <w:shd w:val="clear" w:color="auto" w:fill="auto"/>
            <w:vAlign w:val="center"/>
            <w:hideMark/>
          </w:tcPr>
          <w:p w14:paraId="616FF00A" w14:textId="77777777" w:rsidR="000365C0" w:rsidRPr="00CD2D3E" w:rsidRDefault="000365C0" w:rsidP="00311629">
            <w:pPr>
              <w:spacing w:after="0" w:line="240" w:lineRule="auto"/>
              <w:jc w:val="both"/>
              <w:rPr>
                <w:rFonts w:ascii="Calibri" w:eastAsia="Times New Roman" w:hAnsi="Calibri" w:cs="Calibri"/>
                <w:b/>
                <w:bCs/>
                <w:color w:val="000000"/>
                <w:sz w:val="20"/>
                <w:szCs w:val="20"/>
                <w:lang w:eastAsia="pt-PT"/>
              </w:rPr>
            </w:pPr>
            <w:r w:rsidRPr="00CD2D3E">
              <w:rPr>
                <w:rFonts w:ascii="Calibri" w:eastAsia="Times New Roman" w:hAnsi="Calibri" w:cs="Calibri"/>
                <w:b/>
                <w:bCs/>
                <w:color w:val="000000"/>
                <w:sz w:val="20"/>
                <w:szCs w:val="20"/>
                <w:lang w:eastAsia="pt-PT"/>
              </w:rPr>
              <w:t>Environment/Building Resilience</w:t>
            </w:r>
          </w:p>
        </w:tc>
        <w:tc>
          <w:tcPr>
            <w:tcW w:w="1645" w:type="dxa"/>
            <w:tcBorders>
              <w:top w:val="nil"/>
              <w:left w:val="nil"/>
              <w:bottom w:val="single" w:sz="8" w:space="0" w:color="999999"/>
              <w:right w:val="single" w:sz="8" w:space="0" w:color="999999"/>
            </w:tcBorders>
            <w:shd w:val="clear" w:color="auto" w:fill="auto"/>
            <w:vAlign w:val="center"/>
            <w:hideMark/>
          </w:tcPr>
          <w:p w14:paraId="1E58A1AD" w14:textId="77777777" w:rsidR="000365C0" w:rsidRPr="00CD2D3E" w:rsidRDefault="000365C0" w:rsidP="00311629">
            <w:pPr>
              <w:spacing w:after="0" w:line="240" w:lineRule="auto"/>
              <w:jc w:val="both"/>
              <w:rPr>
                <w:rFonts w:ascii="Calibri" w:eastAsia="Times New Roman" w:hAnsi="Calibri" w:cs="Calibri"/>
                <w:color w:val="000000"/>
                <w:sz w:val="20"/>
                <w:szCs w:val="20"/>
                <w:lang w:eastAsia="pt-PT"/>
              </w:rPr>
            </w:pPr>
            <w:r w:rsidRPr="00CD2D3E">
              <w:rPr>
                <w:rFonts w:ascii="Calibri" w:eastAsia="Times New Roman" w:hAnsi="Calibri" w:cs="Calibri"/>
                <w:color w:val="000000"/>
                <w:sz w:val="20"/>
                <w:szCs w:val="20"/>
                <w:lang w:eastAsia="pt-PT"/>
              </w:rPr>
              <w:t>7</w:t>
            </w:r>
          </w:p>
        </w:tc>
        <w:tc>
          <w:tcPr>
            <w:tcW w:w="1833" w:type="dxa"/>
            <w:tcBorders>
              <w:top w:val="nil"/>
              <w:left w:val="nil"/>
              <w:bottom w:val="single" w:sz="8" w:space="0" w:color="999999"/>
              <w:right w:val="single" w:sz="8" w:space="0" w:color="999999"/>
            </w:tcBorders>
            <w:shd w:val="clear" w:color="auto" w:fill="auto"/>
            <w:vAlign w:val="center"/>
            <w:hideMark/>
          </w:tcPr>
          <w:p w14:paraId="493F2EDB" w14:textId="77777777" w:rsidR="000365C0" w:rsidRPr="00CD2D3E" w:rsidRDefault="000365C0" w:rsidP="00311629">
            <w:pPr>
              <w:spacing w:after="0" w:line="240" w:lineRule="auto"/>
              <w:jc w:val="right"/>
              <w:rPr>
                <w:rFonts w:ascii="Calibri" w:eastAsia="Times New Roman" w:hAnsi="Calibri" w:cs="Calibri"/>
                <w:color w:val="000000"/>
                <w:sz w:val="20"/>
                <w:szCs w:val="20"/>
                <w:lang w:eastAsia="pt-PT"/>
              </w:rPr>
            </w:pPr>
            <w:r w:rsidRPr="00CD2D3E">
              <w:rPr>
                <w:rFonts w:ascii="Calibri" w:eastAsia="Times New Roman" w:hAnsi="Calibri" w:cs="Calibri"/>
                <w:color w:val="000000"/>
                <w:sz w:val="20"/>
                <w:szCs w:val="20"/>
                <w:lang w:eastAsia="pt-PT"/>
              </w:rPr>
              <w:t xml:space="preserve">$13 855 928 </w:t>
            </w:r>
          </w:p>
        </w:tc>
        <w:tc>
          <w:tcPr>
            <w:tcW w:w="1974" w:type="dxa"/>
            <w:tcBorders>
              <w:top w:val="nil"/>
              <w:left w:val="nil"/>
              <w:bottom w:val="single" w:sz="8" w:space="0" w:color="999999"/>
              <w:right w:val="single" w:sz="8" w:space="0" w:color="999999"/>
            </w:tcBorders>
            <w:shd w:val="clear" w:color="auto" w:fill="auto"/>
            <w:vAlign w:val="center"/>
            <w:hideMark/>
          </w:tcPr>
          <w:p w14:paraId="17F56C91" w14:textId="77777777" w:rsidR="000365C0" w:rsidRPr="00CD2D3E" w:rsidRDefault="000365C0" w:rsidP="00311629">
            <w:pPr>
              <w:spacing w:after="0" w:line="240" w:lineRule="auto"/>
              <w:jc w:val="right"/>
              <w:rPr>
                <w:rFonts w:ascii="Calibri" w:eastAsia="Times New Roman" w:hAnsi="Calibri" w:cs="Calibri"/>
                <w:color w:val="000000"/>
                <w:sz w:val="20"/>
                <w:szCs w:val="20"/>
                <w:lang w:eastAsia="pt-PT"/>
              </w:rPr>
            </w:pPr>
            <w:r w:rsidRPr="00CD2D3E">
              <w:rPr>
                <w:rFonts w:ascii="Calibri" w:eastAsia="Times New Roman" w:hAnsi="Calibri" w:cs="Calibri"/>
                <w:color w:val="000000"/>
                <w:sz w:val="20"/>
                <w:szCs w:val="20"/>
                <w:lang w:eastAsia="pt-PT"/>
              </w:rPr>
              <w:t>21%</w:t>
            </w:r>
          </w:p>
        </w:tc>
      </w:tr>
      <w:tr w:rsidR="000365C0" w:rsidRPr="00CD2D3E" w14:paraId="66FE4238" w14:textId="77777777" w:rsidTr="00311629">
        <w:trPr>
          <w:trHeight w:val="300"/>
        </w:trPr>
        <w:tc>
          <w:tcPr>
            <w:tcW w:w="3580" w:type="dxa"/>
            <w:tcBorders>
              <w:top w:val="nil"/>
              <w:left w:val="single" w:sz="8" w:space="0" w:color="999999"/>
              <w:bottom w:val="single" w:sz="8" w:space="0" w:color="999999"/>
              <w:right w:val="single" w:sz="8" w:space="0" w:color="999999"/>
            </w:tcBorders>
            <w:shd w:val="clear" w:color="auto" w:fill="auto"/>
            <w:vAlign w:val="center"/>
            <w:hideMark/>
          </w:tcPr>
          <w:p w14:paraId="267BF5AC" w14:textId="77777777" w:rsidR="000365C0" w:rsidRPr="00CD2D3E" w:rsidRDefault="000365C0" w:rsidP="00311629">
            <w:pPr>
              <w:spacing w:after="0" w:line="240" w:lineRule="auto"/>
              <w:jc w:val="both"/>
              <w:rPr>
                <w:rFonts w:ascii="Calibri" w:eastAsia="Times New Roman" w:hAnsi="Calibri" w:cs="Calibri"/>
                <w:b/>
                <w:bCs/>
                <w:color w:val="000000"/>
                <w:sz w:val="20"/>
                <w:szCs w:val="20"/>
                <w:lang w:eastAsia="pt-PT"/>
              </w:rPr>
            </w:pPr>
            <w:r w:rsidRPr="00CD2D3E">
              <w:rPr>
                <w:rFonts w:ascii="Calibri" w:eastAsia="Times New Roman" w:hAnsi="Calibri" w:cs="Calibri"/>
                <w:b/>
                <w:bCs/>
                <w:color w:val="000000"/>
                <w:sz w:val="20"/>
                <w:szCs w:val="20"/>
                <w:lang w:eastAsia="pt-PT"/>
              </w:rPr>
              <w:t>Governance</w:t>
            </w:r>
          </w:p>
        </w:tc>
        <w:tc>
          <w:tcPr>
            <w:tcW w:w="1645" w:type="dxa"/>
            <w:tcBorders>
              <w:top w:val="nil"/>
              <w:left w:val="nil"/>
              <w:bottom w:val="single" w:sz="8" w:space="0" w:color="999999"/>
              <w:right w:val="single" w:sz="8" w:space="0" w:color="999999"/>
            </w:tcBorders>
            <w:shd w:val="clear" w:color="auto" w:fill="auto"/>
            <w:vAlign w:val="center"/>
            <w:hideMark/>
          </w:tcPr>
          <w:p w14:paraId="7C8C80CD" w14:textId="77777777" w:rsidR="000365C0" w:rsidRPr="00CD2D3E" w:rsidRDefault="000365C0" w:rsidP="00311629">
            <w:pPr>
              <w:spacing w:after="0" w:line="240" w:lineRule="auto"/>
              <w:jc w:val="both"/>
              <w:rPr>
                <w:rFonts w:ascii="Calibri" w:eastAsia="Times New Roman" w:hAnsi="Calibri" w:cs="Calibri"/>
                <w:color w:val="000000"/>
                <w:sz w:val="20"/>
                <w:szCs w:val="20"/>
                <w:lang w:eastAsia="pt-PT"/>
              </w:rPr>
            </w:pPr>
            <w:r w:rsidRPr="00CD2D3E">
              <w:rPr>
                <w:rFonts w:ascii="Calibri" w:eastAsia="Times New Roman" w:hAnsi="Calibri" w:cs="Calibri"/>
                <w:color w:val="000000"/>
                <w:sz w:val="20"/>
                <w:szCs w:val="20"/>
                <w:lang w:eastAsia="pt-PT"/>
              </w:rPr>
              <w:t>6</w:t>
            </w:r>
          </w:p>
        </w:tc>
        <w:tc>
          <w:tcPr>
            <w:tcW w:w="1833" w:type="dxa"/>
            <w:tcBorders>
              <w:top w:val="nil"/>
              <w:left w:val="nil"/>
              <w:bottom w:val="single" w:sz="8" w:space="0" w:color="999999"/>
              <w:right w:val="single" w:sz="8" w:space="0" w:color="999999"/>
            </w:tcBorders>
            <w:shd w:val="clear" w:color="auto" w:fill="auto"/>
            <w:vAlign w:val="center"/>
            <w:hideMark/>
          </w:tcPr>
          <w:p w14:paraId="353636F4" w14:textId="77777777" w:rsidR="000365C0" w:rsidRPr="00CD2D3E" w:rsidRDefault="000365C0" w:rsidP="00311629">
            <w:pPr>
              <w:spacing w:after="0" w:line="240" w:lineRule="auto"/>
              <w:jc w:val="right"/>
              <w:rPr>
                <w:rFonts w:ascii="Calibri" w:eastAsia="Times New Roman" w:hAnsi="Calibri" w:cs="Calibri"/>
                <w:color w:val="000000"/>
                <w:sz w:val="20"/>
                <w:szCs w:val="20"/>
                <w:lang w:eastAsia="pt-PT"/>
              </w:rPr>
            </w:pPr>
            <w:r w:rsidRPr="00CD2D3E">
              <w:rPr>
                <w:rFonts w:ascii="Calibri" w:eastAsia="Times New Roman" w:hAnsi="Calibri" w:cs="Calibri"/>
                <w:color w:val="000000"/>
                <w:sz w:val="20"/>
                <w:szCs w:val="20"/>
                <w:lang w:eastAsia="pt-PT"/>
              </w:rPr>
              <w:t xml:space="preserve">$3 953 870 </w:t>
            </w:r>
          </w:p>
        </w:tc>
        <w:tc>
          <w:tcPr>
            <w:tcW w:w="1974" w:type="dxa"/>
            <w:tcBorders>
              <w:top w:val="nil"/>
              <w:left w:val="nil"/>
              <w:bottom w:val="single" w:sz="8" w:space="0" w:color="999999"/>
              <w:right w:val="single" w:sz="8" w:space="0" w:color="999999"/>
            </w:tcBorders>
            <w:shd w:val="clear" w:color="auto" w:fill="auto"/>
            <w:vAlign w:val="center"/>
            <w:hideMark/>
          </w:tcPr>
          <w:p w14:paraId="7BE6F97E" w14:textId="77777777" w:rsidR="000365C0" w:rsidRPr="00CD2D3E" w:rsidRDefault="000365C0" w:rsidP="00311629">
            <w:pPr>
              <w:spacing w:after="0" w:line="240" w:lineRule="auto"/>
              <w:jc w:val="right"/>
              <w:rPr>
                <w:rFonts w:ascii="Calibri" w:eastAsia="Times New Roman" w:hAnsi="Calibri" w:cs="Calibri"/>
                <w:color w:val="000000"/>
                <w:sz w:val="20"/>
                <w:szCs w:val="20"/>
                <w:lang w:eastAsia="pt-PT"/>
              </w:rPr>
            </w:pPr>
            <w:r w:rsidRPr="00CD2D3E">
              <w:rPr>
                <w:rFonts w:ascii="Calibri" w:eastAsia="Times New Roman" w:hAnsi="Calibri" w:cs="Calibri"/>
                <w:color w:val="000000"/>
                <w:sz w:val="20"/>
                <w:szCs w:val="20"/>
                <w:lang w:eastAsia="pt-PT"/>
              </w:rPr>
              <w:t>6%</w:t>
            </w:r>
          </w:p>
        </w:tc>
      </w:tr>
      <w:tr w:rsidR="000365C0" w:rsidRPr="00CD2D3E" w14:paraId="4D3C3BF9" w14:textId="77777777" w:rsidTr="00311629">
        <w:trPr>
          <w:trHeight w:val="300"/>
        </w:trPr>
        <w:tc>
          <w:tcPr>
            <w:tcW w:w="3580" w:type="dxa"/>
            <w:tcBorders>
              <w:top w:val="nil"/>
              <w:left w:val="single" w:sz="8" w:space="0" w:color="999999"/>
              <w:bottom w:val="single" w:sz="8" w:space="0" w:color="999999"/>
              <w:right w:val="single" w:sz="8" w:space="0" w:color="999999"/>
            </w:tcBorders>
            <w:shd w:val="clear" w:color="auto" w:fill="auto"/>
            <w:vAlign w:val="center"/>
            <w:hideMark/>
          </w:tcPr>
          <w:p w14:paraId="433F4A77" w14:textId="77777777" w:rsidR="000365C0" w:rsidRPr="00CD2D3E" w:rsidRDefault="000365C0" w:rsidP="00311629">
            <w:pPr>
              <w:spacing w:after="0" w:line="240" w:lineRule="auto"/>
              <w:jc w:val="both"/>
              <w:rPr>
                <w:rFonts w:ascii="Calibri" w:eastAsia="Times New Roman" w:hAnsi="Calibri" w:cs="Calibri"/>
                <w:b/>
                <w:bCs/>
                <w:color w:val="000000"/>
                <w:sz w:val="20"/>
                <w:szCs w:val="20"/>
                <w:lang w:eastAsia="pt-PT"/>
              </w:rPr>
            </w:pPr>
            <w:r w:rsidRPr="00CD2D3E">
              <w:rPr>
                <w:rFonts w:ascii="Calibri" w:eastAsia="Times New Roman" w:hAnsi="Calibri" w:cs="Calibri"/>
                <w:b/>
                <w:bCs/>
                <w:color w:val="000000"/>
                <w:sz w:val="20"/>
                <w:szCs w:val="20"/>
                <w:lang w:eastAsia="pt-PT"/>
              </w:rPr>
              <w:t>Global Fund</w:t>
            </w:r>
          </w:p>
        </w:tc>
        <w:tc>
          <w:tcPr>
            <w:tcW w:w="1645" w:type="dxa"/>
            <w:tcBorders>
              <w:top w:val="nil"/>
              <w:left w:val="nil"/>
              <w:bottom w:val="single" w:sz="8" w:space="0" w:color="999999"/>
              <w:right w:val="single" w:sz="8" w:space="0" w:color="999999"/>
            </w:tcBorders>
            <w:shd w:val="clear" w:color="auto" w:fill="auto"/>
            <w:vAlign w:val="center"/>
            <w:hideMark/>
          </w:tcPr>
          <w:p w14:paraId="6E189530" w14:textId="77777777" w:rsidR="000365C0" w:rsidRPr="00CD2D3E" w:rsidRDefault="000365C0" w:rsidP="00311629">
            <w:pPr>
              <w:spacing w:after="0" w:line="240" w:lineRule="auto"/>
              <w:jc w:val="both"/>
              <w:rPr>
                <w:rFonts w:ascii="Calibri" w:eastAsia="Times New Roman" w:hAnsi="Calibri" w:cs="Calibri"/>
                <w:color w:val="000000"/>
                <w:sz w:val="20"/>
                <w:szCs w:val="20"/>
                <w:lang w:eastAsia="pt-PT"/>
              </w:rPr>
            </w:pPr>
            <w:r w:rsidRPr="00CD2D3E">
              <w:rPr>
                <w:rFonts w:ascii="Calibri" w:eastAsia="Times New Roman" w:hAnsi="Calibri" w:cs="Calibri"/>
                <w:color w:val="000000"/>
                <w:sz w:val="20"/>
                <w:szCs w:val="20"/>
                <w:lang w:eastAsia="pt-PT"/>
              </w:rPr>
              <w:t>4</w:t>
            </w:r>
          </w:p>
        </w:tc>
        <w:tc>
          <w:tcPr>
            <w:tcW w:w="1833" w:type="dxa"/>
            <w:tcBorders>
              <w:top w:val="nil"/>
              <w:left w:val="nil"/>
              <w:bottom w:val="single" w:sz="8" w:space="0" w:color="999999"/>
              <w:right w:val="single" w:sz="8" w:space="0" w:color="999999"/>
            </w:tcBorders>
            <w:shd w:val="clear" w:color="auto" w:fill="auto"/>
            <w:vAlign w:val="center"/>
            <w:hideMark/>
          </w:tcPr>
          <w:p w14:paraId="40204A19" w14:textId="77777777" w:rsidR="000365C0" w:rsidRPr="00CD2D3E" w:rsidRDefault="000365C0" w:rsidP="00311629">
            <w:pPr>
              <w:spacing w:after="0" w:line="240" w:lineRule="auto"/>
              <w:jc w:val="right"/>
              <w:rPr>
                <w:rFonts w:ascii="Calibri" w:eastAsia="Times New Roman" w:hAnsi="Calibri" w:cs="Calibri"/>
                <w:color w:val="000000"/>
                <w:sz w:val="20"/>
                <w:szCs w:val="20"/>
                <w:lang w:eastAsia="pt-PT"/>
              </w:rPr>
            </w:pPr>
            <w:r w:rsidRPr="00CD2D3E">
              <w:rPr>
                <w:rFonts w:ascii="Calibri" w:eastAsia="Times New Roman" w:hAnsi="Calibri" w:cs="Calibri"/>
                <w:color w:val="000000"/>
                <w:sz w:val="20"/>
                <w:szCs w:val="20"/>
                <w:lang w:eastAsia="pt-PT"/>
              </w:rPr>
              <w:t xml:space="preserve">$44 073 834 </w:t>
            </w:r>
          </w:p>
        </w:tc>
        <w:tc>
          <w:tcPr>
            <w:tcW w:w="1974" w:type="dxa"/>
            <w:tcBorders>
              <w:top w:val="nil"/>
              <w:left w:val="nil"/>
              <w:bottom w:val="single" w:sz="8" w:space="0" w:color="999999"/>
              <w:right w:val="single" w:sz="8" w:space="0" w:color="999999"/>
            </w:tcBorders>
            <w:shd w:val="clear" w:color="auto" w:fill="auto"/>
            <w:vAlign w:val="center"/>
            <w:hideMark/>
          </w:tcPr>
          <w:p w14:paraId="31C77E12" w14:textId="77777777" w:rsidR="000365C0" w:rsidRPr="00CD2D3E" w:rsidRDefault="000365C0" w:rsidP="00311629">
            <w:pPr>
              <w:spacing w:after="0" w:line="240" w:lineRule="auto"/>
              <w:jc w:val="right"/>
              <w:rPr>
                <w:rFonts w:ascii="Calibri" w:eastAsia="Times New Roman" w:hAnsi="Calibri" w:cs="Calibri"/>
                <w:color w:val="000000"/>
                <w:sz w:val="20"/>
                <w:szCs w:val="20"/>
                <w:lang w:eastAsia="pt-PT"/>
              </w:rPr>
            </w:pPr>
            <w:r w:rsidRPr="00CD2D3E">
              <w:rPr>
                <w:rFonts w:ascii="Calibri" w:eastAsia="Times New Roman" w:hAnsi="Calibri" w:cs="Calibri"/>
                <w:color w:val="000000"/>
                <w:sz w:val="20"/>
                <w:szCs w:val="20"/>
                <w:lang w:eastAsia="pt-PT"/>
              </w:rPr>
              <w:t>68%</w:t>
            </w:r>
          </w:p>
        </w:tc>
      </w:tr>
      <w:tr w:rsidR="000365C0" w:rsidRPr="00CD2D3E" w14:paraId="3A314FC8" w14:textId="77777777" w:rsidTr="00311629">
        <w:trPr>
          <w:trHeight w:val="300"/>
        </w:trPr>
        <w:tc>
          <w:tcPr>
            <w:tcW w:w="3580" w:type="dxa"/>
            <w:tcBorders>
              <w:top w:val="nil"/>
              <w:left w:val="single" w:sz="8" w:space="0" w:color="999999"/>
              <w:bottom w:val="nil"/>
              <w:right w:val="single" w:sz="8" w:space="0" w:color="999999"/>
            </w:tcBorders>
            <w:shd w:val="clear" w:color="auto" w:fill="auto"/>
            <w:vAlign w:val="center"/>
            <w:hideMark/>
          </w:tcPr>
          <w:p w14:paraId="1AD5AB95" w14:textId="77777777" w:rsidR="000365C0" w:rsidRPr="00CD2D3E" w:rsidRDefault="000365C0" w:rsidP="00311629">
            <w:pPr>
              <w:spacing w:after="0" w:line="240" w:lineRule="auto"/>
              <w:jc w:val="both"/>
              <w:rPr>
                <w:rFonts w:ascii="Calibri" w:eastAsia="Times New Roman" w:hAnsi="Calibri" w:cs="Calibri"/>
                <w:b/>
                <w:bCs/>
                <w:color w:val="000000"/>
                <w:sz w:val="20"/>
                <w:szCs w:val="20"/>
                <w:lang w:eastAsia="pt-PT"/>
              </w:rPr>
            </w:pPr>
            <w:r w:rsidRPr="00CD2D3E">
              <w:rPr>
                <w:rFonts w:ascii="Calibri" w:eastAsia="Times New Roman" w:hAnsi="Calibri" w:cs="Calibri"/>
                <w:b/>
                <w:bCs/>
                <w:color w:val="000000"/>
                <w:sz w:val="20"/>
                <w:szCs w:val="20"/>
                <w:lang w:eastAsia="pt-PT"/>
              </w:rPr>
              <w:t>Accelerator</w:t>
            </w:r>
          </w:p>
        </w:tc>
        <w:tc>
          <w:tcPr>
            <w:tcW w:w="1645" w:type="dxa"/>
            <w:tcBorders>
              <w:top w:val="nil"/>
              <w:left w:val="nil"/>
              <w:bottom w:val="nil"/>
              <w:right w:val="single" w:sz="8" w:space="0" w:color="999999"/>
            </w:tcBorders>
            <w:shd w:val="clear" w:color="auto" w:fill="auto"/>
            <w:vAlign w:val="center"/>
            <w:hideMark/>
          </w:tcPr>
          <w:p w14:paraId="12242ABB" w14:textId="77777777" w:rsidR="000365C0" w:rsidRPr="00CD2D3E" w:rsidRDefault="000365C0" w:rsidP="00311629">
            <w:pPr>
              <w:spacing w:after="0" w:line="240" w:lineRule="auto"/>
              <w:jc w:val="both"/>
              <w:rPr>
                <w:rFonts w:ascii="Calibri" w:eastAsia="Times New Roman" w:hAnsi="Calibri" w:cs="Calibri"/>
                <w:color w:val="000000"/>
                <w:sz w:val="20"/>
                <w:szCs w:val="20"/>
                <w:lang w:eastAsia="pt-PT"/>
              </w:rPr>
            </w:pPr>
            <w:r w:rsidRPr="00CD2D3E">
              <w:rPr>
                <w:rFonts w:ascii="Calibri" w:eastAsia="Times New Roman" w:hAnsi="Calibri" w:cs="Calibri"/>
                <w:color w:val="000000"/>
                <w:sz w:val="20"/>
                <w:szCs w:val="20"/>
                <w:lang w:eastAsia="pt-PT"/>
              </w:rPr>
              <w:t>1</w:t>
            </w:r>
          </w:p>
        </w:tc>
        <w:tc>
          <w:tcPr>
            <w:tcW w:w="1833" w:type="dxa"/>
            <w:tcBorders>
              <w:top w:val="nil"/>
              <w:left w:val="nil"/>
              <w:bottom w:val="nil"/>
              <w:right w:val="single" w:sz="8" w:space="0" w:color="999999"/>
            </w:tcBorders>
            <w:shd w:val="clear" w:color="auto" w:fill="auto"/>
            <w:vAlign w:val="center"/>
            <w:hideMark/>
          </w:tcPr>
          <w:p w14:paraId="1087F2DF" w14:textId="77777777" w:rsidR="000365C0" w:rsidRPr="00CD2D3E" w:rsidRDefault="000365C0" w:rsidP="00311629">
            <w:pPr>
              <w:spacing w:after="0" w:line="240" w:lineRule="auto"/>
              <w:jc w:val="right"/>
              <w:rPr>
                <w:rFonts w:ascii="Calibri" w:eastAsia="Times New Roman" w:hAnsi="Calibri" w:cs="Calibri"/>
                <w:color w:val="000000"/>
                <w:sz w:val="20"/>
                <w:szCs w:val="20"/>
                <w:lang w:eastAsia="pt-PT"/>
              </w:rPr>
            </w:pPr>
            <w:r w:rsidRPr="00CD2D3E">
              <w:rPr>
                <w:rFonts w:ascii="Calibri" w:eastAsia="Times New Roman" w:hAnsi="Calibri" w:cs="Calibri"/>
                <w:color w:val="000000"/>
                <w:sz w:val="20"/>
                <w:szCs w:val="20"/>
                <w:lang w:eastAsia="pt-PT"/>
              </w:rPr>
              <w:t xml:space="preserve">$967 483 </w:t>
            </w:r>
          </w:p>
        </w:tc>
        <w:tc>
          <w:tcPr>
            <w:tcW w:w="1974" w:type="dxa"/>
            <w:tcBorders>
              <w:top w:val="nil"/>
              <w:left w:val="nil"/>
              <w:bottom w:val="single" w:sz="8" w:space="0" w:color="999999"/>
              <w:right w:val="single" w:sz="8" w:space="0" w:color="999999"/>
            </w:tcBorders>
            <w:shd w:val="clear" w:color="auto" w:fill="auto"/>
            <w:vAlign w:val="center"/>
            <w:hideMark/>
          </w:tcPr>
          <w:p w14:paraId="4A7D0B8F" w14:textId="77777777" w:rsidR="000365C0" w:rsidRPr="00CD2D3E" w:rsidRDefault="000365C0" w:rsidP="00311629">
            <w:pPr>
              <w:spacing w:after="0" w:line="240" w:lineRule="auto"/>
              <w:jc w:val="right"/>
              <w:rPr>
                <w:rFonts w:ascii="Calibri" w:eastAsia="Times New Roman" w:hAnsi="Calibri" w:cs="Calibri"/>
                <w:color w:val="000000"/>
                <w:sz w:val="20"/>
                <w:szCs w:val="20"/>
                <w:lang w:eastAsia="pt-PT"/>
              </w:rPr>
            </w:pPr>
            <w:r w:rsidRPr="00CD2D3E">
              <w:rPr>
                <w:rFonts w:ascii="Calibri" w:eastAsia="Times New Roman" w:hAnsi="Calibri" w:cs="Calibri"/>
                <w:color w:val="000000"/>
                <w:sz w:val="20"/>
                <w:szCs w:val="20"/>
                <w:lang w:eastAsia="pt-PT"/>
              </w:rPr>
              <w:t>1%</w:t>
            </w:r>
          </w:p>
        </w:tc>
      </w:tr>
      <w:tr w:rsidR="000365C0" w:rsidRPr="00CD2D3E" w14:paraId="443232C9" w14:textId="77777777" w:rsidTr="00311629">
        <w:trPr>
          <w:trHeight w:val="310"/>
        </w:trPr>
        <w:tc>
          <w:tcPr>
            <w:tcW w:w="3580" w:type="dxa"/>
            <w:tcBorders>
              <w:top w:val="single" w:sz="12" w:space="0" w:color="999999"/>
              <w:left w:val="single" w:sz="8" w:space="0" w:color="999999"/>
              <w:bottom w:val="single" w:sz="8" w:space="0" w:color="999999"/>
              <w:right w:val="single" w:sz="8" w:space="0" w:color="999999"/>
            </w:tcBorders>
            <w:shd w:val="clear" w:color="auto" w:fill="auto"/>
            <w:vAlign w:val="center"/>
            <w:hideMark/>
          </w:tcPr>
          <w:p w14:paraId="10CE758A" w14:textId="77777777" w:rsidR="000365C0" w:rsidRPr="00CD2D3E" w:rsidRDefault="000365C0" w:rsidP="00311629">
            <w:pPr>
              <w:spacing w:after="0" w:line="240" w:lineRule="auto"/>
              <w:jc w:val="both"/>
              <w:rPr>
                <w:rFonts w:ascii="Calibri" w:eastAsia="Times New Roman" w:hAnsi="Calibri" w:cs="Calibri"/>
                <w:b/>
                <w:bCs/>
                <w:color w:val="000000"/>
                <w:sz w:val="20"/>
                <w:szCs w:val="20"/>
                <w:lang w:eastAsia="pt-PT"/>
              </w:rPr>
            </w:pPr>
            <w:r w:rsidRPr="00CD2D3E">
              <w:rPr>
                <w:rFonts w:ascii="Calibri" w:eastAsia="Times New Roman" w:hAnsi="Calibri" w:cs="Calibri"/>
                <w:b/>
                <w:bCs/>
                <w:color w:val="000000"/>
                <w:sz w:val="20"/>
                <w:szCs w:val="20"/>
                <w:lang w:eastAsia="pt-PT"/>
              </w:rPr>
              <w:t> </w:t>
            </w:r>
          </w:p>
        </w:tc>
        <w:tc>
          <w:tcPr>
            <w:tcW w:w="1645" w:type="dxa"/>
            <w:tcBorders>
              <w:top w:val="single" w:sz="12" w:space="0" w:color="999999"/>
              <w:left w:val="nil"/>
              <w:bottom w:val="single" w:sz="8" w:space="0" w:color="999999"/>
              <w:right w:val="single" w:sz="8" w:space="0" w:color="999999"/>
            </w:tcBorders>
            <w:shd w:val="clear" w:color="auto" w:fill="auto"/>
            <w:vAlign w:val="center"/>
            <w:hideMark/>
          </w:tcPr>
          <w:p w14:paraId="5B7FE65B" w14:textId="77777777" w:rsidR="000365C0" w:rsidRPr="00CD2D3E" w:rsidRDefault="000365C0" w:rsidP="00311629">
            <w:pPr>
              <w:spacing w:after="0" w:line="240" w:lineRule="auto"/>
              <w:jc w:val="both"/>
              <w:rPr>
                <w:rFonts w:ascii="Calibri" w:eastAsia="Times New Roman" w:hAnsi="Calibri" w:cs="Calibri"/>
                <w:b/>
                <w:bCs/>
                <w:color w:val="000000"/>
                <w:sz w:val="20"/>
                <w:szCs w:val="20"/>
                <w:lang w:eastAsia="pt-PT"/>
              </w:rPr>
            </w:pPr>
            <w:r w:rsidRPr="00CD2D3E">
              <w:rPr>
                <w:rFonts w:ascii="Calibri" w:eastAsia="Times New Roman" w:hAnsi="Calibri" w:cs="Calibri"/>
                <w:b/>
                <w:bCs/>
                <w:color w:val="000000"/>
                <w:sz w:val="20"/>
                <w:szCs w:val="20"/>
                <w:lang w:eastAsia="pt-PT"/>
              </w:rPr>
              <w:t>24</w:t>
            </w:r>
          </w:p>
        </w:tc>
        <w:tc>
          <w:tcPr>
            <w:tcW w:w="1833" w:type="dxa"/>
            <w:tcBorders>
              <w:top w:val="single" w:sz="12" w:space="0" w:color="999999"/>
              <w:left w:val="nil"/>
              <w:bottom w:val="single" w:sz="8" w:space="0" w:color="999999"/>
              <w:right w:val="single" w:sz="8" w:space="0" w:color="999999"/>
            </w:tcBorders>
            <w:shd w:val="clear" w:color="auto" w:fill="auto"/>
            <w:vAlign w:val="center"/>
            <w:hideMark/>
          </w:tcPr>
          <w:p w14:paraId="54B505E0" w14:textId="77777777" w:rsidR="000365C0" w:rsidRPr="00CD2D3E" w:rsidRDefault="000365C0" w:rsidP="00311629">
            <w:pPr>
              <w:spacing w:after="0" w:line="240" w:lineRule="auto"/>
              <w:jc w:val="right"/>
              <w:rPr>
                <w:rFonts w:ascii="Calibri" w:eastAsia="Times New Roman" w:hAnsi="Calibri" w:cs="Calibri"/>
                <w:b/>
                <w:bCs/>
                <w:color w:val="000000"/>
                <w:sz w:val="20"/>
                <w:szCs w:val="20"/>
                <w:lang w:eastAsia="pt-PT"/>
              </w:rPr>
            </w:pPr>
            <w:r w:rsidRPr="00CD2D3E">
              <w:rPr>
                <w:rFonts w:ascii="Calibri" w:eastAsia="Times New Roman" w:hAnsi="Calibri" w:cs="Calibri"/>
                <w:b/>
                <w:bCs/>
                <w:color w:val="000000"/>
                <w:sz w:val="20"/>
                <w:szCs w:val="20"/>
                <w:lang w:eastAsia="pt-PT"/>
              </w:rPr>
              <w:t xml:space="preserve">$64 811 063 </w:t>
            </w:r>
          </w:p>
        </w:tc>
        <w:tc>
          <w:tcPr>
            <w:tcW w:w="1974" w:type="dxa"/>
            <w:tcBorders>
              <w:top w:val="single" w:sz="12" w:space="0" w:color="999999"/>
              <w:left w:val="nil"/>
              <w:bottom w:val="single" w:sz="8" w:space="0" w:color="999999"/>
              <w:right w:val="single" w:sz="8" w:space="0" w:color="999999"/>
            </w:tcBorders>
            <w:shd w:val="clear" w:color="auto" w:fill="auto"/>
            <w:vAlign w:val="center"/>
            <w:hideMark/>
          </w:tcPr>
          <w:p w14:paraId="3FAF53E4" w14:textId="77777777" w:rsidR="000365C0" w:rsidRPr="00CD2D3E" w:rsidRDefault="000365C0" w:rsidP="00311629">
            <w:pPr>
              <w:spacing w:after="0" w:line="240" w:lineRule="auto"/>
              <w:jc w:val="right"/>
              <w:rPr>
                <w:rFonts w:ascii="Calibri" w:eastAsia="Times New Roman" w:hAnsi="Calibri" w:cs="Calibri"/>
                <w:b/>
                <w:bCs/>
                <w:color w:val="000000"/>
                <w:sz w:val="20"/>
                <w:szCs w:val="20"/>
                <w:lang w:eastAsia="pt-PT"/>
              </w:rPr>
            </w:pPr>
            <w:r w:rsidRPr="00CD2D3E">
              <w:rPr>
                <w:rFonts w:ascii="Calibri" w:eastAsia="Times New Roman" w:hAnsi="Calibri" w:cs="Calibri"/>
                <w:b/>
                <w:bCs/>
                <w:color w:val="000000"/>
                <w:sz w:val="20"/>
                <w:szCs w:val="20"/>
                <w:lang w:eastAsia="pt-PT"/>
              </w:rPr>
              <w:t>100%</w:t>
            </w:r>
          </w:p>
        </w:tc>
      </w:tr>
    </w:tbl>
    <w:p w14:paraId="6960F0B9" w14:textId="77777777" w:rsidR="00550C2D" w:rsidRDefault="00550C2D" w:rsidP="00550C2D">
      <w:pPr>
        <w:jc w:val="both"/>
      </w:pPr>
    </w:p>
    <w:p w14:paraId="46FFD6AD" w14:textId="77777777" w:rsidR="00550C2D" w:rsidRDefault="00550C2D" w:rsidP="00550C2D">
      <w:pPr>
        <w:jc w:val="both"/>
      </w:pPr>
    </w:p>
    <w:p w14:paraId="5FDB9325" w14:textId="77777777" w:rsidR="00550C2D" w:rsidRDefault="00550C2D" w:rsidP="00550C2D">
      <w:pPr>
        <w:jc w:val="both"/>
      </w:pPr>
    </w:p>
    <w:p w14:paraId="05A8ECA7" w14:textId="77777777" w:rsidR="00550C2D" w:rsidRDefault="00550C2D" w:rsidP="00550C2D">
      <w:pPr>
        <w:jc w:val="both"/>
      </w:pPr>
    </w:p>
    <w:p w14:paraId="3C8B7FF6" w14:textId="20B8A88A" w:rsidR="00550C2D" w:rsidRDefault="00550C2D" w:rsidP="00550C2D">
      <w:pPr>
        <w:jc w:val="both"/>
      </w:pPr>
    </w:p>
    <w:p w14:paraId="3E46F618" w14:textId="7817B5AB" w:rsidR="00550C2D" w:rsidRDefault="00C11BB2" w:rsidP="00550C2D">
      <w:pPr>
        <w:jc w:val="both"/>
      </w:pPr>
      <w:r>
        <w:rPr>
          <w:noProof/>
          <w:lang w:eastAsia="pt-PT"/>
        </w:rPr>
        <w:lastRenderedPageBreak/>
        <w:drawing>
          <wp:inline distT="0" distB="0" distL="0" distR="0" wp14:anchorId="40A15B8E" wp14:editId="2EBBEF82">
            <wp:extent cx="5235576" cy="3368675"/>
            <wp:effectExtent l="0" t="0" r="3175" b="317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bl>
      <w:tblPr>
        <w:tblW w:w="8360" w:type="dxa"/>
        <w:tblInd w:w="20" w:type="dxa"/>
        <w:tblCellMar>
          <w:left w:w="70" w:type="dxa"/>
          <w:right w:w="70" w:type="dxa"/>
        </w:tblCellMar>
        <w:tblLook w:val="04A0" w:firstRow="1" w:lastRow="0" w:firstColumn="1" w:lastColumn="0" w:noHBand="0" w:noVBand="1"/>
      </w:tblPr>
      <w:tblGrid>
        <w:gridCol w:w="3160"/>
        <w:gridCol w:w="1560"/>
        <w:gridCol w:w="1620"/>
        <w:gridCol w:w="2020"/>
      </w:tblGrid>
      <w:tr w:rsidR="000365C0" w:rsidRPr="00CD2D3E" w14:paraId="4241A34D" w14:textId="77777777" w:rsidTr="0049576D">
        <w:trPr>
          <w:trHeight w:val="300"/>
        </w:trPr>
        <w:tc>
          <w:tcPr>
            <w:tcW w:w="6340" w:type="dxa"/>
            <w:gridSpan w:val="3"/>
            <w:tcBorders>
              <w:top w:val="nil"/>
              <w:left w:val="nil"/>
              <w:bottom w:val="single" w:sz="8" w:space="0" w:color="999999"/>
              <w:right w:val="nil"/>
            </w:tcBorders>
            <w:shd w:val="clear" w:color="auto" w:fill="auto"/>
            <w:noWrap/>
            <w:vAlign w:val="center"/>
            <w:hideMark/>
          </w:tcPr>
          <w:p w14:paraId="24060B15" w14:textId="30F2AFF4" w:rsidR="000365C0" w:rsidRPr="00161DF4" w:rsidRDefault="000365C0" w:rsidP="00161DF4">
            <w:pPr>
              <w:spacing w:after="0" w:line="240" w:lineRule="auto"/>
              <w:jc w:val="both"/>
              <w:rPr>
                <w:rFonts w:eastAsia="Times New Roman" w:cstheme="minorHAnsi"/>
                <w:b/>
                <w:bCs/>
                <w:color w:val="000000"/>
                <w:sz w:val="20"/>
                <w:szCs w:val="20"/>
                <w:lang w:eastAsia="pt-PT"/>
              </w:rPr>
            </w:pPr>
            <w:r w:rsidRPr="00161DF4">
              <w:rPr>
                <w:rFonts w:eastAsia="Times New Roman" w:cstheme="minorHAnsi"/>
                <w:b/>
                <w:bCs/>
                <w:sz w:val="20"/>
                <w:szCs w:val="20"/>
                <w:lang w:eastAsia="pt-PT"/>
              </w:rPr>
              <w:t xml:space="preserve">Table 2: Summary of UNDP Project </w:t>
            </w:r>
            <w:r w:rsidR="004F3426" w:rsidRPr="00161DF4">
              <w:rPr>
                <w:rFonts w:eastAsia="Times New Roman" w:cstheme="minorHAnsi"/>
                <w:b/>
                <w:bCs/>
                <w:sz w:val="20"/>
                <w:szCs w:val="20"/>
                <w:lang w:eastAsia="pt-PT"/>
              </w:rPr>
              <w:t xml:space="preserve">Budget and Expenditures </w:t>
            </w:r>
            <w:r w:rsidRPr="00161DF4">
              <w:rPr>
                <w:rFonts w:eastAsia="Times New Roman" w:cstheme="minorHAnsi"/>
                <w:b/>
                <w:bCs/>
                <w:sz w:val="20"/>
                <w:szCs w:val="20"/>
                <w:lang w:eastAsia="pt-PT"/>
              </w:rPr>
              <w:t>by Source of Funds</w:t>
            </w:r>
          </w:p>
        </w:tc>
        <w:tc>
          <w:tcPr>
            <w:tcW w:w="2020" w:type="dxa"/>
            <w:tcBorders>
              <w:top w:val="nil"/>
              <w:left w:val="nil"/>
              <w:bottom w:val="nil"/>
              <w:right w:val="nil"/>
            </w:tcBorders>
            <w:shd w:val="clear" w:color="auto" w:fill="auto"/>
            <w:noWrap/>
            <w:vAlign w:val="bottom"/>
            <w:hideMark/>
          </w:tcPr>
          <w:p w14:paraId="16E3F52E" w14:textId="77777777" w:rsidR="000365C0" w:rsidRPr="00CD2D3E" w:rsidRDefault="000365C0" w:rsidP="00311629">
            <w:pPr>
              <w:spacing w:after="0" w:line="240" w:lineRule="auto"/>
              <w:rPr>
                <w:rFonts w:eastAsia="Times New Roman" w:cstheme="minorHAnsi"/>
                <w:color w:val="000000"/>
                <w:sz w:val="20"/>
                <w:szCs w:val="20"/>
                <w:lang w:eastAsia="pt-PT"/>
              </w:rPr>
            </w:pPr>
          </w:p>
        </w:tc>
      </w:tr>
      <w:tr w:rsidR="000365C0" w:rsidRPr="00CD2D3E" w14:paraId="5D234ECF" w14:textId="77777777" w:rsidTr="0049576D">
        <w:trPr>
          <w:trHeight w:val="300"/>
        </w:trPr>
        <w:tc>
          <w:tcPr>
            <w:tcW w:w="3160" w:type="dxa"/>
            <w:tcBorders>
              <w:top w:val="nil"/>
              <w:left w:val="single" w:sz="8" w:space="0" w:color="999999"/>
              <w:bottom w:val="single" w:sz="12" w:space="0" w:color="666666"/>
              <w:right w:val="single" w:sz="8" w:space="0" w:color="999999"/>
            </w:tcBorders>
            <w:shd w:val="clear" w:color="auto" w:fill="auto"/>
            <w:vAlign w:val="center"/>
            <w:hideMark/>
          </w:tcPr>
          <w:p w14:paraId="6B22A6A6" w14:textId="77777777" w:rsidR="000365C0" w:rsidRPr="00CD2D3E" w:rsidRDefault="000365C0" w:rsidP="00311629">
            <w:pPr>
              <w:spacing w:after="0" w:line="240" w:lineRule="auto"/>
              <w:jc w:val="both"/>
              <w:rPr>
                <w:rFonts w:eastAsia="Times New Roman" w:cstheme="minorHAnsi"/>
                <w:b/>
                <w:bCs/>
                <w:color w:val="000000"/>
                <w:sz w:val="20"/>
                <w:szCs w:val="20"/>
                <w:lang w:eastAsia="pt-PT"/>
              </w:rPr>
            </w:pPr>
            <w:r w:rsidRPr="00CD2D3E">
              <w:rPr>
                <w:rFonts w:eastAsia="Times New Roman" w:cstheme="minorHAnsi"/>
                <w:b/>
                <w:bCs/>
                <w:color w:val="000000"/>
                <w:sz w:val="20"/>
                <w:szCs w:val="20"/>
                <w:lang w:eastAsia="pt-PT"/>
              </w:rPr>
              <w:t>Programme Cluster/Outcome</w:t>
            </w:r>
          </w:p>
        </w:tc>
        <w:tc>
          <w:tcPr>
            <w:tcW w:w="1560" w:type="dxa"/>
            <w:tcBorders>
              <w:top w:val="nil"/>
              <w:left w:val="nil"/>
              <w:bottom w:val="single" w:sz="12" w:space="0" w:color="666666"/>
              <w:right w:val="single" w:sz="8" w:space="0" w:color="999999"/>
            </w:tcBorders>
            <w:shd w:val="clear" w:color="auto" w:fill="auto"/>
            <w:vAlign w:val="center"/>
            <w:hideMark/>
          </w:tcPr>
          <w:p w14:paraId="2B601ACD" w14:textId="77777777" w:rsidR="000365C0" w:rsidRPr="00CD2D3E" w:rsidRDefault="000365C0" w:rsidP="00311629">
            <w:pPr>
              <w:spacing w:after="0" w:line="240" w:lineRule="auto"/>
              <w:jc w:val="both"/>
              <w:rPr>
                <w:rFonts w:eastAsia="Times New Roman" w:cstheme="minorHAnsi"/>
                <w:b/>
                <w:bCs/>
                <w:color w:val="000000"/>
                <w:sz w:val="20"/>
                <w:szCs w:val="20"/>
                <w:lang w:eastAsia="pt-PT"/>
              </w:rPr>
            </w:pPr>
            <w:r w:rsidRPr="00CD2D3E">
              <w:rPr>
                <w:rFonts w:eastAsia="Times New Roman" w:cstheme="minorHAnsi"/>
                <w:b/>
                <w:bCs/>
                <w:color w:val="000000"/>
                <w:sz w:val="20"/>
                <w:szCs w:val="20"/>
                <w:lang w:eastAsia="pt-PT"/>
              </w:rPr>
              <w:t>No. of Projects</w:t>
            </w:r>
          </w:p>
        </w:tc>
        <w:tc>
          <w:tcPr>
            <w:tcW w:w="1620" w:type="dxa"/>
            <w:tcBorders>
              <w:top w:val="nil"/>
              <w:left w:val="nil"/>
              <w:bottom w:val="single" w:sz="12" w:space="0" w:color="666666"/>
              <w:right w:val="nil"/>
            </w:tcBorders>
            <w:shd w:val="clear" w:color="auto" w:fill="auto"/>
            <w:vAlign w:val="center"/>
            <w:hideMark/>
          </w:tcPr>
          <w:p w14:paraId="20F104EA" w14:textId="646006E6" w:rsidR="000365C0" w:rsidRPr="00CD2D3E" w:rsidRDefault="000365C0" w:rsidP="00311629">
            <w:pPr>
              <w:spacing w:after="0" w:line="240" w:lineRule="auto"/>
              <w:jc w:val="both"/>
              <w:rPr>
                <w:rFonts w:eastAsia="Times New Roman" w:cstheme="minorHAnsi"/>
                <w:b/>
                <w:bCs/>
                <w:color w:val="000000"/>
                <w:sz w:val="20"/>
                <w:szCs w:val="20"/>
                <w:lang w:eastAsia="pt-PT"/>
              </w:rPr>
            </w:pPr>
            <w:r w:rsidRPr="00CD2D3E">
              <w:rPr>
                <w:rFonts w:eastAsia="Times New Roman" w:cstheme="minorHAnsi"/>
                <w:b/>
                <w:bCs/>
                <w:color w:val="000000"/>
                <w:sz w:val="20"/>
                <w:szCs w:val="20"/>
                <w:lang w:eastAsia="pt-PT"/>
              </w:rPr>
              <w:t xml:space="preserve"> Budget</w:t>
            </w:r>
          </w:p>
        </w:tc>
        <w:tc>
          <w:tcPr>
            <w:tcW w:w="2020"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14:paraId="595641B3" w14:textId="221B49F5" w:rsidR="000365C0" w:rsidRPr="00CD2D3E" w:rsidRDefault="000365C0" w:rsidP="00311629">
            <w:pPr>
              <w:spacing w:after="0" w:line="240" w:lineRule="auto"/>
              <w:rPr>
                <w:rFonts w:eastAsia="Times New Roman" w:cstheme="minorHAnsi"/>
                <w:b/>
                <w:bCs/>
                <w:color w:val="000000"/>
                <w:sz w:val="20"/>
                <w:szCs w:val="20"/>
                <w:lang w:eastAsia="pt-PT"/>
              </w:rPr>
            </w:pPr>
            <w:r w:rsidRPr="00CD2D3E">
              <w:rPr>
                <w:rFonts w:eastAsia="Times New Roman" w:cstheme="minorHAnsi"/>
                <w:b/>
                <w:bCs/>
                <w:color w:val="000000"/>
                <w:sz w:val="20"/>
                <w:szCs w:val="20"/>
                <w:lang w:eastAsia="pt-PT"/>
              </w:rPr>
              <w:t>Expenditures</w:t>
            </w:r>
          </w:p>
        </w:tc>
      </w:tr>
      <w:tr w:rsidR="000365C0" w:rsidRPr="00CD2D3E" w14:paraId="3E879F5B" w14:textId="77777777" w:rsidTr="0049576D">
        <w:trPr>
          <w:trHeight w:val="310"/>
        </w:trPr>
        <w:tc>
          <w:tcPr>
            <w:tcW w:w="3160" w:type="dxa"/>
            <w:tcBorders>
              <w:top w:val="nil"/>
              <w:left w:val="single" w:sz="8" w:space="0" w:color="999999"/>
              <w:bottom w:val="single" w:sz="8" w:space="0" w:color="999999"/>
              <w:right w:val="single" w:sz="8" w:space="0" w:color="999999"/>
            </w:tcBorders>
            <w:shd w:val="clear" w:color="auto" w:fill="auto"/>
            <w:vAlign w:val="center"/>
            <w:hideMark/>
          </w:tcPr>
          <w:p w14:paraId="2E9352C9" w14:textId="77777777" w:rsidR="000365C0" w:rsidRPr="00CD2D3E" w:rsidRDefault="000365C0" w:rsidP="00311629">
            <w:pPr>
              <w:spacing w:after="0" w:line="240" w:lineRule="auto"/>
              <w:jc w:val="both"/>
              <w:rPr>
                <w:rFonts w:eastAsia="Times New Roman" w:cstheme="minorHAnsi"/>
                <w:b/>
                <w:bCs/>
                <w:color w:val="000000"/>
                <w:sz w:val="20"/>
                <w:szCs w:val="20"/>
                <w:lang w:eastAsia="pt-PT"/>
              </w:rPr>
            </w:pPr>
            <w:r w:rsidRPr="00CD2D3E">
              <w:rPr>
                <w:rFonts w:eastAsia="Times New Roman" w:cstheme="minorHAnsi"/>
                <w:b/>
                <w:bCs/>
                <w:color w:val="000000"/>
                <w:sz w:val="20"/>
                <w:szCs w:val="20"/>
                <w:lang w:eastAsia="pt-PT"/>
              </w:rPr>
              <w:t>Poverty/Inclusive Growth</w:t>
            </w:r>
          </w:p>
        </w:tc>
        <w:tc>
          <w:tcPr>
            <w:tcW w:w="1560" w:type="dxa"/>
            <w:tcBorders>
              <w:top w:val="nil"/>
              <w:left w:val="nil"/>
              <w:bottom w:val="single" w:sz="8" w:space="0" w:color="999999"/>
              <w:right w:val="single" w:sz="8" w:space="0" w:color="999999"/>
            </w:tcBorders>
            <w:shd w:val="clear" w:color="auto" w:fill="auto"/>
            <w:vAlign w:val="center"/>
            <w:hideMark/>
          </w:tcPr>
          <w:p w14:paraId="64DBBEF6" w14:textId="77777777" w:rsidR="000365C0" w:rsidRPr="00CD2D3E" w:rsidRDefault="000365C0" w:rsidP="00311629">
            <w:pPr>
              <w:spacing w:after="0" w:line="240" w:lineRule="auto"/>
              <w:jc w:val="both"/>
              <w:rPr>
                <w:rFonts w:eastAsia="Times New Roman" w:cstheme="minorHAnsi"/>
                <w:color w:val="000000"/>
                <w:sz w:val="20"/>
                <w:szCs w:val="20"/>
                <w:lang w:eastAsia="pt-PT"/>
              </w:rPr>
            </w:pPr>
            <w:r w:rsidRPr="00CD2D3E">
              <w:rPr>
                <w:rFonts w:eastAsia="Times New Roman" w:cstheme="minorHAnsi"/>
                <w:color w:val="000000"/>
                <w:sz w:val="20"/>
                <w:szCs w:val="20"/>
                <w:lang w:eastAsia="pt-PT"/>
              </w:rPr>
              <w:t>6</w:t>
            </w:r>
          </w:p>
        </w:tc>
        <w:tc>
          <w:tcPr>
            <w:tcW w:w="1620" w:type="dxa"/>
            <w:tcBorders>
              <w:top w:val="nil"/>
              <w:left w:val="nil"/>
              <w:bottom w:val="single" w:sz="8" w:space="0" w:color="999999"/>
              <w:right w:val="nil"/>
            </w:tcBorders>
            <w:shd w:val="clear" w:color="auto" w:fill="auto"/>
            <w:vAlign w:val="center"/>
            <w:hideMark/>
          </w:tcPr>
          <w:p w14:paraId="5D39CA51" w14:textId="77777777" w:rsidR="000365C0" w:rsidRPr="00CD2D3E" w:rsidRDefault="000365C0" w:rsidP="00311629">
            <w:pPr>
              <w:spacing w:after="0" w:line="240" w:lineRule="auto"/>
              <w:jc w:val="right"/>
              <w:rPr>
                <w:rFonts w:eastAsia="Times New Roman" w:cstheme="minorHAnsi"/>
                <w:b/>
                <w:bCs/>
                <w:color w:val="000000"/>
                <w:sz w:val="20"/>
                <w:szCs w:val="20"/>
                <w:lang w:eastAsia="pt-PT"/>
              </w:rPr>
            </w:pPr>
            <w:r w:rsidRPr="00CD2D3E">
              <w:rPr>
                <w:rFonts w:eastAsia="Times New Roman" w:cstheme="minorHAnsi"/>
                <w:b/>
                <w:bCs/>
                <w:color w:val="000000"/>
                <w:sz w:val="20"/>
                <w:szCs w:val="20"/>
                <w:lang w:eastAsia="pt-PT"/>
              </w:rPr>
              <w:t xml:space="preserve">$1 959 948 </w:t>
            </w:r>
          </w:p>
        </w:tc>
        <w:tc>
          <w:tcPr>
            <w:tcW w:w="2020" w:type="dxa"/>
            <w:tcBorders>
              <w:top w:val="nil"/>
              <w:left w:val="single" w:sz="8" w:space="0" w:color="auto"/>
              <w:bottom w:val="single" w:sz="8" w:space="0" w:color="999999"/>
              <w:right w:val="single" w:sz="8" w:space="0" w:color="auto"/>
            </w:tcBorders>
            <w:shd w:val="clear" w:color="auto" w:fill="auto"/>
            <w:vAlign w:val="center"/>
            <w:hideMark/>
          </w:tcPr>
          <w:p w14:paraId="0D13754C" w14:textId="77777777" w:rsidR="000365C0" w:rsidRPr="00CD2D3E" w:rsidRDefault="000365C0" w:rsidP="00311629">
            <w:pPr>
              <w:spacing w:after="0" w:line="240" w:lineRule="auto"/>
              <w:jc w:val="right"/>
              <w:rPr>
                <w:rFonts w:eastAsia="Times New Roman" w:cstheme="minorHAnsi"/>
                <w:b/>
                <w:bCs/>
                <w:color w:val="000000"/>
                <w:sz w:val="20"/>
                <w:szCs w:val="20"/>
                <w:lang w:eastAsia="pt-PT"/>
              </w:rPr>
            </w:pPr>
            <w:r w:rsidRPr="00CD2D3E">
              <w:rPr>
                <w:rFonts w:eastAsia="Times New Roman" w:cstheme="minorHAnsi"/>
                <w:b/>
                <w:bCs/>
                <w:color w:val="000000"/>
                <w:sz w:val="20"/>
                <w:szCs w:val="20"/>
                <w:lang w:eastAsia="pt-PT"/>
              </w:rPr>
              <w:t xml:space="preserve">$872 614 </w:t>
            </w:r>
          </w:p>
        </w:tc>
      </w:tr>
      <w:tr w:rsidR="000365C0" w:rsidRPr="00CD2D3E" w14:paraId="14D41715" w14:textId="77777777" w:rsidTr="0049576D">
        <w:trPr>
          <w:trHeight w:val="300"/>
        </w:trPr>
        <w:tc>
          <w:tcPr>
            <w:tcW w:w="3160" w:type="dxa"/>
            <w:tcBorders>
              <w:top w:val="nil"/>
              <w:left w:val="single" w:sz="8" w:space="0" w:color="999999"/>
              <w:bottom w:val="single" w:sz="8" w:space="0" w:color="999999"/>
              <w:right w:val="single" w:sz="8" w:space="0" w:color="999999"/>
            </w:tcBorders>
            <w:shd w:val="clear" w:color="auto" w:fill="auto"/>
            <w:vAlign w:val="center"/>
            <w:hideMark/>
          </w:tcPr>
          <w:p w14:paraId="73F9291E" w14:textId="77777777" w:rsidR="000365C0" w:rsidRPr="00CD2D3E" w:rsidRDefault="000365C0" w:rsidP="00311629">
            <w:pPr>
              <w:spacing w:after="0" w:line="240" w:lineRule="auto"/>
              <w:jc w:val="both"/>
              <w:rPr>
                <w:rFonts w:eastAsia="Times New Roman" w:cstheme="minorHAnsi"/>
                <w:b/>
                <w:bCs/>
                <w:color w:val="000000"/>
                <w:sz w:val="20"/>
                <w:szCs w:val="20"/>
                <w:lang w:eastAsia="pt-PT"/>
              </w:rPr>
            </w:pPr>
            <w:r w:rsidRPr="00CD2D3E">
              <w:rPr>
                <w:rFonts w:eastAsia="Times New Roman" w:cstheme="minorHAnsi"/>
                <w:b/>
                <w:bCs/>
                <w:color w:val="000000"/>
                <w:sz w:val="20"/>
                <w:szCs w:val="20"/>
                <w:lang w:eastAsia="pt-PT"/>
              </w:rPr>
              <w:t> </w:t>
            </w:r>
          </w:p>
        </w:tc>
        <w:tc>
          <w:tcPr>
            <w:tcW w:w="1560" w:type="dxa"/>
            <w:tcBorders>
              <w:top w:val="nil"/>
              <w:left w:val="nil"/>
              <w:bottom w:val="single" w:sz="8" w:space="0" w:color="999999"/>
              <w:right w:val="single" w:sz="8" w:space="0" w:color="999999"/>
            </w:tcBorders>
            <w:shd w:val="clear" w:color="auto" w:fill="auto"/>
            <w:noWrap/>
            <w:vAlign w:val="bottom"/>
            <w:hideMark/>
          </w:tcPr>
          <w:p w14:paraId="38AB538B" w14:textId="77777777" w:rsidR="000365C0" w:rsidRPr="00CD2D3E" w:rsidRDefault="000365C0" w:rsidP="00311629">
            <w:pPr>
              <w:spacing w:after="0" w:line="240" w:lineRule="auto"/>
              <w:rPr>
                <w:rFonts w:eastAsia="Times New Roman" w:cstheme="minorHAnsi"/>
                <w:color w:val="000000"/>
                <w:sz w:val="20"/>
                <w:szCs w:val="20"/>
                <w:lang w:eastAsia="pt-PT"/>
              </w:rPr>
            </w:pPr>
            <w:r w:rsidRPr="00CD2D3E">
              <w:rPr>
                <w:rFonts w:eastAsia="Times New Roman" w:cstheme="minorHAnsi"/>
                <w:color w:val="000000"/>
                <w:sz w:val="20"/>
                <w:szCs w:val="20"/>
                <w:lang w:eastAsia="pt-PT"/>
              </w:rPr>
              <w:t>UNDP</w:t>
            </w:r>
          </w:p>
        </w:tc>
        <w:tc>
          <w:tcPr>
            <w:tcW w:w="1620" w:type="dxa"/>
            <w:tcBorders>
              <w:top w:val="nil"/>
              <w:left w:val="nil"/>
              <w:bottom w:val="single" w:sz="8" w:space="0" w:color="999999"/>
              <w:right w:val="nil"/>
            </w:tcBorders>
            <w:shd w:val="clear" w:color="auto" w:fill="auto"/>
            <w:vAlign w:val="center"/>
            <w:hideMark/>
          </w:tcPr>
          <w:p w14:paraId="1FB0C7DA" w14:textId="77777777" w:rsidR="000365C0" w:rsidRPr="00CD2D3E" w:rsidRDefault="000365C0" w:rsidP="00311629">
            <w:pPr>
              <w:spacing w:after="0" w:line="240" w:lineRule="auto"/>
              <w:jc w:val="right"/>
              <w:rPr>
                <w:rFonts w:eastAsia="Times New Roman" w:cstheme="minorHAnsi"/>
                <w:color w:val="000000"/>
                <w:sz w:val="20"/>
                <w:szCs w:val="20"/>
                <w:lang w:eastAsia="pt-PT"/>
              </w:rPr>
            </w:pPr>
            <w:r w:rsidRPr="00CD2D3E">
              <w:rPr>
                <w:rFonts w:eastAsia="Times New Roman" w:cstheme="minorHAnsi"/>
                <w:color w:val="000000"/>
                <w:sz w:val="20"/>
                <w:szCs w:val="20"/>
                <w:lang w:eastAsia="pt-PT"/>
              </w:rPr>
              <w:t xml:space="preserve">$1 260 000 </w:t>
            </w:r>
          </w:p>
        </w:tc>
        <w:tc>
          <w:tcPr>
            <w:tcW w:w="2020" w:type="dxa"/>
            <w:tcBorders>
              <w:top w:val="nil"/>
              <w:left w:val="single" w:sz="8" w:space="0" w:color="999999"/>
              <w:bottom w:val="single" w:sz="8" w:space="0" w:color="999999"/>
              <w:right w:val="single" w:sz="8" w:space="0" w:color="auto"/>
            </w:tcBorders>
            <w:shd w:val="clear" w:color="auto" w:fill="auto"/>
            <w:vAlign w:val="center"/>
            <w:hideMark/>
          </w:tcPr>
          <w:p w14:paraId="5BEFAD31" w14:textId="77777777" w:rsidR="000365C0" w:rsidRPr="00CD2D3E" w:rsidRDefault="000365C0" w:rsidP="00311629">
            <w:pPr>
              <w:spacing w:after="0" w:line="240" w:lineRule="auto"/>
              <w:jc w:val="right"/>
              <w:rPr>
                <w:rFonts w:eastAsia="Times New Roman" w:cstheme="minorHAnsi"/>
                <w:color w:val="000000"/>
                <w:sz w:val="20"/>
                <w:szCs w:val="20"/>
                <w:lang w:eastAsia="pt-PT"/>
              </w:rPr>
            </w:pPr>
            <w:r w:rsidRPr="00CD2D3E">
              <w:rPr>
                <w:rFonts w:eastAsia="Times New Roman" w:cstheme="minorHAnsi"/>
                <w:color w:val="000000"/>
                <w:sz w:val="20"/>
                <w:szCs w:val="20"/>
                <w:lang w:eastAsia="pt-PT"/>
              </w:rPr>
              <w:t xml:space="preserve">$745 569 </w:t>
            </w:r>
          </w:p>
        </w:tc>
      </w:tr>
      <w:tr w:rsidR="000365C0" w:rsidRPr="00CD2D3E" w14:paraId="2F41A161" w14:textId="77777777" w:rsidTr="0049576D">
        <w:trPr>
          <w:trHeight w:val="300"/>
        </w:trPr>
        <w:tc>
          <w:tcPr>
            <w:tcW w:w="3160" w:type="dxa"/>
            <w:tcBorders>
              <w:top w:val="nil"/>
              <w:left w:val="single" w:sz="8" w:space="0" w:color="999999"/>
              <w:bottom w:val="single" w:sz="8" w:space="0" w:color="999999"/>
              <w:right w:val="single" w:sz="8" w:space="0" w:color="999999"/>
            </w:tcBorders>
            <w:shd w:val="clear" w:color="auto" w:fill="auto"/>
            <w:vAlign w:val="center"/>
            <w:hideMark/>
          </w:tcPr>
          <w:p w14:paraId="278631C9" w14:textId="77777777" w:rsidR="000365C0" w:rsidRPr="00CD2D3E" w:rsidRDefault="000365C0" w:rsidP="00311629">
            <w:pPr>
              <w:spacing w:after="0" w:line="240" w:lineRule="auto"/>
              <w:jc w:val="both"/>
              <w:rPr>
                <w:rFonts w:eastAsia="Times New Roman" w:cstheme="minorHAnsi"/>
                <w:b/>
                <w:bCs/>
                <w:color w:val="000000"/>
                <w:sz w:val="20"/>
                <w:szCs w:val="20"/>
                <w:lang w:eastAsia="pt-PT"/>
              </w:rPr>
            </w:pPr>
            <w:r w:rsidRPr="00CD2D3E">
              <w:rPr>
                <w:rFonts w:eastAsia="Times New Roman" w:cstheme="minorHAnsi"/>
                <w:b/>
                <w:bCs/>
                <w:color w:val="000000"/>
                <w:sz w:val="20"/>
                <w:szCs w:val="20"/>
                <w:lang w:eastAsia="pt-PT"/>
              </w:rPr>
              <w:t> </w:t>
            </w:r>
          </w:p>
        </w:tc>
        <w:tc>
          <w:tcPr>
            <w:tcW w:w="1560" w:type="dxa"/>
            <w:tcBorders>
              <w:top w:val="nil"/>
              <w:left w:val="nil"/>
              <w:bottom w:val="single" w:sz="8" w:space="0" w:color="999999"/>
              <w:right w:val="single" w:sz="8" w:space="0" w:color="999999"/>
            </w:tcBorders>
            <w:shd w:val="clear" w:color="auto" w:fill="auto"/>
            <w:noWrap/>
            <w:vAlign w:val="bottom"/>
            <w:hideMark/>
          </w:tcPr>
          <w:p w14:paraId="6230A57D" w14:textId="77777777" w:rsidR="000365C0" w:rsidRPr="00CD2D3E" w:rsidRDefault="000365C0" w:rsidP="00311629">
            <w:pPr>
              <w:spacing w:after="0" w:line="240" w:lineRule="auto"/>
              <w:rPr>
                <w:rFonts w:eastAsia="Times New Roman" w:cstheme="minorHAnsi"/>
                <w:color w:val="000000"/>
                <w:sz w:val="20"/>
                <w:szCs w:val="20"/>
                <w:lang w:eastAsia="pt-PT"/>
              </w:rPr>
            </w:pPr>
            <w:r w:rsidRPr="00CD2D3E">
              <w:rPr>
                <w:rFonts w:eastAsia="Times New Roman" w:cstheme="minorHAnsi"/>
                <w:color w:val="000000"/>
                <w:sz w:val="20"/>
                <w:szCs w:val="20"/>
                <w:lang w:eastAsia="pt-PT"/>
              </w:rPr>
              <w:t>VARIOUS</w:t>
            </w:r>
          </w:p>
        </w:tc>
        <w:tc>
          <w:tcPr>
            <w:tcW w:w="1620" w:type="dxa"/>
            <w:tcBorders>
              <w:top w:val="nil"/>
              <w:left w:val="nil"/>
              <w:bottom w:val="single" w:sz="8" w:space="0" w:color="999999"/>
              <w:right w:val="nil"/>
            </w:tcBorders>
            <w:shd w:val="clear" w:color="auto" w:fill="auto"/>
            <w:vAlign w:val="center"/>
            <w:hideMark/>
          </w:tcPr>
          <w:p w14:paraId="7F499275" w14:textId="77777777" w:rsidR="000365C0" w:rsidRPr="00CD2D3E" w:rsidRDefault="000365C0" w:rsidP="00311629">
            <w:pPr>
              <w:spacing w:after="0" w:line="240" w:lineRule="auto"/>
              <w:jc w:val="right"/>
              <w:rPr>
                <w:rFonts w:eastAsia="Times New Roman" w:cstheme="minorHAnsi"/>
                <w:color w:val="000000"/>
                <w:sz w:val="20"/>
                <w:szCs w:val="20"/>
                <w:lang w:eastAsia="pt-PT"/>
              </w:rPr>
            </w:pPr>
            <w:r w:rsidRPr="00CD2D3E">
              <w:rPr>
                <w:rFonts w:eastAsia="Times New Roman" w:cstheme="minorHAnsi"/>
                <w:color w:val="000000"/>
                <w:sz w:val="20"/>
                <w:szCs w:val="20"/>
                <w:lang w:eastAsia="pt-PT"/>
              </w:rPr>
              <w:t xml:space="preserve">$344 577 </w:t>
            </w:r>
          </w:p>
        </w:tc>
        <w:tc>
          <w:tcPr>
            <w:tcW w:w="2020" w:type="dxa"/>
            <w:tcBorders>
              <w:top w:val="nil"/>
              <w:left w:val="single" w:sz="8" w:space="0" w:color="999999"/>
              <w:bottom w:val="single" w:sz="8" w:space="0" w:color="999999"/>
              <w:right w:val="single" w:sz="8" w:space="0" w:color="auto"/>
            </w:tcBorders>
            <w:shd w:val="clear" w:color="auto" w:fill="auto"/>
            <w:vAlign w:val="center"/>
            <w:hideMark/>
          </w:tcPr>
          <w:p w14:paraId="4484A1D7" w14:textId="77777777" w:rsidR="000365C0" w:rsidRPr="00CD2D3E" w:rsidRDefault="000365C0" w:rsidP="00311629">
            <w:pPr>
              <w:spacing w:after="0" w:line="240" w:lineRule="auto"/>
              <w:jc w:val="right"/>
              <w:rPr>
                <w:rFonts w:eastAsia="Times New Roman" w:cstheme="minorHAnsi"/>
                <w:color w:val="000000"/>
                <w:sz w:val="20"/>
                <w:szCs w:val="20"/>
                <w:lang w:eastAsia="pt-PT"/>
              </w:rPr>
            </w:pPr>
            <w:r w:rsidRPr="00CD2D3E">
              <w:rPr>
                <w:rFonts w:eastAsia="Times New Roman" w:cstheme="minorHAnsi"/>
                <w:color w:val="FF0000"/>
                <w:sz w:val="20"/>
                <w:szCs w:val="20"/>
                <w:lang w:eastAsia="pt-PT"/>
              </w:rPr>
              <w:t>($42 743)</w:t>
            </w:r>
          </w:p>
        </w:tc>
      </w:tr>
      <w:tr w:rsidR="000365C0" w:rsidRPr="00CD2D3E" w14:paraId="6EC74E07" w14:textId="77777777" w:rsidTr="0049576D">
        <w:trPr>
          <w:trHeight w:val="300"/>
        </w:trPr>
        <w:tc>
          <w:tcPr>
            <w:tcW w:w="3160" w:type="dxa"/>
            <w:tcBorders>
              <w:top w:val="nil"/>
              <w:left w:val="single" w:sz="8" w:space="0" w:color="999999"/>
              <w:bottom w:val="single" w:sz="8" w:space="0" w:color="999999"/>
              <w:right w:val="single" w:sz="8" w:space="0" w:color="999999"/>
            </w:tcBorders>
            <w:shd w:val="clear" w:color="auto" w:fill="auto"/>
            <w:vAlign w:val="center"/>
            <w:hideMark/>
          </w:tcPr>
          <w:p w14:paraId="03D8CBC7" w14:textId="77777777" w:rsidR="000365C0" w:rsidRPr="00CD2D3E" w:rsidRDefault="000365C0" w:rsidP="00311629">
            <w:pPr>
              <w:spacing w:after="0" w:line="240" w:lineRule="auto"/>
              <w:jc w:val="both"/>
              <w:rPr>
                <w:rFonts w:eastAsia="Times New Roman" w:cstheme="minorHAnsi"/>
                <w:b/>
                <w:bCs/>
                <w:color w:val="000000"/>
                <w:sz w:val="20"/>
                <w:szCs w:val="20"/>
                <w:lang w:eastAsia="pt-PT"/>
              </w:rPr>
            </w:pPr>
            <w:r w:rsidRPr="00CD2D3E">
              <w:rPr>
                <w:rFonts w:eastAsia="Times New Roman" w:cstheme="minorHAnsi"/>
                <w:b/>
                <w:bCs/>
                <w:color w:val="000000"/>
                <w:sz w:val="20"/>
                <w:szCs w:val="20"/>
                <w:lang w:eastAsia="pt-PT"/>
              </w:rPr>
              <w:t> </w:t>
            </w:r>
          </w:p>
        </w:tc>
        <w:tc>
          <w:tcPr>
            <w:tcW w:w="1560" w:type="dxa"/>
            <w:tcBorders>
              <w:top w:val="nil"/>
              <w:left w:val="nil"/>
              <w:bottom w:val="single" w:sz="8" w:space="0" w:color="999999"/>
              <w:right w:val="single" w:sz="8" w:space="0" w:color="999999"/>
            </w:tcBorders>
            <w:shd w:val="clear" w:color="auto" w:fill="auto"/>
            <w:noWrap/>
            <w:vAlign w:val="bottom"/>
            <w:hideMark/>
          </w:tcPr>
          <w:p w14:paraId="2F0E33FC" w14:textId="77777777" w:rsidR="000365C0" w:rsidRPr="00CD2D3E" w:rsidRDefault="000365C0" w:rsidP="00311629">
            <w:pPr>
              <w:spacing w:after="0" w:line="240" w:lineRule="auto"/>
              <w:rPr>
                <w:rFonts w:eastAsia="Times New Roman" w:cstheme="minorHAnsi"/>
                <w:color w:val="000000"/>
                <w:sz w:val="20"/>
                <w:szCs w:val="20"/>
                <w:lang w:eastAsia="pt-PT"/>
              </w:rPr>
            </w:pPr>
            <w:r w:rsidRPr="00CD2D3E">
              <w:rPr>
                <w:rFonts w:eastAsia="Times New Roman" w:cstheme="minorHAnsi"/>
                <w:color w:val="000000"/>
                <w:sz w:val="20"/>
                <w:szCs w:val="20"/>
                <w:lang w:eastAsia="pt-PT"/>
              </w:rPr>
              <w:t>NORWAY</w:t>
            </w:r>
          </w:p>
        </w:tc>
        <w:tc>
          <w:tcPr>
            <w:tcW w:w="1620" w:type="dxa"/>
            <w:tcBorders>
              <w:top w:val="nil"/>
              <w:left w:val="nil"/>
              <w:bottom w:val="single" w:sz="8" w:space="0" w:color="999999"/>
              <w:right w:val="nil"/>
            </w:tcBorders>
            <w:shd w:val="clear" w:color="auto" w:fill="auto"/>
            <w:vAlign w:val="center"/>
            <w:hideMark/>
          </w:tcPr>
          <w:p w14:paraId="4EED2835" w14:textId="77777777" w:rsidR="000365C0" w:rsidRPr="00CD2D3E" w:rsidRDefault="000365C0" w:rsidP="00311629">
            <w:pPr>
              <w:spacing w:after="0" w:line="240" w:lineRule="auto"/>
              <w:jc w:val="right"/>
              <w:rPr>
                <w:rFonts w:eastAsia="Times New Roman" w:cstheme="minorHAnsi"/>
                <w:color w:val="000000"/>
                <w:sz w:val="20"/>
                <w:szCs w:val="20"/>
                <w:lang w:eastAsia="pt-PT"/>
              </w:rPr>
            </w:pPr>
            <w:r w:rsidRPr="00CD2D3E">
              <w:rPr>
                <w:rFonts w:eastAsia="Times New Roman" w:cstheme="minorHAnsi"/>
                <w:color w:val="000000"/>
                <w:sz w:val="20"/>
                <w:szCs w:val="20"/>
                <w:lang w:eastAsia="pt-PT"/>
              </w:rPr>
              <w:t xml:space="preserve">$355 371 </w:t>
            </w:r>
          </w:p>
        </w:tc>
        <w:tc>
          <w:tcPr>
            <w:tcW w:w="2020" w:type="dxa"/>
            <w:tcBorders>
              <w:top w:val="nil"/>
              <w:left w:val="single" w:sz="8" w:space="0" w:color="999999"/>
              <w:bottom w:val="single" w:sz="8" w:space="0" w:color="999999"/>
              <w:right w:val="single" w:sz="8" w:space="0" w:color="auto"/>
            </w:tcBorders>
            <w:shd w:val="clear" w:color="auto" w:fill="auto"/>
            <w:vAlign w:val="center"/>
            <w:hideMark/>
          </w:tcPr>
          <w:p w14:paraId="7B2C550A" w14:textId="77777777" w:rsidR="000365C0" w:rsidRPr="00CD2D3E" w:rsidRDefault="000365C0" w:rsidP="00311629">
            <w:pPr>
              <w:spacing w:after="0" w:line="240" w:lineRule="auto"/>
              <w:jc w:val="right"/>
              <w:rPr>
                <w:rFonts w:eastAsia="Times New Roman" w:cstheme="minorHAnsi"/>
                <w:color w:val="000000"/>
                <w:sz w:val="20"/>
                <w:szCs w:val="20"/>
                <w:lang w:eastAsia="pt-PT"/>
              </w:rPr>
            </w:pPr>
            <w:r w:rsidRPr="00CD2D3E">
              <w:rPr>
                <w:rFonts w:eastAsia="Times New Roman" w:cstheme="minorHAnsi"/>
                <w:color w:val="000000"/>
                <w:sz w:val="20"/>
                <w:szCs w:val="20"/>
                <w:lang w:eastAsia="pt-PT"/>
              </w:rPr>
              <w:t xml:space="preserve">$169 787 </w:t>
            </w:r>
          </w:p>
        </w:tc>
      </w:tr>
      <w:tr w:rsidR="000365C0" w:rsidRPr="00CD2D3E" w14:paraId="73D0E3B2" w14:textId="77777777" w:rsidTr="0049576D">
        <w:trPr>
          <w:trHeight w:val="300"/>
        </w:trPr>
        <w:tc>
          <w:tcPr>
            <w:tcW w:w="3160" w:type="dxa"/>
            <w:tcBorders>
              <w:top w:val="nil"/>
              <w:left w:val="single" w:sz="8" w:space="0" w:color="999999"/>
              <w:bottom w:val="single" w:sz="8" w:space="0" w:color="999999"/>
              <w:right w:val="single" w:sz="8" w:space="0" w:color="999999"/>
            </w:tcBorders>
            <w:shd w:val="clear" w:color="auto" w:fill="auto"/>
            <w:vAlign w:val="center"/>
            <w:hideMark/>
          </w:tcPr>
          <w:p w14:paraId="6F0943DF" w14:textId="77777777" w:rsidR="000365C0" w:rsidRPr="00CD2D3E" w:rsidRDefault="000365C0" w:rsidP="00311629">
            <w:pPr>
              <w:spacing w:after="0" w:line="240" w:lineRule="auto"/>
              <w:jc w:val="both"/>
              <w:rPr>
                <w:rFonts w:eastAsia="Times New Roman" w:cstheme="minorHAnsi"/>
                <w:b/>
                <w:bCs/>
                <w:color w:val="000000"/>
                <w:sz w:val="20"/>
                <w:szCs w:val="20"/>
                <w:lang w:eastAsia="pt-PT"/>
              </w:rPr>
            </w:pPr>
            <w:r w:rsidRPr="00CD2D3E">
              <w:rPr>
                <w:rFonts w:eastAsia="Times New Roman" w:cstheme="minorHAnsi"/>
                <w:b/>
                <w:bCs/>
                <w:color w:val="000000"/>
                <w:sz w:val="20"/>
                <w:szCs w:val="20"/>
                <w:lang w:eastAsia="pt-PT"/>
              </w:rPr>
              <w:t> </w:t>
            </w:r>
          </w:p>
        </w:tc>
        <w:tc>
          <w:tcPr>
            <w:tcW w:w="1560" w:type="dxa"/>
            <w:tcBorders>
              <w:top w:val="nil"/>
              <w:left w:val="nil"/>
              <w:bottom w:val="single" w:sz="8" w:space="0" w:color="999999"/>
              <w:right w:val="single" w:sz="8" w:space="0" w:color="999999"/>
            </w:tcBorders>
            <w:shd w:val="clear" w:color="auto" w:fill="auto"/>
            <w:noWrap/>
            <w:vAlign w:val="bottom"/>
            <w:hideMark/>
          </w:tcPr>
          <w:p w14:paraId="517DC06A" w14:textId="77777777" w:rsidR="000365C0" w:rsidRPr="00CD2D3E" w:rsidRDefault="000365C0" w:rsidP="00311629">
            <w:pPr>
              <w:spacing w:after="0" w:line="240" w:lineRule="auto"/>
              <w:rPr>
                <w:rFonts w:eastAsia="Times New Roman" w:cstheme="minorHAnsi"/>
                <w:color w:val="000000"/>
                <w:sz w:val="20"/>
                <w:szCs w:val="20"/>
                <w:lang w:eastAsia="pt-PT"/>
              </w:rPr>
            </w:pPr>
            <w:r w:rsidRPr="00CD2D3E">
              <w:rPr>
                <w:rFonts w:eastAsia="Times New Roman" w:cstheme="minorHAnsi"/>
                <w:color w:val="000000"/>
                <w:sz w:val="20"/>
                <w:szCs w:val="20"/>
                <w:lang w:eastAsia="pt-PT"/>
              </w:rPr>
              <w:t>GEF</w:t>
            </w:r>
          </w:p>
        </w:tc>
        <w:tc>
          <w:tcPr>
            <w:tcW w:w="1620" w:type="dxa"/>
            <w:tcBorders>
              <w:top w:val="nil"/>
              <w:left w:val="nil"/>
              <w:bottom w:val="single" w:sz="8" w:space="0" w:color="999999"/>
              <w:right w:val="nil"/>
            </w:tcBorders>
            <w:shd w:val="clear" w:color="auto" w:fill="auto"/>
            <w:vAlign w:val="center"/>
            <w:hideMark/>
          </w:tcPr>
          <w:p w14:paraId="604B8CD4" w14:textId="77777777" w:rsidR="000365C0" w:rsidRPr="00CD2D3E" w:rsidRDefault="000365C0" w:rsidP="00311629">
            <w:pPr>
              <w:spacing w:after="0" w:line="240" w:lineRule="auto"/>
              <w:jc w:val="right"/>
              <w:rPr>
                <w:rFonts w:eastAsia="Times New Roman" w:cstheme="minorHAnsi"/>
                <w:color w:val="000000"/>
                <w:sz w:val="20"/>
                <w:szCs w:val="20"/>
                <w:lang w:eastAsia="pt-PT"/>
              </w:rPr>
            </w:pPr>
            <w:r w:rsidRPr="00CD2D3E">
              <w:rPr>
                <w:rFonts w:eastAsia="Times New Roman" w:cstheme="minorHAnsi"/>
                <w:color w:val="000000"/>
                <w:sz w:val="20"/>
                <w:szCs w:val="20"/>
                <w:lang w:eastAsia="pt-PT"/>
              </w:rPr>
              <w:t xml:space="preserve">$0 </w:t>
            </w:r>
          </w:p>
        </w:tc>
        <w:tc>
          <w:tcPr>
            <w:tcW w:w="2020" w:type="dxa"/>
            <w:tcBorders>
              <w:top w:val="nil"/>
              <w:left w:val="single" w:sz="8" w:space="0" w:color="999999"/>
              <w:bottom w:val="single" w:sz="8" w:space="0" w:color="999999"/>
              <w:right w:val="single" w:sz="8" w:space="0" w:color="auto"/>
            </w:tcBorders>
            <w:shd w:val="clear" w:color="auto" w:fill="auto"/>
            <w:vAlign w:val="center"/>
            <w:hideMark/>
          </w:tcPr>
          <w:p w14:paraId="4D66978D" w14:textId="77777777" w:rsidR="000365C0" w:rsidRPr="00CD2D3E" w:rsidRDefault="000365C0" w:rsidP="00311629">
            <w:pPr>
              <w:spacing w:after="0" w:line="240" w:lineRule="auto"/>
              <w:jc w:val="right"/>
              <w:rPr>
                <w:rFonts w:eastAsia="Times New Roman" w:cstheme="minorHAnsi"/>
                <w:color w:val="000000"/>
                <w:sz w:val="20"/>
                <w:szCs w:val="20"/>
                <w:lang w:eastAsia="pt-PT"/>
              </w:rPr>
            </w:pPr>
            <w:r w:rsidRPr="00CD2D3E">
              <w:rPr>
                <w:rFonts w:eastAsia="Times New Roman" w:cstheme="minorHAnsi"/>
                <w:color w:val="000000"/>
                <w:sz w:val="20"/>
                <w:szCs w:val="20"/>
                <w:lang w:eastAsia="pt-PT"/>
              </w:rPr>
              <w:t xml:space="preserve">$0 </w:t>
            </w:r>
          </w:p>
        </w:tc>
      </w:tr>
      <w:tr w:rsidR="000365C0" w:rsidRPr="00CD2D3E" w14:paraId="7A7972C9" w14:textId="77777777" w:rsidTr="0049576D">
        <w:trPr>
          <w:trHeight w:val="300"/>
        </w:trPr>
        <w:tc>
          <w:tcPr>
            <w:tcW w:w="3160" w:type="dxa"/>
            <w:tcBorders>
              <w:top w:val="nil"/>
              <w:left w:val="single" w:sz="8" w:space="0" w:color="999999"/>
              <w:bottom w:val="single" w:sz="8" w:space="0" w:color="999999"/>
              <w:right w:val="single" w:sz="8" w:space="0" w:color="999999"/>
            </w:tcBorders>
            <w:shd w:val="clear" w:color="auto" w:fill="auto"/>
            <w:vAlign w:val="center"/>
            <w:hideMark/>
          </w:tcPr>
          <w:p w14:paraId="2FBC1DF3" w14:textId="77777777" w:rsidR="000365C0" w:rsidRPr="00CD2D3E" w:rsidRDefault="000365C0" w:rsidP="00311629">
            <w:pPr>
              <w:spacing w:after="0" w:line="240" w:lineRule="auto"/>
              <w:jc w:val="both"/>
              <w:rPr>
                <w:rFonts w:eastAsia="Times New Roman" w:cstheme="minorHAnsi"/>
                <w:b/>
                <w:bCs/>
                <w:color w:val="000000"/>
                <w:sz w:val="20"/>
                <w:szCs w:val="20"/>
                <w:lang w:eastAsia="pt-PT"/>
              </w:rPr>
            </w:pPr>
            <w:r w:rsidRPr="00CD2D3E">
              <w:rPr>
                <w:rFonts w:eastAsia="Times New Roman" w:cstheme="minorHAnsi"/>
                <w:b/>
                <w:bCs/>
                <w:color w:val="000000"/>
                <w:sz w:val="20"/>
                <w:szCs w:val="20"/>
                <w:lang w:eastAsia="pt-PT"/>
              </w:rPr>
              <w:t> </w:t>
            </w:r>
          </w:p>
        </w:tc>
        <w:tc>
          <w:tcPr>
            <w:tcW w:w="1560" w:type="dxa"/>
            <w:tcBorders>
              <w:top w:val="nil"/>
              <w:left w:val="nil"/>
              <w:bottom w:val="single" w:sz="8" w:space="0" w:color="999999"/>
              <w:right w:val="single" w:sz="8" w:space="0" w:color="999999"/>
            </w:tcBorders>
            <w:shd w:val="clear" w:color="auto" w:fill="auto"/>
            <w:noWrap/>
            <w:vAlign w:val="bottom"/>
            <w:hideMark/>
          </w:tcPr>
          <w:p w14:paraId="5ED5B789" w14:textId="77777777" w:rsidR="000365C0" w:rsidRPr="00CD2D3E" w:rsidRDefault="000365C0" w:rsidP="00311629">
            <w:pPr>
              <w:spacing w:after="0" w:line="240" w:lineRule="auto"/>
              <w:rPr>
                <w:rFonts w:eastAsia="Times New Roman" w:cstheme="minorHAnsi"/>
                <w:color w:val="000000"/>
                <w:sz w:val="20"/>
                <w:szCs w:val="20"/>
                <w:lang w:eastAsia="pt-PT"/>
              </w:rPr>
            </w:pPr>
            <w:r w:rsidRPr="00CD2D3E">
              <w:rPr>
                <w:rFonts w:eastAsia="Times New Roman" w:cstheme="minorHAnsi"/>
                <w:color w:val="000000"/>
                <w:sz w:val="20"/>
                <w:szCs w:val="20"/>
                <w:lang w:eastAsia="pt-PT"/>
              </w:rPr>
              <w:t>EUCOMM</w:t>
            </w:r>
          </w:p>
        </w:tc>
        <w:tc>
          <w:tcPr>
            <w:tcW w:w="1620" w:type="dxa"/>
            <w:tcBorders>
              <w:top w:val="nil"/>
              <w:left w:val="nil"/>
              <w:bottom w:val="single" w:sz="8" w:space="0" w:color="999999"/>
              <w:right w:val="nil"/>
            </w:tcBorders>
            <w:shd w:val="clear" w:color="auto" w:fill="auto"/>
            <w:vAlign w:val="center"/>
            <w:hideMark/>
          </w:tcPr>
          <w:p w14:paraId="47EEEED1" w14:textId="77777777" w:rsidR="000365C0" w:rsidRPr="00CD2D3E" w:rsidRDefault="000365C0" w:rsidP="00311629">
            <w:pPr>
              <w:spacing w:after="0" w:line="240" w:lineRule="auto"/>
              <w:jc w:val="right"/>
              <w:rPr>
                <w:rFonts w:eastAsia="Times New Roman" w:cstheme="minorHAnsi"/>
                <w:color w:val="000000"/>
                <w:sz w:val="20"/>
                <w:szCs w:val="20"/>
                <w:lang w:eastAsia="pt-PT"/>
              </w:rPr>
            </w:pPr>
            <w:r w:rsidRPr="00CD2D3E">
              <w:rPr>
                <w:rFonts w:eastAsia="Times New Roman" w:cstheme="minorHAnsi"/>
                <w:color w:val="000000"/>
                <w:sz w:val="20"/>
                <w:szCs w:val="20"/>
                <w:lang w:eastAsia="pt-PT"/>
              </w:rPr>
              <w:t xml:space="preserve">$0 </w:t>
            </w:r>
          </w:p>
        </w:tc>
        <w:tc>
          <w:tcPr>
            <w:tcW w:w="2020" w:type="dxa"/>
            <w:tcBorders>
              <w:top w:val="nil"/>
              <w:left w:val="single" w:sz="8" w:space="0" w:color="999999"/>
              <w:bottom w:val="single" w:sz="8" w:space="0" w:color="999999"/>
              <w:right w:val="single" w:sz="8" w:space="0" w:color="auto"/>
            </w:tcBorders>
            <w:shd w:val="clear" w:color="auto" w:fill="auto"/>
            <w:vAlign w:val="center"/>
            <w:hideMark/>
          </w:tcPr>
          <w:p w14:paraId="344C9EEB" w14:textId="77777777" w:rsidR="000365C0" w:rsidRPr="00CD2D3E" w:rsidRDefault="000365C0" w:rsidP="00311629">
            <w:pPr>
              <w:spacing w:after="0" w:line="240" w:lineRule="auto"/>
              <w:jc w:val="right"/>
              <w:rPr>
                <w:rFonts w:eastAsia="Times New Roman" w:cstheme="minorHAnsi"/>
                <w:color w:val="000000"/>
                <w:sz w:val="20"/>
                <w:szCs w:val="20"/>
                <w:lang w:eastAsia="pt-PT"/>
              </w:rPr>
            </w:pPr>
            <w:r w:rsidRPr="00CD2D3E">
              <w:rPr>
                <w:rFonts w:eastAsia="Times New Roman" w:cstheme="minorHAnsi"/>
                <w:color w:val="000000"/>
                <w:sz w:val="20"/>
                <w:szCs w:val="20"/>
                <w:lang w:eastAsia="pt-PT"/>
              </w:rPr>
              <w:t xml:space="preserve">$0 </w:t>
            </w:r>
          </w:p>
        </w:tc>
      </w:tr>
      <w:tr w:rsidR="000365C0" w:rsidRPr="00CD2D3E" w14:paraId="03C9DEB9" w14:textId="77777777" w:rsidTr="0049576D">
        <w:trPr>
          <w:trHeight w:val="300"/>
        </w:trPr>
        <w:tc>
          <w:tcPr>
            <w:tcW w:w="3160" w:type="dxa"/>
            <w:tcBorders>
              <w:top w:val="nil"/>
              <w:left w:val="single" w:sz="8" w:space="0" w:color="999999"/>
              <w:bottom w:val="single" w:sz="8" w:space="0" w:color="999999"/>
              <w:right w:val="single" w:sz="8" w:space="0" w:color="999999"/>
            </w:tcBorders>
            <w:shd w:val="clear" w:color="auto" w:fill="auto"/>
            <w:vAlign w:val="center"/>
            <w:hideMark/>
          </w:tcPr>
          <w:p w14:paraId="20358BEC" w14:textId="77777777" w:rsidR="000365C0" w:rsidRPr="00CD2D3E" w:rsidRDefault="000365C0" w:rsidP="00311629">
            <w:pPr>
              <w:spacing w:after="0" w:line="240" w:lineRule="auto"/>
              <w:jc w:val="both"/>
              <w:rPr>
                <w:rFonts w:eastAsia="Times New Roman" w:cstheme="minorHAnsi"/>
                <w:b/>
                <w:bCs/>
                <w:color w:val="000000"/>
                <w:sz w:val="20"/>
                <w:szCs w:val="20"/>
                <w:lang w:eastAsia="pt-PT"/>
              </w:rPr>
            </w:pPr>
            <w:r w:rsidRPr="00CD2D3E">
              <w:rPr>
                <w:rFonts w:eastAsia="Times New Roman" w:cstheme="minorHAnsi"/>
                <w:b/>
                <w:bCs/>
                <w:color w:val="000000"/>
                <w:sz w:val="20"/>
                <w:szCs w:val="20"/>
                <w:lang w:eastAsia="pt-PT"/>
              </w:rPr>
              <w:t> </w:t>
            </w:r>
          </w:p>
        </w:tc>
        <w:tc>
          <w:tcPr>
            <w:tcW w:w="1560" w:type="dxa"/>
            <w:tcBorders>
              <w:top w:val="nil"/>
              <w:left w:val="nil"/>
              <w:bottom w:val="single" w:sz="8" w:space="0" w:color="999999"/>
              <w:right w:val="single" w:sz="8" w:space="0" w:color="999999"/>
            </w:tcBorders>
            <w:shd w:val="clear" w:color="auto" w:fill="auto"/>
            <w:vAlign w:val="center"/>
            <w:hideMark/>
          </w:tcPr>
          <w:p w14:paraId="41459CCC" w14:textId="77777777" w:rsidR="000365C0" w:rsidRPr="00CD2D3E" w:rsidRDefault="000365C0" w:rsidP="00311629">
            <w:pPr>
              <w:spacing w:after="0" w:line="240" w:lineRule="auto"/>
              <w:jc w:val="both"/>
              <w:rPr>
                <w:rFonts w:eastAsia="Times New Roman" w:cstheme="minorHAnsi"/>
                <w:color w:val="000000"/>
                <w:sz w:val="20"/>
                <w:szCs w:val="20"/>
                <w:lang w:eastAsia="pt-PT"/>
              </w:rPr>
            </w:pPr>
            <w:r w:rsidRPr="00CD2D3E">
              <w:rPr>
                <w:rFonts w:eastAsia="Times New Roman" w:cstheme="minorHAnsi"/>
                <w:color w:val="000000"/>
                <w:sz w:val="20"/>
                <w:szCs w:val="20"/>
                <w:lang w:eastAsia="pt-PT"/>
              </w:rPr>
              <w:t> </w:t>
            </w:r>
          </w:p>
        </w:tc>
        <w:tc>
          <w:tcPr>
            <w:tcW w:w="1620" w:type="dxa"/>
            <w:tcBorders>
              <w:top w:val="nil"/>
              <w:left w:val="nil"/>
              <w:bottom w:val="single" w:sz="8" w:space="0" w:color="999999"/>
              <w:right w:val="nil"/>
            </w:tcBorders>
            <w:shd w:val="clear" w:color="auto" w:fill="auto"/>
            <w:vAlign w:val="center"/>
            <w:hideMark/>
          </w:tcPr>
          <w:p w14:paraId="269D2390" w14:textId="77777777" w:rsidR="000365C0" w:rsidRPr="00CD2D3E" w:rsidRDefault="000365C0" w:rsidP="00311629">
            <w:pPr>
              <w:spacing w:after="0" w:line="240" w:lineRule="auto"/>
              <w:jc w:val="right"/>
              <w:rPr>
                <w:rFonts w:eastAsia="Times New Roman" w:cstheme="minorHAnsi"/>
                <w:color w:val="000000"/>
                <w:sz w:val="20"/>
                <w:szCs w:val="20"/>
                <w:lang w:eastAsia="pt-PT"/>
              </w:rPr>
            </w:pPr>
            <w:r w:rsidRPr="00CD2D3E">
              <w:rPr>
                <w:rFonts w:eastAsia="Times New Roman" w:cstheme="minorHAnsi"/>
                <w:color w:val="000000"/>
                <w:sz w:val="20"/>
                <w:szCs w:val="20"/>
                <w:lang w:eastAsia="pt-PT"/>
              </w:rPr>
              <w:t> </w:t>
            </w:r>
          </w:p>
        </w:tc>
        <w:tc>
          <w:tcPr>
            <w:tcW w:w="2020" w:type="dxa"/>
            <w:tcBorders>
              <w:top w:val="nil"/>
              <w:left w:val="single" w:sz="8" w:space="0" w:color="999999"/>
              <w:bottom w:val="single" w:sz="8" w:space="0" w:color="999999"/>
              <w:right w:val="single" w:sz="8" w:space="0" w:color="auto"/>
            </w:tcBorders>
            <w:shd w:val="clear" w:color="auto" w:fill="auto"/>
            <w:vAlign w:val="center"/>
            <w:hideMark/>
          </w:tcPr>
          <w:p w14:paraId="756A22E7" w14:textId="77777777" w:rsidR="000365C0" w:rsidRPr="00CD2D3E" w:rsidRDefault="000365C0" w:rsidP="00311629">
            <w:pPr>
              <w:spacing w:after="0" w:line="240" w:lineRule="auto"/>
              <w:jc w:val="right"/>
              <w:rPr>
                <w:rFonts w:eastAsia="Times New Roman" w:cstheme="minorHAnsi"/>
                <w:color w:val="000000"/>
                <w:sz w:val="20"/>
                <w:szCs w:val="20"/>
                <w:lang w:eastAsia="pt-PT"/>
              </w:rPr>
            </w:pPr>
            <w:r w:rsidRPr="00CD2D3E">
              <w:rPr>
                <w:rFonts w:eastAsia="Times New Roman" w:cstheme="minorHAnsi"/>
                <w:color w:val="000000"/>
                <w:sz w:val="20"/>
                <w:szCs w:val="20"/>
                <w:lang w:eastAsia="pt-PT"/>
              </w:rPr>
              <w:t> </w:t>
            </w:r>
          </w:p>
        </w:tc>
      </w:tr>
      <w:tr w:rsidR="000365C0" w:rsidRPr="00CD2D3E" w14:paraId="32C1A834" w14:textId="77777777" w:rsidTr="0049576D">
        <w:trPr>
          <w:trHeight w:val="300"/>
        </w:trPr>
        <w:tc>
          <w:tcPr>
            <w:tcW w:w="3160" w:type="dxa"/>
            <w:tcBorders>
              <w:top w:val="nil"/>
              <w:left w:val="single" w:sz="8" w:space="0" w:color="999999"/>
              <w:bottom w:val="single" w:sz="8" w:space="0" w:color="999999"/>
              <w:right w:val="single" w:sz="8" w:space="0" w:color="999999"/>
            </w:tcBorders>
            <w:shd w:val="clear" w:color="auto" w:fill="auto"/>
            <w:vAlign w:val="center"/>
            <w:hideMark/>
          </w:tcPr>
          <w:p w14:paraId="72721AC6" w14:textId="77777777" w:rsidR="000365C0" w:rsidRPr="00CD2D3E" w:rsidRDefault="000365C0" w:rsidP="00311629">
            <w:pPr>
              <w:spacing w:after="0" w:line="240" w:lineRule="auto"/>
              <w:jc w:val="both"/>
              <w:rPr>
                <w:rFonts w:eastAsia="Times New Roman" w:cstheme="minorHAnsi"/>
                <w:b/>
                <w:bCs/>
                <w:color w:val="000000"/>
                <w:sz w:val="20"/>
                <w:szCs w:val="20"/>
                <w:lang w:eastAsia="pt-PT"/>
              </w:rPr>
            </w:pPr>
            <w:r w:rsidRPr="00CD2D3E">
              <w:rPr>
                <w:rFonts w:eastAsia="Times New Roman" w:cstheme="minorHAnsi"/>
                <w:b/>
                <w:bCs/>
                <w:color w:val="000000"/>
                <w:sz w:val="20"/>
                <w:szCs w:val="20"/>
                <w:lang w:eastAsia="pt-PT"/>
              </w:rPr>
              <w:t>Environment/Building Resilience</w:t>
            </w:r>
          </w:p>
        </w:tc>
        <w:tc>
          <w:tcPr>
            <w:tcW w:w="1560" w:type="dxa"/>
            <w:tcBorders>
              <w:top w:val="nil"/>
              <w:left w:val="nil"/>
              <w:bottom w:val="single" w:sz="8" w:space="0" w:color="999999"/>
              <w:right w:val="single" w:sz="8" w:space="0" w:color="999999"/>
            </w:tcBorders>
            <w:shd w:val="clear" w:color="auto" w:fill="auto"/>
            <w:vAlign w:val="center"/>
            <w:hideMark/>
          </w:tcPr>
          <w:p w14:paraId="1E7A0748" w14:textId="77777777" w:rsidR="000365C0" w:rsidRPr="00CD2D3E" w:rsidRDefault="000365C0" w:rsidP="00311629">
            <w:pPr>
              <w:spacing w:after="0" w:line="240" w:lineRule="auto"/>
              <w:jc w:val="both"/>
              <w:rPr>
                <w:rFonts w:eastAsia="Times New Roman" w:cstheme="minorHAnsi"/>
                <w:color w:val="000000"/>
                <w:sz w:val="20"/>
                <w:szCs w:val="20"/>
                <w:lang w:eastAsia="pt-PT"/>
              </w:rPr>
            </w:pPr>
            <w:r w:rsidRPr="00CD2D3E">
              <w:rPr>
                <w:rFonts w:eastAsia="Times New Roman" w:cstheme="minorHAnsi"/>
                <w:color w:val="000000"/>
                <w:sz w:val="20"/>
                <w:szCs w:val="20"/>
                <w:lang w:eastAsia="pt-PT"/>
              </w:rPr>
              <w:t>7</w:t>
            </w:r>
          </w:p>
        </w:tc>
        <w:tc>
          <w:tcPr>
            <w:tcW w:w="1620" w:type="dxa"/>
            <w:tcBorders>
              <w:top w:val="nil"/>
              <w:left w:val="nil"/>
              <w:bottom w:val="single" w:sz="8" w:space="0" w:color="999999"/>
              <w:right w:val="nil"/>
            </w:tcBorders>
            <w:shd w:val="clear" w:color="auto" w:fill="auto"/>
            <w:vAlign w:val="center"/>
            <w:hideMark/>
          </w:tcPr>
          <w:p w14:paraId="4A76179E" w14:textId="77777777" w:rsidR="000365C0" w:rsidRPr="00CD2D3E" w:rsidRDefault="000365C0" w:rsidP="00311629">
            <w:pPr>
              <w:spacing w:after="0" w:line="240" w:lineRule="auto"/>
              <w:jc w:val="right"/>
              <w:rPr>
                <w:rFonts w:eastAsia="Times New Roman" w:cstheme="minorHAnsi"/>
                <w:b/>
                <w:bCs/>
                <w:color w:val="000000"/>
                <w:sz w:val="20"/>
                <w:szCs w:val="20"/>
                <w:lang w:eastAsia="pt-PT"/>
              </w:rPr>
            </w:pPr>
            <w:r w:rsidRPr="00CD2D3E">
              <w:rPr>
                <w:rFonts w:eastAsia="Times New Roman" w:cstheme="minorHAnsi"/>
                <w:b/>
                <w:bCs/>
                <w:color w:val="000000"/>
                <w:sz w:val="20"/>
                <w:szCs w:val="20"/>
                <w:lang w:eastAsia="pt-PT"/>
              </w:rPr>
              <w:t xml:space="preserve">$13 855 928 </w:t>
            </w:r>
          </w:p>
        </w:tc>
        <w:tc>
          <w:tcPr>
            <w:tcW w:w="2020" w:type="dxa"/>
            <w:tcBorders>
              <w:top w:val="single" w:sz="8" w:space="0" w:color="999999"/>
              <w:left w:val="single" w:sz="8" w:space="0" w:color="999999"/>
              <w:bottom w:val="single" w:sz="8" w:space="0" w:color="999999"/>
              <w:right w:val="single" w:sz="12" w:space="0" w:color="F79646" w:themeColor="accent6"/>
            </w:tcBorders>
            <w:shd w:val="clear" w:color="auto" w:fill="auto"/>
            <w:vAlign w:val="center"/>
            <w:hideMark/>
          </w:tcPr>
          <w:p w14:paraId="2F74E6A9" w14:textId="77777777" w:rsidR="000365C0" w:rsidRPr="00CD2D3E" w:rsidRDefault="000365C0" w:rsidP="00311629">
            <w:pPr>
              <w:spacing w:after="0" w:line="240" w:lineRule="auto"/>
              <w:jc w:val="right"/>
              <w:rPr>
                <w:rFonts w:eastAsia="Times New Roman" w:cstheme="minorHAnsi"/>
                <w:b/>
                <w:bCs/>
                <w:color w:val="000000"/>
                <w:sz w:val="20"/>
                <w:szCs w:val="20"/>
                <w:lang w:eastAsia="pt-PT"/>
              </w:rPr>
            </w:pPr>
            <w:r w:rsidRPr="00CD2D3E">
              <w:rPr>
                <w:rFonts w:eastAsia="Times New Roman" w:cstheme="minorHAnsi"/>
                <w:b/>
                <w:bCs/>
                <w:color w:val="000000"/>
                <w:sz w:val="20"/>
                <w:szCs w:val="20"/>
                <w:lang w:eastAsia="pt-PT"/>
              </w:rPr>
              <w:t xml:space="preserve">$5 837 480 </w:t>
            </w:r>
          </w:p>
        </w:tc>
      </w:tr>
      <w:tr w:rsidR="000365C0" w:rsidRPr="00CD2D3E" w14:paraId="4987F951" w14:textId="77777777" w:rsidTr="0049576D">
        <w:trPr>
          <w:trHeight w:val="300"/>
        </w:trPr>
        <w:tc>
          <w:tcPr>
            <w:tcW w:w="3160" w:type="dxa"/>
            <w:tcBorders>
              <w:top w:val="nil"/>
              <w:left w:val="single" w:sz="8" w:space="0" w:color="999999"/>
              <w:bottom w:val="single" w:sz="8" w:space="0" w:color="999999"/>
              <w:right w:val="single" w:sz="8" w:space="0" w:color="999999"/>
            </w:tcBorders>
            <w:shd w:val="clear" w:color="auto" w:fill="auto"/>
            <w:vAlign w:val="center"/>
            <w:hideMark/>
          </w:tcPr>
          <w:p w14:paraId="4A5E9F51" w14:textId="77777777" w:rsidR="000365C0" w:rsidRPr="00CD2D3E" w:rsidRDefault="000365C0" w:rsidP="00311629">
            <w:pPr>
              <w:spacing w:after="0" w:line="240" w:lineRule="auto"/>
              <w:jc w:val="both"/>
              <w:rPr>
                <w:rFonts w:eastAsia="Times New Roman" w:cstheme="minorHAnsi"/>
                <w:b/>
                <w:bCs/>
                <w:color w:val="000000"/>
                <w:sz w:val="20"/>
                <w:szCs w:val="20"/>
                <w:lang w:eastAsia="pt-PT"/>
              </w:rPr>
            </w:pPr>
            <w:r w:rsidRPr="00CD2D3E">
              <w:rPr>
                <w:rFonts w:eastAsia="Times New Roman" w:cstheme="minorHAnsi"/>
                <w:b/>
                <w:bCs/>
                <w:color w:val="000000"/>
                <w:sz w:val="20"/>
                <w:szCs w:val="20"/>
                <w:lang w:eastAsia="pt-PT"/>
              </w:rPr>
              <w:t> </w:t>
            </w:r>
          </w:p>
        </w:tc>
        <w:tc>
          <w:tcPr>
            <w:tcW w:w="1560" w:type="dxa"/>
            <w:tcBorders>
              <w:top w:val="nil"/>
              <w:left w:val="nil"/>
              <w:bottom w:val="single" w:sz="8" w:space="0" w:color="999999"/>
              <w:right w:val="single" w:sz="8" w:space="0" w:color="999999"/>
            </w:tcBorders>
            <w:shd w:val="clear" w:color="auto" w:fill="auto"/>
            <w:noWrap/>
            <w:vAlign w:val="bottom"/>
            <w:hideMark/>
          </w:tcPr>
          <w:p w14:paraId="2B12CAC2" w14:textId="77777777" w:rsidR="000365C0" w:rsidRPr="00CD2D3E" w:rsidRDefault="000365C0" w:rsidP="00311629">
            <w:pPr>
              <w:spacing w:after="0" w:line="240" w:lineRule="auto"/>
              <w:rPr>
                <w:rFonts w:eastAsia="Times New Roman" w:cstheme="minorHAnsi"/>
                <w:color w:val="000000"/>
                <w:sz w:val="20"/>
                <w:szCs w:val="20"/>
                <w:lang w:eastAsia="pt-PT"/>
              </w:rPr>
            </w:pPr>
            <w:r w:rsidRPr="00CD2D3E">
              <w:rPr>
                <w:rFonts w:eastAsia="Times New Roman" w:cstheme="minorHAnsi"/>
                <w:color w:val="000000"/>
                <w:sz w:val="20"/>
                <w:szCs w:val="20"/>
                <w:lang w:eastAsia="pt-PT"/>
              </w:rPr>
              <w:t>UNDP</w:t>
            </w:r>
          </w:p>
        </w:tc>
        <w:tc>
          <w:tcPr>
            <w:tcW w:w="1620" w:type="dxa"/>
            <w:tcBorders>
              <w:top w:val="nil"/>
              <w:left w:val="nil"/>
              <w:bottom w:val="single" w:sz="8" w:space="0" w:color="999999"/>
              <w:right w:val="nil"/>
            </w:tcBorders>
            <w:shd w:val="clear" w:color="auto" w:fill="auto"/>
            <w:vAlign w:val="center"/>
            <w:hideMark/>
          </w:tcPr>
          <w:p w14:paraId="0AF93046" w14:textId="77777777" w:rsidR="000365C0" w:rsidRPr="00CD2D3E" w:rsidRDefault="000365C0" w:rsidP="00311629">
            <w:pPr>
              <w:spacing w:after="0" w:line="240" w:lineRule="auto"/>
              <w:jc w:val="right"/>
              <w:rPr>
                <w:rFonts w:eastAsia="Times New Roman" w:cstheme="minorHAnsi"/>
                <w:color w:val="000000"/>
                <w:sz w:val="20"/>
                <w:szCs w:val="20"/>
                <w:lang w:eastAsia="pt-PT"/>
              </w:rPr>
            </w:pPr>
            <w:r w:rsidRPr="00CD2D3E">
              <w:rPr>
                <w:rFonts w:eastAsia="Times New Roman" w:cstheme="minorHAnsi"/>
                <w:color w:val="000000"/>
                <w:sz w:val="20"/>
                <w:szCs w:val="20"/>
                <w:lang w:eastAsia="pt-PT"/>
              </w:rPr>
              <w:t xml:space="preserve">$691 067 </w:t>
            </w:r>
          </w:p>
        </w:tc>
        <w:tc>
          <w:tcPr>
            <w:tcW w:w="2020" w:type="dxa"/>
            <w:tcBorders>
              <w:top w:val="nil"/>
              <w:left w:val="single" w:sz="8" w:space="0" w:color="999999"/>
              <w:bottom w:val="single" w:sz="8" w:space="0" w:color="999999"/>
              <w:right w:val="single" w:sz="8" w:space="0" w:color="auto"/>
            </w:tcBorders>
            <w:shd w:val="clear" w:color="auto" w:fill="auto"/>
            <w:vAlign w:val="center"/>
            <w:hideMark/>
          </w:tcPr>
          <w:p w14:paraId="14BD9EF6" w14:textId="77777777" w:rsidR="000365C0" w:rsidRPr="00CD2D3E" w:rsidRDefault="000365C0" w:rsidP="00311629">
            <w:pPr>
              <w:spacing w:after="0" w:line="240" w:lineRule="auto"/>
              <w:jc w:val="right"/>
              <w:rPr>
                <w:rFonts w:eastAsia="Times New Roman" w:cstheme="minorHAnsi"/>
                <w:color w:val="000000"/>
                <w:sz w:val="20"/>
                <w:szCs w:val="20"/>
                <w:lang w:eastAsia="pt-PT"/>
              </w:rPr>
            </w:pPr>
            <w:r w:rsidRPr="00CD2D3E">
              <w:rPr>
                <w:rFonts w:eastAsia="Times New Roman" w:cstheme="minorHAnsi"/>
                <w:color w:val="000000"/>
                <w:sz w:val="20"/>
                <w:szCs w:val="20"/>
                <w:lang w:eastAsia="pt-PT"/>
              </w:rPr>
              <w:t xml:space="preserve">$559 032 </w:t>
            </w:r>
          </w:p>
        </w:tc>
      </w:tr>
      <w:tr w:rsidR="000365C0" w:rsidRPr="00CD2D3E" w14:paraId="3F39F712" w14:textId="77777777" w:rsidTr="0049576D">
        <w:trPr>
          <w:trHeight w:val="300"/>
        </w:trPr>
        <w:tc>
          <w:tcPr>
            <w:tcW w:w="3160" w:type="dxa"/>
            <w:tcBorders>
              <w:top w:val="nil"/>
              <w:left w:val="single" w:sz="8" w:space="0" w:color="999999"/>
              <w:bottom w:val="single" w:sz="8" w:space="0" w:color="999999"/>
              <w:right w:val="single" w:sz="8" w:space="0" w:color="999999"/>
            </w:tcBorders>
            <w:shd w:val="clear" w:color="auto" w:fill="auto"/>
            <w:vAlign w:val="center"/>
            <w:hideMark/>
          </w:tcPr>
          <w:p w14:paraId="007469E1" w14:textId="77777777" w:rsidR="000365C0" w:rsidRPr="00CD2D3E" w:rsidRDefault="000365C0" w:rsidP="00311629">
            <w:pPr>
              <w:spacing w:after="0" w:line="240" w:lineRule="auto"/>
              <w:jc w:val="both"/>
              <w:rPr>
                <w:rFonts w:eastAsia="Times New Roman" w:cstheme="minorHAnsi"/>
                <w:b/>
                <w:bCs/>
                <w:color w:val="000000"/>
                <w:sz w:val="20"/>
                <w:szCs w:val="20"/>
                <w:lang w:eastAsia="pt-PT"/>
              </w:rPr>
            </w:pPr>
            <w:r w:rsidRPr="00CD2D3E">
              <w:rPr>
                <w:rFonts w:eastAsia="Times New Roman" w:cstheme="minorHAnsi"/>
                <w:b/>
                <w:bCs/>
                <w:color w:val="000000"/>
                <w:sz w:val="20"/>
                <w:szCs w:val="20"/>
                <w:lang w:eastAsia="pt-PT"/>
              </w:rPr>
              <w:t> </w:t>
            </w:r>
          </w:p>
        </w:tc>
        <w:tc>
          <w:tcPr>
            <w:tcW w:w="1560" w:type="dxa"/>
            <w:tcBorders>
              <w:top w:val="nil"/>
              <w:left w:val="nil"/>
              <w:bottom w:val="single" w:sz="8" w:space="0" w:color="999999"/>
              <w:right w:val="single" w:sz="8" w:space="0" w:color="999999"/>
            </w:tcBorders>
            <w:shd w:val="clear" w:color="auto" w:fill="auto"/>
            <w:noWrap/>
            <w:vAlign w:val="bottom"/>
            <w:hideMark/>
          </w:tcPr>
          <w:p w14:paraId="0D0E7ADD" w14:textId="77777777" w:rsidR="000365C0" w:rsidRPr="00CD2D3E" w:rsidRDefault="000365C0" w:rsidP="00311629">
            <w:pPr>
              <w:spacing w:after="0" w:line="240" w:lineRule="auto"/>
              <w:rPr>
                <w:rFonts w:eastAsia="Times New Roman" w:cstheme="minorHAnsi"/>
                <w:color w:val="000000"/>
                <w:sz w:val="20"/>
                <w:szCs w:val="20"/>
                <w:lang w:eastAsia="pt-PT"/>
              </w:rPr>
            </w:pPr>
            <w:r w:rsidRPr="00CD2D3E">
              <w:rPr>
                <w:rFonts w:eastAsia="Times New Roman" w:cstheme="minorHAnsi"/>
                <w:color w:val="000000"/>
                <w:sz w:val="20"/>
                <w:szCs w:val="20"/>
                <w:lang w:eastAsia="pt-PT"/>
              </w:rPr>
              <w:t>VARIOUS</w:t>
            </w:r>
          </w:p>
        </w:tc>
        <w:tc>
          <w:tcPr>
            <w:tcW w:w="1620" w:type="dxa"/>
            <w:tcBorders>
              <w:top w:val="nil"/>
              <w:left w:val="nil"/>
              <w:bottom w:val="single" w:sz="8" w:space="0" w:color="999999"/>
              <w:right w:val="nil"/>
            </w:tcBorders>
            <w:shd w:val="clear" w:color="auto" w:fill="auto"/>
            <w:vAlign w:val="center"/>
            <w:hideMark/>
          </w:tcPr>
          <w:p w14:paraId="7F8C2482" w14:textId="77777777" w:rsidR="000365C0" w:rsidRPr="00CD2D3E" w:rsidRDefault="000365C0" w:rsidP="00311629">
            <w:pPr>
              <w:spacing w:after="0" w:line="240" w:lineRule="auto"/>
              <w:jc w:val="right"/>
              <w:rPr>
                <w:rFonts w:eastAsia="Times New Roman" w:cstheme="minorHAnsi"/>
                <w:color w:val="000000"/>
                <w:sz w:val="20"/>
                <w:szCs w:val="20"/>
                <w:lang w:eastAsia="pt-PT"/>
              </w:rPr>
            </w:pPr>
            <w:r w:rsidRPr="00CD2D3E">
              <w:rPr>
                <w:rFonts w:eastAsia="Times New Roman" w:cstheme="minorHAnsi"/>
                <w:color w:val="000000"/>
                <w:sz w:val="20"/>
                <w:szCs w:val="20"/>
                <w:lang w:eastAsia="pt-PT"/>
              </w:rPr>
              <w:t xml:space="preserve">$27 348 </w:t>
            </w:r>
          </w:p>
        </w:tc>
        <w:tc>
          <w:tcPr>
            <w:tcW w:w="2020" w:type="dxa"/>
            <w:tcBorders>
              <w:top w:val="nil"/>
              <w:left w:val="single" w:sz="8" w:space="0" w:color="999999"/>
              <w:bottom w:val="single" w:sz="8" w:space="0" w:color="999999"/>
              <w:right w:val="single" w:sz="8" w:space="0" w:color="auto"/>
            </w:tcBorders>
            <w:shd w:val="clear" w:color="auto" w:fill="auto"/>
            <w:vAlign w:val="center"/>
            <w:hideMark/>
          </w:tcPr>
          <w:p w14:paraId="3E618BB8" w14:textId="77777777" w:rsidR="000365C0" w:rsidRPr="00CD2D3E" w:rsidRDefault="000365C0" w:rsidP="00311629">
            <w:pPr>
              <w:spacing w:after="0" w:line="240" w:lineRule="auto"/>
              <w:jc w:val="right"/>
              <w:rPr>
                <w:rFonts w:eastAsia="Times New Roman" w:cstheme="minorHAnsi"/>
                <w:color w:val="000000"/>
                <w:sz w:val="20"/>
                <w:szCs w:val="20"/>
                <w:lang w:eastAsia="pt-PT"/>
              </w:rPr>
            </w:pPr>
            <w:r w:rsidRPr="00CD2D3E">
              <w:rPr>
                <w:rFonts w:eastAsia="Times New Roman" w:cstheme="minorHAnsi"/>
                <w:color w:val="000000"/>
                <w:sz w:val="20"/>
                <w:szCs w:val="20"/>
                <w:lang w:eastAsia="pt-PT"/>
              </w:rPr>
              <w:t xml:space="preserve">$0 </w:t>
            </w:r>
          </w:p>
        </w:tc>
      </w:tr>
      <w:tr w:rsidR="000365C0" w:rsidRPr="00CD2D3E" w14:paraId="0BB963CD" w14:textId="77777777" w:rsidTr="0049576D">
        <w:trPr>
          <w:trHeight w:val="300"/>
        </w:trPr>
        <w:tc>
          <w:tcPr>
            <w:tcW w:w="3160" w:type="dxa"/>
            <w:tcBorders>
              <w:top w:val="nil"/>
              <w:left w:val="single" w:sz="8" w:space="0" w:color="999999"/>
              <w:bottom w:val="single" w:sz="8" w:space="0" w:color="999999"/>
              <w:right w:val="single" w:sz="8" w:space="0" w:color="999999"/>
            </w:tcBorders>
            <w:shd w:val="clear" w:color="auto" w:fill="auto"/>
            <w:vAlign w:val="center"/>
            <w:hideMark/>
          </w:tcPr>
          <w:p w14:paraId="2DC85697" w14:textId="77777777" w:rsidR="000365C0" w:rsidRPr="00CD2D3E" w:rsidRDefault="000365C0" w:rsidP="00311629">
            <w:pPr>
              <w:spacing w:after="0" w:line="240" w:lineRule="auto"/>
              <w:jc w:val="both"/>
              <w:rPr>
                <w:rFonts w:eastAsia="Times New Roman" w:cstheme="minorHAnsi"/>
                <w:b/>
                <w:bCs/>
                <w:color w:val="000000"/>
                <w:sz w:val="20"/>
                <w:szCs w:val="20"/>
                <w:lang w:eastAsia="pt-PT"/>
              </w:rPr>
            </w:pPr>
            <w:r w:rsidRPr="00CD2D3E">
              <w:rPr>
                <w:rFonts w:eastAsia="Times New Roman" w:cstheme="minorHAnsi"/>
                <w:b/>
                <w:bCs/>
                <w:color w:val="000000"/>
                <w:sz w:val="20"/>
                <w:szCs w:val="20"/>
                <w:lang w:eastAsia="pt-PT"/>
              </w:rPr>
              <w:t> </w:t>
            </w:r>
          </w:p>
        </w:tc>
        <w:tc>
          <w:tcPr>
            <w:tcW w:w="1560" w:type="dxa"/>
            <w:tcBorders>
              <w:top w:val="nil"/>
              <w:left w:val="nil"/>
              <w:bottom w:val="single" w:sz="8" w:space="0" w:color="999999"/>
              <w:right w:val="single" w:sz="8" w:space="0" w:color="999999"/>
            </w:tcBorders>
            <w:shd w:val="clear" w:color="auto" w:fill="auto"/>
            <w:noWrap/>
            <w:vAlign w:val="bottom"/>
            <w:hideMark/>
          </w:tcPr>
          <w:p w14:paraId="79AEABA7" w14:textId="77777777" w:rsidR="000365C0" w:rsidRPr="00CD2D3E" w:rsidRDefault="000365C0" w:rsidP="00311629">
            <w:pPr>
              <w:spacing w:after="0" w:line="240" w:lineRule="auto"/>
              <w:rPr>
                <w:rFonts w:eastAsia="Times New Roman" w:cstheme="minorHAnsi"/>
                <w:color w:val="000000"/>
                <w:sz w:val="20"/>
                <w:szCs w:val="20"/>
                <w:lang w:eastAsia="pt-PT"/>
              </w:rPr>
            </w:pPr>
            <w:r w:rsidRPr="00CD2D3E">
              <w:rPr>
                <w:rFonts w:eastAsia="Times New Roman" w:cstheme="minorHAnsi"/>
                <w:color w:val="000000"/>
                <w:sz w:val="20"/>
                <w:szCs w:val="20"/>
                <w:lang w:eastAsia="pt-PT"/>
              </w:rPr>
              <w:t>NORWAY</w:t>
            </w:r>
          </w:p>
        </w:tc>
        <w:tc>
          <w:tcPr>
            <w:tcW w:w="1620" w:type="dxa"/>
            <w:tcBorders>
              <w:top w:val="nil"/>
              <w:left w:val="nil"/>
              <w:bottom w:val="single" w:sz="8" w:space="0" w:color="999999"/>
              <w:right w:val="nil"/>
            </w:tcBorders>
            <w:shd w:val="clear" w:color="auto" w:fill="auto"/>
            <w:vAlign w:val="center"/>
            <w:hideMark/>
          </w:tcPr>
          <w:p w14:paraId="3CFC2CD7" w14:textId="77777777" w:rsidR="000365C0" w:rsidRPr="00CD2D3E" w:rsidRDefault="000365C0" w:rsidP="00311629">
            <w:pPr>
              <w:spacing w:after="0" w:line="240" w:lineRule="auto"/>
              <w:jc w:val="right"/>
              <w:rPr>
                <w:rFonts w:eastAsia="Times New Roman" w:cstheme="minorHAnsi"/>
                <w:color w:val="000000"/>
                <w:sz w:val="20"/>
                <w:szCs w:val="20"/>
                <w:lang w:eastAsia="pt-PT"/>
              </w:rPr>
            </w:pPr>
            <w:r w:rsidRPr="00CD2D3E">
              <w:rPr>
                <w:rFonts w:eastAsia="Times New Roman" w:cstheme="minorHAnsi"/>
                <w:color w:val="000000"/>
                <w:sz w:val="20"/>
                <w:szCs w:val="20"/>
                <w:lang w:eastAsia="pt-PT"/>
              </w:rPr>
              <w:t xml:space="preserve">$0 </w:t>
            </w:r>
          </w:p>
        </w:tc>
        <w:tc>
          <w:tcPr>
            <w:tcW w:w="2020" w:type="dxa"/>
            <w:tcBorders>
              <w:top w:val="nil"/>
              <w:left w:val="single" w:sz="8" w:space="0" w:color="999999"/>
              <w:bottom w:val="single" w:sz="8" w:space="0" w:color="999999"/>
              <w:right w:val="single" w:sz="8" w:space="0" w:color="auto"/>
            </w:tcBorders>
            <w:shd w:val="clear" w:color="auto" w:fill="auto"/>
            <w:vAlign w:val="center"/>
            <w:hideMark/>
          </w:tcPr>
          <w:p w14:paraId="315101A8" w14:textId="77777777" w:rsidR="000365C0" w:rsidRPr="00CD2D3E" w:rsidRDefault="000365C0" w:rsidP="00311629">
            <w:pPr>
              <w:spacing w:after="0" w:line="240" w:lineRule="auto"/>
              <w:jc w:val="right"/>
              <w:rPr>
                <w:rFonts w:eastAsia="Times New Roman" w:cstheme="minorHAnsi"/>
                <w:color w:val="000000"/>
                <w:sz w:val="20"/>
                <w:szCs w:val="20"/>
                <w:lang w:eastAsia="pt-PT"/>
              </w:rPr>
            </w:pPr>
            <w:r w:rsidRPr="00CD2D3E">
              <w:rPr>
                <w:rFonts w:eastAsia="Times New Roman" w:cstheme="minorHAnsi"/>
                <w:color w:val="000000"/>
                <w:sz w:val="20"/>
                <w:szCs w:val="20"/>
                <w:lang w:eastAsia="pt-PT"/>
              </w:rPr>
              <w:t xml:space="preserve">$0 </w:t>
            </w:r>
          </w:p>
        </w:tc>
      </w:tr>
      <w:tr w:rsidR="000365C0" w:rsidRPr="00CD2D3E" w14:paraId="1580EB8D" w14:textId="77777777" w:rsidTr="0049576D">
        <w:trPr>
          <w:trHeight w:val="300"/>
        </w:trPr>
        <w:tc>
          <w:tcPr>
            <w:tcW w:w="3160" w:type="dxa"/>
            <w:tcBorders>
              <w:top w:val="nil"/>
              <w:left w:val="single" w:sz="8" w:space="0" w:color="999999"/>
              <w:bottom w:val="single" w:sz="8" w:space="0" w:color="999999"/>
              <w:right w:val="single" w:sz="8" w:space="0" w:color="999999"/>
            </w:tcBorders>
            <w:shd w:val="clear" w:color="auto" w:fill="auto"/>
            <w:vAlign w:val="center"/>
            <w:hideMark/>
          </w:tcPr>
          <w:p w14:paraId="623653D0" w14:textId="77777777" w:rsidR="000365C0" w:rsidRPr="00CD2D3E" w:rsidRDefault="000365C0" w:rsidP="00311629">
            <w:pPr>
              <w:spacing w:after="0" w:line="240" w:lineRule="auto"/>
              <w:jc w:val="both"/>
              <w:rPr>
                <w:rFonts w:eastAsia="Times New Roman" w:cstheme="minorHAnsi"/>
                <w:b/>
                <w:bCs/>
                <w:color w:val="000000"/>
                <w:sz w:val="20"/>
                <w:szCs w:val="20"/>
                <w:lang w:eastAsia="pt-PT"/>
              </w:rPr>
            </w:pPr>
            <w:r w:rsidRPr="00CD2D3E">
              <w:rPr>
                <w:rFonts w:eastAsia="Times New Roman" w:cstheme="minorHAnsi"/>
                <w:b/>
                <w:bCs/>
                <w:color w:val="000000"/>
                <w:sz w:val="20"/>
                <w:szCs w:val="20"/>
                <w:lang w:eastAsia="pt-PT"/>
              </w:rPr>
              <w:t> </w:t>
            </w:r>
          </w:p>
        </w:tc>
        <w:tc>
          <w:tcPr>
            <w:tcW w:w="1560" w:type="dxa"/>
            <w:tcBorders>
              <w:top w:val="nil"/>
              <w:left w:val="nil"/>
              <w:bottom w:val="single" w:sz="8" w:space="0" w:color="999999"/>
              <w:right w:val="single" w:sz="8" w:space="0" w:color="999999"/>
            </w:tcBorders>
            <w:shd w:val="clear" w:color="auto" w:fill="auto"/>
            <w:noWrap/>
            <w:vAlign w:val="bottom"/>
            <w:hideMark/>
          </w:tcPr>
          <w:p w14:paraId="593A3012" w14:textId="77777777" w:rsidR="000365C0" w:rsidRPr="00CD2D3E" w:rsidRDefault="000365C0" w:rsidP="00311629">
            <w:pPr>
              <w:spacing w:after="0" w:line="240" w:lineRule="auto"/>
              <w:rPr>
                <w:rFonts w:eastAsia="Times New Roman" w:cstheme="minorHAnsi"/>
                <w:color w:val="000000"/>
                <w:sz w:val="20"/>
                <w:szCs w:val="20"/>
                <w:lang w:eastAsia="pt-PT"/>
              </w:rPr>
            </w:pPr>
            <w:r w:rsidRPr="00CD2D3E">
              <w:rPr>
                <w:rFonts w:eastAsia="Times New Roman" w:cstheme="minorHAnsi"/>
                <w:color w:val="000000"/>
                <w:sz w:val="20"/>
                <w:szCs w:val="20"/>
                <w:lang w:eastAsia="pt-PT"/>
              </w:rPr>
              <w:t>GEF</w:t>
            </w:r>
          </w:p>
        </w:tc>
        <w:tc>
          <w:tcPr>
            <w:tcW w:w="1620" w:type="dxa"/>
            <w:tcBorders>
              <w:top w:val="nil"/>
              <w:left w:val="nil"/>
              <w:bottom w:val="single" w:sz="8" w:space="0" w:color="999999"/>
              <w:right w:val="nil"/>
            </w:tcBorders>
            <w:shd w:val="clear" w:color="auto" w:fill="auto"/>
            <w:vAlign w:val="center"/>
            <w:hideMark/>
          </w:tcPr>
          <w:p w14:paraId="285316C1" w14:textId="77777777" w:rsidR="000365C0" w:rsidRPr="00CD2D3E" w:rsidRDefault="000365C0" w:rsidP="00311629">
            <w:pPr>
              <w:spacing w:after="0" w:line="240" w:lineRule="auto"/>
              <w:jc w:val="right"/>
              <w:rPr>
                <w:rFonts w:eastAsia="Times New Roman" w:cstheme="minorHAnsi"/>
                <w:color w:val="000000"/>
                <w:sz w:val="20"/>
                <w:szCs w:val="20"/>
                <w:lang w:eastAsia="pt-PT"/>
              </w:rPr>
            </w:pPr>
            <w:r w:rsidRPr="00CD2D3E">
              <w:rPr>
                <w:rFonts w:eastAsia="Times New Roman" w:cstheme="minorHAnsi"/>
                <w:color w:val="000000"/>
                <w:sz w:val="20"/>
                <w:szCs w:val="20"/>
                <w:lang w:eastAsia="pt-PT"/>
              </w:rPr>
              <w:t xml:space="preserve">$12 687 048 </w:t>
            </w:r>
          </w:p>
        </w:tc>
        <w:tc>
          <w:tcPr>
            <w:tcW w:w="2020" w:type="dxa"/>
            <w:tcBorders>
              <w:top w:val="nil"/>
              <w:left w:val="single" w:sz="8" w:space="0" w:color="999999"/>
              <w:bottom w:val="single" w:sz="8" w:space="0" w:color="999999"/>
              <w:right w:val="single" w:sz="8" w:space="0" w:color="auto"/>
            </w:tcBorders>
            <w:shd w:val="clear" w:color="auto" w:fill="auto"/>
            <w:vAlign w:val="center"/>
            <w:hideMark/>
          </w:tcPr>
          <w:p w14:paraId="169CB964" w14:textId="77777777" w:rsidR="000365C0" w:rsidRPr="00CD2D3E" w:rsidRDefault="000365C0" w:rsidP="00311629">
            <w:pPr>
              <w:spacing w:after="0" w:line="240" w:lineRule="auto"/>
              <w:jc w:val="right"/>
              <w:rPr>
                <w:rFonts w:eastAsia="Times New Roman" w:cstheme="minorHAnsi"/>
                <w:color w:val="000000"/>
                <w:sz w:val="20"/>
                <w:szCs w:val="20"/>
                <w:lang w:eastAsia="pt-PT"/>
              </w:rPr>
            </w:pPr>
            <w:r w:rsidRPr="00CD2D3E">
              <w:rPr>
                <w:rFonts w:eastAsia="Times New Roman" w:cstheme="minorHAnsi"/>
                <w:color w:val="000000"/>
                <w:sz w:val="20"/>
                <w:szCs w:val="20"/>
                <w:lang w:eastAsia="pt-PT"/>
              </w:rPr>
              <w:t xml:space="preserve">$4 998 252 </w:t>
            </w:r>
          </w:p>
        </w:tc>
      </w:tr>
      <w:tr w:rsidR="000365C0" w:rsidRPr="00CD2D3E" w14:paraId="33AE954C" w14:textId="77777777" w:rsidTr="0049576D">
        <w:trPr>
          <w:trHeight w:val="300"/>
        </w:trPr>
        <w:tc>
          <w:tcPr>
            <w:tcW w:w="3160" w:type="dxa"/>
            <w:tcBorders>
              <w:top w:val="nil"/>
              <w:left w:val="single" w:sz="8" w:space="0" w:color="999999"/>
              <w:bottom w:val="single" w:sz="8" w:space="0" w:color="999999"/>
              <w:right w:val="single" w:sz="8" w:space="0" w:color="999999"/>
            </w:tcBorders>
            <w:shd w:val="clear" w:color="auto" w:fill="auto"/>
            <w:vAlign w:val="center"/>
            <w:hideMark/>
          </w:tcPr>
          <w:p w14:paraId="0DD938DF" w14:textId="77777777" w:rsidR="000365C0" w:rsidRPr="00CD2D3E" w:rsidRDefault="000365C0" w:rsidP="00311629">
            <w:pPr>
              <w:spacing w:after="0" w:line="240" w:lineRule="auto"/>
              <w:jc w:val="both"/>
              <w:rPr>
                <w:rFonts w:eastAsia="Times New Roman" w:cstheme="minorHAnsi"/>
                <w:b/>
                <w:bCs/>
                <w:color w:val="000000"/>
                <w:sz w:val="20"/>
                <w:szCs w:val="20"/>
                <w:lang w:eastAsia="pt-PT"/>
              </w:rPr>
            </w:pPr>
            <w:r w:rsidRPr="00CD2D3E">
              <w:rPr>
                <w:rFonts w:eastAsia="Times New Roman" w:cstheme="minorHAnsi"/>
                <w:b/>
                <w:bCs/>
                <w:color w:val="000000"/>
                <w:sz w:val="20"/>
                <w:szCs w:val="20"/>
                <w:lang w:eastAsia="pt-PT"/>
              </w:rPr>
              <w:t> </w:t>
            </w:r>
          </w:p>
        </w:tc>
        <w:tc>
          <w:tcPr>
            <w:tcW w:w="1560" w:type="dxa"/>
            <w:tcBorders>
              <w:top w:val="nil"/>
              <w:left w:val="nil"/>
              <w:bottom w:val="single" w:sz="8" w:space="0" w:color="999999"/>
              <w:right w:val="single" w:sz="8" w:space="0" w:color="999999"/>
            </w:tcBorders>
            <w:shd w:val="clear" w:color="auto" w:fill="auto"/>
            <w:noWrap/>
            <w:vAlign w:val="bottom"/>
            <w:hideMark/>
          </w:tcPr>
          <w:p w14:paraId="616782C6" w14:textId="77777777" w:rsidR="000365C0" w:rsidRPr="00CD2D3E" w:rsidRDefault="000365C0" w:rsidP="00311629">
            <w:pPr>
              <w:spacing w:after="0" w:line="240" w:lineRule="auto"/>
              <w:rPr>
                <w:rFonts w:eastAsia="Times New Roman" w:cstheme="minorHAnsi"/>
                <w:color w:val="000000"/>
                <w:sz w:val="20"/>
                <w:szCs w:val="20"/>
                <w:lang w:eastAsia="pt-PT"/>
              </w:rPr>
            </w:pPr>
            <w:r w:rsidRPr="00CD2D3E">
              <w:rPr>
                <w:rFonts w:eastAsia="Times New Roman" w:cstheme="minorHAnsi"/>
                <w:color w:val="000000"/>
                <w:sz w:val="20"/>
                <w:szCs w:val="20"/>
                <w:lang w:eastAsia="pt-PT"/>
              </w:rPr>
              <w:t>EUCOMM</w:t>
            </w:r>
          </w:p>
        </w:tc>
        <w:tc>
          <w:tcPr>
            <w:tcW w:w="1620" w:type="dxa"/>
            <w:tcBorders>
              <w:top w:val="nil"/>
              <w:left w:val="nil"/>
              <w:bottom w:val="single" w:sz="8" w:space="0" w:color="999999"/>
              <w:right w:val="nil"/>
            </w:tcBorders>
            <w:shd w:val="clear" w:color="auto" w:fill="auto"/>
            <w:vAlign w:val="center"/>
            <w:hideMark/>
          </w:tcPr>
          <w:p w14:paraId="5B10D5DF" w14:textId="77777777" w:rsidR="000365C0" w:rsidRPr="00CD2D3E" w:rsidRDefault="000365C0" w:rsidP="00311629">
            <w:pPr>
              <w:spacing w:after="0" w:line="240" w:lineRule="auto"/>
              <w:jc w:val="right"/>
              <w:rPr>
                <w:rFonts w:eastAsia="Times New Roman" w:cstheme="minorHAnsi"/>
                <w:color w:val="000000"/>
                <w:sz w:val="20"/>
                <w:szCs w:val="20"/>
                <w:lang w:eastAsia="pt-PT"/>
              </w:rPr>
            </w:pPr>
            <w:r w:rsidRPr="00CD2D3E">
              <w:rPr>
                <w:rFonts w:eastAsia="Times New Roman" w:cstheme="minorHAnsi"/>
                <w:color w:val="000000"/>
                <w:sz w:val="20"/>
                <w:szCs w:val="20"/>
                <w:lang w:eastAsia="pt-PT"/>
              </w:rPr>
              <w:t xml:space="preserve">$450 465 </w:t>
            </w:r>
          </w:p>
        </w:tc>
        <w:tc>
          <w:tcPr>
            <w:tcW w:w="2020" w:type="dxa"/>
            <w:tcBorders>
              <w:top w:val="nil"/>
              <w:left w:val="single" w:sz="8" w:space="0" w:color="999999"/>
              <w:bottom w:val="single" w:sz="8" w:space="0" w:color="999999"/>
              <w:right w:val="single" w:sz="8" w:space="0" w:color="auto"/>
            </w:tcBorders>
            <w:shd w:val="clear" w:color="auto" w:fill="auto"/>
            <w:vAlign w:val="center"/>
            <w:hideMark/>
          </w:tcPr>
          <w:p w14:paraId="2FE9B417" w14:textId="77777777" w:rsidR="000365C0" w:rsidRPr="00CD2D3E" w:rsidRDefault="000365C0" w:rsidP="00311629">
            <w:pPr>
              <w:spacing w:after="0" w:line="240" w:lineRule="auto"/>
              <w:jc w:val="right"/>
              <w:rPr>
                <w:rFonts w:eastAsia="Times New Roman" w:cstheme="minorHAnsi"/>
                <w:color w:val="000000"/>
                <w:sz w:val="20"/>
                <w:szCs w:val="20"/>
                <w:lang w:eastAsia="pt-PT"/>
              </w:rPr>
            </w:pPr>
            <w:r w:rsidRPr="00CD2D3E">
              <w:rPr>
                <w:rFonts w:eastAsia="Times New Roman" w:cstheme="minorHAnsi"/>
                <w:color w:val="000000"/>
                <w:sz w:val="20"/>
                <w:szCs w:val="20"/>
                <w:lang w:eastAsia="pt-PT"/>
              </w:rPr>
              <w:t xml:space="preserve">$280 196 </w:t>
            </w:r>
          </w:p>
        </w:tc>
      </w:tr>
      <w:tr w:rsidR="000365C0" w:rsidRPr="00CD2D3E" w14:paraId="6C0DF7E1" w14:textId="77777777" w:rsidTr="0049576D">
        <w:trPr>
          <w:trHeight w:val="300"/>
        </w:trPr>
        <w:tc>
          <w:tcPr>
            <w:tcW w:w="3160" w:type="dxa"/>
            <w:tcBorders>
              <w:top w:val="nil"/>
              <w:left w:val="single" w:sz="8" w:space="0" w:color="999999"/>
              <w:bottom w:val="single" w:sz="8" w:space="0" w:color="999999"/>
              <w:right w:val="single" w:sz="8" w:space="0" w:color="999999"/>
            </w:tcBorders>
            <w:shd w:val="clear" w:color="auto" w:fill="auto"/>
            <w:vAlign w:val="center"/>
            <w:hideMark/>
          </w:tcPr>
          <w:p w14:paraId="4BA24E43" w14:textId="77777777" w:rsidR="000365C0" w:rsidRPr="00CD2D3E" w:rsidRDefault="000365C0" w:rsidP="00311629">
            <w:pPr>
              <w:spacing w:after="0" w:line="240" w:lineRule="auto"/>
              <w:jc w:val="both"/>
              <w:rPr>
                <w:rFonts w:eastAsia="Times New Roman" w:cstheme="minorHAnsi"/>
                <w:b/>
                <w:bCs/>
                <w:color w:val="000000"/>
                <w:sz w:val="20"/>
                <w:szCs w:val="20"/>
                <w:lang w:eastAsia="pt-PT"/>
              </w:rPr>
            </w:pPr>
            <w:r w:rsidRPr="00CD2D3E">
              <w:rPr>
                <w:rFonts w:eastAsia="Times New Roman" w:cstheme="minorHAnsi"/>
                <w:b/>
                <w:bCs/>
                <w:color w:val="000000"/>
                <w:sz w:val="20"/>
                <w:szCs w:val="20"/>
                <w:lang w:eastAsia="pt-PT"/>
              </w:rPr>
              <w:t> </w:t>
            </w:r>
          </w:p>
        </w:tc>
        <w:tc>
          <w:tcPr>
            <w:tcW w:w="1560" w:type="dxa"/>
            <w:tcBorders>
              <w:top w:val="nil"/>
              <w:left w:val="nil"/>
              <w:bottom w:val="single" w:sz="8" w:space="0" w:color="999999"/>
              <w:right w:val="single" w:sz="8" w:space="0" w:color="999999"/>
            </w:tcBorders>
            <w:shd w:val="clear" w:color="auto" w:fill="auto"/>
            <w:noWrap/>
            <w:vAlign w:val="bottom"/>
            <w:hideMark/>
          </w:tcPr>
          <w:p w14:paraId="2CA14F63" w14:textId="77777777" w:rsidR="000365C0" w:rsidRPr="00CD2D3E" w:rsidRDefault="000365C0" w:rsidP="00311629">
            <w:pPr>
              <w:spacing w:after="0" w:line="240" w:lineRule="auto"/>
              <w:rPr>
                <w:rFonts w:eastAsia="Times New Roman" w:cstheme="minorHAnsi"/>
                <w:color w:val="000000"/>
                <w:sz w:val="20"/>
                <w:szCs w:val="20"/>
                <w:lang w:eastAsia="pt-PT"/>
              </w:rPr>
            </w:pPr>
            <w:r w:rsidRPr="00CD2D3E">
              <w:rPr>
                <w:rFonts w:eastAsia="Times New Roman" w:cstheme="minorHAnsi"/>
                <w:color w:val="000000"/>
                <w:sz w:val="20"/>
                <w:szCs w:val="20"/>
                <w:lang w:eastAsia="pt-PT"/>
              </w:rPr>
              <w:t> </w:t>
            </w:r>
          </w:p>
        </w:tc>
        <w:tc>
          <w:tcPr>
            <w:tcW w:w="1620" w:type="dxa"/>
            <w:tcBorders>
              <w:top w:val="nil"/>
              <w:left w:val="nil"/>
              <w:bottom w:val="single" w:sz="8" w:space="0" w:color="999999"/>
              <w:right w:val="nil"/>
            </w:tcBorders>
            <w:shd w:val="clear" w:color="auto" w:fill="auto"/>
            <w:vAlign w:val="center"/>
            <w:hideMark/>
          </w:tcPr>
          <w:p w14:paraId="436F43C9" w14:textId="77777777" w:rsidR="000365C0" w:rsidRPr="00CD2D3E" w:rsidRDefault="000365C0" w:rsidP="00311629">
            <w:pPr>
              <w:spacing w:after="0" w:line="240" w:lineRule="auto"/>
              <w:jc w:val="right"/>
              <w:rPr>
                <w:rFonts w:eastAsia="Times New Roman" w:cstheme="minorHAnsi"/>
                <w:color w:val="000000"/>
                <w:sz w:val="20"/>
                <w:szCs w:val="20"/>
                <w:lang w:eastAsia="pt-PT"/>
              </w:rPr>
            </w:pPr>
            <w:r w:rsidRPr="00CD2D3E">
              <w:rPr>
                <w:rFonts w:eastAsia="Times New Roman" w:cstheme="minorHAnsi"/>
                <w:color w:val="000000"/>
                <w:sz w:val="20"/>
                <w:szCs w:val="20"/>
                <w:lang w:eastAsia="pt-PT"/>
              </w:rPr>
              <w:t> </w:t>
            </w:r>
          </w:p>
        </w:tc>
        <w:tc>
          <w:tcPr>
            <w:tcW w:w="2020" w:type="dxa"/>
            <w:tcBorders>
              <w:top w:val="nil"/>
              <w:left w:val="single" w:sz="8" w:space="0" w:color="999999"/>
              <w:bottom w:val="single" w:sz="8" w:space="0" w:color="999999"/>
              <w:right w:val="single" w:sz="8" w:space="0" w:color="auto"/>
            </w:tcBorders>
            <w:shd w:val="clear" w:color="auto" w:fill="auto"/>
            <w:vAlign w:val="center"/>
            <w:hideMark/>
          </w:tcPr>
          <w:p w14:paraId="1E88400D" w14:textId="77777777" w:rsidR="000365C0" w:rsidRPr="00CD2D3E" w:rsidRDefault="000365C0" w:rsidP="00311629">
            <w:pPr>
              <w:spacing w:after="0" w:line="240" w:lineRule="auto"/>
              <w:jc w:val="right"/>
              <w:rPr>
                <w:rFonts w:eastAsia="Times New Roman" w:cstheme="minorHAnsi"/>
                <w:color w:val="000000"/>
                <w:sz w:val="20"/>
                <w:szCs w:val="20"/>
                <w:lang w:eastAsia="pt-PT"/>
              </w:rPr>
            </w:pPr>
            <w:r w:rsidRPr="00CD2D3E">
              <w:rPr>
                <w:rFonts w:eastAsia="Times New Roman" w:cstheme="minorHAnsi"/>
                <w:color w:val="000000"/>
                <w:sz w:val="20"/>
                <w:szCs w:val="20"/>
                <w:lang w:eastAsia="pt-PT"/>
              </w:rPr>
              <w:t> </w:t>
            </w:r>
          </w:p>
        </w:tc>
      </w:tr>
      <w:tr w:rsidR="000365C0" w:rsidRPr="00CD2D3E" w14:paraId="38163E96" w14:textId="77777777" w:rsidTr="0049576D">
        <w:trPr>
          <w:trHeight w:val="300"/>
        </w:trPr>
        <w:tc>
          <w:tcPr>
            <w:tcW w:w="3160" w:type="dxa"/>
            <w:tcBorders>
              <w:top w:val="nil"/>
              <w:left w:val="single" w:sz="8" w:space="0" w:color="999999"/>
              <w:bottom w:val="single" w:sz="8" w:space="0" w:color="999999"/>
              <w:right w:val="single" w:sz="8" w:space="0" w:color="999999"/>
            </w:tcBorders>
            <w:shd w:val="clear" w:color="auto" w:fill="auto"/>
            <w:vAlign w:val="center"/>
            <w:hideMark/>
          </w:tcPr>
          <w:p w14:paraId="6EEB65AD" w14:textId="77777777" w:rsidR="000365C0" w:rsidRPr="00CD2D3E" w:rsidRDefault="000365C0" w:rsidP="00311629">
            <w:pPr>
              <w:spacing w:after="0" w:line="240" w:lineRule="auto"/>
              <w:jc w:val="both"/>
              <w:rPr>
                <w:rFonts w:eastAsia="Times New Roman" w:cstheme="minorHAnsi"/>
                <w:b/>
                <w:bCs/>
                <w:color w:val="000000"/>
                <w:sz w:val="20"/>
                <w:szCs w:val="20"/>
                <w:lang w:eastAsia="pt-PT"/>
              </w:rPr>
            </w:pPr>
            <w:r w:rsidRPr="00CD2D3E">
              <w:rPr>
                <w:rFonts w:eastAsia="Times New Roman" w:cstheme="minorHAnsi"/>
                <w:b/>
                <w:bCs/>
                <w:color w:val="000000"/>
                <w:sz w:val="20"/>
                <w:szCs w:val="20"/>
                <w:lang w:eastAsia="pt-PT"/>
              </w:rPr>
              <w:t>Governance</w:t>
            </w:r>
          </w:p>
        </w:tc>
        <w:tc>
          <w:tcPr>
            <w:tcW w:w="1560" w:type="dxa"/>
            <w:tcBorders>
              <w:top w:val="nil"/>
              <w:left w:val="nil"/>
              <w:bottom w:val="single" w:sz="8" w:space="0" w:color="999999"/>
              <w:right w:val="single" w:sz="8" w:space="0" w:color="999999"/>
            </w:tcBorders>
            <w:shd w:val="clear" w:color="auto" w:fill="auto"/>
            <w:vAlign w:val="center"/>
            <w:hideMark/>
          </w:tcPr>
          <w:p w14:paraId="57A89043" w14:textId="77777777" w:rsidR="000365C0" w:rsidRPr="00CD2D3E" w:rsidRDefault="000365C0" w:rsidP="00311629">
            <w:pPr>
              <w:spacing w:after="0" w:line="240" w:lineRule="auto"/>
              <w:jc w:val="both"/>
              <w:rPr>
                <w:rFonts w:eastAsia="Times New Roman" w:cstheme="minorHAnsi"/>
                <w:color w:val="000000"/>
                <w:sz w:val="20"/>
                <w:szCs w:val="20"/>
                <w:lang w:eastAsia="pt-PT"/>
              </w:rPr>
            </w:pPr>
            <w:r w:rsidRPr="00CD2D3E">
              <w:rPr>
                <w:rFonts w:eastAsia="Times New Roman" w:cstheme="minorHAnsi"/>
                <w:color w:val="000000"/>
                <w:sz w:val="20"/>
                <w:szCs w:val="20"/>
                <w:lang w:eastAsia="pt-PT"/>
              </w:rPr>
              <w:t>6</w:t>
            </w:r>
          </w:p>
        </w:tc>
        <w:tc>
          <w:tcPr>
            <w:tcW w:w="1620" w:type="dxa"/>
            <w:tcBorders>
              <w:top w:val="nil"/>
              <w:left w:val="nil"/>
              <w:bottom w:val="single" w:sz="8" w:space="0" w:color="999999"/>
              <w:right w:val="nil"/>
            </w:tcBorders>
            <w:shd w:val="clear" w:color="auto" w:fill="auto"/>
            <w:vAlign w:val="center"/>
            <w:hideMark/>
          </w:tcPr>
          <w:p w14:paraId="78B34243" w14:textId="77777777" w:rsidR="000365C0" w:rsidRPr="00CD2D3E" w:rsidRDefault="000365C0" w:rsidP="00311629">
            <w:pPr>
              <w:spacing w:after="0" w:line="240" w:lineRule="auto"/>
              <w:jc w:val="right"/>
              <w:rPr>
                <w:rFonts w:eastAsia="Times New Roman" w:cstheme="minorHAnsi"/>
                <w:b/>
                <w:bCs/>
                <w:color w:val="000000"/>
                <w:sz w:val="20"/>
                <w:szCs w:val="20"/>
                <w:lang w:eastAsia="pt-PT"/>
              </w:rPr>
            </w:pPr>
            <w:r w:rsidRPr="00CD2D3E">
              <w:rPr>
                <w:rFonts w:eastAsia="Times New Roman" w:cstheme="minorHAnsi"/>
                <w:b/>
                <w:bCs/>
                <w:color w:val="000000"/>
                <w:sz w:val="20"/>
                <w:szCs w:val="20"/>
                <w:lang w:eastAsia="pt-PT"/>
              </w:rPr>
              <w:t xml:space="preserve">$3 953 870 </w:t>
            </w:r>
          </w:p>
        </w:tc>
        <w:tc>
          <w:tcPr>
            <w:tcW w:w="2020" w:type="dxa"/>
            <w:tcBorders>
              <w:top w:val="nil"/>
              <w:left w:val="single" w:sz="8" w:space="0" w:color="999999"/>
              <w:bottom w:val="single" w:sz="8" w:space="0" w:color="999999"/>
              <w:right w:val="single" w:sz="8" w:space="0" w:color="auto"/>
            </w:tcBorders>
            <w:shd w:val="clear" w:color="auto" w:fill="auto"/>
            <w:vAlign w:val="center"/>
            <w:hideMark/>
          </w:tcPr>
          <w:p w14:paraId="10020213" w14:textId="77777777" w:rsidR="000365C0" w:rsidRPr="00CD2D3E" w:rsidRDefault="000365C0" w:rsidP="00311629">
            <w:pPr>
              <w:spacing w:after="0" w:line="240" w:lineRule="auto"/>
              <w:jc w:val="right"/>
              <w:rPr>
                <w:rFonts w:eastAsia="Times New Roman" w:cstheme="minorHAnsi"/>
                <w:b/>
                <w:bCs/>
                <w:color w:val="000000"/>
                <w:sz w:val="20"/>
                <w:szCs w:val="20"/>
                <w:lang w:eastAsia="pt-PT"/>
              </w:rPr>
            </w:pPr>
            <w:r w:rsidRPr="00CD2D3E">
              <w:rPr>
                <w:rFonts w:eastAsia="Times New Roman" w:cstheme="minorHAnsi"/>
                <w:b/>
                <w:bCs/>
                <w:color w:val="000000"/>
                <w:sz w:val="20"/>
                <w:szCs w:val="20"/>
                <w:lang w:eastAsia="pt-PT"/>
              </w:rPr>
              <w:t xml:space="preserve">$2 722 783 </w:t>
            </w:r>
          </w:p>
        </w:tc>
      </w:tr>
      <w:tr w:rsidR="000365C0" w:rsidRPr="00CD2D3E" w14:paraId="330D2A89" w14:textId="77777777" w:rsidTr="0049576D">
        <w:trPr>
          <w:trHeight w:val="300"/>
        </w:trPr>
        <w:tc>
          <w:tcPr>
            <w:tcW w:w="3160" w:type="dxa"/>
            <w:tcBorders>
              <w:top w:val="nil"/>
              <w:left w:val="single" w:sz="8" w:space="0" w:color="999999"/>
              <w:bottom w:val="single" w:sz="8" w:space="0" w:color="999999"/>
              <w:right w:val="single" w:sz="8" w:space="0" w:color="999999"/>
            </w:tcBorders>
            <w:shd w:val="clear" w:color="auto" w:fill="auto"/>
            <w:vAlign w:val="center"/>
            <w:hideMark/>
          </w:tcPr>
          <w:p w14:paraId="486BD65C" w14:textId="77777777" w:rsidR="000365C0" w:rsidRPr="00CD2D3E" w:rsidRDefault="000365C0" w:rsidP="00311629">
            <w:pPr>
              <w:spacing w:after="0" w:line="240" w:lineRule="auto"/>
              <w:jc w:val="both"/>
              <w:rPr>
                <w:rFonts w:eastAsia="Times New Roman" w:cstheme="minorHAnsi"/>
                <w:b/>
                <w:bCs/>
                <w:color w:val="000000"/>
                <w:sz w:val="20"/>
                <w:szCs w:val="20"/>
                <w:lang w:eastAsia="pt-PT"/>
              </w:rPr>
            </w:pPr>
            <w:r w:rsidRPr="00CD2D3E">
              <w:rPr>
                <w:rFonts w:eastAsia="Times New Roman" w:cstheme="minorHAnsi"/>
                <w:b/>
                <w:bCs/>
                <w:color w:val="000000"/>
                <w:sz w:val="20"/>
                <w:szCs w:val="20"/>
                <w:lang w:eastAsia="pt-PT"/>
              </w:rPr>
              <w:t> </w:t>
            </w:r>
          </w:p>
        </w:tc>
        <w:tc>
          <w:tcPr>
            <w:tcW w:w="1560" w:type="dxa"/>
            <w:tcBorders>
              <w:top w:val="nil"/>
              <w:left w:val="nil"/>
              <w:bottom w:val="single" w:sz="8" w:space="0" w:color="999999"/>
              <w:right w:val="single" w:sz="8" w:space="0" w:color="999999"/>
            </w:tcBorders>
            <w:shd w:val="clear" w:color="auto" w:fill="auto"/>
            <w:noWrap/>
            <w:vAlign w:val="bottom"/>
            <w:hideMark/>
          </w:tcPr>
          <w:p w14:paraId="6C0B6767" w14:textId="77777777" w:rsidR="000365C0" w:rsidRPr="00CD2D3E" w:rsidRDefault="000365C0" w:rsidP="00311629">
            <w:pPr>
              <w:spacing w:after="0" w:line="240" w:lineRule="auto"/>
              <w:rPr>
                <w:rFonts w:eastAsia="Times New Roman" w:cstheme="minorHAnsi"/>
                <w:color w:val="000000"/>
                <w:sz w:val="20"/>
                <w:szCs w:val="20"/>
                <w:lang w:eastAsia="pt-PT"/>
              </w:rPr>
            </w:pPr>
            <w:r w:rsidRPr="00CD2D3E">
              <w:rPr>
                <w:rFonts w:eastAsia="Times New Roman" w:cstheme="minorHAnsi"/>
                <w:color w:val="000000"/>
                <w:sz w:val="20"/>
                <w:szCs w:val="20"/>
                <w:lang w:eastAsia="pt-PT"/>
              </w:rPr>
              <w:t>UNDP</w:t>
            </w:r>
          </w:p>
        </w:tc>
        <w:tc>
          <w:tcPr>
            <w:tcW w:w="1620" w:type="dxa"/>
            <w:tcBorders>
              <w:top w:val="nil"/>
              <w:left w:val="nil"/>
              <w:bottom w:val="single" w:sz="8" w:space="0" w:color="999999"/>
              <w:right w:val="nil"/>
            </w:tcBorders>
            <w:shd w:val="clear" w:color="auto" w:fill="auto"/>
            <w:vAlign w:val="center"/>
            <w:hideMark/>
          </w:tcPr>
          <w:p w14:paraId="0C8ACE69" w14:textId="77777777" w:rsidR="000365C0" w:rsidRPr="00CD2D3E" w:rsidRDefault="000365C0" w:rsidP="00311629">
            <w:pPr>
              <w:spacing w:after="0" w:line="240" w:lineRule="auto"/>
              <w:jc w:val="right"/>
              <w:rPr>
                <w:rFonts w:eastAsia="Times New Roman" w:cstheme="minorHAnsi"/>
                <w:color w:val="000000"/>
                <w:sz w:val="20"/>
                <w:szCs w:val="20"/>
                <w:lang w:eastAsia="pt-PT"/>
              </w:rPr>
            </w:pPr>
            <w:r w:rsidRPr="00CD2D3E">
              <w:rPr>
                <w:rFonts w:eastAsia="Times New Roman" w:cstheme="minorHAnsi"/>
                <w:color w:val="000000"/>
                <w:sz w:val="20"/>
                <w:szCs w:val="20"/>
                <w:lang w:eastAsia="pt-PT"/>
              </w:rPr>
              <w:t xml:space="preserve">$2 183 610 </w:t>
            </w:r>
          </w:p>
        </w:tc>
        <w:tc>
          <w:tcPr>
            <w:tcW w:w="2020" w:type="dxa"/>
            <w:tcBorders>
              <w:top w:val="nil"/>
              <w:left w:val="single" w:sz="8" w:space="0" w:color="999999"/>
              <w:bottom w:val="single" w:sz="8" w:space="0" w:color="999999"/>
              <w:right w:val="single" w:sz="8" w:space="0" w:color="auto"/>
            </w:tcBorders>
            <w:shd w:val="clear" w:color="auto" w:fill="auto"/>
            <w:vAlign w:val="center"/>
            <w:hideMark/>
          </w:tcPr>
          <w:p w14:paraId="441D4C84" w14:textId="77777777" w:rsidR="000365C0" w:rsidRPr="00CD2D3E" w:rsidRDefault="000365C0" w:rsidP="00311629">
            <w:pPr>
              <w:spacing w:after="0" w:line="240" w:lineRule="auto"/>
              <w:jc w:val="right"/>
              <w:rPr>
                <w:rFonts w:eastAsia="Times New Roman" w:cstheme="minorHAnsi"/>
                <w:color w:val="000000"/>
                <w:sz w:val="20"/>
                <w:szCs w:val="20"/>
                <w:lang w:eastAsia="pt-PT"/>
              </w:rPr>
            </w:pPr>
            <w:r w:rsidRPr="00CD2D3E">
              <w:rPr>
                <w:rFonts w:eastAsia="Times New Roman" w:cstheme="minorHAnsi"/>
                <w:color w:val="000000"/>
                <w:sz w:val="20"/>
                <w:szCs w:val="20"/>
                <w:lang w:eastAsia="pt-PT"/>
              </w:rPr>
              <w:t xml:space="preserve">$1 706 040 </w:t>
            </w:r>
          </w:p>
        </w:tc>
      </w:tr>
      <w:tr w:rsidR="000365C0" w:rsidRPr="00CD2D3E" w14:paraId="365012FC" w14:textId="77777777" w:rsidTr="0049576D">
        <w:trPr>
          <w:trHeight w:val="300"/>
        </w:trPr>
        <w:tc>
          <w:tcPr>
            <w:tcW w:w="3160" w:type="dxa"/>
            <w:tcBorders>
              <w:top w:val="nil"/>
              <w:left w:val="single" w:sz="8" w:space="0" w:color="999999"/>
              <w:bottom w:val="single" w:sz="8" w:space="0" w:color="999999"/>
              <w:right w:val="single" w:sz="8" w:space="0" w:color="999999"/>
            </w:tcBorders>
            <w:shd w:val="clear" w:color="auto" w:fill="auto"/>
            <w:vAlign w:val="center"/>
            <w:hideMark/>
          </w:tcPr>
          <w:p w14:paraId="1B25A7A8" w14:textId="77777777" w:rsidR="000365C0" w:rsidRPr="00CD2D3E" w:rsidRDefault="000365C0" w:rsidP="00311629">
            <w:pPr>
              <w:spacing w:after="0" w:line="240" w:lineRule="auto"/>
              <w:jc w:val="both"/>
              <w:rPr>
                <w:rFonts w:eastAsia="Times New Roman" w:cstheme="minorHAnsi"/>
                <w:b/>
                <w:bCs/>
                <w:color w:val="000000"/>
                <w:sz w:val="20"/>
                <w:szCs w:val="20"/>
                <w:lang w:eastAsia="pt-PT"/>
              </w:rPr>
            </w:pPr>
            <w:r w:rsidRPr="00CD2D3E">
              <w:rPr>
                <w:rFonts w:eastAsia="Times New Roman" w:cstheme="minorHAnsi"/>
                <w:b/>
                <w:bCs/>
                <w:color w:val="000000"/>
                <w:sz w:val="20"/>
                <w:szCs w:val="20"/>
                <w:lang w:eastAsia="pt-PT"/>
              </w:rPr>
              <w:t> </w:t>
            </w:r>
          </w:p>
        </w:tc>
        <w:tc>
          <w:tcPr>
            <w:tcW w:w="1560" w:type="dxa"/>
            <w:tcBorders>
              <w:top w:val="nil"/>
              <w:left w:val="nil"/>
              <w:bottom w:val="single" w:sz="8" w:space="0" w:color="999999"/>
              <w:right w:val="single" w:sz="8" w:space="0" w:color="999999"/>
            </w:tcBorders>
            <w:shd w:val="clear" w:color="auto" w:fill="auto"/>
            <w:noWrap/>
            <w:vAlign w:val="bottom"/>
            <w:hideMark/>
          </w:tcPr>
          <w:p w14:paraId="0E9DA25D" w14:textId="77777777" w:rsidR="000365C0" w:rsidRPr="00CD2D3E" w:rsidRDefault="000365C0" w:rsidP="00311629">
            <w:pPr>
              <w:spacing w:after="0" w:line="240" w:lineRule="auto"/>
              <w:rPr>
                <w:rFonts w:eastAsia="Times New Roman" w:cstheme="minorHAnsi"/>
                <w:color w:val="000000"/>
                <w:sz w:val="20"/>
                <w:szCs w:val="20"/>
                <w:lang w:eastAsia="pt-PT"/>
              </w:rPr>
            </w:pPr>
            <w:r w:rsidRPr="00CD2D3E">
              <w:rPr>
                <w:rFonts w:eastAsia="Times New Roman" w:cstheme="minorHAnsi"/>
                <w:color w:val="000000"/>
                <w:sz w:val="20"/>
                <w:szCs w:val="20"/>
                <w:lang w:eastAsia="pt-PT"/>
              </w:rPr>
              <w:t>VARIOUS</w:t>
            </w:r>
          </w:p>
        </w:tc>
        <w:tc>
          <w:tcPr>
            <w:tcW w:w="1620" w:type="dxa"/>
            <w:tcBorders>
              <w:top w:val="nil"/>
              <w:left w:val="nil"/>
              <w:bottom w:val="single" w:sz="8" w:space="0" w:color="999999"/>
              <w:right w:val="nil"/>
            </w:tcBorders>
            <w:shd w:val="clear" w:color="auto" w:fill="auto"/>
            <w:vAlign w:val="center"/>
            <w:hideMark/>
          </w:tcPr>
          <w:p w14:paraId="506A8474" w14:textId="77777777" w:rsidR="000365C0" w:rsidRPr="00CD2D3E" w:rsidRDefault="000365C0" w:rsidP="00311629">
            <w:pPr>
              <w:spacing w:after="0" w:line="240" w:lineRule="auto"/>
              <w:jc w:val="right"/>
              <w:rPr>
                <w:rFonts w:eastAsia="Times New Roman" w:cstheme="minorHAnsi"/>
                <w:color w:val="000000"/>
                <w:sz w:val="20"/>
                <w:szCs w:val="20"/>
                <w:lang w:eastAsia="pt-PT"/>
              </w:rPr>
            </w:pPr>
            <w:r w:rsidRPr="00CD2D3E">
              <w:rPr>
                <w:rFonts w:eastAsia="Times New Roman" w:cstheme="minorHAnsi"/>
                <w:color w:val="000000"/>
                <w:sz w:val="20"/>
                <w:szCs w:val="20"/>
                <w:lang w:eastAsia="pt-PT"/>
              </w:rPr>
              <w:t xml:space="preserve">$446 790 </w:t>
            </w:r>
          </w:p>
        </w:tc>
        <w:tc>
          <w:tcPr>
            <w:tcW w:w="2020" w:type="dxa"/>
            <w:tcBorders>
              <w:top w:val="nil"/>
              <w:left w:val="single" w:sz="8" w:space="0" w:color="999999"/>
              <w:bottom w:val="single" w:sz="8" w:space="0" w:color="999999"/>
              <w:right w:val="single" w:sz="8" w:space="0" w:color="auto"/>
            </w:tcBorders>
            <w:shd w:val="clear" w:color="auto" w:fill="auto"/>
            <w:vAlign w:val="center"/>
            <w:hideMark/>
          </w:tcPr>
          <w:p w14:paraId="21683899" w14:textId="77777777" w:rsidR="000365C0" w:rsidRPr="00CD2D3E" w:rsidRDefault="000365C0" w:rsidP="00311629">
            <w:pPr>
              <w:spacing w:after="0" w:line="240" w:lineRule="auto"/>
              <w:jc w:val="right"/>
              <w:rPr>
                <w:rFonts w:eastAsia="Times New Roman" w:cstheme="minorHAnsi"/>
                <w:color w:val="000000"/>
                <w:sz w:val="20"/>
                <w:szCs w:val="20"/>
                <w:lang w:eastAsia="pt-PT"/>
              </w:rPr>
            </w:pPr>
            <w:r w:rsidRPr="00CD2D3E">
              <w:rPr>
                <w:rFonts w:eastAsia="Times New Roman" w:cstheme="minorHAnsi"/>
                <w:color w:val="000000"/>
                <w:sz w:val="20"/>
                <w:szCs w:val="20"/>
                <w:lang w:eastAsia="pt-PT"/>
              </w:rPr>
              <w:t xml:space="preserve">$209 950 </w:t>
            </w:r>
          </w:p>
        </w:tc>
      </w:tr>
      <w:tr w:rsidR="000365C0" w:rsidRPr="00CD2D3E" w14:paraId="51B4F985" w14:textId="77777777" w:rsidTr="0049576D">
        <w:trPr>
          <w:trHeight w:val="300"/>
        </w:trPr>
        <w:tc>
          <w:tcPr>
            <w:tcW w:w="3160" w:type="dxa"/>
            <w:tcBorders>
              <w:top w:val="nil"/>
              <w:left w:val="single" w:sz="8" w:space="0" w:color="999999"/>
              <w:bottom w:val="single" w:sz="8" w:space="0" w:color="999999"/>
              <w:right w:val="single" w:sz="8" w:space="0" w:color="999999"/>
            </w:tcBorders>
            <w:shd w:val="clear" w:color="auto" w:fill="auto"/>
            <w:vAlign w:val="center"/>
            <w:hideMark/>
          </w:tcPr>
          <w:p w14:paraId="38F51960" w14:textId="77777777" w:rsidR="000365C0" w:rsidRPr="00CD2D3E" w:rsidRDefault="000365C0" w:rsidP="00311629">
            <w:pPr>
              <w:spacing w:after="0" w:line="240" w:lineRule="auto"/>
              <w:jc w:val="both"/>
              <w:rPr>
                <w:rFonts w:eastAsia="Times New Roman" w:cstheme="minorHAnsi"/>
                <w:b/>
                <w:bCs/>
                <w:color w:val="000000"/>
                <w:sz w:val="20"/>
                <w:szCs w:val="20"/>
                <w:lang w:eastAsia="pt-PT"/>
              </w:rPr>
            </w:pPr>
            <w:r w:rsidRPr="00CD2D3E">
              <w:rPr>
                <w:rFonts w:eastAsia="Times New Roman" w:cstheme="minorHAnsi"/>
                <w:b/>
                <w:bCs/>
                <w:color w:val="000000"/>
                <w:sz w:val="20"/>
                <w:szCs w:val="20"/>
                <w:lang w:eastAsia="pt-PT"/>
              </w:rPr>
              <w:t> </w:t>
            </w:r>
          </w:p>
        </w:tc>
        <w:tc>
          <w:tcPr>
            <w:tcW w:w="1560" w:type="dxa"/>
            <w:tcBorders>
              <w:top w:val="nil"/>
              <w:left w:val="nil"/>
              <w:bottom w:val="single" w:sz="8" w:space="0" w:color="999999"/>
              <w:right w:val="single" w:sz="8" w:space="0" w:color="999999"/>
            </w:tcBorders>
            <w:shd w:val="clear" w:color="auto" w:fill="auto"/>
            <w:noWrap/>
            <w:vAlign w:val="bottom"/>
            <w:hideMark/>
          </w:tcPr>
          <w:p w14:paraId="2DDB4AD2" w14:textId="77777777" w:rsidR="000365C0" w:rsidRPr="00CD2D3E" w:rsidRDefault="000365C0" w:rsidP="00311629">
            <w:pPr>
              <w:spacing w:after="0" w:line="240" w:lineRule="auto"/>
              <w:rPr>
                <w:rFonts w:eastAsia="Times New Roman" w:cstheme="minorHAnsi"/>
                <w:color w:val="000000"/>
                <w:sz w:val="20"/>
                <w:szCs w:val="20"/>
                <w:lang w:eastAsia="pt-PT"/>
              </w:rPr>
            </w:pPr>
            <w:r w:rsidRPr="00CD2D3E">
              <w:rPr>
                <w:rFonts w:eastAsia="Times New Roman" w:cstheme="minorHAnsi"/>
                <w:color w:val="000000"/>
                <w:sz w:val="20"/>
                <w:szCs w:val="20"/>
                <w:lang w:eastAsia="pt-PT"/>
              </w:rPr>
              <w:t>NORWAY</w:t>
            </w:r>
          </w:p>
        </w:tc>
        <w:tc>
          <w:tcPr>
            <w:tcW w:w="1620" w:type="dxa"/>
            <w:tcBorders>
              <w:top w:val="nil"/>
              <w:left w:val="nil"/>
              <w:bottom w:val="single" w:sz="8" w:space="0" w:color="999999"/>
              <w:right w:val="nil"/>
            </w:tcBorders>
            <w:shd w:val="clear" w:color="auto" w:fill="auto"/>
            <w:vAlign w:val="center"/>
            <w:hideMark/>
          </w:tcPr>
          <w:p w14:paraId="50D2370D" w14:textId="77777777" w:rsidR="000365C0" w:rsidRPr="00CD2D3E" w:rsidRDefault="000365C0" w:rsidP="00311629">
            <w:pPr>
              <w:spacing w:after="0" w:line="240" w:lineRule="auto"/>
              <w:jc w:val="right"/>
              <w:rPr>
                <w:rFonts w:eastAsia="Times New Roman" w:cstheme="minorHAnsi"/>
                <w:color w:val="000000"/>
                <w:sz w:val="20"/>
                <w:szCs w:val="20"/>
                <w:lang w:eastAsia="pt-PT"/>
              </w:rPr>
            </w:pPr>
            <w:r w:rsidRPr="00CD2D3E">
              <w:rPr>
                <w:rFonts w:eastAsia="Times New Roman" w:cstheme="minorHAnsi"/>
                <w:color w:val="000000"/>
                <w:sz w:val="20"/>
                <w:szCs w:val="20"/>
                <w:lang w:eastAsia="pt-PT"/>
              </w:rPr>
              <w:t xml:space="preserve">$1 067 954 </w:t>
            </w:r>
          </w:p>
        </w:tc>
        <w:tc>
          <w:tcPr>
            <w:tcW w:w="2020" w:type="dxa"/>
            <w:tcBorders>
              <w:top w:val="nil"/>
              <w:left w:val="single" w:sz="8" w:space="0" w:color="999999"/>
              <w:bottom w:val="single" w:sz="8" w:space="0" w:color="999999"/>
              <w:right w:val="single" w:sz="8" w:space="0" w:color="auto"/>
            </w:tcBorders>
            <w:shd w:val="clear" w:color="auto" w:fill="auto"/>
            <w:vAlign w:val="center"/>
            <w:hideMark/>
          </w:tcPr>
          <w:p w14:paraId="2B96C29E" w14:textId="77777777" w:rsidR="000365C0" w:rsidRPr="00CD2D3E" w:rsidRDefault="000365C0" w:rsidP="00311629">
            <w:pPr>
              <w:spacing w:after="0" w:line="240" w:lineRule="auto"/>
              <w:jc w:val="right"/>
              <w:rPr>
                <w:rFonts w:eastAsia="Times New Roman" w:cstheme="minorHAnsi"/>
                <w:color w:val="000000"/>
                <w:sz w:val="20"/>
                <w:szCs w:val="20"/>
                <w:lang w:eastAsia="pt-PT"/>
              </w:rPr>
            </w:pPr>
            <w:r w:rsidRPr="00CD2D3E">
              <w:rPr>
                <w:rFonts w:eastAsia="Times New Roman" w:cstheme="minorHAnsi"/>
                <w:color w:val="000000"/>
                <w:sz w:val="20"/>
                <w:szCs w:val="20"/>
                <w:lang w:eastAsia="pt-PT"/>
              </w:rPr>
              <w:t xml:space="preserve">$676 586 </w:t>
            </w:r>
          </w:p>
        </w:tc>
      </w:tr>
      <w:tr w:rsidR="000365C0" w:rsidRPr="00CD2D3E" w14:paraId="2227FB1E" w14:textId="77777777" w:rsidTr="0049576D">
        <w:trPr>
          <w:trHeight w:val="300"/>
        </w:trPr>
        <w:tc>
          <w:tcPr>
            <w:tcW w:w="3160" w:type="dxa"/>
            <w:tcBorders>
              <w:top w:val="nil"/>
              <w:left w:val="single" w:sz="8" w:space="0" w:color="999999"/>
              <w:bottom w:val="single" w:sz="8" w:space="0" w:color="999999"/>
              <w:right w:val="single" w:sz="8" w:space="0" w:color="999999"/>
            </w:tcBorders>
            <w:shd w:val="clear" w:color="auto" w:fill="auto"/>
            <w:vAlign w:val="center"/>
            <w:hideMark/>
          </w:tcPr>
          <w:p w14:paraId="26D54028" w14:textId="77777777" w:rsidR="000365C0" w:rsidRPr="00CD2D3E" w:rsidRDefault="000365C0" w:rsidP="00311629">
            <w:pPr>
              <w:spacing w:after="0" w:line="240" w:lineRule="auto"/>
              <w:jc w:val="both"/>
              <w:rPr>
                <w:rFonts w:eastAsia="Times New Roman" w:cstheme="minorHAnsi"/>
                <w:b/>
                <w:bCs/>
                <w:color w:val="000000"/>
                <w:sz w:val="20"/>
                <w:szCs w:val="20"/>
                <w:lang w:eastAsia="pt-PT"/>
              </w:rPr>
            </w:pPr>
            <w:r w:rsidRPr="00CD2D3E">
              <w:rPr>
                <w:rFonts w:eastAsia="Times New Roman" w:cstheme="minorHAnsi"/>
                <w:b/>
                <w:bCs/>
                <w:color w:val="000000"/>
                <w:sz w:val="20"/>
                <w:szCs w:val="20"/>
                <w:lang w:eastAsia="pt-PT"/>
              </w:rPr>
              <w:t> </w:t>
            </w:r>
          </w:p>
        </w:tc>
        <w:tc>
          <w:tcPr>
            <w:tcW w:w="1560" w:type="dxa"/>
            <w:tcBorders>
              <w:top w:val="nil"/>
              <w:left w:val="nil"/>
              <w:bottom w:val="single" w:sz="8" w:space="0" w:color="999999"/>
              <w:right w:val="single" w:sz="8" w:space="0" w:color="999999"/>
            </w:tcBorders>
            <w:shd w:val="clear" w:color="auto" w:fill="auto"/>
            <w:noWrap/>
            <w:vAlign w:val="bottom"/>
            <w:hideMark/>
          </w:tcPr>
          <w:p w14:paraId="5E0AF407" w14:textId="77777777" w:rsidR="000365C0" w:rsidRPr="00CD2D3E" w:rsidRDefault="000365C0" w:rsidP="00311629">
            <w:pPr>
              <w:spacing w:after="0" w:line="240" w:lineRule="auto"/>
              <w:rPr>
                <w:rFonts w:eastAsia="Times New Roman" w:cstheme="minorHAnsi"/>
                <w:color w:val="000000"/>
                <w:sz w:val="20"/>
                <w:szCs w:val="20"/>
                <w:lang w:eastAsia="pt-PT"/>
              </w:rPr>
            </w:pPr>
            <w:r w:rsidRPr="00CD2D3E">
              <w:rPr>
                <w:rFonts w:eastAsia="Times New Roman" w:cstheme="minorHAnsi"/>
                <w:color w:val="000000"/>
                <w:sz w:val="20"/>
                <w:szCs w:val="20"/>
                <w:lang w:eastAsia="pt-PT"/>
              </w:rPr>
              <w:t>GEF</w:t>
            </w:r>
          </w:p>
        </w:tc>
        <w:tc>
          <w:tcPr>
            <w:tcW w:w="1620" w:type="dxa"/>
            <w:tcBorders>
              <w:top w:val="nil"/>
              <w:left w:val="nil"/>
              <w:bottom w:val="single" w:sz="8" w:space="0" w:color="999999"/>
              <w:right w:val="nil"/>
            </w:tcBorders>
            <w:shd w:val="clear" w:color="auto" w:fill="auto"/>
            <w:vAlign w:val="center"/>
            <w:hideMark/>
          </w:tcPr>
          <w:p w14:paraId="6540A4E8" w14:textId="77777777" w:rsidR="000365C0" w:rsidRPr="00CD2D3E" w:rsidRDefault="000365C0" w:rsidP="00311629">
            <w:pPr>
              <w:spacing w:after="0" w:line="240" w:lineRule="auto"/>
              <w:jc w:val="right"/>
              <w:rPr>
                <w:rFonts w:eastAsia="Times New Roman" w:cstheme="minorHAnsi"/>
                <w:color w:val="000000"/>
                <w:sz w:val="20"/>
                <w:szCs w:val="20"/>
                <w:lang w:eastAsia="pt-PT"/>
              </w:rPr>
            </w:pPr>
            <w:r w:rsidRPr="00CD2D3E">
              <w:rPr>
                <w:rFonts w:eastAsia="Times New Roman" w:cstheme="minorHAnsi"/>
                <w:color w:val="000000"/>
                <w:sz w:val="20"/>
                <w:szCs w:val="20"/>
                <w:lang w:eastAsia="pt-PT"/>
              </w:rPr>
              <w:t xml:space="preserve">$0 </w:t>
            </w:r>
          </w:p>
        </w:tc>
        <w:tc>
          <w:tcPr>
            <w:tcW w:w="2020" w:type="dxa"/>
            <w:tcBorders>
              <w:top w:val="nil"/>
              <w:left w:val="single" w:sz="8" w:space="0" w:color="999999"/>
              <w:bottom w:val="single" w:sz="8" w:space="0" w:color="999999"/>
              <w:right w:val="single" w:sz="8" w:space="0" w:color="auto"/>
            </w:tcBorders>
            <w:shd w:val="clear" w:color="auto" w:fill="auto"/>
            <w:vAlign w:val="center"/>
            <w:hideMark/>
          </w:tcPr>
          <w:p w14:paraId="7C03357D" w14:textId="77777777" w:rsidR="000365C0" w:rsidRPr="00CD2D3E" w:rsidRDefault="000365C0" w:rsidP="00311629">
            <w:pPr>
              <w:spacing w:after="0" w:line="240" w:lineRule="auto"/>
              <w:jc w:val="right"/>
              <w:rPr>
                <w:rFonts w:eastAsia="Times New Roman" w:cstheme="minorHAnsi"/>
                <w:color w:val="000000"/>
                <w:sz w:val="20"/>
                <w:szCs w:val="20"/>
                <w:lang w:eastAsia="pt-PT"/>
              </w:rPr>
            </w:pPr>
            <w:r w:rsidRPr="00CD2D3E">
              <w:rPr>
                <w:rFonts w:eastAsia="Times New Roman" w:cstheme="minorHAnsi"/>
                <w:color w:val="000000"/>
                <w:sz w:val="20"/>
                <w:szCs w:val="20"/>
                <w:lang w:eastAsia="pt-PT"/>
              </w:rPr>
              <w:t xml:space="preserve">$0 </w:t>
            </w:r>
          </w:p>
        </w:tc>
      </w:tr>
      <w:tr w:rsidR="000365C0" w:rsidRPr="00CD2D3E" w14:paraId="24CA8F87" w14:textId="77777777" w:rsidTr="0049576D">
        <w:trPr>
          <w:trHeight w:val="300"/>
        </w:trPr>
        <w:tc>
          <w:tcPr>
            <w:tcW w:w="3160" w:type="dxa"/>
            <w:tcBorders>
              <w:top w:val="nil"/>
              <w:left w:val="single" w:sz="8" w:space="0" w:color="999999"/>
              <w:bottom w:val="single" w:sz="8" w:space="0" w:color="999999"/>
              <w:right w:val="single" w:sz="8" w:space="0" w:color="999999"/>
            </w:tcBorders>
            <w:shd w:val="clear" w:color="auto" w:fill="auto"/>
            <w:vAlign w:val="center"/>
            <w:hideMark/>
          </w:tcPr>
          <w:p w14:paraId="72D9675E" w14:textId="77777777" w:rsidR="000365C0" w:rsidRPr="00CD2D3E" w:rsidRDefault="000365C0" w:rsidP="00311629">
            <w:pPr>
              <w:spacing w:after="0" w:line="240" w:lineRule="auto"/>
              <w:jc w:val="both"/>
              <w:rPr>
                <w:rFonts w:eastAsia="Times New Roman" w:cstheme="minorHAnsi"/>
                <w:b/>
                <w:bCs/>
                <w:color w:val="000000"/>
                <w:sz w:val="20"/>
                <w:szCs w:val="20"/>
                <w:lang w:eastAsia="pt-PT"/>
              </w:rPr>
            </w:pPr>
            <w:r w:rsidRPr="00CD2D3E">
              <w:rPr>
                <w:rFonts w:eastAsia="Times New Roman" w:cstheme="minorHAnsi"/>
                <w:b/>
                <w:bCs/>
                <w:color w:val="000000"/>
                <w:sz w:val="20"/>
                <w:szCs w:val="20"/>
                <w:lang w:eastAsia="pt-PT"/>
              </w:rPr>
              <w:t> </w:t>
            </w:r>
          </w:p>
        </w:tc>
        <w:tc>
          <w:tcPr>
            <w:tcW w:w="1560" w:type="dxa"/>
            <w:tcBorders>
              <w:top w:val="nil"/>
              <w:left w:val="nil"/>
              <w:bottom w:val="single" w:sz="8" w:space="0" w:color="999999"/>
              <w:right w:val="single" w:sz="8" w:space="0" w:color="999999"/>
            </w:tcBorders>
            <w:shd w:val="clear" w:color="auto" w:fill="auto"/>
            <w:noWrap/>
            <w:vAlign w:val="bottom"/>
            <w:hideMark/>
          </w:tcPr>
          <w:p w14:paraId="195F6734" w14:textId="77777777" w:rsidR="000365C0" w:rsidRPr="00CD2D3E" w:rsidRDefault="000365C0" w:rsidP="00311629">
            <w:pPr>
              <w:spacing w:after="0" w:line="240" w:lineRule="auto"/>
              <w:rPr>
                <w:rFonts w:eastAsia="Times New Roman" w:cstheme="minorHAnsi"/>
                <w:color w:val="000000"/>
                <w:sz w:val="20"/>
                <w:szCs w:val="20"/>
                <w:lang w:eastAsia="pt-PT"/>
              </w:rPr>
            </w:pPr>
            <w:r w:rsidRPr="00CD2D3E">
              <w:rPr>
                <w:rFonts w:eastAsia="Times New Roman" w:cstheme="minorHAnsi"/>
                <w:color w:val="000000"/>
                <w:sz w:val="20"/>
                <w:szCs w:val="20"/>
                <w:lang w:eastAsia="pt-PT"/>
              </w:rPr>
              <w:t>EUCOMM</w:t>
            </w:r>
          </w:p>
        </w:tc>
        <w:tc>
          <w:tcPr>
            <w:tcW w:w="1620" w:type="dxa"/>
            <w:tcBorders>
              <w:top w:val="nil"/>
              <w:left w:val="nil"/>
              <w:bottom w:val="single" w:sz="8" w:space="0" w:color="999999"/>
              <w:right w:val="nil"/>
            </w:tcBorders>
            <w:shd w:val="clear" w:color="auto" w:fill="auto"/>
            <w:vAlign w:val="center"/>
            <w:hideMark/>
          </w:tcPr>
          <w:p w14:paraId="7C06F8A6" w14:textId="77777777" w:rsidR="000365C0" w:rsidRPr="00CD2D3E" w:rsidRDefault="000365C0" w:rsidP="00311629">
            <w:pPr>
              <w:spacing w:after="0" w:line="240" w:lineRule="auto"/>
              <w:jc w:val="right"/>
              <w:rPr>
                <w:rFonts w:eastAsia="Times New Roman" w:cstheme="minorHAnsi"/>
                <w:color w:val="000000"/>
                <w:sz w:val="20"/>
                <w:szCs w:val="20"/>
                <w:lang w:eastAsia="pt-PT"/>
              </w:rPr>
            </w:pPr>
            <w:r w:rsidRPr="00CD2D3E">
              <w:rPr>
                <w:rFonts w:eastAsia="Times New Roman" w:cstheme="minorHAnsi"/>
                <w:color w:val="000000"/>
                <w:sz w:val="20"/>
                <w:szCs w:val="20"/>
                <w:lang w:eastAsia="pt-PT"/>
              </w:rPr>
              <w:t xml:space="preserve">$255 516 </w:t>
            </w:r>
          </w:p>
        </w:tc>
        <w:tc>
          <w:tcPr>
            <w:tcW w:w="2020" w:type="dxa"/>
            <w:tcBorders>
              <w:top w:val="nil"/>
              <w:left w:val="single" w:sz="8" w:space="0" w:color="999999"/>
              <w:bottom w:val="single" w:sz="8" w:space="0" w:color="999999"/>
              <w:right w:val="single" w:sz="8" w:space="0" w:color="auto"/>
            </w:tcBorders>
            <w:shd w:val="clear" w:color="auto" w:fill="auto"/>
            <w:vAlign w:val="center"/>
            <w:hideMark/>
          </w:tcPr>
          <w:p w14:paraId="327DF270" w14:textId="77777777" w:rsidR="000365C0" w:rsidRPr="00CD2D3E" w:rsidRDefault="000365C0" w:rsidP="00311629">
            <w:pPr>
              <w:spacing w:after="0" w:line="240" w:lineRule="auto"/>
              <w:jc w:val="right"/>
              <w:rPr>
                <w:rFonts w:eastAsia="Times New Roman" w:cstheme="minorHAnsi"/>
                <w:color w:val="000000"/>
                <w:sz w:val="20"/>
                <w:szCs w:val="20"/>
                <w:lang w:eastAsia="pt-PT"/>
              </w:rPr>
            </w:pPr>
            <w:r w:rsidRPr="00CD2D3E">
              <w:rPr>
                <w:rFonts w:eastAsia="Times New Roman" w:cstheme="minorHAnsi"/>
                <w:color w:val="000000"/>
                <w:sz w:val="20"/>
                <w:szCs w:val="20"/>
                <w:lang w:eastAsia="pt-PT"/>
              </w:rPr>
              <w:t xml:space="preserve">$130 207 </w:t>
            </w:r>
          </w:p>
        </w:tc>
      </w:tr>
      <w:tr w:rsidR="000365C0" w:rsidRPr="00CD2D3E" w14:paraId="46CFA651" w14:textId="77777777" w:rsidTr="0049576D">
        <w:trPr>
          <w:trHeight w:val="300"/>
        </w:trPr>
        <w:tc>
          <w:tcPr>
            <w:tcW w:w="3160" w:type="dxa"/>
            <w:tcBorders>
              <w:top w:val="nil"/>
              <w:left w:val="single" w:sz="8" w:space="0" w:color="999999"/>
              <w:bottom w:val="single" w:sz="8" w:space="0" w:color="999999"/>
              <w:right w:val="single" w:sz="8" w:space="0" w:color="999999"/>
            </w:tcBorders>
            <w:shd w:val="clear" w:color="auto" w:fill="auto"/>
            <w:vAlign w:val="center"/>
            <w:hideMark/>
          </w:tcPr>
          <w:p w14:paraId="09F0E38C" w14:textId="77777777" w:rsidR="000365C0" w:rsidRPr="00CD2D3E" w:rsidRDefault="000365C0" w:rsidP="00311629">
            <w:pPr>
              <w:spacing w:after="0" w:line="240" w:lineRule="auto"/>
              <w:jc w:val="both"/>
              <w:rPr>
                <w:rFonts w:eastAsia="Times New Roman" w:cstheme="minorHAnsi"/>
                <w:b/>
                <w:bCs/>
                <w:color w:val="000000"/>
                <w:sz w:val="20"/>
                <w:szCs w:val="20"/>
                <w:lang w:eastAsia="pt-PT"/>
              </w:rPr>
            </w:pPr>
            <w:r w:rsidRPr="00CD2D3E">
              <w:rPr>
                <w:rFonts w:eastAsia="Times New Roman" w:cstheme="minorHAnsi"/>
                <w:b/>
                <w:bCs/>
                <w:color w:val="000000"/>
                <w:sz w:val="20"/>
                <w:szCs w:val="20"/>
                <w:lang w:eastAsia="pt-PT"/>
              </w:rPr>
              <w:lastRenderedPageBreak/>
              <w:t> </w:t>
            </w:r>
          </w:p>
        </w:tc>
        <w:tc>
          <w:tcPr>
            <w:tcW w:w="1560" w:type="dxa"/>
            <w:tcBorders>
              <w:top w:val="nil"/>
              <w:left w:val="nil"/>
              <w:bottom w:val="single" w:sz="8" w:space="0" w:color="999999"/>
              <w:right w:val="single" w:sz="8" w:space="0" w:color="999999"/>
            </w:tcBorders>
            <w:shd w:val="clear" w:color="auto" w:fill="auto"/>
            <w:vAlign w:val="center"/>
            <w:hideMark/>
          </w:tcPr>
          <w:p w14:paraId="7956197E" w14:textId="77777777" w:rsidR="000365C0" w:rsidRPr="00CD2D3E" w:rsidRDefault="000365C0" w:rsidP="00311629">
            <w:pPr>
              <w:spacing w:after="0" w:line="240" w:lineRule="auto"/>
              <w:jc w:val="both"/>
              <w:rPr>
                <w:rFonts w:eastAsia="Times New Roman" w:cstheme="minorHAnsi"/>
                <w:color w:val="000000"/>
                <w:sz w:val="20"/>
                <w:szCs w:val="20"/>
                <w:lang w:eastAsia="pt-PT"/>
              </w:rPr>
            </w:pPr>
            <w:r w:rsidRPr="00CD2D3E">
              <w:rPr>
                <w:rFonts w:eastAsia="Times New Roman" w:cstheme="minorHAnsi"/>
                <w:color w:val="000000"/>
                <w:sz w:val="20"/>
                <w:szCs w:val="20"/>
                <w:lang w:eastAsia="pt-PT"/>
              </w:rPr>
              <w:t> </w:t>
            </w:r>
          </w:p>
        </w:tc>
        <w:tc>
          <w:tcPr>
            <w:tcW w:w="1620" w:type="dxa"/>
            <w:tcBorders>
              <w:top w:val="nil"/>
              <w:left w:val="nil"/>
              <w:bottom w:val="single" w:sz="8" w:space="0" w:color="999999"/>
              <w:right w:val="nil"/>
            </w:tcBorders>
            <w:shd w:val="clear" w:color="auto" w:fill="auto"/>
            <w:vAlign w:val="center"/>
            <w:hideMark/>
          </w:tcPr>
          <w:p w14:paraId="771CFA58" w14:textId="77777777" w:rsidR="000365C0" w:rsidRPr="00CD2D3E" w:rsidRDefault="000365C0" w:rsidP="00311629">
            <w:pPr>
              <w:spacing w:after="0" w:line="240" w:lineRule="auto"/>
              <w:jc w:val="right"/>
              <w:rPr>
                <w:rFonts w:eastAsia="Times New Roman" w:cstheme="minorHAnsi"/>
                <w:color w:val="000000"/>
                <w:sz w:val="20"/>
                <w:szCs w:val="20"/>
                <w:lang w:eastAsia="pt-PT"/>
              </w:rPr>
            </w:pPr>
            <w:r w:rsidRPr="00CD2D3E">
              <w:rPr>
                <w:rFonts w:eastAsia="Times New Roman" w:cstheme="minorHAnsi"/>
                <w:color w:val="000000"/>
                <w:sz w:val="20"/>
                <w:szCs w:val="20"/>
                <w:lang w:eastAsia="pt-PT"/>
              </w:rPr>
              <w:t> </w:t>
            </w:r>
          </w:p>
        </w:tc>
        <w:tc>
          <w:tcPr>
            <w:tcW w:w="2020" w:type="dxa"/>
            <w:tcBorders>
              <w:top w:val="nil"/>
              <w:left w:val="single" w:sz="8" w:space="0" w:color="999999"/>
              <w:bottom w:val="single" w:sz="8" w:space="0" w:color="999999"/>
              <w:right w:val="single" w:sz="8" w:space="0" w:color="auto"/>
            </w:tcBorders>
            <w:shd w:val="clear" w:color="auto" w:fill="auto"/>
            <w:vAlign w:val="center"/>
            <w:hideMark/>
          </w:tcPr>
          <w:p w14:paraId="2DBD00AD" w14:textId="77777777" w:rsidR="000365C0" w:rsidRPr="00CD2D3E" w:rsidRDefault="000365C0" w:rsidP="00311629">
            <w:pPr>
              <w:spacing w:after="0" w:line="240" w:lineRule="auto"/>
              <w:jc w:val="right"/>
              <w:rPr>
                <w:rFonts w:eastAsia="Times New Roman" w:cstheme="minorHAnsi"/>
                <w:color w:val="000000"/>
                <w:sz w:val="20"/>
                <w:szCs w:val="20"/>
                <w:lang w:eastAsia="pt-PT"/>
              </w:rPr>
            </w:pPr>
            <w:r w:rsidRPr="00CD2D3E">
              <w:rPr>
                <w:rFonts w:eastAsia="Times New Roman" w:cstheme="minorHAnsi"/>
                <w:color w:val="000000"/>
                <w:sz w:val="20"/>
                <w:szCs w:val="20"/>
                <w:lang w:eastAsia="pt-PT"/>
              </w:rPr>
              <w:t> </w:t>
            </w:r>
          </w:p>
        </w:tc>
      </w:tr>
      <w:tr w:rsidR="000365C0" w:rsidRPr="00CD2D3E" w14:paraId="10AF3E70" w14:textId="77777777" w:rsidTr="0049576D">
        <w:trPr>
          <w:trHeight w:val="300"/>
        </w:trPr>
        <w:tc>
          <w:tcPr>
            <w:tcW w:w="3160" w:type="dxa"/>
            <w:tcBorders>
              <w:top w:val="nil"/>
              <w:left w:val="single" w:sz="8" w:space="0" w:color="999999"/>
              <w:bottom w:val="single" w:sz="8" w:space="0" w:color="999999"/>
              <w:right w:val="single" w:sz="8" w:space="0" w:color="999999"/>
            </w:tcBorders>
            <w:shd w:val="clear" w:color="auto" w:fill="auto"/>
            <w:vAlign w:val="center"/>
            <w:hideMark/>
          </w:tcPr>
          <w:p w14:paraId="272C577B" w14:textId="77777777" w:rsidR="000365C0" w:rsidRPr="00CD2D3E" w:rsidRDefault="000365C0" w:rsidP="00311629">
            <w:pPr>
              <w:spacing w:after="0" w:line="240" w:lineRule="auto"/>
              <w:jc w:val="both"/>
              <w:rPr>
                <w:rFonts w:eastAsia="Times New Roman" w:cstheme="minorHAnsi"/>
                <w:b/>
                <w:bCs/>
                <w:color w:val="000000"/>
                <w:sz w:val="20"/>
                <w:szCs w:val="20"/>
                <w:lang w:eastAsia="pt-PT"/>
              </w:rPr>
            </w:pPr>
            <w:r w:rsidRPr="00CD2D3E">
              <w:rPr>
                <w:rFonts w:eastAsia="Times New Roman" w:cstheme="minorHAnsi"/>
                <w:b/>
                <w:bCs/>
                <w:color w:val="000000"/>
                <w:sz w:val="20"/>
                <w:szCs w:val="20"/>
                <w:lang w:eastAsia="pt-PT"/>
              </w:rPr>
              <w:t>Global Fund</w:t>
            </w:r>
          </w:p>
        </w:tc>
        <w:tc>
          <w:tcPr>
            <w:tcW w:w="1560" w:type="dxa"/>
            <w:tcBorders>
              <w:top w:val="nil"/>
              <w:left w:val="nil"/>
              <w:bottom w:val="single" w:sz="8" w:space="0" w:color="999999"/>
              <w:right w:val="single" w:sz="8" w:space="0" w:color="999999"/>
            </w:tcBorders>
            <w:shd w:val="clear" w:color="auto" w:fill="auto"/>
            <w:vAlign w:val="center"/>
            <w:hideMark/>
          </w:tcPr>
          <w:p w14:paraId="6B24CC4B" w14:textId="77777777" w:rsidR="000365C0" w:rsidRPr="00CD2D3E" w:rsidRDefault="000365C0" w:rsidP="00311629">
            <w:pPr>
              <w:spacing w:after="0" w:line="240" w:lineRule="auto"/>
              <w:jc w:val="both"/>
              <w:rPr>
                <w:rFonts w:eastAsia="Times New Roman" w:cstheme="minorHAnsi"/>
                <w:color w:val="000000"/>
                <w:sz w:val="20"/>
                <w:szCs w:val="20"/>
                <w:lang w:eastAsia="pt-PT"/>
              </w:rPr>
            </w:pPr>
            <w:r w:rsidRPr="00CD2D3E">
              <w:rPr>
                <w:rFonts w:eastAsia="Times New Roman" w:cstheme="minorHAnsi"/>
                <w:color w:val="000000"/>
                <w:sz w:val="20"/>
                <w:szCs w:val="20"/>
                <w:lang w:eastAsia="pt-PT"/>
              </w:rPr>
              <w:t> 4</w:t>
            </w:r>
          </w:p>
        </w:tc>
        <w:tc>
          <w:tcPr>
            <w:tcW w:w="1620" w:type="dxa"/>
            <w:tcBorders>
              <w:top w:val="nil"/>
              <w:left w:val="nil"/>
              <w:bottom w:val="single" w:sz="8" w:space="0" w:color="999999"/>
              <w:right w:val="nil"/>
            </w:tcBorders>
            <w:shd w:val="clear" w:color="auto" w:fill="auto"/>
            <w:vAlign w:val="center"/>
            <w:hideMark/>
          </w:tcPr>
          <w:p w14:paraId="7DBE4570" w14:textId="77777777" w:rsidR="000365C0" w:rsidRPr="00CD2D3E" w:rsidRDefault="000365C0" w:rsidP="00311629">
            <w:pPr>
              <w:spacing w:after="0" w:line="240" w:lineRule="auto"/>
              <w:jc w:val="right"/>
              <w:rPr>
                <w:rFonts w:eastAsia="Times New Roman" w:cstheme="minorHAnsi"/>
                <w:b/>
                <w:bCs/>
                <w:color w:val="000000"/>
                <w:sz w:val="20"/>
                <w:szCs w:val="20"/>
                <w:lang w:eastAsia="pt-PT"/>
              </w:rPr>
            </w:pPr>
            <w:r w:rsidRPr="00CD2D3E">
              <w:rPr>
                <w:rFonts w:eastAsia="Times New Roman" w:cstheme="minorHAnsi"/>
                <w:b/>
                <w:bCs/>
                <w:color w:val="000000"/>
                <w:sz w:val="20"/>
                <w:szCs w:val="20"/>
                <w:lang w:eastAsia="pt-PT"/>
              </w:rPr>
              <w:t xml:space="preserve">$44 073 834 </w:t>
            </w:r>
          </w:p>
        </w:tc>
        <w:tc>
          <w:tcPr>
            <w:tcW w:w="2020" w:type="dxa"/>
            <w:tcBorders>
              <w:top w:val="nil"/>
              <w:left w:val="single" w:sz="8" w:space="0" w:color="999999"/>
              <w:bottom w:val="single" w:sz="8" w:space="0" w:color="999999"/>
              <w:right w:val="single" w:sz="8" w:space="0" w:color="auto"/>
            </w:tcBorders>
            <w:shd w:val="clear" w:color="auto" w:fill="auto"/>
            <w:vAlign w:val="center"/>
            <w:hideMark/>
          </w:tcPr>
          <w:p w14:paraId="077AE4FC" w14:textId="77777777" w:rsidR="000365C0" w:rsidRPr="00CD2D3E" w:rsidRDefault="000365C0" w:rsidP="00311629">
            <w:pPr>
              <w:spacing w:after="0" w:line="240" w:lineRule="auto"/>
              <w:jc w:val="right"/>
              <w:rPr>
                <w:rFonts w:eastAsia="Times New Roman" w:cstheme="minorHAnsi"/>
                <w:b/>
                <w:bCs/>
                <w:color w:val="000000"/>
                <w:sz w:val="20"/>
                <w:szCs w:val="20"/>
                <w:lang w:eastAsia="pt-PT"/>
              </w:rPr>
            </w:pPr>
            <w:r w:rsidRPr="00CD2D3E">
              <w:rPr>
                <w:rFonts w:eastAsia="Times New Roman" w:cstheme="minorHAnsi"/>
                <w:b/>
                <w:bCs/>
                <w:color w:val="000000"/>
                <w:sz w:val="20"/>
                <w:szCs w:val="20"/>
                <w:lang w:eastAsia="pt-PT"/>
              </w:rPr>
              <w:t xml:space="preserve">$14 618 821 </w:t>
            </w:r>
          </w:p>
        </w:tc>
      </w:tr>
      <w:tr w:rsidR="000365C0" w:rsidRPr="00CD2D3E" w14:paraId="0BB4E948" w14:textId="77777777" w:rsidTr="0049576D">
        <w:trPr>
          <w:trHeight w:val="300"/>
        </w:trPr>
        <w:tc>
          <w:tcPr>
            <w:tcW w:w="3160" w:type="dxa"/>
            <w:tcBorders>
              <w:top w:val="nil"/>
              <w:left w:val="single" w:sz="8" w:space="0" w:color="999999"/>
              <w:bottom w:val="single" w:sz="8" w:space="0" w:color="999999"/>
              <w:right w:val="single" w:sz="8" w:space="0" w:color="999999"/>
            </w:tcBorders>
            <w:shd w:val="clear" w:color="auto" w:fill="auto"/>
            <w:vAlign w:val="center"/>
            <w:hideMark/>
          </w:tcPr>
          <w:p w14:paraId="2DFB0C94" w14:textId="77777777" w:rsidR="000365C0" w:rsidRPr="00CD2D3E" w:rsidRDefault="000365C0" w:rsidP="00311629">
            <w:pPr>
              <w:spacing w:after="0" w:line="240" w:lineRule="auto"/>
              <w:jc w:val="both"/>
              <w:rPr>
                <w:rFonts w:eastAsia="Times New Roman" w:cstheme="minorHAnsi"/>
                <w:b/>
                <w:bCs/>
                <w:color w:val="000000"/>
                <w:sz w:val="20"/>
                <w:szCs w:val="20"/>
                <w:lang w:eastAsia="pt-PT"/>
              </w:rPr>
            </w:pPr>
            <w:r w:rsidRPr="00CD2D3E">
              <w:rPr>
                <w:rFonts w:eastAsia="Times New Roman" w:cstheme="minorHAnsi"/>
                <w:b/>
                <w:bCs/>
                <w:color w:val="000000"/>
                <w:sz w:val="20"/>
                <w:szCs w:val="20"/>
                <w:lang w:eastAsia="pt-PT"/>
              </w:rPr>
              <w:t>Accelerator</w:t>
            </w:r>
          </w:p>
        </w:tc>
        <w:tc>
          <w:tcPr>
            <w:tcW w:w="1560" w:type="dxa"/>
            <w:tcBorders>
              <w:top w:val="nil"/>
              <w:left w:val="nil"/>
              <w:bottom w:val="single" w:sz="8" w:space="0" w:color="999999"/>
              <w:right w:val="single" w:sz="8" w:space="0" w:color="999999"/>
            </w:tcBorders>
            <w:shd w:val="clear" w:color="auto" w:fill="auto"/>
            <w:vAlign w:val="center"/>
            <w:hideMark/>
          </w:tcPr>
          <w:p w14:paraId="131E64F5" w14:textId="77777777" w:rsidR="000365C0" w:rsidRPr="00CD2D3E" w:rsidRDefault="000365C0" w:rsidP="00311629">
            <w:pPr>
              <w:spacing w:after="0" w:line="240" w:lineRule="auto"/>
              <w:jc w:val="both"/>
              <w:rPr>
                <w:rFonts w:eastAsia="Times New Roman" w:cstheme="minorHAnsi"/>
                <w:color w:val="000000"/>
                <w:sz w:val="20"/>
                <w:szCs w:val="20"/>
                <w:lang w:eastAsia="pt-PT"/>
              </w:rPr>
            </w:pPr>
            <w:r w:rsidRPr="00CD2D3E">
              <w:rPr>
                <w:rFonts w:eastAsia="Times New Roman" w:cstheme="minorHAnsi"/>
                <w:color w:val="000000"/>
                <w:sz w:val="20"/>
                <w:szCs w:val="20"/>
                <w:lang w:eastAsia="pt-PT"/>
              </w:rPr>
              <w:t>TRAC</w:t>
            </w:r>
          </w:p>
        </w:tc>
        <w:tc>
          <w:tcPr>
            <w:tcW w:w="1620" w:type="dxa"/>
            <w:tcBorders>
              <w:top w:val="nil"/>
              <w:left w:val="nil"/>
              <w:bottom w:val="single" w:sz="8" w:space="0" w:color="999999"/>
              <w:right w:val="nil"/>
            </w:tcBorders>
            <w:shd w:val="clear" w:color="auto" w:fill="auto"/>
            <w:vAlign w:val="center"/>
            <w:hideMark/>
          </w:tcPr>
          <w:p w14:paraId="1013C0A8" w14:textId="77777777" w:rsidR="000365C0" w:rsidRPr="00CD2D3E" w:rsidRDefault="000365C0" w:rsidP="00311629">
            <w:pPr>
              <w:spacing w:after="0" w:line="240" w:lineRule="auto"/>
              <w:jc w:val="right"/>
              <w:rPr>
                <w:rFonts w:eastAsia="Times New Roman" w:cstheme="minorHAnsi"/>
                <w:b/>
                <w:bCs/>
                <w:color w:val="000000"/>
                <w:sz w:val="20"/>
                <w:szCs w:val="20"/>
                <w:lang w:eastAsia="pt-PT"/>
              </w:rPr>
            </w:pPr>
            <w:r w:rsidRPr="00CD2D3E">
              <w:rPr>
                <w:rFonts w:eastAsia="Times New Roman" w:cstheme="minorHAnsi"/>
                <w:b/>
                <w:bCs/>
                <w:color w:val="000000"/>
                <w:sz w:val="20"/>
                <w:szCs w:val="20"/>
                <w:lang w:eastAsia="pt-PT"/>
              </w:rPr>
              <w:t xml:space="preserve">$701 598 </w:t>
            </w:r>
          </w:p>
        </w:tc>
        <w:tc>
          <w:tcPr>
            <w:tcW w:w="2020" w:type="dxa"/>
            <w:tcBorders>
              <w:top w:val="nil"/>
              <w:left w:val="single" w:sz="8" w:space="0" w:color="999999"/>
              <w:bottom w:val="single" w:sz="8" w:space="0" w:color="999999"/>
              <w:right w:val="single" w:sz="8" w:space="0" w:color="auto"/>
            </w:tcBorders>
            <w:shd w:val="clear" w:color="auto" w:fill="auto"/>
            <w:vAlign w:val="center"/>
            <w:hideMark/>
          </w:tcPr>
          <w:p w14:paraId="60D2A29A" w14:textId="77777777" w:rsidR="000365C0" w:rsidRPr="00CD2D3E" w:rsidRDefault="000365C0" w:rsidP="00311629">
            <w:pPr>
              <w:spacing w:after="0" w:line="240" w:lineRule="auto"/>
              <w:jc w:val="right"/>
              <w:rPr>
                <w:rFonts w:eastAsia="Times New Roman" w:cstheme="minorHAnsi"/>
                <w:b/>
                <w:bCs/>
                <w:color w:val="000000"/>
                <w:sz w:val="20"/>
                <w:szCs w:val="20"/>
                <w:lang w:eastAsia="pt-PT"/>
              </w:rPr>
            </w:pPr>
            <w:r w:rsidRPr="00CD2D3E">
              <w:rPr>
                <w:rFonts w:eastAsia="Times New Roman" w:cstheme="minorHAnsi"/>
                <w:b/>
                <w:bCs/>
                <w:color w:val="000000"/>
                <w:sz w:val="20"/>
                <w:szCs w:val="20"/>
                <w:lang w:eastAsia="pt-PT"/>
              </w:rPr>
              <w:t xml:space="preserve">$578 038 </w:t>
            </w:r>
          </w:p>
        </w:tc>
      </w:tr>
      <w:tr w:rsidR="000365C0" w:rsidRPr="00CD2D3E" w14:paraId="349D5944" w14:textId="77777777" w:rsidTr="0049576D">
        <w:trPr>
          <w:trHeight w:val="300"/>
        </w:trPr>
        <w:tc>
          <w:tcPr>
            <w:tcW w:w="3160" w:type="dxa"/>
            <w:tcBorders>
              <w:top w:val="nil"/>
              <w:left w:val="single" w:sz="8" w:space="0" w:color="999999"/>
              <w:bottom w:val="nil"/>
              <w:right w:val="single" w:sz="8" w:space="0" w:color="999999"/>
            </w:tcBorders>
            <w:shd w:val="clear" w:color="auto" w:fill="auto"/>
            <w:vAlign w:val="center"/>
            <w:hideMark/>
          </w:tcPr>
          <w:p w14:paraId="366621E2" w14:textId="77777777" w:rsidR="000365C0" w:rsidRPr="00CD2D3E" w:rsidRDefault="000365C0" w:rsidP="00311629">
            <w:pPr>
              <w:spacing w:after="0" w:line="240" w:lineRule="auto"/>
              <w:jc w:val="both"/>
              <w:rPr>
                <w:rFonts w:eastAsia="Times New Roman" w:cstheme="minorHAnsi"/>
                <w:b/>
                <w:bCs/>
                <w:color w:val="000000"/>
                <w:sz w:val="20"/>
                <w:szCs w:val="20"/>
                <w:lang w:eastAsia="pt-PT"/>
              </w:rPr>
            </w:pPr>
            <w:r w:rsidRPr="00CD2D3E">
              <w:rPr>
                <w:rFonts w:eastAsia="Times New Roman" w:cstheme="minorHAnsi"/>
                <w:b/>
                <w:bCs/>
                <w:color w:val="000000"/>
                <w:sz w:val="20"/>
                <w:szCs w:val="20"/>
                <w:lang w:eastAsia="pt-PT"/>
              </w:rPr>
              <w:t>Accelerator (Various donors)</w:t>
            </w:r>
          </w:p>
        </w:tc>
        <w:tc>
          <w:tcPr>
            <w:tcW w:w="1560" w:type="dxa"/>
            <w:tcBorders>
              <w:top w:val="nil"/>
              <w:left w:val="nil"/>
              <w:bottom w:val="nil"/>
              <w:right w:val="single" w:sz="8" w:space="0" w:color="999999"/>
            </w:tcBorders>
            <w:shd w:val="clear" w:color="auto" w:fill="auto"/>
            <w:vAlign w:val="center"/>
            <w:hideMark/>
          </w:tcPr>
          <w:p w14:paraId="072EB3D2" w14:textId="77777777" w:rsidR="000365C0" w:rsidRPr="00CD2D3E" w:rsidRDefault="000365C0" w:rsidP="00311629">
            <w:pPr>
              <w:spacing w:after="0" w:line="240" w:lineRule="auto"/>
              <w:jc w:val="both"/>
              <w:rPr>
                <w:rFonts w:eastAsia="Times New Roman" w:cstheme="minorHAnsi"/>
                <w:color w:val="000000"/>
                <w:sz w:val="20"/>
                <w:szCs w:val="20"/>
                <w:lang w:eastAsia="pt-PT"/>
              </w:rPr>
            </w:pPr>
            <w:r w:rsidRPr="00CD2D3E">
              <w:rPr>
                <w:rFonts w:eastAsia="Times New Roman" w:cstheme="minorHAnsi"/>
                <w:color w:val="000000"/>
                <w:sz w:val="20"/>
                <w:szCs w:val="20"/>
                <w:lang w:eastAsia="pt-PT"/>
              </w:rPr>
              <w:t> </w:t>
            </w:r>
          </w:p>
        </w:tc>
        <w:tc>
          <w:tcPr>
            <w:tcW w:w="1620" w:type="dxa"/>
            <w:tcBorders>
              <w:top w:val="nil"/>
              <w:left w:val="nil"/>
              <w:bottom w:val="single" w:sz="8" w:space="0" w:color="999999"/>
              <w:right w:val="nil"/>
            </w:tcBorders>
            <w:shd w:val="clear" w:color="auto" w:fill="auto"/>
            <w:vAlign w:val="center"/>
            <w:hideMark/>
          </w:tcPr>
          <w:p w14:paraId="25B5352A" w14:textId="77777777" w:rsidR="000365C0" w:rsidRPr="00CD2D3E" w:rsidRDefault="000365C0" w:rsidP="00311629">
            <w:pPr>
              <w:spacing w:after="0" w:line="240" w:lineRule="auto"/>
              <w:jc w:val="right"/>
              <w:rPr>
                <w:rFonts w:eastAsia="Times New Roman" w:cstheme="minorHAnsi"/>
                <w:b/>
                <w:bCs/>
                <w:color w:val="000000"/>
                <w:sz w:val="20"/>
                <w:szCs w:val="20"/>
                <w:lang w:eastAsia="pt-PT"/>
              </w:rPr>
            </w:pPr>
            <w:r w:rsidRPr="00CD2D3E">
              <w:rPr>
                <w:rFonts w:eastAsia="Times New Roman" w:cstheme="minorHAnsi"/>
                <w:b/>
                <w:bCs/>
                <w:color w:val="000000"/>
                <w:sz w:val="20"/>
                <w:szCs w:val="20"/>
                <w:lang w:eastAsia="pt-PT"/>
              </w:rPr>
              <w:t xml:space="preserve">$265 885 </w:t>
            </w:r>
          </w:p>
        </w:tc>
        <w:tc>
          <w:tcPr>
            <w:tcW w:w="2020" w:type="dxa"/>
            <w:tcBorders>
              <w:top w:val="nil"/>
              <w:left w:val="single" w:sz="8" w:space="0" w:color="999999"/>
              <w:bottom w:val="single" w:sz="8" w:space="0" w:color="999999"/>
              <w:right w:val="single" w:sz="8" w:space="0" w:color="auto"/>
            </w:tcBorders>
            <w:shd w:val="clear" w:color="auto" w:fill="auto"/>
            <w:vAlign w:val="center"/>
            <w:hideMark/>
          </w:tcPr>
          <w:p w14:paraId="33C556BD" w14:textId="77777777" w:rsidR="000365C0" w:rsidRPr="00CD2D3E" w:rsidRDefault="000365C0" w:rsidP="00311629">
            <w:pPr>
              <w:spacing w:after="0" w:line="240" w:lineRule="auto"/>
              <w:jc w:val="right"/>
              <w:rPr>
                <w:rFonts w:eastAsia="Times New Roman" w:cstheme="minorHAnsi"/>
                <w:b/>
                <w:bCs/>
                <w:color w:val="000000"/>
                <w:sz w:val="20"/>
                <w:szCs w:val="20"/>
                <w:lang w:eastAsia="pt-PT"/>
              </w:rPr>
            </w:pPr>
            <w:r w:rsidRPr="00CD2D3E">
              <w:rPr>
                <w:rFonts w:eastAsia="Times New Roman" w:cstheme="minorHAnsi"/>
                <w:b/>
                <w:bCs/>
                <w:color w:val="000000"/>
                <w:sz w:val="20"/>
                <w:szCs w:val="20"/>
                <w:lang w:eastAsia="pt-PT"/>
              </w:rPr>
              <w:t xml:space="preserve">$43 662 </w:t>
            </w:r>
          </w:p>
        </w:tc>
      </w:tr>
      <w:tr w:rsidR="000365C0" w:rsidRPr="00CD2D3E" w14:paraId="046D7107" w14:textId="77777777" w:rsidTr="0049576D">
        <w:trPr>
          <w:trHeight w:val="310"/>
        </w:trPr>
        <w:tc>
          <w:tcPr>
            <w:tcW w:w="3160" w:type="dxa"/>
            <w:tcBorders>
              <w:top w:val="single" w:sz="12" w:space="0" w:color="999999"/>
              <w:left w:val="single" w:sz="8" w:space="0" w:color="999999"/>
              <w:bottom w:val="single" w:sz="8" w:space="0" w:color="999999"/>
              <w:right w:val="single" w:sz="8" w:space="0" w:color="999999"/>
            </w:tcBorders>
            <w:shd w:val="clear" w:color="auto" w:fill="auto"/>
            <w:vAlign w:val="center"/>
            <w:hideMark/>
          </w:tcPr>
          <w:p w14:paraId="13765FEB" w14:textId="77777777" w:rsidR="000365C0" w:rsidRPr="00CD2D3E" w:rsidRDefault="000365C0" w:rsidP="00311629">
            <w:pPr>
              <w:spacing w:after="0" w:line="240" w:lineRule="auto"/>
              <w:jc w:val="both"/>
              <w:rPr>
                <w:rFonts w:eastAsia="Times New Roman" w:cstheme="minorHAnsi"/>
                <w:b/>
                <w:bCs/>
                <w:color w:val="000000"/>
                <w:sz w:val="20"/>
                <w:szCs w:val="20"/>
                <w:lang w:eastAsia="pt-PT"/>
              </w:rPr>
            </w:pPr>
            <w:r w:rsidRPr="00CD2D3E">
              <w:rPr>
                <w:rFonts w:eastAsia="Times New Roman" w:cstheme="minorHAnsi"/>
                <w:b/>
                <w:bCs/>
                <w:color w:val="000000"/>
                <w:sz w:val="20"/>
                <w:szCs w:val="20"/>
                <w:lang w:eastAsia="pt-PT"/>
              </w:rPr>
              <w:t>Total</w:t>
            </w:r>
          </w:p>
        </w:tc>
        <w:tc>
          <w:tcPr>
            <w:tcW w:w="1560" w:type="dxa"/>
            <w:tcBorders>
              <w:top w:val="single" w:sz="12" w:space="0" w:color="999999"/>
              <w:left w:val="nil"/>
              <w:bottom w:val="single" w:sz="8" w:space="0" w:color="999999"/>
              <w:right w:val="single" w:sz="8" w:space="0" w:color="999999"/>
            </w:tcBorders>
            <w:shd w:val="clear" w:color="auto" w:fill="auto"/>
            <w:vAlign w:val="center"/>
            <w:hideMark/>
          </w:tcPr>
          <w:p w14:paraId="3F4A8886" w14:textId="77777777" w:rsidR="000365C0" w:rsidRPr="00CD2D3E" w:rsidRDefault="000365C0" w:rsidP="00311629">
            <w:pPr>
              <w:spacing w:after="0" w:line="240" w:lineRule="auto"/>
              <w:jc w:val="both"/>
              <w:rPr>
                <w:rFonts w:eastAsia="Times New Roman" w:cstheme="minorHAnsi"/>
                <w:color w:val="000000"/>
                <w:sz w:val="20"/>
                <w:szCs w:val="20"/>
                <w:lang w:eastAsia="pt-PT"/>
              </w:rPr>
            </w:pPr>
            <w:r w:rsidRPr="00CD2D3E">
              <w:rPr>
                <w:rFonts w:eastAsia="Times New Roman" w:cstheme="minorHAnsi"/>
                <w:color w:val="000000"/>
                <w:sz w:val="20"/>
                <w:szCs w:val="20"/>
                <w:lang w:eastAsia="pt-PT"/>
              </w:rPr>
              <w:t>23</w:t>
            </w:r>
          </w:p>
        </w:tc>
        <w:tc>
          <w:tcPr>
            <w:tcW w:w="1620" w:type="dxa"/>
            <w:tcBorders>
              <w:top w:val="single" w:sz="12" w:space="0" w:color="999999"/>
              <w:left w:val="nil"/>
              <w:bottom w:val="single" w:sz="8" w:space="0" w:color="999999"/>
              <w:right w:val="single" w:sz="8" w:space="0" w:color="999999"/>
            </w:tcBorders>
            <w:shd w:val="clear" w:color="auto" w:fill="auto"/>
            <w:vAlign w:val="center"/>
            <w:hideMark/>
          </w:tcPr>
          <w:p w14:paraId="29644177" w14:textId="77777777" w:rsidR="000365C0" w:rsidRPr="00CD2D3E" w:rsidRDefault="000365C0" w:rsidP="00311629">
            <w:pPr>
              <w:spacing w:after="0" w:line="240" w:lineRule="auto"/>
              <w:jc w:val="right"/>
              <w:rPr>
                <w:rFonts w:eastAsia="Times New Roman" w:cstheme="minorHAnsi"/>
                <w:b/>
                <w:bCs/>
                <w:color w:val="000000"/>
                <w:sz w:val="20"/>
                <w:szCs w:val="20"/>
                <w:lang w:eastAsia="pt-PT"/>
              </w:rPr>
            </w:pPr>
            <w:r w:rsidRPr="00CD2D3E">
              <w:rPr>
                <w:rFonts w:eastAsia="Times New Roman" w:cstheme="minorHAnsi"/>
                <w:b/>
                <w:bCs/>
                <w:color w:val="000000"/>
                <w:sz w:val="20"/>
                <w:szCs w:val="20"/>
                <w:lang w:eastAsia="pt-PT"/>
              </w:rPr>
              <w:t>$64 811 063,02</w:t>
            </w:r>
          </w:p>
        </w:tc>
        <w:tc>
          <w:tcPr>
            <w:tcW w:w="2020" w:type="dxa"/>
            <w:tcBorders>
              <w:top w:val="single" w:sz="12" w:space="0" w:color="999999"/>
              <w:left w:val="nil"/>
              <w:bottom w:val="single" w:sz="8" w:space="0" w:color="999999"/>
              <w:right w:val="single" w:sz="8" w:space="0" w:color="auto"/>
            </w:tcBorders>
            <w:shd w:val="clear" w:color="auto" w:fill="auto"/>
            <w:vAlign w:val="center"/>
            <w:hideMark/>
          </w:tcPr>
          <w:p w14:paraId="06304255" w14:textId="77777777" w:rsidR="000365C0" w:rsidRPr="00CD2D3E" w:rsidRDefault="000365C0" w:rsidP="00311629">
            <w:pPr>
              <w:spacing w:after="0" w:line="240" w:lineRule="auto"/>
              <w:jc w:val="right"/>
              <w:rPr>
                <w:rFonts w:eastAsia="Times New Roman" w:cstheme="minorHAnsi"/>
                <w:b/>
                <w:bCs/>
                <w:color w:val="000000"/>
                <w:sz w:val="20"/>
                <w:szCs w:val="20"/>
                <w:lang w:eastAsia="pt-PT"/>
              </w:rPr>
            </w:pPr>
            <w:r w:rsidRPr="00CD2D3E">
              <w:rPr>
                <w:rFonts w:eastAsia="Times New Roman" w:cstheme="minorHAnsi"/>
                <w:b/>
                <w:bCs/>
                <w:color w:val="000000"/>
                <w:sz w:val="20"/>
                <w:szCs w:val="20"/>
                <w:lang w:eastAsia="pt-PT"/>
              </w:rPr>
              <w:t>$24 673 398,80</w:t>
            </w:r>
          </w:p>
        </w:tc>
      </w:tr>
      <w:tr w:rsidR="0049576D" w:rsidRPr="00CD2D3E" w14:paraId="6DF68015" w14:textId="77777777" w:rsidTr="0049576D">
        <w:trPr>
          <w:trHeight w:val="310"/>
        </w:trPr>
        <w:tc>
          <w:tcPr>
            <w:tcW w:w="3160" w:type="dxa"/>
            <w:tcBorders>
              <w:top w:val="single" w:sz="12" w:space="0" w:color="999999"/>
              <w:left w:val="single" w:sz="8" w:space="0" w:color="999999"/>
              <w:bottom w:val="single" w:sz="8" w:space="0" w:color="999999"/>
              <w:right w:val="single" w:sz="8" w:space="0" w:color="999999"/>
            </w:tcBorders>
            <w:shd w:val="clear" w:color="auto" w:fill="auto"/>
            <w:vAlign w:val="center"/>
          </w:tcPr>
          <w:p w14:paraId="731C9CAE" w14:textId="77777777" w:rsidR="0049576D" w:rsidRPr="00CD2D3E" w:rsidRDefault="0049576D" w:rsidP="00311629">
            <w:pPr>
              <w:spacing w:after="0" w:line="240" w:lineRule="auto"/>
              <w:jc w:val="both"/>
              <w:rPr>
                <w:rFonts w:eastAsia="Times New Roman" w:cstheme="minorHAnsi"/>
                <w:b/>
                <w:bCs/>
                <w:color w:val="000000"/>
                <w:sz w:val="20"/>
                <w:szCs w:val="20"/>
                <w:lang w:eastAsia="pt-PT"/>
              </w:rPr>
            </w:pPr>
          </w:p>
        </w:tc>
        <w:tc>
          <w:tcPr>
            <w:tcW w:w="1560" w:type="dxa"/>
            <w:tcBorders>
              <w:top w:val="single" w:sz="12" w:space="0" w:color="999999"/>
              <w:left w:val="nil"/>
              <w:bottom w:val="single" w:sz="8" w:space="0" w:color="999999"/>
              <w:right w:val="single" w:sz="8" w:space="0" w:color="999999"/>
            </w:tcBorders>
            <w:shd w:val="clear" w:color="auto" w:fill="auto"/>
            <w:vAlign w:val="center"/>
          </w:tcPr>
          <w:p w14:paraId="2BB3BAD8" w14:textId="77777777" w:rsidR="0049576D" w:rsidRPr="00CD2D3E" w:rsidRDefault="0049576D" w:rsidP="00311629">
            <w:pPr>
              <w:spacing w:after="0" w:line="240" w:lineRule="auto"/>
              <w:jc w:val="both"/>
              <w:rPr>
                <w:rFonts w:eastAsia="Times New Roman" w:cstheme="minorHAnsi"/>
                <w:color w:val="000000"/>
                <w:sz w:val="20"/>
                <w:szCs w:val="20"/>
                <w:lang w:eastAsia="pt-PT"/>
              </w:rPr>
            </w:pPr>
          </w:p>
        </w:tc>
        <w:tc>
          <w:tcPr>
            <w:tcW w:w="1620" w:type="dxa"/>
            <w:tcBorders>
              <w:top w:val="single" w:sz="12" w:space="0" w:color="999999"/>
              <w:left w:val="nil"/>
              <w:bottom w:val="single" w:sz="8" w:space="0" w:color="999999"/>
              <w:right w:val="single" w:sz="8" w:space="0" w:color="999999"/>
            </w:tcBorders>
            <w:shd w:val="clear" w:color="auto" w:fill="auto"/>
            <w:vAlign w:val="center"/>
          </w:tcPr>
          <w:p w14:paraId="2913BF38" w14:textId="77777777" w:rsidR="0049576D" w:rsidRPr="00CD2D3E" w:rsidRDefault="0049576D" w:rsidP="00311629">
            <w:pPr>
              <w:spacing w:after="0" w:line="240" w:lineRule="auto"/>
              <w:jc w:val="right"/>
              <w:rPr>
                <w:rFonts w:eastAsia="Times New Roman" w:cstheme="minorHAnsi"/>
                <w:b/>
                <w:bCs/>
                <w:color w:val="000000"/>
                <w:sz w:val="20"/>
                <w:szCs w:val="20"/>
                <w:lang w:eastAsia="pt-PT"/>
              </w:rPr>
            </w:pPr>
          </w:p>
        </w:tc>
        <w:tc>
          <w:tcPr>
            <w:tcW w:w="2020" w:type="dxa"/>
            <w:tcBorders>
              <w:top w:val="single" w:sz="12" w:space="0" w:color="999999"/>
              <w:left w:val="nil"/>
              <w:bottom w:val="single" w:sz="8" w:space="0" w:color="999999"/>
              <w:right w:val="single" w:sz="8" w:space="0" w:color="auto"/>
            </w:tcBorders>
            <w:shd w:val="clear" w:color="auto" w:fill="auto"/>
            <w:vAlign w:val="center"/>
          </w:tcPr>
          <w:p w14:paraId="759B9D82" w14:textId="77777777" w:rsidR="0049576D" w:rsidRPr="00CD2D3E" w:rsidRDefault="0049576D" w:rsidP="00311629">
            <w:pPr>
              <w:spacing w:after="0" w:line="240" w:lineRule="auto"/>
              <w:jc w:val="right"/>
              <w:rPr>
                <w:rFonts w:eastAsia="Times New Roman" w:cstheme="minorHAnsi"/>
                <w:b/>
                <w:bCs/>
                <w:color w:val="000000"/>
                <w:sz w:val="20"/>
                <w:szCs w:val="20"/>
                <w:lang w:eastAsia="pt-PT"/>
              </w:rPr>
            </w:pPr>
          </w:p>
        </w:tc>
      </w:tr>
    </w:tbl>
    <w:p w14:paraId="01D4D4C5" w14:textId="77777777" w:rsidR="0049576D" w:rsidRDefault="0049576D" w:rsidP="00550C2D">
      <w:pPr>
        <w:jc w:val="both"/>
      </w:pPr>
    </w:p>
    <w:p w14:paraId="18F7832C" w14:textId="1A427024" w:rsidR="00550C2D" w:rsidRDefault="00550C2D" w:rsidP="00550C2D">
      <w:pPr>
        <w:jc w:val="both"/>
      </w:pPr>
      <w:r>
        <w:t>From data above the following observations can be made on the UNDP portfolio:</w:t>
      </w:r>
    </w:p>
    <w:p w14:paraId="61527A68" w14:textId="2080AF00" w:rsidR="00550C2D" w:rsidRDefault="00550C2D" w:rsidP="001C3CEC">
      <w:pPr>
        <w:pStyle w:val="ListParagraph"/>
        <w:numPr>
          <w:ilvl w:val="0"/>
          <w:numId w:val="4"/>
        </w:numPr>
        <w:jc w:val="both"/>
      </w:pPr>
      <w:r>
        <w:t xml:space="preserve">The total value of the UNDP portfolio </w:t>
      </w:r>
      <w:r w:rsidR="002F30F5">
        <w:t xml:space="preserve">for the period 2020 and 2021 </w:t>
      </w:r>
      <w:r>
        <w:t xml:space="preserve">is USD </w:t>
      </w:r>
      <w:r w:rsidR="007D16EB">
        <w:t>64.8</w:t>
      </w:r>
      <w:r>
        <w:t xml:space="preserve"> million. </w:t>
      </w:r>
      <w:r w:rsidR="002F30F5">
        <w:t>T</w:t>
      </w:r>
      <w:r>
        <w:t xml:space="preserve">he portfolio is however very skewed: while only 3% and </w:t>
      </w:r>
      <w:r w:rsidR="007D16EB">
        <w:t>6</w:t>
      </w:r>
      <w:r>
        <w:t>% of the total budget is devoted to poverty and Governance respectively, 2</w:t>
      </w:r>
      <w:r w:rsidR="007D16EB">
        <w:t>1</w:t>
      </w:r>
      <w:r>
        <w:t>% is devoted to environment and 6</w:t>
      </w:r>
      <w:r w:rsidR="007D16EB">
        <w:t>8</w:t>
      </w:r>
      <w:r>
        <w:t>% to Global Fund activities. A preliminary conclusion is that, while not deliberate on the part of the UNDP CO, there appears to be a mis-match between national priorities and funding allocation under the CPD - the portfolio is evidently dictated by available funding rather than by a deliberate choice on the part of the CO.</w:t>
      </w:r>
    </w:p>
    <w:p w14:paraId="342EE36A" w14:textId="754A92A0" w:rsidR="00550C2D" w:rsidRDefault="00550C2D" w:rsidP="001C3CEC">
      <w:pPr>
        <w:pStyle w:val="ListParagraph"/>
        <w:numPr>
          <w:ilvl w:val="0"/>
          <w:numId w:val="4"/>
        </w:numPr>
        <w:jc w:val="both"/>
      </w:pPr>
      <w:r>
        <w:t>By far the largest source of funding is from the Global Fund (6</w:t>
      </w:r>
      <w:r w:rsidR="007D16EB">
        <w:t>8</w:t>
      </w:r>
      <w:r>
        <w:t>%) followed by GEF (2</w:t>
      </w:r>
      <w:r w:rsidR="007D16EB">
        <w:t>1</w:t>
      </w:r>
      <w:r>
        <w:t>%). Together these two sources account for approximately 90 % of the country office portfolio.  While positive, in the sense that the CO has clearly built the confidence and trust needed to secure such significant resources from these two sources, and for which the UNDP CO should be commended, at the same time this over-reliance on these two sources may pose certain risks in the future.</w:t>
      </w:r>
    </w:p>
    <w:p w14:paraId="4E011CEC" w14:textId="6CC36BE1" w:rsidR="007D16EB" w:rsidRDefault="00550C2D" w:rsidP="001C3CEC">
      <w:pPr>
        <w:pStyle w:val="ListParagraph"/>
        <w:numPr>
          <w:ilvl w:val="0"/>
          <w:numId w:val="4"/>
        </w:numPr>
        <w:jc w:val="both"/>
      </w:pPr>
      <w:r>
        <w:t>Core funding amounting to $</w:t>
      </w:r>
      <w:r w:rsidR="007D16EB">
        <w:t>4.5</w:t>
      </w:r>
      <w:r>
        <w:t xml:space="preserve"> million accounts for only </w:t>
      </w:r>
      <w:r w:rsidR="007D16EB">
        <w:t>7</w:t>
      </w:r>
      <w:r>
        <w:t xml:space="preserve">% of the portfolio. This shows that </w:t>
      </w:r>
      <w:r w:rsidR="007D16EB">
        <w:t xml:space="preserve">while core funding is relatively low in the portfolio, </w:t>
      </w:r>
      <w:r>
        <w:t xml:space="preserve">the CO office has been fairly successful in </w:t>
      </w:r>
      <w:r w:rsidR="007D16EB">
        <w:t xml:space="preserve">using this as seed resources to </w:t>
      </w:r>
      <w:r>
        <w:t>mobiliz</w:t>
      </w:r>
      <w:r w:rsidR="007D16EB">
        <w:t>e significant additional</w:t>
      </w:r>
      <w:r>
        <w:t xml:space="preserve"> </w:t>
      </w:r>
      <w:r w:rsidR="007D16EB">
        <w:t>funding</w:t>
      </w:r>
      <w:r>
        <w:t xml:space="preserve"> and </w:t>
      </w:r>
      <w:r w:rsidR="007D16EB">
        <w:t>drawing upon its</w:t>
      </w:r>
      <w:r>
        <w:t xml:space="preserve"> comparative advantages</w:t>
      </w:r>
      <w:r w:rsidR="00D96CDB">
        <w:t>.</w:t>
      </w:r>
    </w:p>
    <w:p w14:paraId="05D7281D" w14:textId="253C19F1" w:rsidR="00550C2D" w:rsidRDefault="00FB36E7" w:rsidP="001C3CEC">
      <w:pPr>
        <w:pStyle w:val="ListParagraph"/>
        <w:numPr>
          <w:ilvl w:val="0"/>
          <w:numId w:val="4"/>
        </w:numPr>
        <w:jc w:val="both"/>
      </w:pPr>
      <w:r>
        <w:t>Many</w:t>
      </w:r>
      <w:r w:rsidR="00D96CDB">
        <w:t xml:space="preserve"> donors are contributing to UNDP programme resources. Apart from Global Fund and GEF, the EU is an important bilateral partner, while Norway and Germany are significant donors. </w:t>
      </w:r>
      <w:r>
        <w:t>It is also</w:t>
      </w:r>
      <w:r w:rsidR="00550C2D">
        <w:t xml:space="preserve"> important </w:t>
      </w:r>
      <w:r>
        <w:t>to note</w:t>
      </w:r>
      <w:r w:rsidR="00550C2D">
        <w:t xml:space="preserve"> that the CO has also been successful in mobilizing resources from the Government of Angola</w:t>
      </w:r>
      <w:r w:rsidR="00D96CDB">
        <w:t>, albeit on a limited basis so far</w:t>
      </w:r>
      <w:r w:rsidR="00550C2D">
        <w:t xml:space="preserve">. </w:t>
      </w:r>
      <w:r w:rsidR="00D96CDB">
        <w:t>The rest are small scale contributors who UNDP should continue to partner with in the efforts to both broaden and deepen the funding base</w:t>
      </w:r>
      <w:r w:rsidR="00550C2D">
        <w:t>.</w:t>
      </w:r>
    </w:p>
    <w:p w14:paraId="2A2A8268" w14:textId="1BCF55C9" w:rsidR="00550C2D" w:rsidRDefault="00550C2D" w:rsidP="001C3CEC">
      <w:pPr>
        <w:pStyle w:val="ListParagraph"/>
        <w:numPr>
          <w:ilvl w:val="0"/>
          <w:numId w:val="4"/>
        </w:numPr>
        <w:jc w:val="both"/>
      </w:pPr>
      <w:r>
        <w:t xml:space="preserve">UNDP commits </w:t>
      </w:r>
      <w:r w:rsidR="00140DBB">
        <w:t xml:space="preserve">under the CPD </w:t>
      </w:r>
      <w:r>
        <w:t>to allocate 5% of its core budget to innovation (e.g., Accelerator Lab). Current allocation of $0.5 million constitutes 1</w:t>
      </w:r>
      <w:r w:rsidR="00831446">
        <w:t>1</w:t>
      </w:r>
      <w:r>
        <w:t>% of the core budget of $</w:t>
      </w:r>
      <w:r w:rsidR="00831446">
        <w:t>4</w:t>
      </w:r>
      <w:r>
        <w:t>.</w:t>
      </w:r>
      <w:r w:rsidR="00831446">
        <w:t>5</w:t>
      </w:r>
      <w:r>
        <w:t xml:space="preserve"> million, which </w:t>
      </w:r>
      <w:r w:rsidR="00831446">
        <w:t xml:space="preserve">is two-fold </w:t>
      </w:r>
      <w:r>
        <w:t>the commitment made in the CPD.</w:t>
      </w:r>
    </w:p>
    <w:p w14:paraId="3BD98727" w14:textId="628DE212" w:rsidR="00550C2D" w:rsidRDefault="00550C2D" w:rsidP="001C3CEC">
      <w:pPr>
        <w:pStyle w:val="ListParagraph"/>
        <w:numPr>
          <w:ilvl w:val="0"/>
          <w:numId w:val="4"/>
        </w:numPr>
        <w:jc w:val="both"/>
      </w:pPr>
      <w:r>
        <w:t xml:space="preserve">Finally, there are a number of projects under $ 1million, the management of which entails high administrative costs. This calls for greater efforts to consolidate resources under fewer and larger sized projects – portfolio consolidation. </w:t>
      </w:r>
    </w:p>
    <w:p w14:paraId="7826B210" w14:textId="51BB63B5" w:rsidR="0049576D" w:rsidRDefault="0049576D" w:rsidP="0049576D">
      <w:pPr>
        <w:jc w:val="both"/>
        <w:rPr>
          <w:b/>
          <w:bCs/>
          <w:i/>
          <w:iCs/>
        </w:rPr>
      </w:pPr>
      <w:r>
        <w:t>The UNDP Country Office has successfully mobilized funds from 1</w:t>
      </w:r>
      <w:r w:rsidR="00FB36E7">
        <w:t>6</w:t>
      </w:r>
      <w:r>
        <w:t xml:space="preserve"> donors to support the Country Programme – see Table 3 below. </w:t>
      </w:r>
      <w:r w:rsidRPr="0049576D">
        <w:rPr>
          <w:b/>
          <w:bCs/>
          <w:i/>
          <w:iCs/>
        </w:rPr>
        <w:t>Overall</w:t>
      </w:r>
      <w:r>
        <w:rPr>
          <w:b/>
          <w:bCs/>
          <w:i/>
          <w:iCs/>
        </w:rPr>
        <w:t>,</w:t>
      </w:r>
      <w:r w:rsidRPr="0049576D">
        <w:rPr>
          <w:b/>
          <w:bCs/>
          <w:i/>
          <w:iCs/>
        </w:rPr>
        <w:t xml:space="preserve"> for every dollar of the core funds, UNDP has leveraged an additional 14 dollars</w:t>
      </w:r>
      <w:r>
        <w:rPr>
          <w:b/>
          <w:bCs/>
          <w:i/>
          <w:iCs/>
        </w:rPr>
        <w:t>.</w:t>
      </w:r>
    </w:p>
    <w:p w14:paraId="1CECFD7C" w14:textId="4AC532A5" w:rsidR="00770CA5" w:rsidRDefault="00770CA5" w:rsidP="0049576D">
      <w:pPr>
        <w:jc w:val="both"/>
        <w:rPr>
          <w:b/>
          <w:bCs/>
          <w:i/>
          <w:iCs/>
        </w:rPr>
      </w:pPr>
    </w:p>
    <w:p w14:paraId="0A34D16A" w14:textId="77777777" w:rsidR="00770CA5" w:rsidRDefault="00770CA5" w:rsidP="0049576D">
      <w:pPr>
        <w:jc w:val="both"/>
        <w:rPr>
          <w:b/>
          <w:bCs/>
          <w:i/>
          <w:iCs/>
        </w:rPr>
      </w:pPr>
    </w:p>
    <w:tbl>
      <w:tblPr>
        <w:tblW w:w="8360" w:type="dxa"/>
        <w:tblInd w:w="20" w:type="dxa"/>
        <w:tblCellMar>
          <w:left w:w="70" w:type="dxa"/>
          <w:right w:w="70" w:type="dxa"/>
        </w:tblCellMar>
        <w:tblLook w:val="04A0" w:firstRow="1" w:lastRow="0" w:firstColumn="1" w:lastColumn="0" w:noHBand="0" w:noVBand="1"/>
      </w:tblPr>
      <w:tblGrid>
        <w:gridCol w:w="2210"/>
        <w:gridCol w:w="1877"/>
        <w:gridCol w:w="2448"/>
        <w:gridCol w:w="1825"/>
      </w:tblGrid>
      <w:tr w:rsidR="0049576D" w14:paraId="2AA53E6E" w14:textId="77777777" w:rsidTr="0004735A">
        <w:trPr>
          <w:trHeight w:val="300"/>
        </w:trPr>
        <w:tc>
          <w:tcPr>
            <w:tcW w:w="5820" w:type="dxa"/>
            <w:gridSpan w:val="3"/>
            <w:noWrap/>
            <w:vAlign w:val="bottom"/>
            <w:hideMark/>
          </w:tcPr>
          <w:p w14:paraId="5CF34C2D" w14:textId="77777777" w:rsidR="0049576D" w:rsidRPr="00161DF4" w:rsidRDefault="0049576D" w:rsidP="0004735A">
            <w:pPr>
              <w:spacing w:after="0" w:line="240" w:lineRule="auto"/>
              <w:rPr>
                <w:rFonts w:ascii="Calibri" w:eastAsia="Times New Roman" w:hAnsi="Calibri" w:cs="Calibri"/>
                <w:b/>
                <w:bCs/>
                <w:lang w:eastAsia="pt-PT"/>
              </w:rPr>
            </w:pPr>
            <w:r w:rsidRPr="00161DF4">
              <w:rPr>
                <w:rFonts w:ascii="Calibri" w:eastAsia="Times New Roman" w:hAnsi="Calibri" w:cs="Calibri"/>
                <w:b/>
                <w:bCs/>
                <w:lang w:eastAsia="pt-PT"/>
              </w:rPr>
              <w:lastRenderedPageBreak/>
              <w:t>Table 3: 2020 Budget and Expenditures by Donors</w:t>
            </w:r>
          </w:p>
        </w:tc>
        <w:tc>
          <w:tcPr>
            <w:tcW w:w="1625" w:type="dxa"/>
            <w:noWrap/>
            <w:vAlign w:val="bottom"/>
            <w:hideMark/>
          </w:tcPr>
          <w:p w14:paraId="7CBE468B" w14:textId="77777777" w:rsidR="0049576D" w:rsidRDefault="0049576D" w:rsidP="0004735A">
            <w:pPr>
              <w:rPr>
                <w:rFonts w:ascii="Calibri" w:eastAsia="Times New Roman" w:hAnsi="Calibri" w:cs="Calibri"/>
                <w:color w:val="5B9BD5"/>
                <w:lang w:eastAsia="pt-PT"/>
              </w:rPr>
            </w:pPr>
          </w:p>
        </w:tc>
      </w:tr>
      <w:tr w:rsidR="0049576D" w14:paraId="6C7CF1CA" w14:textId="77777777" w:rsidTr="0004735A">
        <w:trPr>
          <w:trHeight w:val="300"/>
        </w:trPr>
        <w:tc>
          <w:tcPr>
            <w:tcW w:w="1968" w:type="dxa"/>
            <w:tcBorders>
              <w:top w:val="single" w:sz="8" w:space="0" w:color="auto"/>
              <w:left w:val="single" w:sz="8" w:space="0" w:color="auto"/>
              <w:bottom w:val="single" w:sz="12" w:space="0" w:color="auto"/>
              <w:right w:val="single" w:sz="8" w:space="0" w:color="auto"/>
            </w:tcBorders>
            <w:noWrap/>
            <w:vAlign w:val="bottom"/>
            <w:hideMark/>
          </w:tcPr>
          <w:p w14:paraId="2058C639" w14:textId="77777777" w:rsidR="0049576D" w:rsidRDefault="0049576D" w:rsidP="0004735A">
            <w:pPr>
              <w:spacing w:after="0" w:line="240" w:lineRule="auto"/>
              <w:rPr>
                <w:rFonts w:ascii="Calibri" w:eastAsia="Times New Roman" w:hAnsi="Calibri" w:cs="Calibri"/>
                <w:color w:val="000000"/>
                <w:lang w:val="pt-PT" w:eastAsia="pt-PT"/>
              </w:rPr>
            </w:pPr>
            <w:r>
              <w:rPr>
                <w:rFonts w:ascii="Calibri" w:eastAsia="Times New Roman" w:hAnsi="Calibri" w:cs="Calibri"/>
                <w:color w:val="000000"/>
                <w:lang w:eastAsia="pt-PT"/>
              </w:rPr>
              <w:t> </w:t>
            </w:r>
          </w:p>
        </w:tc>
        <w:tc>
          <w:tcPr>
            <w:tcW w:w="1672" w:type="dxa"/>
            <w:tcBorders>
              <w:top w:val="single" w:sz="8" w:space="0" w:color="auto"/>
              <w:left w:val="nil"/>
              <w:bottom w:val="single" w:sz="12" w:space="0" w:color="auto"/>
              <w:right w:val="single" w:sz="8" w:space="0" w:color="auto"/>
            </w:tcBorders>
            <w:noWrap/>
            <w:vAlign w:val="bottom"/>
            <w:hideMark/>
          </w:tcPr>
          <w:p w14:paraId="08B93E65" w14:textId="79DC55CD" w:rsidR="0049576D" w:rsidRDefault="0049576D" w:rsidP="0004735A">
            <w:pPr>
              <w:spacing w:after="0" w:line="240" w:lineRule="auto"/>
              <w:rPr>
                <w:rFonts w:ascii="Calibri" w:eastAsia="Times New Roman" w:hAnsi="Calibri" w:cs="Calibri"/>
                <w:b/>
                <w:bCs/>
                <w:color w:val="000000"/>
                <w:lang w:eastAsia="pt-PT"/>
              </w:rPr>
            </w:pPr>
            <w:r>
              <w:rPr>
                <w:rFonts w:ascii="Calibri" w:eastAsia="Times New Roman" w:hAnsi="Calibri" w:cs="Calibri"/>
                <w:b/>
                <w:bCs/>
                <w:color w:val="000000"/>
                <w:lang w:eastAsia="pt-PT"/>
              </w:rPr>
              <w:t xml:space="preserve">2020 </w:t>
            </w:r>
            <w:r w:rsidR="0063341F">
              <w:rPr>
                <w:rFonts w:ascii="Calibri" w:eastAsia="Times New Roman" w:hAnsi="Calibri" w:cs="Calibri"/>
                <w:b/>
                <w:bCs/>
                <w:color w:val="000000"/>
                <w:lang w:eastAsia="pt-PT"/>
              </w:rPr>
              <w:t>–</w:t>
            </w:r>
            <w:r>
              <w:rPr>
                <w:rFonts w:ascii="Calibri" w:eastAsia="Times New Roman" w:hAnsi="Calibri" w:cs="Calibri"/>
                <w:b/>
                <w:bCs/>
                <w:color w:val="000000"/>
                <w:lang w:eastAsia="pt-PT"/>
              </w:rPr>
              <w:t xml:space="preserve"> Budget</w:t>
            </w:r>
          </w:p>
        </w:tc>
        <w:tc>
          <w:tcPr>
            <w:tcW w:w="2180" w:type="dxa"/>
            <w:tcBorders>
              <w:top w:val="single" w:sz="8" w:space="0" w:color="auto"/>
              <w:left w:val="nil"/>
              <w:bottom w:val="single" w:sz="12" w:space="0" w:color="auto"/>
              <w:right w:val="single" w:sz="8" w:space="0" w:color="auto"/>
            </w:tcBorders>
            <w:noWrap/>
            <w:vAlign w:val="bottom"/>
            <w:hideMark/>
          </w:tcPr>
          <w:p w14:paraId="459B5952" w14:textId="07FF8F75" w:rsidR="0049576D" w:rsidRDefault="0049576D" w:rsidP="0004735A">
            <w:pPr>
              <w:spacing w:after="0" w:line="240" w:lineRule="auto"/>
              <w:jc w:val="center"/>
              <w:rPr>
                <w:rFonts w:ascii="Calibri" w:eastAsia="Times New Roman" w:hAnsi="Calibri" w:cs="Calibri"/>
                <w:b/>
                <w:bCs/>
                <w:color w:val="000000"/>
                <w:lang w:eastAsia="pt-PT"/>
              </w:rPr>
            </w:pPr>
            <w:r>
              <w:rPr>
                <w:rFonts w:ascii="Calibri" w:eastAsia="Times New Roman" w:hAnsi="Calibri" w:cs="Calibri"/>
                <w:b/>
                <w:bCs/>
                <w:color w:val="000000"/>
                <w:lang w:eastAsia="pt-PT"/>
              </w:rPr>
              <w:t xml:space="preserve">2021 </w:t>
            </w:r>
            <w:r w:rsidR="00111C90">
              <w:rPr>
                <w:rFonts w:ascii="Calibri" w:eastAsia="Times New Roman" w:hAnsi="Calibri" w:cs="Calibri"/>
                <w:b/>
                <w:bCs/>
                <w:color w:val="000000"/>
                <w:lang w:eastAsia="pt-PT"/>
              </w:rPr>
              <w:t>–</w:t>
            </w:r>
            <w:r>
              <w:rPr>
                <w:rFonts w:ascii="Calibri" w:eastAsia="Times New Roman" w:hAnsi="Calibri" w:cs="Calibri"/>
                <w:b/>
                <w:bCs/>
                <w:color w:val="000000"/>
                <w:lang w:eastAsia="pt-PT"/>
              </w:rPr>
              <w:t xml:space="preserve"> Budget</w:t>
            </w:r>
          </w:p>
        </w:tc>
        <w:tc>
          <w:tcPr>
            <w:tcW w:w="1625" w:type="dxa"/>
            <w:tcBorders>
              <w:top w:val="single" w:sz="8" w:space="0" w:color="auto"/>
              <w:left w:val="nil"/>
              <w:bottom w:val="single" w:sz="12" w:space="0" w:color="auto"/>
              <w:right w:val="single" w:sz="8" w:space="0" w:color="auto"/>
            </w:tcBorders>
            <w:noWrap/>
            <w:vAlign w:val="bottom"/>
            <w:hideMark/>
          </w:tcPr>
          <w:p w14:paraId="73BE7434" w14:textId="77777777" w:rsidR="0049576D" w:rsidRDefault="0049576D" w:rsidP="0004735A">
            <w:pPr>
              <w:spacing w:after="0" w:line="240" w:lineRule="auto"/>
              <w:jc w:val="center"/>
              <w:rPr>
                <w:rFonts w:ascii="Calibri" w:eastAsia="Times New Roman" w:hAnsi="Calibri" w:cs="Calibri"/>
                <w:b/>
                <w:bCs/>
                <w:color w:val="000000"/>
                <w:lang w:eastAsia="pt-PT"/>
              </w:rPr>
            </w:pPr>
            <w:r>
              <w:rPr>
                <w:rFonts w:ascii="Calibri" w:eastAsia="Times New Roman" w:hAnsi="Calibri" w:cs="Calibri"/>
                <w:b/>
                <w:bCs/>
                <w:color w:val="000000"/>
                <w:lang w:eastAsia="pt-PT"/>
              </w:rPr>
              <w:t>Total</w:t>
            </w:r>
          </w:p>
        </w:tc>
      </w:tr>
      <w:tr w:rsidR="0049576D" w14:paraId="5F397E6D" w14:textId="77777777" w:rsidTr="0004735A">
        <w:trPr>
          <w:trHeight w:val="310"/>
        </w:trPr>
        <w:tc>
          <w:tcPr>
            <w:tcW w:w="1968" w:type="dxa"/>
            <w:tcBorders>
              <w:top w:val="nil"/>
              <w:left w:val="single" w:sz="8" w:space="0" w:color="auto"/>
              <w:bottom w:val="single" w:sz="8" w:space="0" w:color="auto"/>
              <w:right w:val="single" w:sz="8" w:space="0" w:color="auto"/>
            </w:tcBorders>
            <w:noWrap/>
            <w:vAlign w:val="bottom"/>
            <w:hideMark/>
          </w:tcPr>
          <w:p w14:paraId="1054B8D0" w14:textId="77777777" w:rsidR="0049576D" w:rsidRDefault="0049576D" w:rsidP="0004735A">
            <w:pPr>
              <w:spacing w:after="0" w:line="240" w:lineRule="auto"/>
              <w:rPr>
                <w:rFonts w:ascii="Calibri" w:eastAsia="Times New Roman" w:hAnsi="Calibri" w:cs="Calibri"/>
                <w:color w:val="000000"/>
                <w:lang w:eastAsia="pt-PT"/>
              </w:rPr>
            </w:pPr>
            <w:r>
              <w:rPr>
                <w:rFonts w:ascii="Calibri" w:eastAsia="Times New Roman" w:hAnsi="Calibri" w:cs="Calibri"/>
                <w:color w:val="000000"/>
                <w:lang w:eastAsia="pt-PT"/>
              </w:rPr>
              <w:t>ADB</w:t>
            </w:r>
          </w:p>
        </w:tc>
        <w:tc>
          <w:tcPr>
            <w:tcW w:w="1672" w:type="dxa"/>
            <w:tcBorders>
              <w:top w:val="nil"/>
              <w:left w:val="nil"/>
              <w:bottom w:val="single" w:sz="8" w:space="0" w:color="auto"/>
              <w:right w:val="single" w:sz="8" w:space="0" w:color="auto"/>
            </w:tcBorders>
            <w:noWrap/>
            <w:vAlign w:val="bottom"/>
            <w:hideMark/>
          </w:tcPr>
          <w:p w14:paraId="1D42C2BB"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$0,00</w:t>
            </w:r>
          </w:p>
        </w:tc>
        <w:tc>
          <w:tcPr>
            <w:tcW w:w="2180" w:type="dxa"/>
            <w:tcBorders>
              <w:top w:val="nil"/>
              <w:left w:val="nil"/>
              <w:bottom w:val="single" w:sz="8" w:space="0" w:color="auto"/>
              <w:right w:val="single" w:sz="8" w:space="0" w:color="auto"/>
            </w:tcBorders>
            <w:noWrap/>
            <w:vAlign w:val="bottom"/>
            <w:hideMark/>
          </w:tcPr>
          <w:p w14:paraId="25353822"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$0,00</w:t>
            </w:r>
          </w:p>
        </w:tc>
        <w:tc>
          <w:tcPr>
            <w:tcW w:w="1625" w:type="dxa"/>
            <w:tcBorders>
              <w:top w:val="nil"/>
              <w:left w:val="nil"/>
              <w:bottom w:val="single" w:sz="8" w:space="0" w:color="auto"/>
              <w:right w:val="single" w:sz="8" w:space="0" w:color="auto"/>
            </w:tcBorders>
            <w:noWrap/>
            <w:vAlign w:val="bottom"/>
            <w:hideMark/>
          </w:tcPr>
          <w:p w14:paraId="05B72CAC"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$0,00</w:t>
            </w:r>
          </w:p>
        </w:tc>
      </w:tr>
      <w:tr w:rsidR="0049576D" w14:paraId="50865A2D" w14:textId="77777777" w:rsidTr="0004735A">
        <w:trPr>
          <w:trHeight w:val="300"/>
        </w:trPr>
        <w:tc>
          <w:tcPr>
            <w:tcW w:w="1968" w:type="dxa"/>
            <w:tcBorders>
              <w:top w:val="nil"/>
              <w:left w:val="single" w:sz="8" w:space="0" w:color="auto"/>
              <w:bottom w:val="single" w:sz="8" w:space="0" w:color="auto"/>
              <w:right w:val="single" w:sz="8" w:space="0" w:color="auto"/>
            </w:tcBorders>
            <w:noWrap/>
            <w:vAlign w:val="bottom"/>
            <w:hideMark/>
          </w:tcPr>
          <w:p w14:paraId="3BB4016D" w14:textId="77777777" w:rsidR="0049576D" w:rsidRDefault="0049576D" w:rsidP="0004735A">
            <w:pPr>
              <w:spacing w:after="0" w:line="240" w:lineRule="auto"/>
              <w:rPr>
                <w:rFonts w:ascii="Calibri" w:eastAsia="Times New Roman" w:hAnsi="Calibri" w:cs="Calibri"/>
                <w:color w:val="000000"/>
                <w:lang w:eastAsia="pt-PT"/>
              </w:rPr>
            </w:pPr>
            <w:r>
              <w:rPr>
                <w:rFonts w:ascii="Calibri" w:eastAsia="Times New Roman" w:hAnsi="Calibri" w:cs="Calibri"/>
                <w:color w:val="000000"/>
                <w:lang w:eastAsia="pt-PT"/>
              </w:rPr>
              <w:t>ANGOLA</w:t>
            </w:r>
          </w:p>
        </w:tc>
        <w:tc>
          <w:tcPr>
            <w:tcW w:w="1672" w:type="dxa"/>
            <w:tcBorders>
              <w:top w:val="nil"/>
              <w:left w:val="nil"/>
              <w:bottom w:val="single" w:sz="8" w:space="0" w:color="auto"/>
              <w:right w:val="single" w:sz="8" w:space="0" w:color="auto"/>
            </w:tcBorders>
            <w:noWrap/>
            <w:vAlign w:val="bottom"/>
            <w:hideMark/>
          </w:tcPr>
          <w:p w14:paraId="03A786AC"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$90 848,00</w:t>
            </w:r>
          </w:p>
        </w:tc>
        <w:tc>
          <w:tcPr>
            <w:tcW w:w="2180" w:type="dxa"/>
            <w:tcBorders>
              <w:top w:val="nil"/>
              <w:left w:val="nil"/>
              <w:bottom w:val="single" w:sz="8" w:space="0" w:color="auto"/>
              <w:right w:val="single" w:sz="8" w:space="0" w:color="auto"/>
            </w:tcBorders>
            <w:noWrap/>
            <w:vAlign w:val="bottom"/>
            <w:hideMark/>
          </w:tcPr>
          <w:p w14:paraId="4CE62051"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$50 000,00</w:t>
            </w:r>
          </w:p>
        </w:tc>
        <w:tc>
          <w:tcPr>
            <w:tcW w:w="1625" w:type="dxa"/>
            <w:tcBorders>
              <w:top w:val="nil"/>
              <w:left w:val="nil"/>
              <w:bottom w:val="single" w:sz="8" w:space="0" w:color="auto"/>
              <w:right w:val="single" w:sz="8" w:space="0" w:color="auto"/>
            </w:tcBorders>
            <w:noWrap/>
            <w:vAlign w:val="bottom"/>
            <w:hideMark/>
          </w:tcPr>
          <w:p w14:paraId="3372A73B"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$140,848</w:t>
            </w:r>
          </w:p>
        </w:tc>
      </w:tr>
      <w:tr w:rsidR="0049576D" w14:paraId="27E7786E" w14:textId="77777777" w:rsidTr="0004735A">
        <w:trPr>
          <w:trHeight w:val="300"/>
        </w:trPr>
        <w:tc>
          <w:tcPr>
            <w:tcW w:w="1968" w:type="dxa"/>
            <w:tcBorders>
              <w:top w:val="nil"/>
              <w:left w:val="single" w:sz="8" w:space="0" w:color="auto"/>
              <w:bottom w:val="single" w:sz="8" w:space="0" w:color="auto"/>
              <w:right w:val="single" w:sz="8" w:space="0" w:color="auto"/>
            </w:tcBorders>
            <w:noWrap/>
            <w:vAlign w:val="bottom"/>
            <w:hideMark/>
          </w:tcPr>
          <w:p w14:paraId="4D3E3EB9" w14:textId="77777777" w:rsidR="0049576D" w:rsidRDefault="0049576D" w:rsidP="0004735A">
            <w:pPr>
              <w:spacing w:after="0" w:line="240" w:lineRule="auto"/>
              <w:rPr>
                <w:rFonts w:ascii="Calibri" w:eastAsia="Times New Roman" w:hAnsi="Calibri" w:cs="Calibri"/>
                <w:color w:val="000000"/>
                <w:lang w:eastAsia="pt-PT"/>
              </w:rPr>
            </w:pPr>
            <w:r>
              <w:rPr>
                <w:rFonts w:ascii="Calibri" w:eastAsia="Times New Roman" w:hAnsi="Calibri" w:cs="Calibri"/>
                <w:color w:val="000000"/>
                <w:lang w:eastAsia="pt-PT"/>
              </w:rPr>
              <w:t>EUCOMM</w:t>
            </w:r>
          </w:p>
        </w:tc>
        <w:tc>
          <w:tcPr>
            <w:tcW w:w="1672" w:type="dxa"/>
            <w:tcBorders>
              <w:top w:val="nil"/>
              <w:left w:val="nil"/>
              <w:bottom w:val="single" w:sz="8" w:space="0" w:color="auto"/>
              <w:right w:val="single" w:sz="8" w:space="0" w:color="auto"/>
            </w:tcBorders>
            <w:noWrap/>
            <w:vAlign w:val="bottom"/>
            <w:hideMark/>
          </w:tcPr>
          <w:p w14:paraId="67F918E5"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$316 609,69</w:t>
            </w:r>
          </w:p>
        </w:tc>
        <w:tc>
          <w:tcPr>
            <w:tcW w:w="2180" w:type="dxa"/>
            <w:tcBorders>
              <w:top w:val="nil"/>
              <w:left w:val="nil"/>
              <w:bottom w:val="single" w:sz="8" w:space="0" w:color="auto"/>
              <w:right w:val="single" w:sz="8" w:space="0" w:color="auto"/>
            </w:tcBorders>
            <w:noWrap/>
            <w:vAlign w:val="bottom"/>
            <w:hideMark/>
          </w:tcPr>
          <w:p w14:paraId="5A3CF34A"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$432 573,29</w:t>
            </w:r>
          </w:p>
        </w:tc>
        <w:tc>
          <w:tcPr>
            <w:tcW w:w="1625" w:type="dxa"/>
            <w:tcBorders>
              <w:top w:val="nil"/>
              <w:left w:val="nil"/>
              <w:bottom w:val="single" w:sz="8" w:space="0" w:color="auto"/>
              <w:right w:val="single" w:sz="8" w:space="0" w:color="auto"/>
            </w:tcBorders>
            <w:noWrap/>
            <w:vAlign w:val="bottom"/>
            <w:hideMark/>
          </w:tcPr>
          <w:p w14:paraId="6F4E3F83"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$749,182.98</w:t>
            </w:r>
          </w:p>
        </w:tc>
      </w:tr>
      <w:tr w:rsidR="0049576D" w14:paraId="61165BE5" w14:textId="77777777" w:rsidTr="0004735A">
        <w:trPr>
          <w:trHeight w:val="300"/>
        </w:trPr>
        <w:tc>
          <w:tcPr>
            <w:tcW w:w="1968" w:type="dxa"/>
            <w:tcBorders>
              <w:top w:val="nil"/>
              <w:left w:val="single" w:sz="8" w:space="0" w:color="auto"/>
              <w:bottom w:val="single" w:sz="8" w:space="0" w:color="auto"/>
              <w:right w:val="single" w:sz="8" w:space="0" w:color="auto"/>
            </w:tcBorders>
            <w:vAlign w:val="center"/>
            <w:hideMark/>
          </w:tcPr>
          <w:p w14:paraId="7603E6E7" w14:textId="77777777" w:rsidR="0049576D" w:rsidRDefault="0049576D" w:rsidP="0004735A">
            <w:pPr>
              <w:spacing w:after="0" w:line="240" w:lineRule="auto"/>
              <w:jc w:val="both"/>
              <w:rPr>
                <w:rFonts w:ascii="Calibri" w:eastAsia="Times New Roman" w:hAnsi="Calibri" w:cs="Calibri"/>
                <w:color w:val="000000"/>
                <w:lang w:eastAsia="pt-PT"/>
              </w:rPr>
            </w:pPr>
            <w:r>
              <w:rPr>
                <w:rFonts w:ascii="Calibri" w:eastAsia="Times New Roman" w:hAnsi="Calibri" w:cs="Calibri"/>
                <w:color w:val="000000"/>
                <w:lang w:eastAsia="pt-PT"/>
              </w:rPr>
              <w:t>FAO</w:t>
            </w:r>
          </w:p>
        </w:tc>
        <w:tc>
          <w:tcPr>
            <w:tcW w:w="1672" w:type="dxa"/>
            <w:tcBorders>
              <w:top w:val="nil"/>
              <w:left w:val="nil"/>
              <w:bottom w:val="single" w:sz="8" w:space="0" w:color="auto"/>
              <w:right w:val="single" w:sz="8" w:space="0" w:color="auto"/>
            </w:tcBorders>
            <w:noWrap/>
            <w:vAlign w:val="bottom"/>
            <w:hideMark/>
          </w:tcPr>
          <w:p w14:paraId="0EBE2F0C"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$13 510,00</w:t>
            </w:r>
          </w:p>
        </w:tc>
        <w:tc>
          <w:tcPr>
            <w:tcW w:w="2180" w:type="dxa"/>
            <w:tcBorders>
              <w:top w:val="nil"/>
              <w:left w:val="nil"/>
              <w:bottom w:val="single" w:sz="8" w:space="0" w:color="auto"/>
              <w:right w:val="single" w:sz="8" w:space="0" w:color="auto"/>
            </w:tcBorders>
            <w:noWrap/>
            <w:vAlign w:val="bottom"/>
            <w:hideMark/>
          </w:tcPr>
          <w:p w14:paraId="311F8E0A"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$13 510,00</w:t>
            </w:r>
          </w:p>
        </w:tc>
        <w:tc>
          <w:tcPr>
            <w:tcW w:w="1625" w:type="dxa"/>
            <w:tcBorders>
              <w:top w:val="nil"/>
              <w:left w:val="nil"/>
              <w:bottom w:val="single" w:sz="8" w:space="0" w:color="auto"/>
              <w:right w:val="single" w:sz="8" w:space="0" w:color="auto"/>
            </w:tcBorders>
            <w:noWrap/>
            <w:vAlign w:val="bottom"/>
            <w:hideMark/>
          </w:tcPr>
          <w:p w14:paraId="2298F5B1"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$27,020</w:t>
            </w:r>
          </w:p>
        </w:tc>
      </w:tr>
      <w:tr w:rsidR="0049576D" w14:paraId="0CEC07E3" w14:textId="77777777" w:rsidTr="0004735A">
        <w:trPr>
          <w:trHeight w:val="300"/>
        </w:trPr>
        <w:tc>
          <w:tcPr>
            <w:tcW w:w="1968" w:type="dxa"/>
            <w:tcBorders>
              <w:top w:val="nil"/>
              <w:left w:val="single" w:sz="8" w:space="0" w:color="auto"/>
              <w:bottom w:val="single" w:sz="8" w:space="0" w:color="auto"/>
              <w:right w:val="single" w:sz="8" w:space="0" w:color="auto"/>
            </w:tcBorders>
            <w:noWrap/>
            <w:vAlign w:val="bottom"/>
            <w:hideMark/>
          </w:tcPr>
          <w:p w14:paraId="31D03CCE" w14:textId="77777777" w:rsidR="0049576D" w:rsidRDefault="0049576D" w:rsidP="0004735A">
            <w:pPr>
              <w:spacing w:after="0" w:line="240" w:lineRule="auto"/>
              <w:rPr>
                <w:rFonts w:ascii="Calibri" w:eastAsia="Times New Roman" w:hAnsi="Calibri" w:cs="Calibri"/>
                <w:color w:val="000000"/>
                <w:lang w:eastAsia="pt-PT"/>
              </w:rPr>
            </w:pPr>
            <w:r>
              <w:rPr>
                <w:rFonts w:ascii="Calibri" w:eastAsia="Times New Roman" w:hAnsi="Calibri" w:cs="Calibri"/>
                <w:color w:val="000000"/>
                <w:lang w:eastAsia="pt-PT"/>
              </w:rPr>
              <w:t>GEF Trust Fund</w:t>
            </w:r>
          </w:p>
        </w:tc>
        <w:tc>
          <w:tcPr>
            <w:tcW w:w="1672" w:type="dxa"/>
            <w:tcBorders>
              <w:top w:val="nil"/>
              <w:left w:val="nil"/>
              <w:bottom w:val="single" w:sz="8" w:space="0" w:color="auto"/>
              <w:right w:val="single" w:sz="8" w:space="0" w:color="auto"/>
            </w:tcBorders>
            <w:noWrap/>
            <w:vAlign w:val="bottom"/>
            <w:hideMark/>
          </w:tcPr>
          <w:p w14:paraId="1CB971CC"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$5 336 709,22</w:t>
            </w:r>
          </w:p>
        </w:tc>
        <w:tc>
          <w:tcPr>
            <w:tcW w:w="2180" w:type="dxa"/>
            <w:tcBorders>
              <w:top w:val="nil"/>
              <w:left w:val="nil"/>
              <w:bottom w:val="single" w:sz="8" w:space="0" w:color="auto"/>
              <w:right w:val="single" w:sz="8" w:space="0" w:color="auto"/>
            </w:tcBorders>
            <w:noWrap/>
            <w:vAlign w:val="bottom"/>
            <w:hideMark/>
          </w:tcPr>
          <w:p w14:paraId="114F531D"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$7 350 338,47</w:t>
            </w:r>
          </w:p>
        </w:tc>
        <w:tc>
          <w:tcPr>
            <w:tcW w:w="1625" w:type="dxa"/>
            <w:tcBorders>
              <w:top w:val="nil"/>
              <w:left w:val="nil"/>
              <w:bottom w:val="single" w:sz="8" w:space="0" w:color="auto"/>
              <w:right w:val="single" w:sz="8" w:space="0" w:color="auto"/>
            </w:tcBorders>
            <w:noWrap/>
            <w:vAlign w:val="bottom"/>
            <w:hideMark/>
          </w:tcPr>
          <w:p w14:paraId="2B343543"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$12,700,557.7</w:t>
            </w:r>
          </w:p>
        </w:tc>
      </w:tr>
      <w:tr w:rsidR="0049576D" w14:paraId="1E5BF82D" w14:textId="77777777" w:rsidTr="0004735A">
        <w:trPr>
          <w:trHeight w:val="300"/>
        </w:trPr>
        <w:tc>
          <w:tcPr>
            <w:tcW w:w="1968" w:type="dxa"/>
            <w:tcBorders>
              <w:top w:val="nil"/>
              <w:left w:val="single" w:sz="8" w:space="0" w:color="auto"/>
              <w:bottom w:val="single" w:sz="8" w:space="0" w:color="auto"/>
              <w:right w:val="single" w:sz="8" w:space="0" w:color="auto"/>
            </w:tcBorders>
            <w:noWrap/>
            <w:vAlign w:val="bottom"/>
            <w:hideMark/>
          </w:tcPr>
          <w:p w14:paraId="55F739F3" w14:textId="77777777" w:rsidR="0049576D" w:rsidRDefault="0049576D" w:rsidP="0004735A">
            <w:pPr>
              <w:spacing w:after="0" w:line="240" w:lineRule="auto"/>
              <w:rPr>
                <w:rFonts w:ascii="Calibri" w:eastAsia="Times New Roman" w:hAnsi="Calibri" w:cs="Calibri"/>
                <w:color w:val="000000"/>
                <w:lang w:eastAsia="pt-PT"/>
              </w:rPr>
            </w:pPr>
            <w:r>
              <w:rPr>
                <w:rFonts w:ascii="Calibri" w:eastAsia="Times New Roman" w:hAnsi="Calibri" w:cs="Calibri"/>
                <w:color w:val="000000"/>
                <w:lang w:eastAsia="pt-PT"/>
              </w:rPr>
              <w:t>GER</w:t>
            </w:r>
          </w:p>
        </w:tc>
        <w:tc>
          <w:tcPr>
            <w:tcW w:w="1672" w:type="dxa"/>
            <w:tcBorders>
              <w:top w:val="nil"/>
              <w:left w:val="nil"/>
              <w:bottom w:val="single" w:sz="8" w:space="0" w:color="auto"/>
              <w:right w:val="single" w:sz="8" w:space="0" w:color="auto"/>
            </w:tcBorders>
            <w:noWrap/>
            <w:vAlign w:val="bottom"/>
            <w:hideMark/>
          </w:tcPr>
          <w:p w14:paraId="0876F8BF"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$266 103,61</w:t>
            </w:r>
          </w:p>
        </w:tc>
        <w:tc>
          <w:tcPr>
            <w:tcW w:w="2180" w:type="dxa"/>
            <w:tcBorders>
              <w:top w:val="nil"/>
              <w:left w:val="nil"/>
              <w:bottom w:val="single" w:sz="8" w:space="0" w:color="auto"/>
              <w:right w:val="single" w:sz="8" w:space="0" w:color="auto"/>
            </w:tcBorders>
            <w:noWrap/>
            <w:vAlign w:val="bottom"/>
            <w:hideMark/>
          </w:tcPr>
          <w:p w14:paraId="57316637"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$68 501,16</w:t>
            </w:r>
          </w:p>
        </w:tc>
        <w:tc>
          <w:tcPr>
            <w:tcW w:w="1625" w:type="dxa"/>
            <w:tcBorders>
              <w:top w:val="nil"/>
              <w:left w:val="nil"/>
              <w:bottom w:val="single" w:sz="8" w:space="0" w:color="auto"/>
              <w:right w:val="single" w:sz="8" w:space="0" w:color="auto"/>
            </w:tcBorders>
            <w:noWrap/>
            <w:vAlign w:val="bottom"/>
            <w:hideMark/>
          </w:tcPr>
          <w:p w14:paraId="1D2B39FA"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$294,604.77</w:t>
            </w:r>
          </w:p>
        </w:tc>
      </w:tr>
      <w:tr w:rsidR="0049576D" w14:paraId="66AC434D" w14:textId="77777777" w:rsidTr="0004735A">
        <w:trPr>
          <w:trHeight w:val="300"/>
        </w:trPr>
        <w:tc>
          <w:tcPr>
            <w:tcW w:w="1968" w:type="dxa"/>
            <w:tcBorders>
              <w:top w:val="nil"/>
              <w:left w:val="single" w:sz="8" w:space="0" w:color="auto"/>
              <w:bottom w:val="single" w:sz="8" w:space="0" w:color="auto"/>
              <w:right w:val="single" w:sz="8" w:space="0" w:color="auto"/>
            </w:tcBorders>
            <w:noWrap/>
            <w:vAlign w:val="bottom"/>
            <w:hideMark/>
          </w:tcPr>
          <w:p w14:paraId="494C8D58" w14:textId="77777777" w:rsidR="0049576D" w:rsidRDefault="0049576D" w:rsidP="0004735A">
            <w:pPr>
              <w:spacing w:after="0" w:line="240" w:lineRule="auto"/>
              <w:rPr>
                <w:rFonts w:ascii="Calibri" w:eastAsia="Times New Roman" w:hAnsi="Calibri" w:cs="Calibri"/>
                <w:color w:val="000000"/>
                <w:lang w:eastAsia="pt-PT"/>
              </w:rPr>
            </w:pPr>
            <w:r>
              <w:rPr>
                <w:rFonts w:ascii="Calibri" w:eastAsia="Times New Roman" w:hAnsi="Calibri" w:cs="Calibri"/>
                <w:color w:val="000000"/>
                <w:lang w:eastAsia="pt-PT"/>
              </w:rPr>
              <w:t>GIZ</w:t>
            </w:r>
          </w:p>
        </w:tc>
        <w:tc>
          <w:tcPr>
            <w:tcW w:w="1672" w:type="dxa"/>
            <w:tcBorders>
              <w:top w:val="nil"/>
              <w:left w:val="nil"/>
              <w:bottom w:val="single" w:sz="8" w:space="0" w:color="auto"/>
              <w:right w:val="single" w:sz="8" w:space="0" w:color="auto"/>
            </w:tcBorders>
            <w:noWrap/>
            <w:vAlign w:val="bottom"/>
            <w:hideMark/>
          </w:tcPr>
          <w:p w14:paraId="18D74F40"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$0,00</w:t>
            </w:r>
          </w:p>
        </w:tc>
        <w:tc>
          <w:tcPr>
            <w:tcW w:w="2180" w:type="dxa"/>
            <w:tcBorders>
              <w:top w:val="nil"/>
              <w:left w:val="nil"/>
              <w:bottom w:val="single" w:sz="8" w:space="0" w:color="auto"/>
              <w:right w:val="single" w:sz="8" w:space="0" w:color="auto"/>
            </w:tcBorders>
            <w:noWrap/>
            <w:vAlign w:val="bottom"/>
            <w:hideMark/>
          </w:tcPr>
          <w:p w14:paraId="1707FB68"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$0,00</w:t>
            </w:r>
          </w:p>
        </w:tc>
        <w:tc>
          <w:tcPr>
            <w:tcW w:w="1625" w:type="dxa"/>
            <w:tcBorders>
              <w:top w:val="nil"/>
              <w:left w:val="nil"/>
              <w:bottom w:val="single" w:sz="8" w:space="0" w:color="auto"/>
              <w:right w:val="single" w:sz="8" w:space="0" w:color="auto"/>
            </w:tcBorders>
            <w:noWrap/>
            <w:vAlign w:val="bottom"/>
            <w:hideMark/>
          </w:tcPr>
          <w:p w14:paraId="28447E41"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$0.00</w:t>
            </w:r>
          </w:p>
        </w:tc>
      </w:tr>
      <w:tr w:rsidR="0049576D" w14:paraId="44FE7333" w14:textId="77777777" w:rsidTr="0004735A">
        <w:trPr>
          <w:trHeight w:val="300"/>
        </w:trPr>
        <w:tc>
          <w:tcPr>
            <w:tcW w:w="1968" w:type="dxa"/>
            <w:tcBorders>
              <w:top w:val="nil"/>
              <w:left w:val="single" w:sz="8" w:space="0" w:color="auto"/>
              <w:bottom w:val="single" w:sz="8" w:space="0" w:color="auto"/>
              <w:right w:val="single" w:sz="8" w:space="0" w:color="auto"/>
            </w:tcBorders>
            <w:noWrap/>
            <w:vAlign w:val="bottom"/>
            <w:hideMark/>
          </w:tcPr>
          <w:p w14:paraId="799EC9F2" w14:textId="77777777" w:rsidR="0049576D" w:rsidRDefault="0049576D" w:rsidP="0004735A">
            <w:pPr>
              <w:spacing w:after="0" w:line="240" w:lineRule="auto"/>
              <w:rPr>
                <w:rFonts w:ascii="Calibri" w:eastAsia="Times New Roman" w:hAnsi="Calibri" w:cs="Calibri"/>
                <w:color w:val="000000"/>
                <w:lang w:eastAsia="pt-PT"/>
              </w:rPr>
            </w:pPr>
            <w:r>
              <w:rPr>
                <w:rFonts w:ascii="Calibri" w:eastAsia="Times New Roman" w:hAnsi="Calibri" w:cs="Calibri"/>
                <w:color w:val="000000"/>
                <w:lang w:eastAsia="pt-PT"/>
              </w:rPr>
              <w:t>GLOBAL FUND</w:t>
            </w:r>
          </w:p>
        </w:tc>
        <w:tc>
          <w:tcPr>
            <w:tcW w:w="1672" w:type="dxa"/>
            <w:tcBorders>
              <w:top w:val="nil"/>
              <w:left w:val="nil"/>
              <w:bottom w:val="single" w:sz="8" w:space="0" w:color="auto"/>
              <w:right w:val="single" w:sz="8" w:space="0" w:color="auto"/>
            </w:tcBorders>
            <w:noWrap/>
            <w:vAlign w:val="bottom"/>
            <w:hideMark/>
          </w:tcPr>
          <w:p w14:paraId="5BB6351C"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$10 866 010,00</w:t>
            </w:r>
          </w:p>
        </w:tc>
        <w:tc>
          <w:tcPr>
            <w:tcW w:w="2180" w:type="dxa"/>
            <w:tcBorders>
              <w:top w:val="nil"/>
              <w:left w:val="nil"/>
              <w:bottom w:val="single" w:sz="8" w:space="0" w:color="auto"/>
              <w:right w:val="single" w:sz="8" w:space="0" w:color="auto"/>
            </w:tcBorders>
            <w:noWrap/>
            <w:vAlign w:val="bottom"/>
            <w:hideMark/>
          </w:tcPr>
          <w:p w14:paraId="78205819"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$33 207 824,00</w:t>
            </w:r>
          </w:p>
        </w:tc>
        <w:tc>
          <w:tcPr>
            <w:tcW w:w="1625" w:type="dxa"/>
            <w:tcBorders>
              <w:top w:val="nil"/>
              <w:left w:val="nil"/>
              <w:bottom w:val="single" w:sz="8" w:space="0" w:color="auto"/>
              <w:right w:val="single" w:sz="8" w:space="0" w:color="auto"/>
            </w:tcBorders>
            <w:noWrap/>
            <w:vAlign w:val="bottom"/>
            <w:hideMark/>
          </w:tcPr>
          <w:p w14:paraId="0BE0AAA0"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$44,073,834</w:t>
            </w:r>
          </w:p>
        </w:tc>
      </w:tr>
      <w:tr w:rsidR="0049576D" w14:paraId="0CFD53FA" w14:textId="77777777" w:rsidTr="0004735A">
        <w:trPr>
          <w:trHeight w:val="300"/>
        </w:trPr>
        <w:tc>
          <w:tcPr>
            <w:tcW w:w="1968" w:type="dxa"/>
            <w:tcBorders>
              <w:top w:val="nil"/>
              <w:left w:val="single" w:sz="8" w:space="0" w:color="auto"/>
              <w:bottom w:val="single" w:sz="8" w:space="0" w:color="auto"/>
              <w:right w:val="single" w:sz="8" w:space="0" w:color="auto"/>
            </w:tcBorders>
            <w:noWrap/>
            <w:vAlign w:val="bottom"/>
            <w:hideMark/>
          </w:tcPr>
          <w:p w14:paraId="70963268" w14:textId="77777777" w:rsidR="0049576D" w:rsidRDefault="0049576D" w:rsidP="0004735A">
            <w:pPr>
              <w:spacing w:after="0" w:line="240" w:lineRule="auto"/>
              <w:rPr>
                <w:rFonts w:ascii="Calibri" w:eastAsia="Times New Roman" w:hAnsi="Calibri" w:cs="Calibri"/>
                <w:color w:val="000000"/>
                <w:lang w:eastAsia="pt-PT"/>
              </w:rPr>
            </w:pPr>
            <w:r>
              <w:rPr>
                <w:rFonts w:ascii="Calibri" w:eastAsia="Times New Roman" w:hAnsi="Calibri" w:cs="Calibri"/>
                <w:color w:val="000000"/>
                <w:lang w:eastAsia="pt-PT"/>
              </w:rPr>
              <w:t>ITA</w:t>
            </w:r>
          </w:p>
        </w:tc>
        <w:tc>
          <w:tcPr>
            <w:tcW w:w="1672" w:type="dxa"/>
            <w:tcBorders>
              <w:top w:val="nil"/>
              <w:left w:val="nil"/>
              <w:bottom w:val="single" w:sz="8" w:space="0" w:color="auto"/>
              <w:right w:val="single" w:sz="8" w:space="0" w:color="auto"/>
            </w:tcBorders>
            <w:noWrap/>
            <w:vAlign w:val="bottom"/>
            <w:hideMark/>
          </w:tcPr>
          <w:p w14:paraId="4D18B98A"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$69 009,00</w:t>
            </w:r>
          </w:p>
        </w:tc>
        <w:tc>
          <w:tcPr>
            <w:tcW w:w="2180" w:type="dxa"/>
            <w:tcBorders>
              <w:top w:val="nil"/>
              <w:left w:val="nil"/>
              <w:bottom w:val="single" w:sz="8" w:space="0" w:color="auto"/>
              <w:right w:val="single" w:sz="8" w:space="0" w:color="auto"/>
            </w:tcBorders>
            <w:noWrap/>
            <w:vAlign w:val="bottom"/>
            <w:hideMark/>
          </w:tcPr>
          <w:p w14:paraId="4892C36A"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$0,00</w:t>
            </w:r>
          </w:p>
        </w:tc>
        <w:tc>
          <w:tcPr>
            <w:tcW w:w="1625" w:type="dxa"/>
            <w:tcBorders>
              <w:top w:val="nil"/>
              <w:left w:val="nil"/>
              <w:bottom w:val="single" w:sz="8" w:space="0" w:color="auto"/>
              <w:right w:val="single" w:sz="8" w:space="0" w:color="auto"/>
            </w:tcBorders>
            <w:noWrap/>
            <w:vAlign w:val="bottom"/>
            <w:hideMark/>
          </w:tcPr>
          <w:p w14:paraId="415FA302"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$69,009</w:t>
            </w:r>
          </w:p>
        </w:tc>
      </w:tr>
      <w:tr w:rsidR="0049576D" w14:paraId="1955061D" w14:textId="77777777" w:rsidTr="0004735A">
        <w:trPr>
          <w:trHeight w:val="300"/>
        </w:trPr>
        <w:tc>
          <w:tcPr>
            <w:tcW w:w="1968" w:type="dxa"/>
            <w:tcBorders>
              <w:top w:val="nil"/>
              <w:left w:val="single" w:sz="8" w:space="0" w:color="auto"/>
              <w:bottom w:val="single" w:sz="8" w:space="0" w:color="auto"/>
              <w:right w:val="single" w:sz="8" w:space="0" w:color="auto"/>
            </w:tcBorders>
            <w:noWrap/>
            <w:vAlign w:val="bottom"/>
            <w:hideMark/>
          </w:tcPr>
          <w:p w14:paraId="6D8B65E6" w14:textId="77777777" w:rsidR="0049576D" w:rsidRDefault="0049576D" w:rsidP="0004735A">
            <w:pPr>
              <w:spacing w:after="0" w:line="240" w:lineRule="auto"/>
              <w:rPr>
                <w:rFonts w:ascii="Calibri" w:eastAsia="Times New Roman" w:hAnsi="Calibri" w:cs="Calibri"/>
                <w:color w:val="000000"/>
                <w:lang w:eastAsia="pt-PT"/>
              </w:rPr>
            </w:pPr>
            <w:r>
              <w:rPr>
                <w:rFonts w:ascii="Calibri" w:eastAsia="Times New Roman" w:hAnsi="Calibri" w:cs="Calibri"/>
                <w:color w:val="000000"/>
                <w:lang w:eastAsia="pt-PT"/>
              </w:rPr>
              <w:t>NET</w:t>
            </w:r>
          </w:p>
        </w:tc>
        <w:tc>
          <w:tcPr>
            <w:tcW w:w="1672" w:type="dxa"/>
            <w:tcBorders>
              <w:top w:val="nil"/>
              <w:left w:val="nil"/>
              <w:bottom w:val="single" w:sz="8" w:space="0" w:color="auto"/>
              <w:right w:val="single" w:sz="8" w:space="0" w:color="auto"/>
            </w:tcBorders>
            <w:noWrap/>
            <w:vAlign w:val="bottom"/>
            <w:hideMark/>
          </w:tcPr>
          <w:p w14:paraId="17D11EB8"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$57 000,00</w:t>
            </w:r>
          </w:p>
        </w:tc>
        <w:tc>
          <w:tcPr>
            <w:tcW w:w="2180" w:type="dxa"/>
            <w:tcBorders>
              <w:top w:val="nil"/>
              <w:left w:val="nil"/>
              <w:bottom w:val="single" w:sz="8" w:space="0" w:color="auto"/>
              <w:right w:val="single" w:sz="8" w:space="0" w:color="auto"/>
            </w:tcBorders>
            <w:noWrap/>
            <w:vAlign w:val="bottom"/>
            <w:hideMark/>
          </w:tcPr>
          <w:p w14:paraId="4C943D8D"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$49 254,73</w:t>
            </w:r>
          </w:p>
        </w:tc>
        <w:tc>
          <w:tcPr>
            <w:tcW w:w="1625" w:type="dxa"/>
            <w:tcBorders>
              <w:top w:val="nil"/>
              <w:left w:val="nil"/>
              <w:bottom w:val="single" w:sz="8" w:space="0" w:color="auto"/>
              <w:right w:val="single" w:sz="8" w:space="0" w:color="auto"/>
            </w:tcBorders>
            <w:noWrap/>
            <w:vAlign w:val="bottom"/>
            <w:hideMark/>
          </w:tcPr>
          <w:p w14:paraId="6E0A39B7"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$106,254.73</w:t>
            </w:r>
          </w:p>
        </w:tc>
      </w:tr>
      <w:tr w:rsidR="0049576D" w14:paraId="7A0825BE" w14:textId="77777777" w:rsidTr="0004735A">
        <w:trPr>
          <w:trHeight w:val="300"/>
        </w:trPr>
        <w:tc>
          <w:tcPr>
            <w:tcW w:w="1968" w:type="dxa"/>
            <w:tcBorders>
              <w:top w:val="nil"/>
              <w:left w:val="single" w:sz="8" w:space="0" w:color="auto"/>
              <w:bottom w:val="single" w:sz="4" w:space="0" w:color="auto"/>
              <w:right w:val="single" w:sz="8" w:space="0" w:color="auto"/>
            </w:tcBorders>
            <w:noWrap/>
            <w:vAlign w:val="bottom"/>
            <w:hideMark/>
          </w:tcPr>
          <w:p w14:paraId="6DD837E9" w14:textId="77777777" w:rsidR="0049576D" w:rsidRDefault="0049576D" w:rsidP="0004735A">
            <w:pPr>
              <w:spacing w:after="0" w:line="240" w:lineRule="auto"/>
              <w:rPr>
                <w:rFonts w:ascii="Calibri" w:eastAsia="Times New Roman" w:hAnsi="Calibri" w:cs="Calibri"/>
                <w:color w:val="000000"/>
                <w:lang w:eastAsia="pt-PT"/>
              </w:rPr>
            </w:pPr>
            <w:r>
              <w:rPr>
                <w:rFonts w:ascii="Calibri" w:eastAsia="Times New Roman" w:hAnsi="Calibri" w:cs="Calibri"/>
                <w:color w:val="000000"/>
                <w:lang w:eastAsia="pt-PT"/>
              </w:rPr>
              <w:t>NORWAY</w:t>
            </w:r>
          </w:p>
        </w:tc>
        <w:tc>
          <w:tcPr>
            <w:tcW w:w="1672" w:type="dxa"/>
            <w:tcBorders>
              <w:top w:val="nil"/>
              <w:left w:val="nil"/>
              <w:bottom w:val="single" w:sz="8" w:space="0" w:color="auto"/>
              <w:right w:val="single" w:sz="8" w:space="0" w:color="auto"/>
            </w:tcBorders>
            <w:noWrap/>
            <w:vAlign w:val="bottom"/>
            <w:hideMark/>
          </w:tcPr>
          <w:p w14:paraId="1AE5DA63"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$693 418,00</w:t>
            </w:r>
          </w:p>
        </w:tc>
        <w:tc>
          <w:tcPr>
            <w:tcW w:w="2180" w:type="dxa"/>
            <w:tcBorders>
              <w:top w:val="nil"/>
              <w:left w:val="nil"/>
              <w:bottom w:val="single" w:sz="8" w:space="0" w:color="auto"/>
              <w:right w:val="single" w:sz="8" w:space="0" w:color="auto"/>
            </w:tcBorders>
            <w:noWrap/>
            <w:vAlign w:val="bottom"/>
            <w:hideMark/>
          </w:tcPr>
          <w:p w14:paraId="7EF7BB70"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$729 906,71</w:t>
            </w:r>
          </w:p>
        </w:tc>
        <w:tc>
          <w:tcPr>
            <w:tcW w:w="1625" w:type="dxa"/>
            <w:tcBorders>
              <w:top w:val="nil"/>
              <w:left w:val="nil"/>
              <w:bottom w:val="single" w:sz="8" w:space="0" w:color="auto"/>
              <w:right w:val="single" w:sz="8" w:space="0" w:color="auto"/>
            </w:tcBorders>
            <w:noWrap/>
            <w:vAlign w:val="bottom"/>
            <w:hideMark/>
          </w:tcPr>
          <w:p w14:paraId="00DEAFBA"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$1,423,324.71</w:t>
            </w:r>
          </w:p>
        </w:tc>
      </w:tr>
      <w:tr w:rsidR="0049576D" w14:paraId="154F31CB" w14:textId="77777777" w:rsidTr="0004735A">
        <w:trPr>
          <w:trHeight w:val="300"/>
        </w:trPr>
        <w:tc>
          <w:tcPr>
            <w:tcW w:w="1968" w:type="dxa"/>
            <w:tcBorders>
              <w:top w:val="nil"/>
              <w:left w:val="single" w:sz="8" w:space="0" w:color="auto"/>
              <w:bottom w:val="single" w:sz="4" w:space="0" w:color="auto"/>
              <w:right w:val="single" w:sz="8" w:space="0" w:color="auto"/>
            </w:tcBorders>
            <w:noWrap/>
            <w:vAlign w:val="bottom"/>
            <w:hideMark/>
          </w:tcPr>
          <w:p w14:paraId="259CEC8D" w14:textId="77777777" w:rsidR="0049576D" w:rsidRDefault="0049576D" w:rsidP="0004735A">
            <w:pPr>
              <w:spacing w:after="0" w:line="240" w:lineRule="auto"/>
              <w:rPr>
                <w:rFonts w:ascii="Calibri" w:eastAsia="Times New Roman" w:hAnsi="Calibri" w:cs="Calibri"/>
                <w:color w:val="000000"/>
                <w:lang w:eastAsia="pt-PT"/>
              </w:rPr>
            </w:pPr>
            <w:r>
              <w:rPr>
                <w:rFonts w:ascii="Calibri" w:eastAsia="Times New Roman" w:hAnsi="Calibri" w:cs="Calibri"/>
                <w:color w:val="000000"/>
                <w:lang w:eastAsia="pt-PT"/>
              </w:rPr>
              <w:t>PeaceParkF</w:t>
            </w:r>
          </w:p>
        </w:tc>
        <w:tc>
          <w:tcPr>
            <w:tcW w:w="1672" w:type="dxa"/>
            <w:tcBorders>
              <w:top w:val="nil"/>
              <w:left w:val="nil"/>
              <w:bottom w:val="single" w:sz="8" w:space="0" w:color="auto"/>
              <w:right w:val="single" w:sz="8" w:space="0" w:color="auto"/>
            </w:tcBorders>
            <w:noWrap/>
            <w:vAlign w:val="bottom"/>
            <w:hideMark/>
          </w:tcPr>
          <w:p w14:paraId="102BAC46"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$0,00</w:t>
            </w:r>
          </w:p>
        </w:tc>
        <w:tc>
          <w:tcPr>
            <w:tcW w:w="2180" w:type="dxa"/>
            <w:tcBorders>
              <w:top w:val="nil"/>
              <w:left w:val="nil"/>
              <w:bottom w:val="single" w:sz="8" w:space="0" w:color="auto"/>
              <w:right w:val="single" w:sz="8" w:space="0" w:color="auto"/>
            </w:tcBorders>
            <w:noWrap/>
            <w:vAlign w:val="bottom"/>
            <w:hideMark/>
          </w:tcPr>
          <w:p w14:paraId="767CC51B"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$104 115,72</w:t>
            </w:r>
          </w:p>
        </w:tc>
        <w:tc>
          <w:tcPr>
            <w:tcW w:w="1625" w:type="dxa"/>
            <w:tcBorders>
              <w:top w:val="nil"/>
              <w:left w:val="nil"/>
              <w:bottom w:val="single" w:sz="8" w:space="0" w:color="auto"/>
              <w:right w:val="single" w:sz="8" w:space="0" w:color="auto"/>
            </w:tcBorders>
            <w:noWrap/>
            <w:vAlign w:val="bottom"/>
            <w:hideMark/>
          </w:tcPr>
          <w:p w14:paraId="2BA2882F"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$104,115.2</w:t>
            </w:r>
          </w:p>
        </w:tc>
      </w:tr>
      <w:tr w:rsidR="0049576D" w14:paraId="24B36582" w14:textId="77777777" w:rsidTr="0004735A">
        <w:trPr>
          <w:trHeight w:val="300"/>
        </w:trPr>
        <w:tc>
          <w:tcPr>
            <w:tcW w:w="1968" w:type="dxa"/>
            <w:tcBorders>
              <w:top w:val="nil"/>
              <w:left w:val="single" w:sz="8" w:space="0" w:color="auto"/>
              <w:bottom w:val="single" w:sz="4" w:space="0" w:color="auto"/>
              <w:right w:val="single" w:sz="8" w:space="0" w:color="auto"/>
            </w:tcBorders>
            <w:noWrap/>
            <w:vAlign w:val="bottom"/>
            <w:hideMark/>
          </w:tcPr>
          <w:p w14:paraId="1A35ED80" w14:textId="77777777" w:rsidR="0049576D" w:rsidRDefault="0049576D" w:rsidP="0004735A">
            <w:pPr>
              <w:spacing w:after="0" w:line="240" w:lineRule="auto"/>
              <w:rPr>
                <w:rFonts w:ascii="Calibri" w:eastAsia="Times New Roman" w:hAnsi="Calibri" w:cs="Calibri"/>
                <w:color w:val="000000"/>
                <w:lang w:eastAsia="pt-PT"/>
              </w:rPr>
            </w:pPr>
            <w:r>
              <w:rPr>
                <w:rFonts w:ascii="Calibri" w:eastAsia="Times New Roman" w:hAnsi="Calibri" w:cs="Calibri"/>
                <w:color w:val="000000"/>
                <w:lang w:eastAsia="pt-PT"/>
              </w:rPr>
              <w:t>QFFD</w:t>
            </w:r>
          </w:p>
        </w:tc>
        <w:tc>
          <w:tcPr>
            <w:tcW w:w="1672" w:type="dxa"/>
            <w:tcBorders>
              <w:top w:val="nil"/>
              <w:left w:val="nil"/>
              <w:bottom w:val="single" w:sz="8" w:space="0" w:color="auto"/>
              <w:right w:val="single" w:sz="8" w:space="0" w:color="auto"/>
            </w:tcBorders>
            <w:noWrap/>
            <w:vAlign w:val="bottom"/>
            <w:hideMark/>
          </w:tcPr>
          <w:p w14:paraId="21E4F62F"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$16 485,17</w:t>
            </w:r>
          </w:p>
        </w:tc>
        <w:tc>
          <w:tcPr>
            <w:tcW w:w="2180" w:type="dxa"/>
            <w:tcBorders>
              <w:top w:val="nil"/>
              <w:left w:val="nil"/>
              <w:bottom w:val="single" w:sz="8" w:space="0" w:color="auto"/>
              <w:right w:val="single" w:sz="8" w:space="0" w:color="auto"/>
            </w:tcBorders>
            <w:noWrap/>
            <w:vAlign w:val="bottom"/>
            <w:hideMark/>
          </w:tcPr>
          <w:p w14:paraId="67C522C4"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$197 384,04</w:t>
            </w:r>
          </w:p>
        </w:tc>
        <w:tc>
          <w:tcPr>
            <w:tcW w:w="1625" w:type="dxa"/>
            <w:tcBorders>
              <w:top w:val="nil"/>
              <w:left w:val="nil"/>
              <w:bottom w:val="single" w:sz="8" w:space="0" w:color="auto"/>
              <w:right w:val="single" w:sz="8" w:space="0" w:color="auto"/>
            </w:tcBorders>
            <w:noWrap/>
            <w:vAlign w:val="bottom"/>
            <w:hideMark/>
          </w:tcPr>
          <w:p w14:paraId="10D3B42A"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$213,869.21</w:t>
            </w:r>
          </w:p>
        </w:tc>
      </w:tr>
      <w:tr w:rsidR="0049576D" w14:paraId="62801897" w14:textId="77777777" w:rsidTr="0004735A">
        <w:trPr>
          <w:trHeight w:val="300"/>
        </w:trPr>
        <w:tc>
          <w:tcPr>
            <w:tcW w:w="1968" w:type="dxa"/>
            <w:tcBorders>
              <w:top w:val="nil"/>
              <w:left w:val="single" w:sz="8" w:space="0" w:color="auto"/>
              <w:bottom w:val="single" w:sz="4" w:space="0" w:color="auto"/>
              <w:right w:val="single" w:sz="8" w:space="0" w:color="auto"/>
            </w:tcBorders>
            <w:noWrap/>
            <w:vAlign w:val="bottom"/>
            <w:hideMark/>
          </w:tcPr>
          <w:p w14:paraId="1149F330" w14:textId="77777777" w:rsidR="0049576D" w:rsidRDefault="0049576D" w:rsidP="0004735A">
            <w:pPr>
              <w:spacing w:after="0" w:line="240" w:lineRule="auto"/>
              <w:rPr>
                <w:rFonts w:ascii="Calibri" w:eastAsia="Times New Roman" w:hAnsi="Calibri" w:cs="Calibri"/>
                <w:color w:val="000000"/>
                <w:lang w:eastAsia="pt-PT"/>
              </w:rPr>
            </w:pPr>
            <w:r>
              <w:rPr>
                <w:rFonts w:ascii="Calibri" w:eastAsia="Times New Roman" w:hAnsi="Calibri" w:cs="Calibri"/>
                <w:color w:val="000000"/>
                <w:lang w:eastAsia="pt-PT"/>
              </w:rPr>
              <w:t>TURKEY</w:t>
            </w:r>
          </w:p>
        </w:tc>
        <w:tc>
          <w:tcPr>
            <w:tcW w:w="1672" w:type="dxa"/>
            <w:tcBorders>
              <w:top w:val="nil"/>
              <w:left w:val="nil"/>
              <w:bottom w:val="single" w:sz="8" w:space="0" w:color="auto"/>
              <w:right w:val="single" w:sz="8" w:space="0" w:color="auto"/>
            </w:tcBorders>
            <w:noWrap/>
            <w:vAlign w:val="bottom"/>
            <w:hideMark/>
          </w:tcPr>
          <w:p w14:paraId="5D032C70"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$43 201,69</w:t>
            </w:r>
          </w:p>
        </w:tc>
        <w:tc>
          <w:tcPr>
            <w:tcW w:w="2180" w:type="dxa"/>
            <w:tcBorders>
              <w:top w:val="nil"/>
              <w:left w:val="nil"/>
              <w:bottom w:val="single" w:sz="8" w:space="0" w:color="auto"/>
              <w:right w:val="single" w:sz="8" w:space="0" w:color="auto"/>
            </w:tcBorders>
            <w:noWrap/>
            <w:vAlign w:val="bottom"/>
            <w:hideMark/>
          </w:tcPr>
          <w:p w14:paraId="5DCCA0C6"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$56 411,94</w:t>
            </w:r>
          </w:p>
        </w:tc>
        <w:tc>
          <w:tcPr>
            <w:tcW w:w="1625" w:type="dxa"/>
            <w:tcBorders>
              <w:top w:val="nil"/>
              <w:left w:val="nil"/>
              <w:bottom w:val="single" w:sz="8" w:space="0" w:color="auto"/>
              <w:right w:val="single" w:sz="8" w:space="0" w:color="auto"/>
            </w:tcBorders>
            <w:noWrap/>
            <w:vAlign w:val="bottom"/>
            <w:hideMark/>
          </w:tcPr>
          <w:p w14:paraId="0E40AED7"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$99,613.63</w:t>
            </w:r>
          </w:p>
        </w:tc>
      </w:tr>
      <w:tr w:rsidR="0049576D" w14:paraId="5EFB1B3F" w14:textId="77777777" w:rsidTr="0004735A">
        <w:trPr>
          <w:trHeight w:val="300"/>
        </w:trPr>
        <w:tc>
          <w:tcPr>
            <w:tcW w:w="1968" w:type="dxa"/>
            <w:tcBorders>
              <w:top w:val="nil"/>
              <w:left w:val="single" w:sz="8" w:space="0" w:color="auto"/>
              <w:bottom w:val="single" w:sz="8" w:space="0" w:color="auto"/>
              <w:right w:val="single" w:sz="8" w:space="0" w:color="auto"/>
            </w:tcBorders>
            <w:noWrap/>
            <w:vAlign w:val="bottom"/>
            <w:hideMark/>
          </w:tcPr>
          <w:p w14:paraId="673C3251" w14:textId="77777777" w:rsidR="0049576D" w:rsidRDefault="0049576D" w:rsidP="0004735A">
            <w:pPr>
              <w:spacing w:after="0" w:line="240" w:lineRule="auto"/>
              <w:rPr>
                <w:rFonts w:ascii="Calibri" w:eastAsia="Times New Roman" w:hAnsi="Calibri" w:cs="Calibri"/>
                <w:color w:val="000000"/>
                <w:lang w:eastAsia="pt-PT"/>
              </w:rPr>
            </w:pPr>
            <w:r>
              <w:rPr>
                <w:rFonts w:ascii="Calibri" w:eastAsia="Times New Roman" w:hAnsi="Calibri" w:cs="Calibri"/>
                <w:color w:val="000000"/>
                <w:lang w:eastAsia="pt-PT"/>
              </w:rPr>
              <w:t>UKM</w:t>
            </w:r>
          </w:p>
        </w:tc>
        <w:tc>
          <w:tcPr>
            <w:tcW w:w="1672" w:type="dxa"/>
            <w:tcBorders>
              <w:top w:val="nil"/>
              <w:left w:val="nil"/>
              <w:bottom w:val="single" w:sz="8" w:space="0" w:color="auto"/>
              <w:right w:val="single" w:sz="8" w:space="0" w:color="auto"/>
            </w:tcBorders>
            <w:noWrap/>
            <w:vAlign w:val="bottom"/>
            <w:hideMark/>
          </w:tcPr>
          <w:p w14:paraId="0B6348FC"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$0,00</w:t>
            </w:r>
          </w:p>
        </w:tc>
        <w:tc>
          <w:tcPr>
            <w:tcW w:w="2180" w:type="dxa"/>
            <w:tcBorders>
              <w:top w:val="nil"/>
              <w:left w:val="nil"/>
              <w:bottom w:val="single" w:sz="8" w:space="0" w:color="auto"/>
              <w:right w:val="single" w:sz="8" w:space="0" w:color="auto"/>
            </w:tcBorders>
            <w:noWrap/>
            <w:vAlign w:val="bottom"/>
            <w:hideMark/>
          </w:tcPr>
          <w:p w14:paraId="7AF3B32D"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$52 164,00</w:t>
            </w:r>
          </w:p>
        </w:tc>
        <w:tc>
          <w:tcPr>
            <w:tcW w:w="1625" w:type="dxa"/>
            <w:tcBorders>
              <w:top w:val="nil"/>
              <w:left w:val="nil"/>
              <w:bottom w:val="single" w:sz="8" w:space="0" w:color="auto"/>
              <w:right w:val="single" w:sz="8" w:space="0" w:color="auto"/>
            </w:tcBorders>
            <w:noWrap/>
            <w:vAlign w:val="bottom"/>
            <w:hideMark/>
          </w:tcPr>
          <w:p w14:paraId="722DB80F"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$52,164</w:t>
            </w:r>
          </w:p>
        </w:tc>
      </w:tr>
      <w:tr w:rsidR="0049576D" w14:paraId="457EE17D" w14:textId="77777777" w:rsidTr="0004735A">
        <w:trPr>
          <w:trHeight w:val="300"/>
        </w:trPr>
        <w:tc>
          <w:tcPr>
            <w:tcW w:w="1968" w:type="dxa"/>
            <w:tcBorders>
              <w:top w:val="nil"/>
              <w:left w:val="single" w:sz="8" w:space="0" w:color="auto"/>
              <w:bottom w:val="single" w:sz="8" w:space="0" w:color="auto"/>
              <w:right w:val="single" w:sz="8" w:space="0" w:color="auto"/>
            </w:tcBorders>
            <w:noWrap/>
            <w:vAlign w:val="bottom"/>
            <w:hideMark/>
          </w:tcPr>
          <w:p w14:paraId="62512D35" w14:textId="77777777" w:rsidR="0049576D" w:rsidRDefault="0049576D" w:rsidP="0004735A">
            <w:pPr>
              <w:spacing w:after="0" w:line="240" w:lineRule="auto"/>
              <w:rPr>
                <w:rFonts w:ascii="Calibri" w:eastAsia="Times New Roman" w:hAnsi="Calibri" w:cs="Calibri"/>
                <w:color w:val="000000"/>
                <w:lang w:eastAsia="pt-PT"/>
              </w:rPr>
            </w:pPr>
            <w:r>
              <w:rPr>
                <w:rFonts w:ascii="Calibri" w:eastAsia="Times New Roman" w:hAnsi="Calibri" w:cs="Calibri"/>
                <w:color w:val="000000"/>
                <w:lang w:eastAsia="pt-PT"/>
              </w:rPr>
              <w:t>UNDP</w:t>
            </w:r>
          </w:p>
        </w:tc>
        <w:tc>
          <w:tcPr>
            <w:tcW w:w="1672" w:type="dxa"/>
            <w:tcBorders>
              <w:top w:val="nil"/>
              <w:left w:val="nil"/>
              <w:bottom w:val="single" w:sz="8" w:space="0" w:color="auto"/>
              <w:right w:val="single" w:sz="8" w:space="0" w:color="auto"/>
            </w:tcBorders>
            <w:noWrap/>
            <w:vAlign w:val="bottom"/>
            <w:hideMark/>
          </w:tcPr>
          <w:p w14:paraId="5F40249E"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$1 723 663,59</w:t>
            </w:r>
          </w:p>
        </w:tc>
        <w:tc>
          <w:tcPr>
            <w:tcW w:w="2180" w:type="dxa"/>
            <w:tcBorders>
              <w:top w:val="nil"/>
              <w:left w:val="nil"/>
              <w:bottom w:val="single" w:sz="8" w:space="0" w:color="auto"/>
              <w:right w:val="single" w:sz="8" w:space="0" w:color="auto"/>
            </w:tcBorders>
            <w:noWrap/>
            <w:vAlign w:val="bottom"/>
            <w:hideMark/>
          </w:tcPr>
          <w:p w14:paraId="3AC99D7C"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$2 761 013,32</w:t>
            </w:r>
          </w:p>
        </w:tc>
        <w:tc>
          <w:tcPr>
            <w:tcW w:w="1625" w:type="dxa"/>
            <w:tcBorders>
              <w:top w:val="nil"/>
              <w:left w:val="nil"/>
              <w:bottom w:val="single" w:sz="8" w:space="0" w:color="auto"/>
              <w:right w:val="single" w:sz="8" w:space="0" w:color="auto"/>
            </w:tcBorders>
            <w:noWrap/>
            <w:vAlign w:val="bottom"/>
            <w:hideMark/>
          </w:tcPr>
          <w:p w14:paraId="63AB80F3"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$4,484,676.91</w:t>
            </w:r>
          </w:p>
        </w:tc>
      </w:tr>
      <w:tr w:rsidR="0049576D" w14:paraId="12B8001B" w14:textId="77777777" w:rsidTr="0004735A">
        <w:trPr>
          <w:trHeight w:val="300"/>
        </w:trPr>
        <w:tc>
          <w:tcPr>
            <w:tcW w:w="1968" w:type="dxa"/>
            <w:tcBorders>
              <w:top w:val="nil"/>
              <w:left w:val="single" w:sz="8" w:space="0" w:color="auto"/>
              <w:bottom w:val="single" w:sz="8" w:space="0" w:color="auto"/>
              <w:right w:val="single" w:sz="8" w:space="0" w:color="auto"/>
            </w:tcBorders>
            <w:noWrap/>
            <w:vAlign w:val="bottom"/>
            <w:hideMark/>
          </w:tcPr>
          <w:p w14:paraId="2F9D51E0" w14:textId="77777777" w:rsidR="0049576D" w:rsidRDefault="0049576D" w:rsidP="0004735A">
            <w:pPr>
              <w:spacing w:after="0" w:line="240" w:lineRule="auto"/>
              <w:rPr>
                <w:rFonts w:ascii="Calibri" w:eastAsia="Times New Roman" w:hAnsi="Calibri" w:cs="Calibri"/>
                <w:color w:val="000000"/>
                <w:lang w:eastAsia="pt-PT"/>
              </w:rPr>
            </w:pPr>
            <w:r>
              <w:rPr>
                <w:rFonts w:ascii="Calibri" w:eastAsia="Times New Roman" w:hAnsi="Calibri" w:cs="Calibri"/>
                <w:color w:val="000000"/>
                <w:lang w:eastAsia="pt-PT"/>
              </w:rPr>
              <w:t>UNDP -FW</w:t>
            </w:r>
          </w:p>
        </w:tc>
        <w:tc>
          <w:tcPr>
            <w:tcW w:w="1672" w:type="dxa"/>
            <w:tcBorders>
              <w:top w:val="nil"/>
              <w:left w:val="nil"/>
              <w:bottom w:val="single" w:sz="8" w:space="0" w:color="auto"/>
              <w:right w:val="single" w:sz="8" w:space="0" w:color="auto"/>
            </w:tcBorders>
            <w:noWrap/>
            <w:vAlign w:val="bottom"/>
            <w:hideMark/>
          </w:tcPr>
          <w:p w14:paraId="415AD392"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$287 384,36</w:t>
            </w:r>
          </w:p>
        </w:tc>
        <w:tc>
          <w:tcPr>
            <w:tcW w:w="2180" w:type="dxa"/>
            <w:tcBorders>
              <w:top w:val="nil"/>
              <w:left w:val="nil"/>
              <w:bottom w:val="single" w:sz="8" w:space="0" w:color="auto"/>
              <w:right w:val="single" w:sz="8" w:space="0" w:color="auto"/>
            </w:tcBorders>
            <w:noWrap/>
            <w:vAlign w:val="bottom"/>
            <w:hideMark/>
          </w:tcPr>
          <w:p w14:paraId="54734FAB"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$1,00</w:t>
            </w:r>
          </w:p>
        </w:tc>
        <w:tc>
          <w:tcPr>
            <w:tcW w:w="1625" w:type="dxa"/>
            <w:tcBorders>
              <w:top w:val="nil"/>
              <w:left w:val="nil"/>
              <w:bottom w:val="single" w:sz="8" w:space="0" w:color="auto"/>
              <w:right w:val="single" w:sz="8" w:space="0" w:color="auto"/>
            </w:tcBorders>
            <w:noWrap/>
            <w:vAlign w:val="bottom"/>
            <w:hideMark/>
          </w:tcPr>
          <w:p w14:paraId="66C445D6"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$287,385.36</w:t>
            </w:r>
          </w:p>
        </w:tc>
      </w:tr>
      <w:tr w:rsidR="0049576D" w14:paraId="1C3D5F6C" w14:textId="77777777" w:rsidTr="0004735A">
        <w:trPr>
          <w:trHeight w:val="300"/>
        </w:trPr>
        <w:tc>
          <w:tcPr>
            <w:tcW w:w="1968" w:type="dxa"/>
            <w:tcBorders>
              <w:top w:val="nil"/>
              <w:left w:val="single" w:sz="8" w:space="0" w:color="auto"/>
              <w:bottom w:val="single" w:sz="8" w:space="0" w:color="auto"/>
              <w:right w:val="single" w:sz="8" w:space="0" w:color="auto"/>
            </w:tcBorders>
            <w:vAlign w:val="center"/>
            <w:hideMark/>
          </w:tcPr>
          <w:p w14:paraId="37E8CBB9" w14:textId="77777777" w:rsidR="0049576D" w:rsidRDefault="0049576D" w:rsidP="0004735A">
            <w:pPr>
              <w:spacing w:after="0" w:line="240" w:lineRule="auto"/>
              <w:jc w:val="both"/>
              <w:rPr>
                <w:rFonts w:ascii="Calibri" w:eastAsia="Times New Roman" w:hAnsi="Calibri" w:cs="Calibri"/>
                <w:color w:val="000000"/>
                <w:lang w:eastAsia="pt-PT"/>
              </w:rPr>
            </w:pPr>
            <w:r>
              <w:rPr>
                <w:rFonts w:ascii="Calibri" w:eastAsia="Times New Roman" w:hAnsi="Calibri" w:cs="Calibri"/>
                <w:color w:val="000000"/>
                <w:lang w:eastAsia="pt-PT"/>
              </w:rPr>
              <w:t>UNICEF</w:t>
            </w:r>
          </w:p>
        </w:tc>
        <w:tc>
          <w:tcPr>
            <w:tcW w:w="1672" w:type="dxa"/>
            <w:tcBorders>
              <w:top w:val="nil"/>
              <w:left w:val="nil"/>
              <w:bottom w:val="single" w:sz="8" w:space="0" w:color="auto"/>
              <w:right w:val="single" w:sz="8" w:space="0" w:color="auto"/>
            </w:tcBorders>
            <w:noWrap/>
            <w:vAlign w:val="bottom"/>
            <w:hideMark/>
          </w:tcPr>
          <w:p w14:paraId="78DC4FB8"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$164,00</w:t>
            </w:r>
          </w:p>
        </w:tc>
        <w:tc>
          <w:tcPr>
            <w:tcW w:w="2180" w:type="dxa"/>
            <w:tcBorders>
              <w:top w:val="nil"/>
              <w:left w:val="nil"/>
              <w:bottom w:val="single" w:sz="8" w:space="0" w:color="auto"/>
              <w:right w:val="single" w:sz="8" w:space="0" w:color="auto"/>
            </w:tcBorders>
            <w:noWrap/>
            <w:vAlign w:val="bottom"/>
            <w:hideMark/>
          </w:tcPr>
          <w:p w14:paraId="36EB4C0B"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$164,00</w:t>
            </w:r>
          </w:p>
        </w:tc>
        <w:tc>
          <w:tcPr>
            <w:tcW w:w="1625" w:type="dxa"/>
            <w:tcBorders>
              <w:top w:val="nil"/>
              <w:left w:val="nil"/>
              <w:bottom w:val="single" w:sz="8" w:space="0" w:color="auto"/>
              <w:right w:val="single" w:sz="8" w:space="0" w:color="auto"/>
            </w:tcBorders>
            <w:noWrap/>
            <w:vAlign w:val="bottom"/>
            <w:hideMark/>
          </w:tcPr>
          <w:p w14:paraId="7BD101C2"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$328</w:t>
            </w:r>
          </w:p>
        </w:tc>
      </w:tr>
      <w:tr w:rsidR="0049576D" w14:paraId="41A3ECEA" w14:textId="77777777" w:rsidTr="0004735A">
        <w:trPr>
          <w:trHeight w:val="300"/>
        </w:trPr>
        <w:tc>
          <w:tcPr>
            <w:tcW w:w="1968" w:type="dxa"/>
            <w:tcBorders>
              <w:top w:val="nil"/>
              <w:left w:val="single" w:sz="8" w:space="0" w:color="auto"/>
              <w:bottom w:val="nil"/>
              <w:right w:val="single" w:sz="8" w:space="0" w:color="auto"/>
            </w:tcBorders>
            <w:noWrap/>
            <w:vAlign w:val="bottom"/>
            <w:hideMark/>
          </w:tcPr>
          <w:p w14:paraId="79827418" w14:textId="77777777" w:rsidR="0049576D" w:rsidRDefault="0049576D" w:rsidP="0004735A">
            <w:pPr>
              <w:spacing w:after="0" w:line="240" w:lineRule="auto"/>
              <w:rPr>
                <w:rFonts w:ascii="Calibri" w:eastAsia="Times New Roman" w:hAnsi="Calibri" w:cs="Calibri"/>
                <w:color w:val="000000"/>
                <w:lang w:eastAsia="pt-PT"/>
              </w:rPr>
            </w:pPr>
            <w:r>
              <w:rPr>
                <w:rFonts w:ascii="Calibri" w:eastAsia="Times New Roman" w:hAnsi="Calibri" w:cs="Calibri"/>
                <w:color w:val="000000"/>
                <w:lang w:eastAsia="pt-PT"/>
              </w:rPr>
              <w:t>USAID</w:t>
            </w:r>
          </w:p>
        </w:tc>
        <w:tc>
          <w:tcPr>
            <w:tcW w:w="1672" w:type="dxa"/>
            <w:tcBorders>
              <w:top w:val="nil"/>
              <w:left w:val="nil"/>
              <w:bottom w:val="nil"/>
              <w:right w:val="single" w:sz="8" w:space="0" w:color="auto"/>
            </w:tcBorders>
            <w:noWrap/>
            <w:vAlign w:val="bottom"/>
            <w:hideMark/>
          </w:tcPr>
          <w:p w14:paraId="1CACAFF6"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$0,00</w:t>
            </w:r>
          </w:p>
        </w:tc>
        <w:tc>
          <w:tcPr>
            <w:tcW w:w="2180" w:type="dxa"/>
            <w:tcBorders>
              <w:top w:val="nil"/>
              <w:left w:val="nil"/>
              <w:bottom w:val="nil"/>
              <w:right w:val="single" w:sz="8" w:space="0" w:color="auto"/>
            </w:tcBorders>
            <w:noWrap/>
            <w:vAlign w:val="bottom"/>
            <w:hideMark/>
          </w:tcPr>
          <w:p w14:paraId="27E731EE"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$986,00</w:t>
            </w:r>
          </w:p>
        </w:tc>
        <w:tc>
          <w:tcPr>
            <w:tcW w:w="1625" w:type="dxa"/>
            <w:tcBorders>
              <w:top w:val="nil"/>
              <w:left w:val="nil"/>
              <w:bottom w:val="single" w:sz="8" w:space="0" w:color="auto"/>
              <w:right w:val="single" w:sz="8" w:space="0" w:color="auto"/>
            </w:tcBorders>
            <w:noWrap/>
            <w:vAlign w:val="bottom"/>
            <w:hideMark/>
          </w:tcPr>
          <w:p w14:paraId="6B734ED3" w14:textId="77777777" w:rsidR="0049576D" w:rsidRDefault="0049576D" w:rsidP="0004735A">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$986.00</w:t>
            </w:r>
          </w:p>
        </w:tc>
      </w:tr>
      <w:tr w:rsidR="0049576D" w14:paraId="1E199B0A" w14:textId="77777777" w:rsidTr="0004735A">
        <w:trPr>
          <w:trHeight w:val="310"/>
        </w:trPr>
        <w:tc>
          <w:tcPr>
            <w:tcW w:w="1968" w:type="dxa"/>
            <w:tcBorders>
              <w:top w:val="single" w:sz="12" w:space="0" w:color="auto"/>
              <w:left w:val="single" w:sz="8" w:space="0" w:color="auto"/>
              <w:bottom w:val="single" w:sz="12" w:space="0" w:color="auto"/>
              <w:right w:val="single" w:sz="8" w:space="0" w:color="auto"/>
            </w:tcBorders>
            <w:noWrap/>
            <w:vAlign w:val="bottom"/>
            <w:hideMark/>
          </w:tcPr>
          <w:p w14:paraId="48C49504" w14:textId="77777777" w:rsidR="0049576D" w:rsidRDefault="0049576D" w:rsidP="0004735A">
            <w:pPr>
              <w:spacing w:after="0" w:line="240" w:lineRule="auto"/>
              <w:rPr>
                <w:rFonts w:ascii="Calibri" w:eastAsia="Times New Roman" w:hAnsi="Calibri" w:cs="Calibri"/>
                <w:color w:val="000000"/>
                <w:lang w:eastAsia="pt-PT"/>
              </w:rPr>
            </w:pPr>
            <w:r>
              <w:rPr>
                <w:rFonts w:ascii="Calibri" w:eastAsia="Times New Roman" w:hAnsi="Calibri" w:cs="Calibri"/>
                <w:color w:val="000000"/>
                <w:lang w:eastAsia="pt-PT"/>
              </w:rPr>
              <w:t> </w:t>
            </w:r>
          </w:p>
        </w:tc>
        <w:tc>
          <w:tcPr>
            <w:tcW w:w="1672" w:type="dxa"/>
            <w:tcBorders>
              <w:top w:val="single" w:sz="12" w:space="0" w:color="auto"/>
              <w:left w:val="nil"/>
              <w:bottom w:val="single" w:sz="12" w:space="0" w:color="auto"/>
              <w:right w:val="single" w:sz="8" w:space="0" w:color="auto"/>
            </w:tcBorders>
            <w:noWrap/>
            <w:vAlign w:val="bottom"/>
            <w:hideMark/>
          </w:tcPr>
          <w:p w14:paraId="38958349" w14:textId="77777777" w:rsidR="0049576D" w:rsidRDefault="0049576D" w:rsidP="0004735A">
            <w:pPr>
              <w:spacing w:after="0" w:line="240" w:lineRule="auto"/>
              <w:jc w:val="right"/>
              <w:rPr>
                <w:rFonts w:ascii="Calibri" w:eastAsia="Times New Roman" w:hAnsi="Calibri" w:cs="Calibri"/>
                <w:b/>
                <w:bCs/>
                <w:color w:val="000000"/>
                <w:lang w:eastAsia="pt-PT"/>
              </w:rPr>
            </w:pPr>
            <w:r>
              <w:rPr>
                <w:rFonts w:ascii="Calibri" w:eastAsia="Times New Roman" w:hAnsi="Calibri" w:cs="Calibri"/>
                <w:b/>
                <w:bCs/>
                <w:color w:val="000000"/>
                <w:lang w:eastAsia="pt-PT"/>
              </w:rPr>
              <w:t>$19 780 116,33</w:t>
            </w:r>
          </w:p>
        </w:tc>
        <w:tc>
          <w:tcPr>
            <w:tcW w:w="2180" w:type="dxa"/>
            <w:tcBorders>
              <w:top w:val="single" w:sz="12" w:space="0" w:color="auto"/>
              <w:left w:val="nil"/>
              <w:bottom w:val="single" w:sz="12" w:space="0" w:color="auto"/>
              <w:right w:val="single" w:sz="8" w:space="0" w:color="auto"/>
            </w:tcBorders>
            <w:noWrap/>
            <w:vAlign w:val="bottom"/>
            <w:hideMark/>
          </w:tcPr>
          <w:p w14:paraId="5ADA5046" w14:textId="77777777" w:rsidR="0049576D" w:rsidRDefault="0049576D" w:rsidP="0004735A">
            <w:pPr>
              <w:spacing w:after="0" w:line="240" w:lineRule="auto"/>
              <w:jc w:val="right"/>
              <w:rPr>
                <w:rFonts w:ascii="Calibri" w:eastAsia="Times New Roman" w:hAnsi="Calibri" w:cs="Calibri"/>
                <w:b/>
                <w:bCs/>
                <w:color w:val="000000"/>
                <w:lang w:eastAsia="pt-PT"/>
              </w:rPr>
            </w:pPr>
            <w:r>
              <w:rPr>
                <w:rFonts w:ascii="Calibri" w:eastAsia="Times New Roman" w:hAnsi="Calibri" w:cs="Calibri"/>
                <w:b/>
                <w:bCs/>
                <w:color w:val="000000"/>
                <w:lang w:eastAsia="pt-PT"/>
              </w:rPr>
              <w:t>$45 074 148,38</w:t>
            </w:r>
          </w:p>
        </w:tc>
        <w:tc>
          <w:tcPr>
            <w:tcW w:w="1625" w:type="dxa"/>
            <w:tcBorders>
              <w:top w:val="single" w:sz="12" w:space="0" w:color="auto"/>
              <w:left w:val="nil"/>
              <w:bottom w:val="single" w:sz="12" w:space="0" w:color="auto"/>
              <w:right w:val="single" w:sz="8" w:space="0" w:color="auto"/>
            </w:tcBorders>
            <w:noWrap/>
            <w:vAlign w:val="bottom"/>
            <w:hideMark/>
          </w:tcPr>
          <w:p w14:paraId="04467595" w14:textId="77777777" w:rsidR="0049576D" w:rsidRDefault="0049576D" w:rsidP="0004735A">
            <w:pPr>
              <w:spacing w:after="0" w:line="240" w:lineRule="auto"/>
              <w:rPr>
                <w:rFonts w:ascii="Calibri" w:eastAsia="Times New Roman" w:hAnsi="Calibri" w:cs="Calibri"/>
                <w:color w:val="000000"/>
                <w:lang w:eastAsia="pt-PT"/>
              </w:rPr>
            </w:pPr>
            <w:r>
              <w:rPr>
                <w:rFonts w:ascii="Calibri" w:eastAsia="Times New Roman" w:hAnsi="Calibri" w:cs="Calibri"/>
                <w:color w:val="000000"/>
                <w:lang w:eastAsia="pt-PT"/>
              </w:rPr>
              <w:t>       $64,811,063</w:t>
            </w:r>
          </w:p>
        </w:tc>
      </w:tr>
    </w:tbl>
    <w:p w14:paraId="06A955E1" w14:textId="52F029D1" w:rsidR="00B20628" w:rsidRDefault="00B20628" w:rsidP="00B20628">
      <w:pPr>
        <w:pStyle w:val="Heading2"/>
        <w:rPr>
          <w:rFonts w:asciiTheme="minorHAnsi" w:hAnsiTheme="minorHAnsi" w:cstheme="minorHAnsi"/>
          <w:sz w:val="22"/>
          <w:szCs w:val="22"/>
        </w:rPr>
      </w:pPr>
      <w:bookmarkStart w:id="15" w:name="_Toc88741772"/>
      <w:r w:rsidRPr="00B20628">
        <w:rPr>
          <w:rFonts w:asciiTheme="minorHAnsi" w:hAnsiTheme="minorHAnsi" w:cstheme="minorHAnsi"/>
          <w:sz w:val="22"/>
          <w:szCs w:val="22"/>
        </w:rPr>
        <w:t>2.3 Programme Expenditures and Delivery</w:t>
      </w:r>
      <w:bookmarkEnd w:id="15"/>
    </w:p>
    <w:p w14:paraId="0F435BA5" w14:textId="3F7978D8" w:rsidR="00A2494F" w:rsidRPr="00A2494F" w:rsidRDefault="00A2494F" w:rsidP="00A2494F">
      <w:pPr>
        <w:pStyle w:val="Heading3"/>
        <w:rPr>
          <w:rFonts w:asciiTheme="minorHAnsi" w:hAnsiTheme="minorHAnsi" w:cstheme="minorHAnsi"/>
          <w:sz w:val="22"/>
          <w:szCs w:val="22"/>
        </w:rPr>
      </w:pPr>
      <w:bookmarkStart w:id="16" w:name="_Toc88741773"/>
      <w:r w:rsidRPr="00A2494F">
        <w:rPr>
          <w:rFonts w:asciiTheme="minorHAnsi" w:hAnsiTheme="minorHAnsi" w:cstheme="minorHAnsi"/>
          <w:sz w:val="22"/>
          <w:szCs w:val="22"/>
        </w:rPr>
        <w:t>2.3.1 Country Office Performance in 2020 and 2021</w:t>
      </w:r>
      <w:bookmarkEnd w:id="16"/>
      <w:r w:rsidRPr="00A2494F">
        <w:rPr>
          <w:rFonts w:asciiTheme="minorHAnsi" w:hAnsiTheme="minorHAnsi" w:cstheme="minorHAnsi"/>
          <w:sz w:val="22"/>
          <w:szCs w:val="22"/>
        </w:rPr>
        <w:t xml:space="preserve"> </w:t>
      </w:r>
    </w:p>
    <w:p w14:paraId="43F37EF0" w14:textId="3A698107" w:rsidR="00377755" w:rsidRDefault="004F3426" w:rsidP="00924178">
      <w:pPr>
        <w:jc w:val="both"/>
      </w:pPr>
      <w:r>
        <w:t xml:space="preserve">Combined delivery </w:t>
      </w:r>
      <w:r w:rsidR="00377755">
        <w:t xml:space="preserve">of the UNDP Country Office for 2020 and 2021 </w:t>
      </w:r>
      <w:r>
        <w:t>as at end September 2021 amounts to 38%</w:t>
      </w:r>
      <w:r w:rsidR="00377755">
        <w:t xml:space="preserve">. While delivery was </w:t>
      </w:r>
      <w:r w:rsidR="00924178">
        <w:t>60</w:t>
      </w:r>
      <w:r w:rsidR="00377755">
        <w:t xml:space="preserve">% in 2020, delivery so far for 2021 as at end September was </w:t>
      </w:r>
      <w:r w:rsidR="00924178">
        <w:t>28.2%</w:t>
      </w:r>
      <w:r w:rsidR="00377755">
        <w:t xml:space="preserve">- see Table </w:t>
      </w:r>
      <w:r w:rsidR="0049576D">
        <w:t>4</w:t>
      </w:r>
      <w:r w:rsidR="00377755">
        <w:t xml:space="preserve"> below. Annex </w:t>
      </w:r>
      <w:r w:rsidR="001728A0">
        <w:t>1</w:t>
      </w:r>
      <w:r w:rsidR="00377755">
        <w:t xml:space="preserve"> presents delivery performance at project and</w:t>
      </w:r>
      <w:r w:rsidR="00FB36E7">
        <w:t xml:space="preserve"> </w:t>
      </w:r>
      <w:r w:rsidR="00377755">
        <w:t xml:space="preserve">cluster level for 2020 and 2021. </w:t>
      </w:r>
    </w:p>
    <w:tbl>
      <w:tblPr>
        <w:tblW w:w="11339" w:type="dxa"/>
        <w:tblInd w:w="-995" w:type="dxa"/>
        <w:tblCellMar>
          <w:left w:w="70" w:type="dxa"/>
          <w:right w:w="70" w:type="dxa"/>
        </w:tblCellMar>
        <w:tblLook w:val="04A0" w:firstRow="1" w:lastRow="0" w:firstColumn="1" w:lastColumn="0" w:noHBand="0" w:noVBand="1"/>
      </w:tblPr>
      <w:tblGrid>
        <w:gridCol w:w="2249"/>
        <w:gridCol w:w="1350"/>
        <w:gridCol w:w="1260"/>
        <w:gridCol w:w="1260"/>
        <w:gridCol w:w="1260"/>
        <w:gridCol w:w="1350"/>
        <w:gridCol w:w="1350"/>
        <w:gridCol w:w="1260"/>
      </w:tblGrid>
      <w:tr w:rsidR="00702F17" w:rsidRPr="00702F17" w14:paraId="38F4B965" w14:textId="687B580F" w:rsidTr="00702F17">
        <w:trPr>
          <w:trHeight w:val="290"/>
        </w:trPr>
        <w:tc>
          <w:tcPr>
            <w:tcW w:w="4859" w:type="dxa"/>
            <w:gridSpan w:val="3"/>
            <w:tcBorders>
              <w:top w:val="nil"/>
              <w:left w:val="nil"/>
              <w:bottom w:val="nil"/>
              <w:right w:val="nil"/>
            </w:tcBorders>
            <w:shd w:val="clear" w:color="auto" w:fill="auto"/>
            <w:noWrap/>
            <w:vAlign w:val="bottom"/>
            <w:hideMark/>
          </w:tcPr>
          <w:p w14:paraId="6F599839" w14:textId="667C1082" w:rsidR="00702F17" w:rsidRPr="00702F17" w:rsidRDefault="00702F17" w:rsidP="0004735A">
            <w:pPr>
              <w:spacing w:after="0" w:line="240" w:lineRule="auto"/>
              <w:rPr>
                <w:rFonts w:ascii="Calibri" w:eastAsia="Times New Roman" w:hAnsi="Calibri" w:cs="Calibri"/>
                <w:b/>
                <w:bCs/>
                <w:color w:val="000000"/>
                <w:sz w:val="20"/>
                <w:szCs w:val="20"/>
                <w:lang w:eastAsia="pt-PT"/>
              </w:rPr>
            </w:pPr>
            <w:r w:rsidRPr="00702F17">
              <w:rPr>
                <w:rFonts w:ascii="Calibri" w:eastAsia="Times New Roman" w:hAnsi="Calibri" w:cs="Calibri"/>
                <w:b/>
                <w:bCs/>
                <w:color w:val="000000"/>
                <w:sz w:val="20"/>
                <w:szCs w:val="20"/>
                <w:lang w:eastAsia="pt-PT"/>
              </w:rPr>
              <w:t xml:space="preserve">Table </w:t>
            </w:r>
            <w:r w:rsidR="0049576D">
              <w:rPr>
                <w:rFonts w:ascii="Calibri" w:eastAsia="Times New Roman" w:hAnsi="Calibri" w:cs="Calibri"/>
                <w:b/>
                <w:bCs/>
                <w:color w:val="000000"/>
                <w:sz w:val="20"/>
                <w:szCs w:val="20"/>
                <w:lang w:eastAsia="pt-PT"/>
              </w:rPr>
              <w:t>4</w:t>
            </w:r>
            <w:r w:rsidRPr="00702F17">
              <w:rPr>
                <w:rFonts w:ascii="Calibri" w:eastAsia="Times New Roman" w:hAnsi="Calibri" w:cs="Calibri"/>
                <w:b/>
                <w:bCs/>
                <w:color w:val="000000"/>
                <w:sz w:val="20"/>
                <w:szCs w:val="20"/>
                <w:lang w:eastAsia="pt-PT"/>
              </w:rPr>
              <w:t>: Delivery by Programme Cluster</w:t>
            </w:r>
          </w:p>
        </w:tc>
        <w:tc>
          <w:tcPr>
            <w:tcW w:w="1260" w:type="dxa"/>
            <w:tcBorders>
              <w:top w:val="nil"/>
              <w:left w:val="nil"/>
              <w:bottom w:val="nil"/>
              <w:right w:val="nil"/>
            </w:tcBorders>
            <w:shd w:val="clear" w:color="auto" w:fill="auto"/>
            <w:noWrap/>
            <w:vAlign w:val="bottom"/>
            <w:hideMark/>
          </w:tcPr>
          <w:p w14:paraId="5B31B725" w14:textId="77777777" w:rsidR="00702F17" w:rsidRPr="00702F17" w:rsidRDefault="00702F17" w:rsidP="0004735A">
            <w:pPr>
              <w:spacing w:after="0" w:line="240" w:lineRule="auto"/>
              <w:rPr>
                <w:rFonts w:ascii="Calibri" w:eastAsia="Times New Roman" w:hAnsi="Calibri" w:cs="Calibri"/>
                <w:b/>
                <w:bCs/>
                <w:color w:val="000000"/>
                <w:sz w:val="20"/>
                <w:szCs w:val="20"/>
                <w:lang w:eastAsia="pt-PT"/>
              </w:rPr>
            </w:pPr>
          </w:p>
        </w:tc>
        <w:tc>
          <w:tcPr>
            <w:tcW w:w="1260" w:type="dxa"/>
            <w:tcBorders>
              <w:top w:val="nil"/>
              <w:left w:val="nil"/>
              <w:bottom w:val="nil"/>
              <w:right w:val="nil"/>
            </w:tcBorders>
            <w:shd w:val="clear" w:color="auto" w:fill="auto"/>
            <w:noWrap/>
            <w:vAlign w:val="bottom"/>
            <w:hideMark/>
          </w:tcPr>
          <w:p w14:paraId="1D4BEAC6" w14:textId="77777777" w:rsidR="00702F17" w:rsidRPr="00702F17" w:rsidRDefault="00702F17" w:rsidP="0004735A">
            <w:pPr>
              <w:spacing w:after="0" w:line="240" w:lineRule="auto"/>
              <w:rPr>
                <w:rFonts w:ascii="Times New Roman" w:eastAsia="Times New Roman" w:hAnsi="Times New Roman" w:cs="Times New Roman"/>
                <w:sz w:val="20"/>
                <w:szCs w:val="20"/>
                <w:lang w:eastAsia="pt-PT"/>
              </w:rPr>
            </w:pPr>
          </w:p>
        </w:tc>
        <w:tc>
          <w:tcPr>
            <w:tcW w:w="1350" w:type="dxa"/>
            <w:tcBorders>
              <w:top w:val="nil"/>
              <w:left w:val="nil"/>
              <w:bottom w:val="nil"/>
              <w:right w:val="nil"/>
            </w:tcBorders>
            <w:shd w:val="clear" w:color="auto" w:fill="auto"/>
            <w:noWrap/>
            <w:vAlign w:val="bottom"/>
            <w:hideMark/>
          </w:tcPr>
          <w:p w14:paraId="047A69BA" w14:textId="77777777" w:rsidR="00702F17" w:rsidRPr="00702F17" w:rsidRDefault="00702F17" w:rsidP="0004735A">
            <w:pPr>
              <w:spacing w:after="0" w:line="240" w:lineRule="auto"/>
              <w:rPr>
                <w:rFonts w:ascii="Times New Roman" w:eastAsia="Times New Roman" w:hAnsi="Times New Roman" w:cs="Times New Roman"/>
                <w:sz w:val="20"/>
                <w:szCs w:val="20"/>
                <w:lang w:eastAsia="pt-PT"/>
              </w:rPr>
            </w:pPr>
          </w:p>
        </w:tc>
        <w:tc>
          <w:tcPr>
            <w:tcW w:w="1350" w:type="dxa"/>
            <w:tcBorders>
              <w:top w:val="nil"/>
              <w:left w:val="nil"/>
              <w:bottom w:val="nil"/>
              <w:right w:val="nil"/>
            </w:tcBorders>
            <w:shd w:val="clear" w:color="auto" w:fill="auto"/>
            <w:noWrap/>
            <w:vAlign w:val="bottom"/>
            <w:hideMark/>
          </w:tcPr>
          <w:p w14:paraId="6736B619" w14:textId="77777777" w:rsidR="00702F17" w:rsidRPr="00702F17" w:rsidRDefault="00702F17" w:rsidP="0004735A">
            <w:pPr>
              <w:spacing w:after="0" w:line="240" w:lineRule="auto"/>
              <w:rPr>
                <w:rFonts w:ascii="Times New Roman" w:eastAsia="Times New Roman" w:hAnsi="Times New Roman" w:cs="Times New Roman"/>
                <w:sz w:val="20"/>
                <w:szCs w:val="20"/>
                <w:lang w:eastAsia="pt-PT"/>
              </w:rPr>
            </w:pPr>
          </w:p>
        </w:tc>
        <w:tc>
          <w:tcPr>
            <w:tcW w:w="1260" w:type="dxa"/>
            <w:tcBorders>
              <w:top w:val="nil"/>
              <w:left w:val="nil"/>
              <w:bottom w:val="nil"/>
              <w:right w:val="nil"/>
            </w:tcBorders>
          </w:tcPr>
          <w:p w14:paraId="5EEE2CDC" w14:textId="77777777" w:rsidR="00702F17" w:rsidRPr="00702F17" w:rsidRDefault="00702F17" w:rsidP="0004735A">
            <w:pPr>
              <w:spacing w:after="0" w:line="240" w:lineRule="auto"/>
              <w:rPr>
                <w:rFonts w:ascii="Times New Roman" w:eastAsia="Times New Roman" w:hAnsi="Times New Roman" w:cs="Times New Roman"/>
                <w:sz w:val="20"/>
                <w:szCs w:val="20"/>
                <w:lang w:eastAsia="pt-PT"/>
              </w:rPr>
            </w:pPr>
          </w:p>
        </w:tc>
      </w:tr>
      <w:tr w:rsidR="00702F17" w:rsidRPr="00702F17" w14:paraId="06A16A65" w14:textId="723BE5F6" w:rsidTr="00702F17">
        <w:trPr>
          <w:trHeight w:val="300"/>
        </w:trPr>
        <w:tc>
          <w:tcPr>
            <w:tcW w:w="2249" w:type="dxa"/>
            <w:vMerge w:val="restart"/>
            <w:tcBorders>
              <w:top w:val="single" w:sz="8" w:space="0" w:color="auto"/>
              <w:left w:val="single" w:sz="8" w:space="0" w:color="auto"/>
              <w:right w:val="single" w:sz="8" w:space="0" w:color="auto"/>
            </w:tcBorders>
            <w:shd w:val="clear" w:color="auto" w:fill="auto"/>
            <w:noWrap/>
            <w:vAlign w:val="bottom"/>
            <w:hideMark/>
          </w:tcPr>
          <w:p w14:paraId="1F792924" w14:textId="77777777" w:rsidR="00702F17" w:rsidRPr="00702F17" w:rsidRDefault="00702F17" w:rsidP="0004735A">
            <w:pPr>
              <w:spacing w:after="0" w:line="240" w:lineRule="auto"/>
              <w:rPr>
                <w:rFonts w:ascii="Calibri" w:eastAsia="Times New Roman" w:hAnsi="Calibri" w:cs="Calibri"/>
                <w:b/>
                <w:bCs/>
                <w:color w:val="000000"/>
                <w:sz w:val="20"/>
                <w:szCs w:val="20"/>
                <w:lang w:eastAsia="pt-PT"/>
              </w:rPr>
            </w:pPr>
            <w:r w:rsidRPr="00702F17">
              <w:rPr>
                <w:rFonts w:ascii="Calibri" w:eastAsia="Times New Roman" w:hAnsi="Calibri" w:cs="Calibri"/>
                <w:b/>
                <w:bCs/>
                <w:color w:val="000000"/>
                <w:sz w:val="20"/>
                <w:szCs w:val="20"/>
                <w:lang w:eastAsia="pt-PT"/>
              </w:rPr>
              <w:t> </w:t>
            </w:r>
          </w:p>
          <w:p w14:paraId="062C0E91" w14:textId="77777777" w:rsidR="00702F17" w:rsidRPr="00702F17" w:rsidRDefault="00702F17" w:rsidP="0004735A">
            <w:pPr>
              <w:spacing w:after="0" w:line="240" w:lineRule="auto"/>
              <w:rPr>
                <w:rFonts w:ascii="Calibri" w:eastAsia="Times New Roman" w:hAnsi="Calibri" w:cs="Calibri"/>
                <w:b/>
                <w:bCs/>
                <w:color w:val="000000"/>
                <w:sz w:val="20"/>
                <w:szCs w:val="20"/>
                <w:lang w:eastAsia="pt-PT"/>
              </w:rPr>
            </w:pPr>
            <w:r w:rsidRPr="00702F17">
              <w:rPr>
                <w:rFonts w:ascii="Calibri" w:eastAsia="Times New Roman" w:hAnsi="Calibri" w:cs="Calibri"/>
                <w:b/>
                <w:bCs/>
                <w:color w:val="000000"/>
                <w:sz w:val="20"/>
                <w:szCs w:val="20"/>
                <w:lang w:eastAsia="pt-PT"/>
              </w:rPr>
              <w:t> </w:t>
            </w:r>
          </w:p>
        </w:tc>
        <w:tc>
          <w:tcPr>
            <w:tcW w:w="2610" w:type="dxa"/>
            <w:gridSpan w:val="2"/>
            <w:tcBorders>
              <w:top w:val="single" w:sz="8" w:space="0" w:color="auto"/>
              <w:left w:val="nil"/>
              <w:bottom w:val="single" w:sz="8" w:space="0" w:color="auto"/>
              <w:right w:val="single" w:sz="8" w:space="0" w:color="auto"/>
            </w:tcBorders>
            <w:shd w:val="clear" w:color="auto" w:fill="auto"/>
            <w:noWrap/>
            <w:vAlign w:val="bottom"/>
            <w:hideMark/>
          </w:tcPr>
          <w:p w14:paraId="633784E6" w14:textId="77777777" w:rsidR="00702F17" w:rsidRPr="00702F17" w:rsidRDefault="00702F17" w:rsidP="0004735A">
            <w:pPr>
              <w:spacing w:after="0" w:line="240" w:lineRule="auto"/>
              <w:jc w:val="center"/>
              <w:rPr>
                <w:rFonts w:ascii="Calibri" w:eastAsia="Times New Roman" w:hAnsi="Calibri" w:cs="Calibri"/>
                <w:b/>
                <w:bCs/>
                <w:color w:val="000000"/>
                <w:sz w:val="20"/>
                <w:szCs w:val="20"/>
                <w:lang w:eastAsia="pt-PT"/>
              </w:rPr>
            </w:pPr>
            <w:r w:rsidRPr="00702F17">
              <w:rPr>
                <w:rFonts w:ascii="Calibri" w:eastAsia="Times New Roman" w:hAnsi="Calibri" w:cs="Calibri"/>
                <w:b/>
                <w:bCs/>
                <w:color w:val="000000"/>
                <w:sz w:val="20"/>
                <w:szCs w:val="20"/>
                <w:lang w:eastAsia="pt-PT"/>
              </w:rPr>
              <w:t>2020</w:t>
            </w:r>
          </w:p>
        </w:tc>
        <w:tc>
          <w:tcPr>
            <w:tcW w:w="2520" w:type="dxa"/>
            <w:gridSpan w:val="2"/>
            <w:tcBorders>
              <w:top w:val="single" w:sz="8" w:space="0" w:color="auto"/>
              <w:left w:val="nil"/>
              <w:bottom w:val="single" w:sz="8" w:space="0" w:color="auto"/>
              <w:right w:val="single" w:sz="8" w:space="0" w:color="auto"/>
            </w:tcBorders>
            <w:shd w:val="clear" w:color="auto" w:fill="auto"/>
            <w:noWrap/>
            <w:vAlign w:val="bottom"/>
            <w:hideMark/>
          </w:tcPr>
          <w:p w14:paraId="63F25C8B" w14:textId="77777777" w:rsidR="00702F17" w:rsidRPr="00702F17" w:rsidRDefault="00702F17" w:rsidP="0004735A">
            <w:pPr>
              <w:spacing w:after="0" w:line="240" w:lineRule="auto"/>
              <w:jc w:val="center"/>
              <w:rPr>
                <w:rFonts w:ascii="Calibri" w:eastAsia="Times New Roman" w:hAnsi="Calibri" w:cs="Calibri"/>
                <w:b/>
                <w:bCs/>
                <w:color w:val="000000"/>
                <w:sz w:val="20"/>
                <w:szCs w:val="20"/>
                <w:lang w:eastAsia="pt-PT"/>
              </w:rPr>
            </w:pPr>
            <w:r w:rsidRPr="00702F17">
              <w:rPr>
                <w:rFonts w:ascii="Calibri" w:eastAsia="Times New Roman" w:hAnsi="Calibri" w:cs="Calibri"/>
                <w:b/>
                <w:bCs/>
                <w:color w:val="000000"/>
                <w:sz w:val="20"/>
                <w:szCs w:val="20"/>
                <w:lang w:eastAsia="pt-PT"/>
              </w:rPr>
              <w:t>2021</w:t>
            </w:r>
          </w:p>
        </w:tc>
        <w:tc>
          <w:tcPr>
            <w:tcW w:w="2700" w:type="dxa"/>
            <w:gridSpan w:val="2"/>
            <w:tcBorders>
              <w:top w:val="single" w:sz="8" w:space="0" w:color="auto"/>
              <w:left w:val="nil"/>
              <w:bottom w:val="single" w:sz="8" w:space="0" w:color="auto"/>
              <w:right w:val="single" w:sz="8" w:space="0" w:color="auto"/>
            </w:tcBorders>
            <w:shd w:val="clear" w:color="auto" w:fill="auto"/>
            <w:noWrap/>
            <w:vAlign w:val="bottom"/>
            <w:hideMark/>
          </w:tcPr>
          <w:p w14:paraId="63D53D66" w14:textId="77777777" w:rsidR="00702F17" w:rsidRPr="00702F17" w:rsidRDefault="00702F17" w:rsidP="0004735A">
            <w:pPr>
              <w:spacing w:after="0" w:line="240" w:lineRule="auto"/>
              <w:jc w:val="center"/>
              <w:rPr>
                <w:rFonts w:ascii="Calibri" w:eastAsia="Times New Roman" w:hAnsi="Calibri" w:cs="Calibri"/>
                <w:b/>
                <w:bCs/>
                <w:color w:val="000000"/>
                <w:sz w:val="20"/>
                <w:szCs w:val="20"/>
                <w:lang w:eastAsia="pt-PT"/>
              </w:rPr>
            </w:pPr>
            <w:r w:rsidRPr="00702F17">
              <w:rPr>
                <w:rFonts w:ascii="Calibri" w:eastAsia="Times New Roman" w:hAnsi="Calibri" w:cs="Calibri"/>
                <w:b/>
                <w:bCs/>
                <w:color w:val="000000"/>
                <w:sz w:val="20"/>
                <w:szCs w:val="20"/>
                <w:lang w:eastAsia="pt-PT"/>
              </w:rPr>
              <w:t>Total</w:t>
            </w:r>
          </w:p>
        </w:tc>
        <w:tc>
          <w:tcPr>
            <w:tcW w:w="1260" w:type="dxa"/>
            <w:tcBorders>
              <w:top w:val="single" w:sz="8" w:space="0" w:color="auto"/>
              <w:left w:val="nil"/>
              <w:bottom w:val="single" w:sz="8" w:space="0" w:color="auto"/>
              <w:right w:val="single" w:sz="8" w:space="0" w:color="auto"/>
            </w:tcBorders>
          </w:tcPr>
          <w:p w14:paraId="03587E50" w14:textId="77777777" w:rsidR="00702F17" w:rsidRDefault="00702F17" w:rsidP="0004735A">
            <w:pPr>
              <w:spacing w:after="0" w:line="240" w:lineRule="auto"/>
              <w:jc w:val="center"/>
              <w:rPr>
                <w:rFonts w:ascii="Calibri" w:eastAsia="Times New Roman" w:hAnsi="Calibri" w:cs="Calibri"/>
                <w:b/>
                <w:bCs/>
                <w:color w:val="000000"/>
                <w:sz w:val="20"/>
                <w:szCs w:val="20"/>
                <w:lang w:eastAsia="pt-PT"/>
              </w:rPr>
            </w:pPr>
            <w:r>
              <w:rPr>
                <w:rFonts w:ascii="Calibri" w:eastAsia="Times New Roman" w:hAnsi="Calibri" w:cs="Calibri"/>
                <w:b/>
                <w:bCs/>
                <w:color w:val="000000"/>
                <w:sz w:val="20"/>
                <w:szCs w:val="20"/>
                <w:lang w:eastAsia="pt-PT"/>
              </w:rPr>
              <w:t>Delivery</w:t>
            </w:r>
          </w:p>
          <w:p w14:paraId="7EF1F9BC" w14:textId="69D06FCA" w:rsidR="00702F17" w:rsidRPr="00702F17" w:rsidRDefault="00702F17" w:rsidP="0004735A">
            <w:pPr>
              <w:spacing w:after="0" w:line="240" w:lineRule="auto"/>
              <w:jc w:val="center"/>
              <w:rPr>
                <w:rFonts w:ascii="Calibri" w:eastAsia="Times New Roman" w:hAnsi="Calibri" w:cs="Calibri"/>
                <w:b/>
                <w:bCs/>
                <w:color w:val="000000"/>
                <w:sz w:val="20"/>
                <w:szCs w:val="20"/>
                <w:lang w:eastAsia="pt-PT"/>
              </w:rPr>
            </w:pPr>
            <w:r>
              <w:rPr>
                <w:rFonts w:ascii="Calibri" w:eastAsia="Times New Roman" w:hAnsi="Calibri" w:cs="Calibri"/>
                <w:b/>
                <w:bCs/>
                <w:color w:val="000000"/>
                <w:sz w:val="20"/>
                <w:szCs w:val="20"/>
                <w:lang w:eastAsia="pt-PT"/>
              </w:rPr>
              <w:t>(%)</w:t>
            </w:r>
          </w:p>
        </w:tc>
      </w:tr>
      <w:tr w:rsidR="00702F17" w:rsidRPr="00702F17" w14:paraId="49440BBE" w14:textId="2406ACBE" w:rsidTr="00702F17">
        <w:trPr>
          <w:trHeight w:val="300"/>
        </w:trPr>
        <w:tc>
          <w:tcPr>
            <w:tcW w:w="2249" w:type="dxa"/>
            <w:vMerge/>
            <w:tcBorders>
              <w:left w:val="single" w:sz="8" w:space="0" w:color="auto"/>
              <w:bottom w:val="single" w:sz="8" w:space="0" w:color="auto"/>
              <w:right w:val="single" w:sz="8" w:space="0" w:color="auto"/>
            </w:tcBorders>
            <w:shd w:val="clear" w:color="auto" w:fill="auto"/>
            <w:noWrap/>
            <w:vAlign w:val="bottom"/>
            <w:hideMark/>
          </w:tcPr>
          <w:p w14:paraId="797B4D39" w14:textId="77777777" w:rsidR="00702F17" w:rsidRPr="00702F17" w:rsidRDefault="00702F17" w:rsidP="0004735A">
            <w:pPr>
              <w:spacing w:after="0" w:line="240" w:lineRule="auto"/>
              <w:rPr>
                <w:rFonts w:ascii="Calibri" w:eastAsia="Times New Roman" w:hAnsi="Calibri" w:cs="Calibri"/>
                <w:b/>
                <w:bCs/>
                <w:color w:val="000000"/>
                <w:sz w:val="20"/>
                <w:szCs w:val="20"/>
                <w:lang w:eastAsia="pt-PT"/>
              </w:rPr>
            </w:pPr>
          </w:p>
        </w:tc>
        <w:tc>
          <w:tcPr>
            <w:tcW w:w="1350" w:type="dxa"/>
            <w:tcBorders>
              <w:top w:val="nil"/>
              <w:left w:val="nil"/>
              <w:bottom w:val="single" w:sz="8" w:space="0" w:color="auto"/>
              <w:right w:val="single" w:sz="8" w:space="0" w:color="auto"/>
            </w:tcBorders>
            <w:shd w:val="clear" w:color="auto" w:fill="auto"/>
            <w:noWrap/>
            <w:vAlign w:val="bottom"/>
            <w:hideMark/>
          </w:tcPr>
          <w:p w14:paraId="0A4E8E2E" w14:textId="77777777" w:rsidR="00702F17" w:rsidRPr="00702F17" w:rsidRDefault="00702F17" w:rsidP="0004735A">
            <w:pPr>
              <w:spacing w:after="0" w:line="240" w:lineRule="auto"/>
              <w:jc w:val="center"/>
              <w:rPr>
                <w:rFonts w:ascii="Calibri" w:eastAsia="Times New Roman" w:hAnsi="Calibri" w:cs="Calibri"/>
                <w:b/>
                <w:bCs/>
                <w:color w:val="000000"/>
                <w:sz w:val="20"/>
                <w:szCs w:val="20"/>
                <w:lang w:eastAsia="pt-PT"/>
              </w:rPr>
            </w:pPr>
            <w:r w:rsidRPr="00702F17">
              <w:rPr>
                <w:rFonts w:ascii="Calibri" w:eastAsia="Times New Roman" w:hAnsi="Calibri" w:cs="Calibri"/>
                <w:b/>
                <w:bCs/>
                <w:color w:val="000000"/>
                <w:sz w:val="20"/>
                <w:szCs w:val="20"/>
                <w:lang w:eastAsia="pt-PT"/>
              </w:rPr>
              <w:t>Budget</w:t>
            </w:r>
          </w:p>
        </w:tc>
        <w:tc>
          <w:tcPr>
            <w:tcW w:w="1260" w:type="dxa"/>
            <w:tcBorders>
              <w:top w:val="nil"/>
              <w:left w:val="nil"/>
              <w:bottom w:val="single" w:sz="8" w:space="0" w:color="auto"/>
              <w:right w:val="single" w:sz="8" w:space="0" w:color="auto"/>
            </w:tcBorders>
            <w:shd w:val="clear" w:color="auto" w:fill="auto"/>
            <w:noWrap/>
            <w:vAlign w:val="bottom"/>
            <w:hideMark/>
          </w:tcPr>
          <w:p w14:paraId="02B1219A" w14:textId="77777777" w:rsidR="00702F17" w:rsidRPr="00702F17" w:rsidRDefault="00702F17" w:rsidP="0004735A">
            <w:pPr>
              <w:spacing w:after="0" w:line="240" w:lineRule="auto"/>
              <w:jc w:val="center"/>
              <w:rPr>
                <w:rFonts w:ascii="Calibri" w:eastAsia="Times New Roman" w:hAnsi="Calibri" w:cs="Calibri"/>
                <w:b/>
                <w:bCs/>
                <w:color w:val="000000"/>
                <w:sz w:val="20"/>
                <w:szCs w:val="20"/>
                <w:lang w:eastAsia="pt-PT"/>
              </w:rPr>
            </w:pPr>
            <w:r w:rsidRPr="00702F17">
              <w:rPr>
                <w:rFonts w:ascii="Calibri" w:eastAsia="Times New Roman" w:hAnsi="Calibri" w:cs="Calibri"/>
                <w:b/>
                <w:bCs/>
                <w:color w:val="000000"/>
                <w:sz w:val="20"/>
                <w:szCs w:val="20"/>
                <w:lang w:eastAsia="pt-PT"/>
              </w:rPr>
              <w:t>Expenditure</w:t>
            </w:r>
          </w:p>
        </w:tc>
        <w:tc>
          <w:tcPr>
            <w:tcW w:w="1260" w:type="dxa"/>
            <w:tcBorders>
              <w:top w:val="nil"/>
              <w:left w:val="nil"/>
              <w:bottom w:val="single" w:sz="8" w:space="0" w:color="auto"/>
              <w:right w:val="single" w:sz="8" w:space="0" w:color="auto"/>
            </w:tcBorders>
            <w:shd w:val="clear" w:color="auto" w:fill="auto"/>
            <w:noWrap/>
            <w:vAlign w:val="bottom"/>
            <w:hideMark/>
          </w:tcPr>
          <w:p w14:paraId="6062CED6" w14:textId="77777777" w:rsidR="00702F17" w:rsidRPr="00702F17" w:rsidRDefault="00702F17" w:rsidP="0004735A">
            <w:pPr>
              <w:spacing w:after="0" w:line="240" w:lineRule="auto"/>
              <w:jc w:val="center"/>
              <w:rPr>
                <w:rFonts w:ascii="Calibri" w:eastAsia="Times New Roman" w:hAnsi="Calibri" w:cs="Calibri"/>
                <w:b/>
                <w:bCs/>
                <w:color w:val="000000"/>
                <w:sz w:val="20"/>
                <w:szCs w:val="20"/>
                <w:lang w:eastAsia="pt-PT"/>
              </w:rPr>
            </w:pPr>
            <w:r w:rsidRPr="00702F17">
              <w:rPr>
                <w:rFonts w:ascii="Calibri" w:eastAsia="Times New Roman" w:hAnsi="Calibri" w:cs="Calibri"/>
                <w:b/>
                <w:bCs/>
                <w:color w:val="000000"/>
                <w:sz w:val="20"/>
                <w:szCs w:val="20"/>
                <w:lang w:eastAsia="pt-PT"/>
              </w:rPr>
              <w:t>Budget</w:t>
            </w:r>
          </w:p>
        </w:tc>
        <w:tc>
          <w:tcPr>
            <w:tcW w:w="1260" w:type="dxa"/>
            <w:tcBorders>
              <w:top w:val="nil"/>
              <w:left w:val="nil"/>
              <w:bottom w:val="single" w:sz="8" w:space="0" w:color="auto"/>
              <w:right w:val="single" w:sz="8" w:space="0" w:color="auto"/>
            </w:tcBorders>
            <w:shd w:val="clear" w:color="auto" w:fill="auto"/>
            <w:noWrap/>
            <w:vAlign w:val="bottom"/>
            <w:hideMark/>
          </w:tcPr>
          <w:p w14:paraId="49A5C2EF" w14:textId="77777777" w:rsidR="00702F17" w:rsidRPr="00702F17" w:rsidRDefault="00702F17" w:rsidP="0004735A">
            <w:pPr>
              <w:spacing w:after="0" w:line="240" w:lineRule="auto"/>
              <w:jc w:val="center"/>
              <w:rPr>
                <w:rFonts w:ascii="Calibri" w:eastAsia="Times New Roman" w:hAnsi="Calibri" w:cs="Calibri"/>
                <w:b/>
                <w:bCs/>
                <w:color w:val="000000"/>
                <w:sz w:val="20"/>
                <w:szCs w:val="20"/>
                <w:lang w:eastAsia="pt-PT"/>
              </w:rPr>
            </w:pPr>
            <w:r w:rsidRPr="00702F17">
              <w:rPr>
                <w:rFonts w:ascii="Calibri" w:eastAsia="Times New Roman" w:hAnsi="Calibri" w:cs="Calibri"/>
                <w:b/>
                <w:bCs/>
                <w:color w:val="000000"/>
                <w:sz w:val="20"/>
                <w:szCs w:val="20"/>
                <w:lang w:eastAsia="pt-PT"/>
              </w:rPr>
              <w:t>Expenditure</w:t>
            </w:r>
          </w:p>
        </w:tc>
        <w:tc>
          <w:tcPr>
            <w:tcW w:w="1350" w:type="dxa"/>
            <w:tcBorders>
              <w:top w:val="nil"/>
              <w:left w:val="nil"/>
              <w:bottom w:val="single" w:sz="8" w:space="0" w:color="auto"/>
              <w:right w:val="single" w:sz="8" w:space="0" w:color="auto"/>
            </w:tcBorders>
            <w:shd w:val="clear" w:color="auto" w:fill="auto"/>
            <w:noWrap/>
            <w:vAlign w:val="bottom"/>
            <w:hideMark/>
          </w:tcPr>
          <w:p w14:paraId="77341779" w14:textId="77777777" w:rsidR="00702F17" w:rsidRPr="00702F17" w:rsidRDefault="00702F17" w:rsidP="0004735A">
            <w:pPr>
              <w:spacing w:after="0" w:line="240" w:lineRule="auto"/>
              <w:jc w:val="center"/>
              <w:rPr>
                <w:rFonts w:ascii="Calibri" w:eastAsia="Times New Roman" w:hAnsi="Calibri" w:cs="Calibri"/>
                <w:b/>
                <w:bCs/>
                <w:color w:val="000000"/>
                <w:sz w:val="20"/>
                <w:szCs w:val="20"/>
                <w:lang w:eastAsia="pt-PT"/>
              </w:rPr>
            </w:pPr>
            <w:r w:rsidRPr="00702F17">
              <w:rPr>
                <w:rFonts w:ascii="Calibri" w:eastAsia="Times New Roman" w:hAnsi="Calibri" w:cs="Calibri"/>
                <w:b/>
                <w:bCs/>
                <w:color w:val="000000"/>
                <w:sz w:val="20"/>
                <w:szCs w:val="20"/>
                <w:lang w:eastAsia="pt-PT"/>
              </w:rPr>
              <w:t>Budget</w:t>
            </w:r>
          </w:p>
        </w:tc>
        <w:tc>
          <w:tcPr>
            <w:tcW w:w="1350" w:type="dxa"/>
            <w:tcBorders>
              <w:top w:val="nil"/>
              <w:left w:val="nil"/>
              <w:bottom w:val="single" w:sz="8" w:space="0" w:color="auto"/>
              <w:right w:val="single" w:sz="8" w:space="0" w:color="auto"/>
            </w:tcBorders>
            <w:shd w:val="clear" w:color="auto" w:fill="auto"/>
            <w:noWrap/>
            <w:vAlign w:val="bottom"/>
            <w:hideMark/>
          </w:tcPr>
          <w:p w14:paraId="24757631" w14:textId="77777777" w:rsidR="00702F17" w:rsidRPr="00702F17" w:rsidRDefault="00702F17" w:rsidP="0004735A">
            <w:pPr>
              <w:spacing w:after="0" w:line="240" w:lineRule="auto"/>
              <w:jc w:val="center"/>
              <w:rPr>
                <w:rFonts w:ascii="Calibri" w:eastAsia="Times New Roman" w:hAnsi="Calibri" w:cs="Calibri"/>
                <w:b/>
                <w:bCs/>
                <w:color w:val="000000"/>
                <w:sz w:val="20"/>
                <w:szCs w:val="20"/>
                <w:lang w:eastAsia="pt-PT"/>
              </w:rPr>
            </w:pPr>
            <w:r w:rsidRPr="00702F17">
              <w:rPr>
                <w:rFonts w:ascii="Calibri" w:eastAsia="Times New Roman" w:hAnsi="Calibri" w:cs="Calibri"/>
                <w:b/>
                <w:bCs/>
                <w:color w:val="000000"/>
                <w:sz w:val="20"/>
                <w:szCs w:val="20"/>
                <w:lang w:eastAsia="pt-PT"/>
              </w:rPr>
              <w:t>Expenditure</w:t>
            </w:r>
          </w:p>
        </w:tc>
        <w:tc>
          <w:tcPr>
            <w:tcW w:w="1260" w:type="dxa"/>
            <w:tcBorders>
              <w:top w:val="nil"/>
              <w:left w:val="nil"/>
              <w:bottom w:val="single" w:sz="8" w:space="0" w:color="auto"/>
              <w:right w:val="single" w:sz="8" w:space="0" w:color="auto"/>
            </w:tcBorders>
          </w:tcPr>
          <w:p w14:paraId="2F1DA9D9" w14:textId="77777777" w:rsidR="00702F17" w:rsidRPr="00702F17" w:rsidRDefault="00702F17" w:rsidP="0004735A">
            <w:pPr>
              <w:spacing w:after="0" w:line="240" w:lineRule="auto"/>
              <w:jc w:val="center"/>
              <w:rPr>
                <w:rFonts w:ascii="Calibri" w:eastAsia="Times New Roman" w:hAnsi="Calibri" w:cs="Calibri"/>
                <w:b/>
                <w:bCs/>
                <w:color w:val="000000"/>
                <w:sz w:val="20"/>
                <w:szCs w:val="20"/>
                <w:lang w:eastAsia="pt-PT"/>
              </w:rPr>
            </w:pPr>
          </w:p>
        </w:tc>
      </w:tr>
      <w:tr w:rsidR="00702F17" w:rsidRPr="00702F17" w14:paraId="48304D14" w14:textId="2009C5D9" w:rsidTr="00702F17">
        <w:trPr>
          <w:trHeight w:val="563"/>
        </w:trPr>
        <w:tc>
          <w:tcPr>
            <w:tcW w:w="2249" w:type="dxa"/>
            <w:tcBorders>
              <w:top w:val="nil"/>
              <w:left w:val="single" w:sz="8" w:space="0" w:color="auto"/>
              <w:bottom w:val="single" w:sz="4" w:space="0" w:color="auto"/>
              <w:right w:val="single" w:sz="4" w:space="0" w:color="auto"/>
            </w:tcBorders>
            <w:shd w:val="clear" w:color="auto" w:fill="auto"/>
            <w:vAlign w:val="bottom"/>
            <w:hideMark/>
          </w:tcPr>
          <w:p w14:paraId="52835EF9" w14:textId="77777777" w:rsidR="00702F17" w:rsidRPr="00702F17" w:rsidRDefault="00702F17" w:rsidP="0004735A">
            <w:pPr>
              <w:spacing w:after="0" w:line="240" w:lineRule="auto"/>
              <w:rPr>
                <w:rFonts w:ascii="Calibri" w:eastAsia="Times New Roman" w:hAnsi="Calibri" w:cs="Calibri"/>
                <w:color w:val="000000"/>
                <w:sz w:val="20"/>
                <w:szCs w:val="20"/>
                <w:lang w:eastAsia="pt-PT"/>
              </w:rPr>
            </w:pPr>
            <w:r w:rsidRPr="00702F17">
              <w:rPr>
                <w:rFonts w:ascii="Calibri" w:eastAsia="Times New Roman" w:hAnsi="Calibri" w:cs="Calibri"/>
                <w:color w:val="000000"/>
                <w:sz w:val="20"/>
                <w:szCs w:val="20"/>
                <w:lang w:eastAsia="pt-PT"/>
              </w:rPr>
              <w:t>Poverty/ Inclusive Growth</w:t>
            </w:r>
          </w:p>
        </w:tc>
        <w:tc>
          <w:tcPr>
            <w:tcW w:w="1350" w:type="dxa"/>
            <w:tcBorders>
              <w:top w:val="nil"/>
              <w:left w:val="nil"/>
              <w:bottom w:val="single" w:sz="4" w:space="0" w:color="auto"/>
              <w:right w:val="single" w:sz="4" w:space="0" w:color="auto"/>
            </w:tcBorders>
            <w:shd w:val="clear" w:color="auto" w:fill="auto"/>
            <w:noWrap/>
            <w:vAlign w:val="bottom"/>
            <w:hideMark/>
          </w:tcPr>
          <w:p w14:paraId="14DF6654" w14:textId="77777777" w:rsidR="00702F17" w:rsidRPr="00702F17" w:rsidRDefault="00702F17" w:rsidP="0004735A">
            <w:pPr>
              <w:spacing w:after="0" w:line="240" w:lineRule="auto"/>
              <w:jc w:val="right"/>
              <w:rPr>
                <w:rFonts w:ascii="Calibri" w:eastAsia="Times New Roman" w:hAnsi="Calibri" w:cs="Calibri"/>
                <w:color w:val="000000"/>
                <w:sz w:val="20"/>
                <w:szCs w:val="20"/>
                <w:lang w:eastAsia="pt-PT"/>
              </w:rPr>
            </w:pPr>
            <w:r w:rsidRPr="00702F17">
              <w:rPr>
                <w:rFonts w:ascii="Calibri" w:eastAsia="Times New Roman" w:hAnsi="Calibri" w:cs="Calibri"/>
                <w:color w:val="000000"/>
                <w:sz w:val="20"/>
                <w:szCs w:val="20"/>
                <w:lang w:eastAsia="pt-PT"/>
              </w:rPr>
              <w:t>$624 050</w:t>
            </w:r>
          </w:p>
        </w:tc>
        <w:tc>
          <w:tcPr>
            <w:tcW w:w="1260" w:type="dxa"/>
            <w:tcBorders>
              <w:top w:val="nil"/>
              <w:left w:val="nil"/>
              <w:bottom w:val="single" w:sz="4" w:space="0" w:color="auto"/>
              <w:right w:val="single" w:sz="4" w:space="0" w:color="auto"/>
            </w:tcBorders>
            <w:shd w:val="clear" w:color="auto" w:fill="auto"/>
            <w:noWrap/>
            <w:vAlign w:val="bottom"/>
            <w:hideMark/>
          </w:tcPr>
          <w:p w14:paraId="59655F42" w14:textId="77777777" w:rsidR="00702F17" w:rsidRPr="00702F17" w:rsidRDefault="00702F17" w:rsidP="0004735A">
            <w:pPr>
              <w:spacing w:after="0" w:line="240" w:lineRule="auto"/>
              <w:jc w:val="right"/>
              <w:rPr>
                <w:rFonts w:ascii="Calibri" w:eastAsia="Times New Roman" w:hAnsi="Calibri" w:cs="Calibri"/>
                <w:color w:val="000000"/>
                <w:sz w:val="20"/>
                <w:szCs w:val="20"/>
                <w:lang w:eastAsia="pt-PT"/>
              </w:rPr>
            </w:pPr>
            <w:r w:rsidRPr="00702F17">
              <w:rPr>
                <w:rFonts w:ascii="Calibri" w:eastAsia="Times New Roman" w:hAnsi="Calibri" w:cs="Calibri"/>
                <w:color w:val="000000"/>
                <w:sz w:val="20"/>
                <w:szCs w:val="20"/>
                <w:lang w:eastAsia="pt-PT"/>
              </w:rPr>
              <w:t>$470 370</w:t>
            </w:r>
          </w:p>
        </w:tc>
        <w:tc>
          <w:tcPr>
            <w:tcW w:w="1260" w:type="dxa"/>
            <w:tcBorders>
              <w:top w:val="nil"/>
              <w:left w:val="nil"/>
              <w:bottom w:val="single" w:sz="4" w:space="0" w:color="auto"/>
              <w:right w:val="single" w:sz="4" w:space="0" w:color="auto"/>
            </w:tcBorders>
            <w:shd w:val="clear" w:color="auto" w:fill="auto"/>
            <w:noWrap/>
            <w:vAlign w:val="bottom"/>
            <w:hideMark/>
          </w:tcPr>
          <w:p w14:paraId="21045067" w14:textId="77777777" w:rsidR="00702F17" w:rsidRPr="00702F17" w:rsidRDefault="00702F17" w:rsidP="0004735A">
            <w:pPr>
              <w:spacing w:after="0" w:line="240" w:lineRule="auto"/>
              <w:jc w:val="right"/>
              <w:rPr>
                <w:rFonts w:ascii="Calibri" w:eastAsia="Times New Roman" w:hAnsi="Calibri" w:cs="Calibri"/>
                <w:color w:val="000000"/>
                <w:sz w:val="20"/>
                <w:szCs w:val="20"/>
                <w:lang w:eastAsia="pt-PT"/>
              </w:rPr>
            </w:pPr>
            <w:r w:rsidRPr="00702F17">
              <w:rPr>
                <w:rFonts w:ascii="Calibri" w:eastAsia="Times New Roman" w:hAnsi="Calibri" w:cs="Calibri"/>
                <w:color w:val="000000"/>
                <w:sz w:val="20"/>
                <w:szCs w:val="20"/>
                <w:lang w:eastAsia="pt-PT"/>
              </w:rPr>
              <w:t>$1 335 898</w:t>
            </w:r>
          </w:p>
        </w:tc>
        <w:tc>
          <w:tcPr>
            <w:tcW w:w="1260" w:type="dxa"/>
            <w:tcBorders>
              <w:top w:val="nil"/>
              <w:left w:val="nil"/>
              <w:bottom w:val="single" w:sz="4" w:space="0" w:color="auto"/>
              <w:right w:val="single" w:sz="4" w:space="0" w:color="auto"/>
            </w:tcBorders>
            <w:shd w:val="clear" w:color="auto" w:fill="auto"/>
            <w:noWrap/>
            <w:vAlign w:val="bottom"/>
            <w:hideMark/>
          </w:tcPr>
          <w:p w14:paraId="3D8D48B3" w14:textId="77777777" w:rsidR="00702F17" w:rsidRPr="00702F17" w:rsidRDefault="00702F17" w:rsidP="0004735A">
            <w:pPr>
              <w:spacing w:after="0" w:line="240" w:lineRule="auto"/>
              <w:jc w:val="right"/>
              <w:rPr>
                <w:rFonts w:ascii="Calibri" w:eastAsia="Times New Roman" w:hAnsi="Calibri" w:cs="Calibri"/>
                <w:color w:val="000000"/>
                <w:sz w:val="20"/>
                <w:szCs w:val="20"/>
                <w:lang w:eastAsia="pt-PT"/>
              </w:rPr>
            </w:pPr>
            <w:r w:rsidRPr="00702F17">
              <w:rPr>
                <w:rFonts w:ascii="Calibri" w:eastAsia="Times New Roman" w:hAnsi="Calibri" w:cs="Calibri"/>
                <w:color w:val="000000"/>
                <w:sz w:val="20"/>
                <w:szCs w:val="20"/>
                <w:lang w:eastAsia="pt-PT"/>
              </w:rPr>
              <w:t>$401 976</w:t>
            </w:r>
          </w:p>
        </w:tc>
        <w:tc>
          <w:tcPr>
            <w:tcW w:w="1350" w:type="dxa"/>
            <w:tcBorders>
              <w:top w:val="nil"/>
              <w:left w:val="nil"/>
              <w:bottom w:val="single" w:sz="4" w:space="0" w:color="auto"/>
              <w:right w:val="single" w:sz="4" w:space="0" w:color="auto"/>
            </w:tcBorders>
            <w:shd w:val="clear" w:color="auto" w:fill="auto"/>
            <w:noWrap/>
            <w:vAlign w:val="bottom"/>
            <w:hideMark/>
          </w:tcPr>
          <w:p w14:paraId="702AC73A" w14:textId="77777777" w:rsidR="00702F17" w:rsidRPr="00702F17" w:rsidRDefault="00702F17" w:rsidP="0004735A">
            <w:pPr>
              <w:spacing w:after="0" w:line="240" w:lineRule="auto"/>
              <w:jc w:val="right"/>
              <w:rPr>
                <w:rFonts w:ascii="Calibri" w:eastAsia="Times New Roman" w:hAnsi="Calibri" w:cs="Calibri"/>
                <w:color w:val="000000"/>
                <w:sz w:val="20"/>
                <w:szCs w:val="20"/>
                <w:lang w:eastAsia="pt-PT"/>
              </w:rPr>
            </w:pPr>
            <w:r w:rsidRPr="00702F17">
              <w:rPr>
                <w:rFonts w:ascii="Calibri" w:eastAsia="Times New Roman" w:hAnsi="Calibri" w:cs="Calibri"/>
                <w:color w:val="000000"/>
                <w:sz w:val="20"/>
                <w:szCs w:val="20"/>
                <w:lang w:eastAsia="pt-PT"/>
              </w:rPr>
              <w:t>$1 959 948</w:t>
            </w:r>
          </w:p>
        </w:tc>
        <w:tc>
          <w:tcPr>
            <w:tcW w:w="1350" w:type="dxa"/>
            <w:tcBorders>
              <w:top w:val="nil"/>
              <w:left w:val="nil"/>
              <w:bottom w:val="single" w:sz="4" w:space="0" w:color="auto"/>
              <w:right w:val="single" w:sz="8" w:space="0" w:color="auto"/>
            </w:tcBorders>
            <w:shd w:val="clear" w:color="auto" w:fill="auto"/>
            <w:noWrap/>
            <w:vAlign w:val="bottom"/>
            <w:hideMark/>
          </w:tcPr>
          <w:p w14:paraId="3429F1DC" w14:textId="77777777" w:rsidR="00702F17" w:rsidRPr="00702F17" w:rsidRDefault="00702F17" w:rsidP="0004735A">
            <w:pPr>
              <w:spacing w:after="0" w:line="240" w:lineRule="auto"/>
              <w:jc w:val="right"/>
              <w:rPr>
                <w:rFonts w:ascii="Calibri" w:eastAsia="Times New Roman" w:hAnsi="Calibri" w:cs="Calibri"/>
                <w:color w:val="000000"/>
                <w:sz w:val="20"/>
                <w:szCs w:val="20"/>
                <w:lang w:eastAsia="pt-PT"/>
              </w:rPr>
            </w:pPr>
            <w:r w:rsidRPr="00702F17">
              <w:rPr>
                <w:rFonts w:ascii="Calibri" w:eastAsia="Times New Roman" w:hAnsi="Calibri" w:cs="Calibri"/>
                <w:color w:val="000000"/>
                <w:sz w:val="20"/>
                <w:szCs w:val="20"/>
                <w:lang w:eastAsia="pt-PT"/>
              </w:rPr>
              <w:t>$872 346</w:t>
            </w:r>
          </w:p>
        </w:tc>
        <w:tc>
          <w:tcPr>
            <w:tcW w:w="1260" w:type="dxa"/>
            <w:tcBorders>
              <w:top w:val="nil"/>
              <w:left w:val="nil"/>
              <w:bottom w:val="single" w:sz="4" w:space="0" w:color="auto"/>
              <w:right w:val="single" w:sz="8" w:space="0" w:color="auto"/>
            </w:tcBorders>
          </w:tcPr>
          <w:p w14:paraId="31F7CB68" w14:textId="0A93D42C" w:rsidR="00702F17" w:rsidRPr="00702F17" w:rsidRDefault="00702F17" w:rsidP="0004735A">
            <w:pPr>
              <w:spacing w:after="0" w:line="240" w:lineRule="auto"/>
              <w:jc w:val="right"/>
              <w:rPr>
                <w:rFonts w:ascii="Calibri" w:eastAsia="Times New Roman" w:hAnsi="Calibri" w:cs="Calibri"/>
                <w:color w:val="000000"/>
                <w:sz w:val="20"/>
                <w:szCs w:val="20"/>
                <w:lang w:eastAsia="pt-PT"/>
              </w:rPr>
            </w:pPr>
            <w:r>
              <w:rPr>
                <w:rFonts w:ascii="Calibri" w:eastAsia="Times New Roman" w:hAnsi="Calibri" w:cs="Calibri"/>
                <w:color w:val="000000"/>
                <w:sz w:val="20"/>
                <w:szCs w:val="20"/>
                <w:lang w:eastAsia="pt-PT"/>
              </w:rPr>
              <w:t>44.5</w:t>
            </w:r>
          </w:p>
        </w:tc>
      </w:tr>
      <w:tr w:rsidR="00702F17" w:rsidRPr="00702F17" w14:paraId="0306B59E" w14:textId="0A4329C1" w:rsidTr="00702F17">
        <w:trPr>
          <w:trHeight w:val="553"/>
        </w:trPr>
        <w:tc>
          <w:tcPr>
            <w:tcW w:w="2249" w:type="dxa"/>
            <w:tcBorders>
              <w:top w:val="nil"/>
              <w:left w:val="single" w:sz="8" w:space="0" w:color="auto"/>
              <w:bottom w:val="single" w:sz="4" w:space="0" w:color="auto"/>
              <w:right w:val="single" w:sz="4" w:space="0" w:color="auto"/>
            </w:tcBorders>
            <w:shd w:val="clear" w:color="auto" w:fill="auto"/>
            <w:vAlign w:val="bottom"/>
            <w:hideMark/>
          </w:tcPr>
          <w:p w14:paraId="0009CF09" w14:textId="77777777" w:rsidR="00702F17" w:rsidRPr="00702F17" w:rsidRDefault="00702F17" w:rsidP="0004735A">
            <w:pPr>
              <w:spacing w:after="0" w:line="240" w:lineRule="auto"/>
              <w:rPr>
                <w:rFonts w:ascii="Calibri" w:eastAsia="Times New Roman" w:hAnsi="Calibri" w:cs="Calibri"/>
                <w:color w:val="000000"/>
                <w:sz w:val="20"/>
                <w:szCs w:val="20"/>
                <w:lang w:eastAsia="pt-PT"/>
              </w:rPr>
            </w:pPr>
            <w:r w:rsidRPr="00702F17">
              <w:rPr>
                <w:rFonts w:ascii="Calibri" w:eastAsia="Times New Roman" w:hAnsi="Calibri" w:cs="Calibri"/>
                <w:color w:val="000000"/>
                <w:sz w:val="20"/>
                <w:szCs w:val="20"/>
                <w:lang w:eastAsia="pt-PT"/>
              </w:rPr>
              <w:t>Environment/ Building Resilience</w:t>
            </w:r>
          </w:p>
        </w:tc>
        <w:tc>
          <w:tcPr>
            <w:tcW w:w="1350" w:type="dxa"/>
            <w:tcBorders>
              <w:top w:val="nil"/>
              <w:left w:val="nil"/>
              <w:bottom w:val="single" w:sz="4" w:space="0" w:color="auto"/>
              <w:right w:val="single" w:sz="4" w:space="0" w:color="auto"/>
            </w:tcBorders>
            <w:shd w:val="clear" w:color="auto" w:fill="auto"/>
            <w:noWrap/>
            <w:vAlign w:val="bottom"/>
            <w:hideMark/>
          </w:tcPr>
          <w:p w14:paraId="13584CC9" w14:textId="77777777" w:rsidR="00702F17" w:rsidRPr="00702F17" w:rsidRDefault="00702F17" w:rsidP="0004735A">
            <w:pPr>
              <w:spacing w:after="0" w:line="240" w:lineRule="auto"/>
              <w:jc w:val="right"/>
              <w:rPr>
                <w:rFonts w:ascii="Calibri" w:eastAsia="Times New Roman" w:hAnsi="Calibri" w:cs="Calibri"/>
                <w:color w:val="000000"/>
                <w:sz w:val="20"/>
                <w:szCs w:val="20"/>
                <w:lang w:eastAsia="pt-PT"/>
              </w:rPr>
            </w:pPr>
            <w:r w:rsidRPr="00702F17">
              <w:rPr>
                <w:rFonts w:ascii="Calibri" w:eastAsia="Times New Roman" w:hAnsi="Calibri" w:cs="Calibri"/>
                <w:color w:val="000000"/>
                <w:sz w:val="20"/>
                <w:szCs w:val="20"/>
                <w:lang w:eastAsia="pt-PT"/>
              </w:rPr>
              <w:t>$5 888 977</w:t>
            </w:r>
          </w:p>
        </w:tc>
        <w:tc>
          <w:tcPr>
            <w:tcW w:w="1260" w:type="dxa"/>
            <w:tcBorders>
              <w:top w:val="nil"/>
              <w:left w:val="nil"/>
              <w:bottom w:val="single" w:sz="4" w:space="0" w:color="auto"/>
              <w:right w:val="single" w:sz="4" w:space="0" w:color="auto"/>
            </w:tcBorders>
            <w:shd w:val="clear" w:color="auto" w:fill="auto"/>
            <w:noWrap/>
            <w:vAlign w:val="bottom"/>
            <w:hideMark/>
          </w:tcPr>
          <w:p w14:paraId="3D867D8F" w14:textId="77777777" w:rsidR="00702F17" w:rsidRPr="00702F17" w:rsidRDefault="00702F17" w:rsidP="0004735A">
            <w:pPr>
              <w:spacing w:after="0" w:line="240" w:lineRule="auto"/>
              <w:jc w:val="right"/>
              <w:rPr>
                <w:rFonts w:ascii="Calibri" w:eastAsia="Times New Roman" w:hAnsi="Calibri" w:cs="Calibri"/>
                <w:color w:val="000000"/>
                <w:sz w:val="20"/>
                <w:szCs w:val="20"/>
                <w:lang w:eastAsia="pt-PT"/>
              </w:rPr>
            </w:pPr>
            <w:r w:rsidRPr="00702F17">
              <w:rPr>
                <w:rFonts w:ascii="Calibri" w:eastAsia="Times New Roman" w:hAnsi="Calibri" w:cs="Calibri"/>
                <w:color w:val="000000"/>
                <w:sz w:val="20"/>
                <w:szCs w:val="20"/>
                <w:lang w:eastAsia="pt-PT"/>
              </w:rPr>
              <w:t>$2 339 179</w:t>
            </w:r>
          </w:p>
        </w:tc>
        <w:tc>
          <w:tcPr>
            <w:tcW w:w="1260" w:type="dxa"/>
            <w:tcBorders>
              <w:top w:val="nil"/>
              <w:left w:val="nil"/>
              <w:bottom w:val="single" w:sz="4" w:space="0" w:color="auto"/>
              <w:right w:val="single" w:sz="4" w:space="0" w:color="auto"/>
            </w:tcBorders>
            <w:shd w:val="clear" w:color="auto" w:fill="auto"/>
            <w:noWrap/>
            <w:vAlign w:val="bottom"/>
            <w:hideMark/>
          </w:tcPr>
          <w:p w14:paraId="6B8BA378" w14:textId="77777777" w:rsidR="00702F17" w:rsidRPr="00702F17" w:rsidRDefault="00702F17" w:rsidP="0004735A">
            <w:pPr>
              <w:spacing w:after="0" w:line="240" w:lineRule="auto"/>
              <w:jc w:val="right"/>
              <w:rPr>
                <w:rFonts w:ascii="Calibri" w:eastAsia="Times New Roman" w:hAnsi="Calibri" w:cs="Calibri"/>
                <w:color w:val="000000"/>
                <w:sz w:val="20"/>
                <w:szCs w:val="20"/>
                <w:lang w:eastAsia="pt-PT"/>
              </w:rPr>
            </w:pPr>
            <w:r w:rsidRPr="00702F17">
              <w:rPr>
                <w:rFonts w:ascii="Calibri" w:eastAsia="Times New Roman" w:hAnsi="Calibri" w:cs="Calibri"/>
                <w:color w:val="000000"/>
                <w:sz w:val="20"/>
                <w:szCs w:val="20"/>
                <w:lang w:eastAsia="pt-PT"/>
              </w:rPr>
              <w:t>$7 966 951</w:t>
            </w:r>
          </w:p>
        </w:tc>
        <w:tc>
          <w:tcPr>
            <w:tcW w:w="1260" w:type="dxa"/>
            <w:tcBorders>
              <w:top w:val="nil"/>
              <w:left w:val="nil"/>
              <w:bottom w:val="single" w:sz="4" w:space="0" w:color="auto"/>
              <w:right w:val="single" w:sz="4" w:space="0" w:color="auto"/>
            </w:tcBorders>
            <w:shd w:val="clear" w:color="auto" w:fill="auto"/>
            <w:noWrap/>
            <w:vAlign w:val="bottom"/>
            <w:hideMark/>
          </w:tcPr>
          <w:p w14:paraId="670B1606" w14:textId="77777777" w:rsidR="00702F17" w:rsidRPr="00702F17" w:rsidRDefault="00702F17" w:rsidP="0004735A">
            <w:pPr>
              <w:spacing w:after="0" w:line="240" w:lineRule="auto"/>
              <w:jc w:val="right"/>
              <w:rPr>
                <w:rFonts w:ascii="Calibri" w:eastAsia="Times New Roman" w:hAnsi="Calibri" w:cs="Calibri"/>
                <w:color w:val="000000"/>
                <w:sz w:val="20"/>
                <w:szCs w:val="20"/>
                <w:lang w:eastAsia="pt-PT"/>
              </w:rPr>
            </w:pPr>
            <w:r w:rsidRPr="00702F17">
              <w:rPr>
                <w:rFonts w:ascii="Calibri" w:eastAsia="Times New Roman" w:hAnsi="Calibri" w:cs="Calibri"/>
                <w:color w:val="000000"/>
                <w:sz w:val="20"/>
                <w:szCs w:val="20"/>
                <w:lang w:eastAsia="pt-PT"/>
              </w:rPr>
              <w:t>$3 498 301</w:t>
            </w:r>
          </w:p>
        </w:tc>
        <w:tc>
          <w:tcPr>
            <w:tcW w:w="1350" w:type="dxa"/>
            <w:tcBorders>
              <w:top w:val="nil"/>
              <w:left w:val="nil"/>
              <w:bottom w:val="single" w:sz="4" w:space="0" w:color="auto"/>
              <w:right w:val="single" w:sz="4" w:space="0" w:color="auto"/>
            </w:tcBorders>
            <w:shd w:val="clear" w:color="auto" w:fill="auto"/>
            <w:noWrap/>
            <w:vAlign w:val="bottom"/>
            <w:hideMark/>
          </w:tcPr>
          <w:p w14:paraId="2F58BF85" w14:textId="77777777" w:rsidR="00702F17" w:rsidRPr="00702F17" w:rsidRDefault="00702F17" w:rsidP="0004735A">
            <w:pPr>
              <w:spacing w:after="0" w:line="240" w:lineRule="auto"/>
              <w:jc w:val="right"/>
              <w:rPr>
                <w:rFonts w:ascii="Calibri" w:eastAsia="Times New Roman" w:hAnsi="Calibri" w:cs="Calibri"/>
                <w:color w:val="000000"/>
                <w:sz w:val="20"/>
                <w:szCs w:val="20"/>
                <w:lang w:eastAsia="pt-PT"/>
              </w:rPr>
            </w:pPr>
            <w:r w:rsidRPr="00702F17">
              <w:rPr>
                <w:rFonts w:ascii="Calibri" w:eastAsia="Times New Roman" w:hAnsi="Calibri" w:cs="Calibri"/>
                <w:color w:val="000000"/>
                <w:sz w:val="20"/>
                <w:szCs w:val="20"/>
                <w:lang w:eastAsia="pt-PT"/>
              </w:rPr>
              <w:t>$13 855 928</w:t>
            </w:r>
          </w:p>
        </w:tc>
        <w:tc>
          <w:tcPr>
            <w:tcW w:w="1350" w:type="dxa"/>
            <w:tcBorders>
              <w:top w:val="nil"/>
              <w:left w:val="nil"/>
              <w:bottom w:val="single" w:sz="4" w:space="0" w:color="auto"/>
              <w:right w:val="single" w:sz="8" w:space="0" w:color="auto"/>
            </w:tcBorders>
            <w:shd w:val="clear" w:color="auto" w:fill="auto"/>
            <w:noWrap/>
            <w:vAlign w:val="bottom"/>
            <w:hideMark/>
          </w:tcPr>
          <w:p w14:paraId="7AB814E6" w14:textId="77777777" w:rsidR="00702F17" w:rsidRPr="00702F17" w:rsidRDefault="00702F17" w:rsidP="0004735A">
            <w:pPr>
              <w:spacing w:after="0" w:line="240" w:lineRule="auto"/>
              <w:jc w:val="right"/>
              <w:rPr>
                <w:rFonts w:ascii="Calibri" w:eastAsia="Times New Roman" w:hAnsi="Calibri" w:cs="Calibri"/>
                <w:color w:val="000000"/>
                <w:sz w:val="20"/>
                <w:szCs w:val="20"/>
                <w:lang w:eastAsia="pt-PT"/>
              </w:rPr>
            </w:pPr>
            <w:r w:rsidRPr="00702F17">
              <w:rPr>
                <w:rFonts w:ascii="Calibri" w:eastAsia="Times New Roman" w:hAnsi="Calibri" w:cs="Calibri"/>
                <w:color w:val="000000"/>
                <w:sz w:val="20"/>
                <w:szCs w:val="20"/>
                <w:lang w:eastAsia="pt-PT"/>
              </w:rPr>
              <w:t>$5 837 480</w:t>
            </w:r>
          </w:p>
        </w:tc>
        <w:tc>
          <w:tcPr>
            <w:tcW w:w="1260" w:type="dxa"/>
            <w:tcBorders>
              <w:top w:val="nil"/>
              <w:left w:val="nil"/>
              <w:bottom w:val="single" w:sz="4" w:space="0" w:color="auto"/>
              <w:right w:val="single" w:sz="8" w:space="0" w:color="auto"/>
            </w:tcBorders>
          </w:tcPr>
          <w:p w14:paraId="4DA583D7" w14:textId="42E60B02" w:rsidR="00702F17" w:rsidRPr="00702F17" w:rsidRDefault="00702F17" w:rsidP="0004735A">
            <w:pPr>
              <w:spacing w:after="0" w:line="240" w:lineRule="auto"/>
              <w:jc w:val="right"/>
              <w:rPr>
                <w:rFonts w:ascii="Calibri" w:eastAsia="Times New Roman" w:hAnsi="Calibri" w:cs="Calibri"/>
                <w:color w:val="000000"/>
                <w:sz w:val="20"/>
                <w:szCs w:val="20"/>
                <w:lang w:eastAsia="pt-PT"/>
              </w:rPr>
            </w:pPr>
            <w:r>
              <w:rPr>
                <w:rFonts w:ascii="Calibri" w:eastAsia="Times New Roman" w:hAnsi="Calibri" w:cs="Calibri"/>
                <w:color w:val="000000"/>
                <w:sz w:val="20"/>
                <w:szCs w:val="20"/>
                <w:lang w:eastAsia="pt-PT"/>
              </w:rPr>
              <w:t>42.21</w:t>
            </w:r>
          </w:p>
        </w:tc>
      </w:tr>
      <w:tr w:rsidR="00702F17" w:rsidRPr="00702F17" w14:paraId="1814D737" w14:textId="61BFA7D2" w:rsidTr="00702F17">
        <w:trPr>
          <w:trHeight w:val="290"/>
        </w:trPr>
        <w:tc>
          <w:tcPr>
            <w:tcW w:w="2249" w:type="dxa"/>
            <w:tcBorders>
              <w:top w:val="nil"/>
              <w:left w:val="single" w:sz="8" w:space="0" w:color="auto"/>
              <w:bottom w:val="single" w:sz="4" w:space="0" w:color="auto"/>
              <w:right w:val="single" w:sz="4" w:space="0" w:color="auto"/>
            </w:tcBorders>
            <w:shd w:val="clear" w:color="auto" w:fill="auto"/>
            <w:noWrap/>
            <w:vAlign w:val="bottom"/>
            <w:hideMark/>
          </w:tcPr>
          <w:p w14:paraId="33721DD4" w14:textId="77777777" w:rsidR="00702F17" w:rsidRPr="00702F17" w:rsidRDefault="00702F17" w:rsidP="0004735A">
            <w:pPr>
              <w:spacing w:after="0" w:line="240" w:lineRule="auto"/>
              <w:rPr>
                <w:rFonts w:ascii="Calibri" w:eastAsia="Times New Roman" w:hAnsi="Calibri" w:cs="Calibri"/>
                <w:color w:val="000000"/>
                <w:sz w:val="20"/>
                <w:szCs w:val="20"/>
                <w:lang w:eastAsia="pt-PT"/>
              </w:rPr>
            </w:pPr>
            <w:r w:rsidRPr="00702F17">
              <w:rPr>
                <w:rFonts w:ascii="Calibri" w:eastAsia="Times New Roman" w:hAnsi="Calibri" w:cs="Calibri"/>
                <w:color w:val="000000"/>
                <w:sz w:val="20"/>
                <w:szCs w:val="20"/>
                <w:lang w:eastAsia="pt-PT"/>
              </w:rPr>
              <w:t>Governance</w:t>
            </w:r>
          </w:p>
        </w:tc>
        <w:tc>
          <w:tcPr>
            <w:tcW w:w="1350" w:type="dxa"/>
            <w:tcBorders>
              <w:top w:val="nil"/>
              <w:left w:val="nil"/>
              <w:bottom w:val="single" w:sz="4" w:space="0" w:color="auto"/>
              <w:right w:val="single" w:sz="4" w:space="0" w:color="auto"/>
            </w:tcBorders>
            <w:shd w:val="clear" w:color="auto" w:fill="auto"/>
            <w:noWrap/>
            <w:vAlign w:val="bottom"/>
            <w:hideMark/>
          </w:tcPr>
          <w:p w14:paraId="3BEF2709" w14:textId="77777777" w:rsidR="00702F17" w:rsidRPr="00702F17" w:rsidRDefault="00702F17" w:rsidP="0004735A">
            <w:pPr>
              <w:spacing w:after="0" w:line="240" w:lineRule="auto"/>
              <w:jc w:val="right"/>
              <w:rPr>
                <w:rFonts w:ascii="Calibri" w:eastAsia="Times New Roman" w:hAnsi="Calibri" w:cs="Calibri"/>
                <w:color w:val="000000"/>
                <w:sz w:val="20"/>
                <w:szCs w:val="20"/>
                <w:lang w:eastAsia="pt-PT"/>
              </w:rPr>
            </w:pPr>
            <w:r w:rsidRPr="00702F17">
              <w:rPr>
                <w:rFonts w:ascii="Calibri" w:eastAsia="Times New Roman" w:hAnsi="Calibri" w:cs="Calibri"/>
                <w:color w:val="000000"/>
                <w:sz w:val="20"/>
                <w:szCs w:val="20"/>
                <w:lang w:eastAsia="pt-PT"/>
              </w:rPr>
              <w:t>$2 006 280</w:t>
            </w:r>
          </w:p>
        </w:tc>
        <w:tc>
          <w:tcPr>
            <w:tcW w:w="1260" w:type="dxa"/>
            <w:tcBorders>
              <w:top w:val="nil"/>
              <w:left w:val="nil"/>
              <w:bottom w:val="single" w:sz="4" w:space="0" w:color="auto"/>
              <w:right w:val="single" w:sz="4" w:space="0" w:color="auto"/>
            </w:tcBorders>
            <w:shd w:val="clear" w:color="auto" w:fill="auto"/>
            <w:noWrap/>
            <w:vAlign w:val="bottom"/>
            <w:hideMark/>
          </w:tcPr>
          <w:p w14:paraId="60B946A8" w14:textId="77777777" w:rsidR="00702F17" w:rsidRPr="00702F17" w:rsidRDefault="00702F17" w:rsidP="0004735A">
            <w:pPr>
              <w:spacing w:after="0" w:line="240" w:lineRule="auto"/>
              <w:jc w:val="right"/>
              <w:rPr>
                <w:rFonts w:ascii="Calibri" w:eastAsia="Times New Roman" w:hAnsi="Calibri" w:cs="Calibri"/>
                <w:color w:val="000000"/>
                <w:sz w:val="20"/>
                <w:szCs w:val="20"/>
                <w:lang w:eastAsia="pt-PT"/>
              </w:rPr>
            </w:pPr>
            <w:r w:rsidRPr="00702F17">
              <w:rPr>
                <w:rFonts w:ascii="Calibri" w:eastAsia="Times New Roman" w:hAnsi="Calibri" w:cs="Calibri"/>
                <w:color w:val="000000"/>
                <w:sz w:val="20"/>
                <w:szCs w:val="20"/>
                <w:lang w:eastAsia="pt-PT"/>
              </w:rPr>
              <w:t>$1 348 984</w:t>
            </w:r>
          </w:p>
        </w:tc>
        <w:tc>
          <w:tcPr>
            <w:tcW w:w="1260" w:type="dxa"/>
            <w:tcBorders>
              <w:top w:val="nil"/>
              <w:left w:val="nil"/>
              <w:bottom w:val="single" w:sz="4" w:space="0" w:color="auto"/>
              <w:right w:val="single" w:sz="4" w:space="0" w:color="auto"/>
            </w:tcBorders>
            <w:shd w:val="clear" w:color="auto" w:fill="auto"/>
            <w:noWrap/>
            <w:vAlign w:val="bottom"/>
            <w:hideMark/>
          </w:tcPr>
          <w:p w14:paraId="3ED87253" w14:textId="77777777" w:rsidR="00702F17" w:rsidRPr="00702F17" w:rsidRDefault="00702F17" w:rsidP="0004735A">
            <w:pPr>
              <w:spacing w:after="0" w:line="240" w:lineRule="auto"/>
              <w:jc w:val="right"/>
              <w:rPr>
                <w:rFonts w:ascii="Calibri" w:eastAsia="Times New Roman" w:hAnsi="Calibri" w:cs="Calibri"/>
                <w:color w:val="000000"/>
                <w:sz w:val="20"/>
                <w:szCs w:val="20"/>
                <w:lang w:eastAsia="pt-PT"/>
              </w:rPr>
            </w:pPr>
            <w:r w:rsidRPr="00702F17">
              <w:rPr>
                <w:rFonts w:ascii="Calibri" w:eastAsia="Times New Roman" w:hAnsi="Calibri" w:cs="Calibri"/>
                <w:color w:val="000000"/>
                <w:sz w:val="20"/>
                <w:szCs w:val="20"/>
                <w:lang w:eastAsia="pt-PT"/>
              </w:rPr>
              <w:t>$1 947 590</w:t>
            </w:r>
          </w:p>
        </w:tc>
        <w:tc>
          <w:tcPr>
            <w:tcW w:w="1260" w:type="dxa"/>
            <w:tcBorders>
              <w:top w:val="nil"/>
              <w:left w:val="nil"/>
              <w:bottom w:val="single" w:sz="4" w:space="0" w:color="auto"/>
              <w:right w:val="single" w:sz="4" w:space="0" w:color="auto"/>
            </w:tcBorders>
            <w:shd w:val="clear" w:color="auto" w:fill="auto"/>
            <w:noWrap/>
            <w:vAlign w:val="bottom"/>
            <w:hideMark/>
          </w:tcPr>
          <w:p w14:paraId="10A6A515" w14:textId="77777777" w:rsidR="00702F17" w:rsidRPr="00702F17" w:rsidRDefault="00702F17" w:rsidP="0004735A">
            <w:pPr>
              <w:spacing w:after="0" w:line="240" w:lineRule="auto"/>
              <w:jc w:val="right"/>
              <w:rPr>
                <w:rFonts w:ascii="Calibri" w:eastAsia="Times New Roman" w:hAnsi="Calibri" w:cs="Calibri"/>
                <w:color w:val="000000"/>
                <w:sz w:val="20"/>
                <w:szCs w:val="20"/>
                <w:lang w:eastAsia="pt-PT"/>
              </w:rPr>
            </w:pPr>
            <w:r w:rsidRPr="00702F17">
              <w:rPr>
                <w:rFonts w:ascii="Calibri" w:eastAsia="Times New Roman" w:hAnsi="Calibri" w:cs="Calibri"/>
                <w:color w:val="000000"/>
                <w:sz w:val="20"/>
                <w:szCs w:val="20"/>
                <w:lang w:eastAsia="pt-PT"/>
              </w:rPr>
              <w:t>$1 373 799</w:t>
            </w:r>
          </w:p>
        </w:tc>
        <w:tc>
          <w:tcPr>
            <w:tcW w:w="1350" w:type="dxa"/>
            <w:tcBorders>
              <w:top w:val="nil"/>
              <w:left w:val="nil"/>
              <w:bottom w:val="single" w:sz="4" w:space="0" w:color="auto"/>
              <w:right w:val="single" w:sz="4" w:space="0" w:color="auto"/>
            </w:tcBorders>
            <w:shd w:val="clear" w:color="auto" w:fill="auto"/>
            <w:noWrap/>
            <w:vAlign w:val="bottom"/>
            <w:hideMark/>
          </w:tcPr>
          <w:p w14:paraId="6417E2AE" w14:textId="77777777" w:rsidR="00702F17" w:rsidRPr="00702F17" w:rsidRDefault="00702F17" w:rsidP="0004735A">
            <w:pPr>
              <w:spacing w:after="0" w:line="240" w:lineRule="auto"/>
              <w:jc w:val="right"/>
              <w:rPr>
                <w:rFonts w:ascii="Calibri" w:eastAsia="Times New Roman" w:hAnsi="Calibri" w:cs="Calibri"/>
                <w:color w:val="000000"/>
                <w:sz w:val="20"/>
                <w:szCs w:val="20"/>
                <w:lang w:eastAsia="pt-PT"/>
              </w:rPr>
            </w:pPr>
            <w:r w:rsidRPr="00702F17">
              <w:rPr>
                <w:rFonts w:ascii="Calibri" w:eastAsia="Times New Roman" w:hAnsi="Calibri" w:cs="Calibri"/>
                <w:color w:val="000000"/>
                <w:sz w:val="20"/>
                <w:szCs w:val="20"/>
                <w:lang w:eastAsia="pt-PT"/>
              </w:rPr>
              <w:t>$3 953 870</w:t>
            </w:r>
          </w:p>
        </w:tc>
        <w:tc>
          <w:tcPr>
            <w:tcW w:w="1350" w:type="dxa"/>
            <w:tcBorders>
              <w:top w:val="nil"/>
              <w:left w:val="nil"/>
              <w:bottom w:val="single" w:sz="4" w:space="0" w:color="auto"/>
              <w:right w:val="single" w:sz="8" w:space="0" w:color="auto"/>
            </w:tcBorders>
            <w:shd w:val="clear" w:color="auto" w:fill="auto"/>
            <w:noWrap/>
            <w:vAlign w:val="bottom"/>
            <w:hideMark/>
          </w:tcPr>
          <w:p w14:paraId="03601511" w14:textId="77777777" w:rsidR="00702F17" w:rsidRPr="00702F17" w:rsidRDefault="00702F17" w:rsidP="0004735A">
            <w:pPr>
              <w:spacing w:after="0" w:line="240" w:lineRule="auto"/>
              <w:jc w:val="right"/>
              <w:rPr>
                <w:rFonts w:ascii="Calibri" w:eastAsia="Times New Roman" w:hAnsi="Calibri" w:cs="Calibri"/>
                <w:color w:val="000000"/>
                <w:sz w:val="20"/>
                <w:szCs w:val="20"/>
                <w:lang w:eastAsia="pt-PT"/>
              </w:rPr>
            </w:pPr>
            <w:r w:rsidRPr="00702F17">
              <w:rPr>
                <w:rFonts w:ascii="Calibri" w:eastAsia="Times New Roman" w:hAnsi="Calibri" w:cs="Calibri"/>
                <w:color w:val="000000"/>
                <w:sz w:val="20"/>
                <w:szCs w:val="20"/>
                <w:lang w:eastAsia="pt-PT"/>
              </w:rPr>
              <w:t>$2 722 783</w:t>
            </w:r>
          </w:p>
        </w:tc>
        <w:tc>
          <w:tcPr>
            <w:tcW w:w="1260" w:type="dxa"/>
            <w:tcBorders>
              <w:top w:val="nil"/>
              <w:left w:val="nil"/>
              <w:bottom w:val="single" w:sz="4" w:space="0" w:color="auto"/>
              <w:right w:val="single" w:sz="8" w:space="0" w:color="auto"/>
            </w:tcBorders>
          </w:tcPr>
          <w:p w14:paraId="1095FF87" w14:textId="2AC18539" w:rsidR="00702F17" w:rsidRPr="00702F17" w:rsidRDefault="00702F17" w:rsidP="0004735A">
            <w:pPr>
              <w:spacing w:after="0" w:line="240" w:lineRule="auto"/>
              <w:jc w:val="right"/>
              <w:rPr>
                <w:rFonts w:ascii="Calibri" w:eastAsia="Times New Roman" w:hAnsi="Calibri" w:cs="Calibri"/>
                <w:color w:val="000000"/>
                <w:sz w:val="20"/>
                <w:szCs w:val="20"/>
                <w:lang w:eastAsia="pt-PT"/>
              </w:rPr>
            </w:pPr>
            <w:r>
              <w:rPr>
                <w:rFonts w:ascii="Calibri" w:eastAsia="Times New Roman" w:hAnsi="Calibri" w:cs="Calibri"/>
                <w:color w:val="000000"/>
                <w:sz w:val="20"/>
                <w:szCs w:val="20"/>
                <w:lang w:eastAsia="pt-PT"/>
              </w:rPr>
              <w:t>68.9</w:t>
            </w:r>
          </w:p>
        </w:tc>
      </w:tr>
      <w:tr w:rsidR="00702F17" w:rsidRPr="00702F17" w14:paraId="43542821" w14:textId="6578A885" w:rsidTr="00702F17">
        <w:trPr>
          <w:trHeight w:val="300"/>
        </w:trPr>
        <w:tc>
          <w:tcPr>
            <w:tcW w:w="2249" w:type="dxa"/>
            <w:tcBorders>
              <w:top w:val="nil"/>
              <w:left w:val="single" w:sz="8" w:space="0" w:color="auto"/>
              <w:bottom w:val="nil"/>
              <w:right w:val="single" w:sz="4" w:space="0" w:color="auto"/>
            </w:tcBorders>
            <w:shd w:val="clear" w:color="auto" w:fill="auto"/>
            <w:noWrap/>
            <w:vAlign w:val="bottom"/>
            <w:hideMark/>
          </w:tcPr>
          <w:p w14:paraId="729108A2" w14:textId="77777777" w:rsidR="00702F17" w:rsidRPr="00702F17" w:rsidRDefault="00702F17" w:rsidP="0004735A">
            <w:pPr>
              <w:spacing w:after="0" w:line="240" w:lineRule="auto"/>
              <w:rPr>
                <w:rFonts w:ascii="Calibri" w:eastAsia="Times New Roman" w:hAnsi="Calibri" w:cs="Calibri"/>
                <w:color w:val="000000"/>
                <w:sz w:val="20"/>
                <w:szCs w:val="20"/>
                <w:lang w:eastAsia="pt-PT"/>
              </w:rPr>
            </w:pPr>
            <w:r w:rsidRPr="00702F17">
              <w:rPr>
                <w:rFonts w:ascii="Calibri" w:eastAsia="Times New Roman" w:hAnsi="Calibri" w:cs="Calibri"/>
                <w:color w:val="000000"/>
                <w:sz w:val="20"/>
                <w:szCs w:val="20"/>
                <w:lang w:eastAsia="pt-PT"/>
              </w:rPr>
              <w:t>Global Fund</w:t>
            </w:r>
          </w:p>
        </w:tc>
        <w:tc>
          <w:tcPr>
            <w:tcW w:w="1350" w:type="dxa"/>
            <w:tcBorders>
              <w:top w:val="nil"/>
              <w:left w:val="nil"/>
              <w:bottom w:val="nil"/>
              <w:right w:val="single" w:sz="4" w:space="0" w:color="auto"/>
            </w:tcBorders>
            <w:shd w:val="clear" w:color="auto" w:fill="auto"/>
            <w:noWrap/>
            <w:vAlign w:val="bottom"/>
            <w:hideMark/>
          </w:tcPr>
          <w:p w14:paraId="41051CC6" w14:textId="77777777" w:rsidR="00702F17" w:rsidRPr="00702F17" w:rsidRDefault="00702F17" w:rsidP="0004735A">
            <w:pPr>
              <w:spacing w:after="0" w:line="240" w:lineRule="auto"/>
              <w:jc w:val="right"/>
              <w:rPr>
                <w:rFonts w:ascii="Calibri" w:eastAsia="Times New Roman" w:hAnsi="Calibri" w:cs="Calibri"/>
                <w:color w:val="000000"/>
                <w:sz w:val="20"/>
                <w:szCs w:val="20"/>
                <w:lang w:eastAsia="pt-PT"/>
              </w:rPr>
            </w:pPr>
            <w:r w:rsidRPr="00702F17">
              <w:rPr>
                <w:rFonts w:ascii="Calibri" w:eastAsia="Times New Roman" w:hAnsi="Calibri" w:cs="Calibri"/>
                <w:color w:val="000000"/>
                <w:sz w:val="20"/>
                <w:szCs w:val="20"/>
                <w:lang w:eastAsia="pt-PT"/>
              </w:rPr>
              <w:t>$10 866 010</w:t>
            </w:r>
          </w:p>
        </w:tc>
        <w:tc>
          <w:tcPr>
            <w:tcW w:w="1260" w:type="dxa"/>
            <w:tcBorders>
              <w:top w:val="nil"/>
              <w:left w:val="nil"/>
              <w:bottom w:val="nil"/>
              <w:right w:val="single" w:sz="4" w:space="0" w:color="auto"/>
            </w:tcBorders>
            <w:shd w:val="clear" w:color="auto" w:fill="auto"/>
            <w:noWrap/>
            <w:vAlign w:val="bottom"/>
            <w:hideMark/>
          </w:tcPr>
          <w:p w14:paraId="7C2D9D63" w14:textId="77777777" w:rsidR="00702F17" w:rsidRPr="00702F17" w:rsidRDefault="00702F17" w:rsidP="0004735A">
            <w:pPr>
              <w:spacing w:after="0" w:line="240" w:lineRule="auto"/>
              <w:jc w:val="right"/>
              <w:rPr>
                <w:rFonts w:ascii="Calibri" w:eastAsia="Times New Roman" w:hAnsi="Calibri" w:cs="Calibri"/>
                <w:color w:val="000000"/>
                <w:sz w:val="20"/>
                <w:szCs w:val="20"/>
                <w:lang w:eastAsia="pt-PT"/>
              </w:rPr>
            </w:pPr>
            <w:r w:rsidRPr="00702F17">
              <w:rPr>
                <w:rFonts w:ascii="Calibri" w:eastAsia="Times New Roman" w:hAnsi="Calibri" w:cs="Calibri"/>
                <w:color w:val="000000"/>
                <w:sz w:val="20"/>
                <w:szCs w:val="20"/>
                <w:lang w:eastAsia="pt-PT"/>
              </w:rPr>
              <w:t>$7 452 733</w:t>
            </w:r>
          </w:p>
        </w:tc>
        <w:tc>
          <w:tcPr>
            <w:tcW w:w="1260" w:type="dxa"/>
            <w:tcBorders>
              <w:top w:val="nil"/>
              <w:left w:val="nil"/>
              <w:bottom w:val="nil"/>
              <w:right w:val="single" w:sz="4" w:space="0" w:color="auto"/>
            </w:tcBorders>
            <w:shd w:val="clear" w:color="auto" w:fill="auto"/>
            <w:noWrap/>
            <w:vAlign w:val="bottom"/>
            <w:hideMark/>
          </w:tcPr>
          <w:p w14:paraId="7CFBC769" w14:textId="77777777" w:rsidR="00702F17" w:rsidRPr="00702F17" w:rsidRDefault="00702F17" w:rsidP="0004735A">
            <w:pPr>
              <w:spacing w:after="0" w:line="240" w:lineRule="auto"/>
              <w:jc w:val="right"/>
              <w:rPr>
                <w:rFonts w:ascii="Calibri" w:eastAsia="Times New Roman" w:hAnsi="Calibri" w:cs="Calibri"/>
                <w:color w:val="000000"/>
                <w:sz w:val="20"/>
                <w:szCs w:val="20"/>
                <w:lang w:eastAsia="pt-PT"/>
              </w:rPr>
            </w:pPr>
            <w:r w:rsidRPr="00702F17">
              <w:rPr>
                <w:rFonts w:ascii="Calibri" w:eastAsia="Times New Roman" w:hAnsi="Calibri" w:cs="Calibri"/>
                <w:color w:val="000000"/>
                <w:sz w:val="20"/>
                <w:szCs w:val="20"/>
                <w:lang w:eastAsia="pt-PT"/>
              </w:rPr>
              <w:t>$33 207 824</w:t>
            </w:r>
          </w:p>
        </w:tc>
        <w:tc>
          <w:tcPr>
            <w:tcW w:w="1260" w:type="dxa"/>
            <w:tcBorders>
              <w:top w:val="nil"/>
              <w:left w:val="nil"/>
              <w:bottom w:val="nil"/>
              <w:right w:val="single" w:sz="4" w:space="0" w:color="auto"/>
            </w:tcBorders>
            <w:shd w:val="clear" w:color="auto" w:fill="auto"/>
            <w:noWrap/>
            <w:vAlign w:val="bottom"/>
            <w:hideMark/>
          </w:tcPr>
          <w:p w14:paraId="621E0F70" w14:textId="77777777" w:rsidR="00702F17" w:rsidRPr="00702F17" w:rsidRDefault="00702F17" w:rsidP="0004735A">
            <w:pPr>
              <w:spacing w:after="0" w:line="240" w:lineRule="auto"/>
              <w:jc w:val="right"/>
              <w:rPr>
                <w:rFonts w:ascii="Calibri" w:eastAsia="Times New Roman" w:hAnsi="Calibri" w:cs="Calibri"/>
                <w:color w:val="000000"/>
                <w:sz w:val="20"/>
                <w:szCs w:val="20"/>
                <w:lang w:eastAsia="pt-PT"/>
              </w:rPr>
            </w:pPr>
            <w:r w:rsidRPr="00702F17">
              <w:rPr>
                <w:rFonts w:ascii="Calibri" w:eastAsia="Times New Roman" w:hAnsi="Calibri" w:cs="Calibri"/>
                <w:color w:val="000000"/>
                <w:sz w:val="20"/>
                <w:szCs w:val="20"/>
                <w:lang w:eastAsia="pt-PT"/>
              </w:rPr>
              <w:t>$7 166 088</w:t>
            </w:r>
          </w:p>
        </w:tc>
        <w:tc>
          <w:tcPr>
            <w:tcW w:w="1350" w:type="dxa"/>
            <w:tcBorders>
              <w:top w:val="nil"/>
              <w:left w:val="nil"/>
              <w:bottom w:val="nil"/>
              <w:right w:val="single" w:sz="4" w:space="0" w:color="auto"/>
            </w:tcBorders>
            <w:shd w:val="clear" w:color="auto" w:fill="auto"/>
            <w:noWrap/>
            <w:vAlign w:val="bottom"/>
            <w:hideMark/>
          </w:tcPr>
          <w:p w14:paraId="3643251D" w14:textId="77777777" w:rsidR="00702F17" w:rsidRPr="00702F17" w:rsidRDefault="00702F17" w:rsidP="0004735A">
            <w:pPr>
              <w:spacing w:after="0" w:line="240" w:lineRule="auto"/>
              <w:jc w:val="right"/>
              <w:rPr>
                <w:rFonts w:ascii="Calibri" w:eastAsia="Times New Roman" w:hAnsi="Calibri" w:cs="Calibri"/>
                <w:color w:val="000000"/>
                <w:sz w:val="20"/>
                <w:szCs w:val="20"/>
                <w:lang w:eastAsia="pt-PT"/>
              </w:rPr>
            </w:pPr>
            <w:r w:rsidRPr="00702F17">
              <w:rPr>
                <w:rFonts w:ascii="Calibri" w:eastAsia="Times New Roman" w:hAnsi="Calibri" w:cs="Calibri"/>
                <w:color w:val="000000"/>
                <w:sz w:val="20"/>
                <w:szCs w:val="20"/>
                <w:lang w:eastAsia="pt-PT"/>
              </w:rPr>
              <w:t>$44 073 834</w:t>
            </w:r>
          </w:p>
        </w:tc>
        <w:tc>
          <w:tcPr>
            <w:tcW w:w="1350" w:type="dxa"/>
            <w:tcBorders>
              <w:top w:val="nil"/>
              <w:left w:val="nil"/>
              <w:bottom w:val="nil"/>
              <w:right w:val="single" w:sz="8" w:space="0" w:color="auto"/>
            </w:tcBorders>
            <w:shd w:val="clear" w:color="auto" w:fill="auto"/>
            <w:noWrap/>
            <w:vAlign w:val="bottom"/>
            <w:hideMark/>
          </w:tcPr>
          <w:p w14:paraId="48F392D1" w14:textId="77777777" w:rsidR="00702F17" w:rsidRPr="00702F17" w:rsidRDefault="00702F17" w:rsidP="0004735A">
            <w:pPr>
              <w:spacing w:after="0" w:line="240" w:lineRule="auto"/>
              <w:jc w:val="right"/>
              <w:rPr>
                <w:rFonts w:ascii="Calibri" w:eastAsia="Times New Roman" w:hAnsi="Calibri" w:cs="Calibri"/>
                <w:color w:val="000000"/>
                <w:sz w:val="20"/>
                <w:szCs w:val="20"/>
                <w:lang w:eastAsia="pt-PT"/>
              </w:rPr>
            </w:pPr>
            <w:r w:rsidRPr="00702F17">
              <w:rPr>
                <w:rFonts w:ascii="Calibri" w:eastAsia="Times New Roman" w:hAnsi="Calibri" w:cs="Calibri"/>
                <w:color w:val="000000"/>
                <w:sz w:val="20"/>
                <w:szCs w:val="20"/>
                <w:lang w:eastAsia="pt-PT"/>
              </w:rPr>
              <w:t>$14 618 821</w:t>
            </w:r>
          </w:p>
        </w:tc>
        <w:tc>
          <w:tcPr>
            <w:tcW w:w="1260" w:type="dxa"/>
            <w:tcBorders>
              <w:top w:val="nil"/>
              <w:left w:val="nil"/>
              <w:bottom w:val="nil"/>
              <w:right w:val="single" w:sz="8" w:space="0" w:color="auto"/>
            </w:tcBorders>
          </w:tcPr>
          <w:p w14:paraId="60E5E549" w14:textId="31647C5E" w:rsidR="00702F17" w:rsidRPr="00702F17" w:rsidRDefault="00702F17" w:rsidP="0004735A">
            <w:pPr>
              <w:spacing w:after="0" w:line="240" w:lineRule="auto"/>
              <w:jc w:val="right"/>
              <w:rPr>
                <w:rFonts w:ascii="Calibri" w:eastAsia="Times New Roman" w:hAnsi="Calibri" w:cs="Calibri"/>
                <w:color w:val="000000"/>
                <w:sz w:val="20"/>
                <w:szCs w:val="20"/>
                <w:lang w:eastAsia="pt-PT"/>
              </w:rPr>
            </w:pPr>
            <w:r>
              <w:rPr>
                <w:rFonts w:ascii="Calibri" w:eastAsia="Times New Roman" w:hAnsi="Calibri" w:cs="Calibri"/>
                <w:color w:val="000000"/>
                <w:sz w:val="20"/>
                <w:szCs w:val="20"/>
                <w:lang w:eastAsia="pt-PT"/>
              </w:rPr>
              <w:t>33.2</w:t>
            </w:r>
          </w:p>
        </w:tc>
      </w:tr>
      <w:tr w:rsidR="00702F17" w:rsidRPr="00702F17" w14:paraId="6E76957C" w14:textId="6E99FBBB" w:rsidTr="00702F17">
        <w:trPr>
          <w:trHeight w:val="300"/>
        </w:trPr>
        <w:tc>
          <w:tcPr>
            <w:tcW w:w="2249" w:type="dxa"/>
            <w:tcBorders>
              <w:top w:val="nil"/>
              <w:left w:val="single" w:sz="8" w:space="0" w:color="auto"/>
              <w:bottom w:val="nil"/>
              <w:right w:val="single" w:sz="4" w:space="0" w:color="auto"/>
            </w:tcBorders>
            <w:shd w:val="clear" w:color="auto" w:fill="auto"/>
            <w:noWrap/>
            <w:vAlign w:val="bottom"/>
          </w:tcPr>
          <w:p w14:paraId="0E94496A" w14:textId="77777777" w:rsidR="00702F17" w:rsidRPr="00702F17" w:rsidRDefault="00702F17" w:rsidP="0004735A">
            <w:pPr>
              <w:spacing w:after="0" w:line="240" w:lineRule="auto"/>
              <w:rPr>
                <w:rFonts w:ascii="Calibri" w:eastAsia="Times New Roman" w:hAnsi="Calibri" w:cs="Calibri"/>
                <w:color w:val="000000"/>
                <w:sz w:val="20"/>
                <w:szCs w:val="20"/>
                <w:lang w:eastAsia="pt-PT"/>
              </w:rPr>
            </w:pPr>
          </w:p>
        </w:tc>
        <w:tc>
          <w:tcPr>
            <w:tcW w:w="1350" w:type="dxa"/>
            <w:tcBorders>
              <w:top w:val="nil"/>
              <w:left w:val="nil"/>
              <w:bottom w:val="nil"/>
              <w:right w:val="single" w:sz="4" w:space="0" w:color="auto"/>
            </w:tcBorders>
            <w:shd w:val="clear" w:color="auto" w:fill="auto"/>
            <w:noWrap/>
            <w:vAlign w:val="bottom"/>
          </w:tcPr>
          <w:p w14:paraId="69D12FA9" w14:textId="77777777" w:rsidR="00702F17" w:rsidRPr="00702F17" w:rsidRDefault="00702F17" w:rsidP="0004735A">
            <w:pPr>
              <w:spacing w:after="0" w:line="240" w:lineRule="auto"/>
              <w:jc w:val="right"/>
              <w:rPr>
                <w:rFonts w:ascii="Calibri" w:eastAsia="Times New Roman" w:hAnsi="Calibri" w:cs="Calibri"/>
                <w:color w:val="000000"/>
                <w:sz w:val="20"/>
                <w:szCs w:val="20"/>
                <w:lang w:eastAsia="pt-PT"/>
              </w:rPr>
            </w:pPr>
            <w:r w:rsidRPr="00702F17">
              <w:rPr>
                <w:rFonts w:ascii="Calibri" w:eastAsia="Times New Roman" w:hAnsi="Calibri" w:cs="Calibri"/>
                <w:color w:val="000000"/>
                <w:sz w:val="20"/>
                <w:szCs w:val="20"/>
                <w:lang w:eastAsia="pt-PT"/>
              </w:rPr>
              <w:t>$19,736,915</w:t>
            </w:r>
          </w:p>
        </w:tc>
        <w:tc>
          <w:tcPr>
            <w:tcW w:w="1260" w:type="dxa"/>
            <w:tcBorders>
              <w:top w:val="nil"/>
              <w:left w:val="nil"/>
              <w:bottom w:val="nil"/>
              <w:right w:val="single" w:sz="4" w:space="0" w:color="auto"/>
            </w:tcBorders>
            <w:shd w:val="clear" w:color="auto" w:fill="auto"/>
            <w:noWrap/>
            <w:vAlign w:val="bottom"/>
          </w:tcPr>
          <w:p w14:paraId="191E6387" w14:textId="77777777" w:rsidR="00702F17" w:rsidRPr="00702F17" w:rsidRDefault="00702F17" w:rsidP="0004735A">
            <w:pPr>
              <w:spacing w:after="0" w:line="240" w:lineRule="auto"/>
              <w:jc w:val="right"/>
              <w:rPr>
                <w:rFonts w:ascii="Calibri" w:eastAsia="Times New Roman" w:hAnsi="Calibri" w:cs="Calibri"/>
                <w:color w:val="000000"/>
                <w:sz w:val="20"/>
                <w:szCs w:val="20"/>
                <w:lang w:eastAsia="pt-PT"/>
              </w:rPr>
            </w:pPr>
            <w:r w:rsidRPr="00702F17">
              <w:rPr>
                <w:rFonts w:ascii="Calibri" w:eastAsia="Times New Roman" w:hAnsi="Calibri" w:cs="Calibri"/>
                <w:color w:val="000000"/>
                <w:sz w:val="20"/>
                <w:szCs w:val="20"/>
                <w:lang w:eastAsia="pt-PT"/>
              </w:rPr>
              <w:t>$11,965,068</w:t>
            </w:r>
          </w:p>
        </w:tc>
        <w:tc>
          <w:tcPr>
            <w:tcW w:w="1260" w:type="dxa"/>
            <w:tcBorders>
              <w:top w:val="nil"/>
              <w:left w:val="nil"/>
              <w:bottom w:val="nil"/>
              <w:right w:val="single" w:sz="4" w:space="0" w:color="auto"/>
            </w:tcBorders>
            <w:shd w:val="clear" w:color="auto" w:fill="auto"/>
            <w:noWrap/>
            <w:vAlign w:val="bottom"/>
          </w:tcPr>
          <w:p w14:paraId="3DDCF28F" w14:textId="77777777" w:rsidR="00702F17" w:rsidRPr="00702F17" w:rsidRDefault="00702F17" w:rsidP="0004735A">
            <w:pPr>
              <w:spacing w:after="0" w:line="240" w:lineRule="auto"/>
              <w:jc w:val="right"/>
              <w:rPr>
                <w:rFonts w:ascii="Calibri" w:eastAsia="Times New Roman" w:hAnsi="Calibri" w:cs="Calibri"/>
                <w:color w:val="000000"/>
                <w:sz w:val="20"/>
                <w:szCs w:val="20"/>
                <w:lang w:eastAsia="pt-PT"/>
              </w:rPr>
            </w:pPr>
            <w:r w:rsidRPr="00702F17">
              <w:rPr>
                <w:rFonts w:ascii="Calibri" w:eastAsia="Times New Roman" w:hAnsi="Calibri" w:cs="Calibri"/>
                <w:color w:val="000000"/>
                <w:sz w:val="20"/>
                <w:szCs w:val="20"/>
                <w:lang w:eastAsia="pt-PT"/>
              </w:rPr>
              <w:t>$45,074,148</w:t>
            </w:r>
          </w:p>
        </w:tc>
        <w:tc>
          <w:tcPr>
            <w:tcW w:w="1260" w:type="dxa"/>
            <w:tcBorders>
              <w:top w:val="nil"/>
              <w:left w:val="nil"/>
              <w:bottom w:val="nil"/>
              <w:right w:val="single" w:sz="4" w:space="0" w:color="auto"/>
            </w:tcBorders>
            <w:shd w:val="clear" w:color="auto" w:fill="auto"/>
            <w:noWrap/>
            <w:vAlign w:val="bottom"/>
          </w:tcPr>
          <w:p w14:paraId="60521A7C" w14:textId="5A63507A" w:rsidR="00702F17" w:rsidRPr="00702F17" w:rsidRDefault="00702F17" w:rsidP="0004735A">
            <w:pPr>
              <w:spacing w:after="0" w:line="240" w:lineRule="auto"/>
              <w:jc w:val="right"/>
              <w:rPr>
                <w:rFonts w:ascii="Calibri" w:eastAsia="Times New Roman" w:hAnsi="Calibri" w:cs="Calibri"/>
                <w:color w:val="000000"/>
                <w:sz w:val="20"/>
                <w:szCs w:val="20"/>
                <w:lang w:eastAsia="pt-PT"/>
              </w:rPr>
            </w:pPr>
            <w:r w:rsidRPr="00702F17">
              <w:rPr>
                <w:rFonts w:ascii="Calibri" w:eastAsia="Times New Roman" w:hAnsi="Calibri" w:cs="Calibri"/>
                <w:color w:val="000000"/>
                <w:sz w:val="20"/>
                <w:szCs w:val="20"/>
                <w:lang w:eastAsia="pt-PT"/>
              </w:rPr>
              <w:t>$12,</w:t>
            </w:r>
            <w:r w:rsidR="00924178">
              <w:rPr>
                <w:rFonts w:ascii="Calibri" w:eastAsia="Times New Roman" w:hAnsi="Calibri" w:cs="Calibri"/>
                <w:color w:val="000000"/>
                <w:sz w:val="20"/>
                <w:szCs w:val="20"/>
                <w:lang w:eastAsia="pt-PT"/>
              </w:rPr>
              <w:t>7</w:t>
            </w:r>
            <w:r w:rsidRPr="00702F17">
              <w:rPr>
                <w:rFonts w:ascii="Calibri" w:eastAsia="Times New Roman" w:hAnsi="Calibri" w:cs="Calibri"/>
                <w:color w:val="000000"/>
                <w:sz w:val="20"/>
                <w:szCs w:val="20"/>
                <w:lang w:eastAsia="pt-PT"/>
              </w:rPr>
              <w:t>08,062</w:t>
            </w:r>
          </w:p>
        </w:tc>
        <w:tc>
          <w:tcPr>
            <w:tcW w:w="1350" w:type="dxa"/>
            <w:tcBorders>
              <w:top w:val="nil"/>
              <w:left w:val="nil"/>
              <w:bottom w:val="nil"/>
              <w:right w:val="single" w:sz="4" w:space="0" w:color="auto"/>
            </w:tcBorders>
            <w:shd w:val="clear" w:color="auto" w:fill="auto"/>
            <w:noWrap/>
            <w:vAlign w:val="bottom"/>
          </w:tcPr>
          <w:p w14:paraId="48CEEC46" w14:textId="77777777" w:rsidR="00702F17" w:rsidRPr="00702F17" w:rsidRDefault="00702F17" w:rsidP="0004735A">
            <w:pPr>
              <w:spacing w:after="0" w:line="240" w:lineRule="auto"/>
              <w:jc w:val="right"/>
              <w:rPr>
                <w:rFonts w:ascii="Calibri" w:eastAsia="Times New Roman" w:hAnsi="Calibri" w:cs="Calibri"/>
                <w:color w:val="000000"/>
                <w:sz w:val="20"/>
                <w:szCs w:val="20"/>
                <w:lang w:eastAsia="pt-PT"/>
              </w:rPr>
            </w:pPr>
            <w:r w:rsidRPr="00702F17">
              <w:rPr>
                <w:rFonts w:ascii="Calibri" w:eastAsia="Times New Roman" w:hAnsi="Calibri" w:cs="Calibri"/>
                <w:color w:val="000000"/>
                <w:sz w:val="20"/>
                <w:szCs w:val="20"/>
                <w:lang w:eastAsia="pt-PT"/>
              </w:rPr>
              <w:t>$64,811,063</w:t>
            </w:r>
          </w:p>
        </w:tc>
        <w:tc>
          <w:tcPr>
            <w:tcW w:w="1350" w:type="dxa"/>
            <w:tcBorders>
              <w:top w:val="nil"/>
              <w:left w:val="nil"/>
              <w:bottom w:val="nil"/>
              <w:right w:val="single" w:sz="8" w:space="0" w:color="auto"/>
            </w:tcBorders>
            <w:shd w:val="clear" w:color="auto" w:fill="auto"/>
            <w:noWrap/>
            <w:vAlign w:val="bottom"/>
          </w:tcPr>
          <w:p w14:paraId="454B227B" w14:textId="77777777" w:rsidR="00702F17" w:rsidRPr="00702F17" w:rsidRDefault="00702F17" w:rsidP="0004735A">
            <w:pPr>
              <w:spacing w:after="0" w:line="240" w:lineRule="auto"/>
              <w:jc w:val="right"/>
              <w:rPr>
                <w:rFonts w:ascii="Calibri" w:eastAsia="Times New Roman" w:hAnsi="Calibri" w:cs="Calibri"/>
                <w:color w:val="000000"/>
                <w:sz w:val="20"/>
                <w:szCs w:val="20"/>
                <w:lang w:eastAsia="pt-PT"/>
              </w:rPr>
            </w:pPr>
            <w:r w:rsidRPr="00702F17">
              <w:rPr>
                <w:rFonts w:ascii="Calibri" w:eastAsia="Times New Roman" w:hAnsi="Calibri" w:cs="Calibri"/>
                <w:color w:val="000000"/>
                <w:sz w:val="20"/>
                <w:szCs w:val="20"/>
                <w:lang w:eastAsia="pt-PT"/>
              </w:rPr>
              <w:t>$24,673,131</w:t>
            </w:r>
          </w:p>
        </w:tc>
        <w:tc>
          <w:tcPr>
            <w:tcW w:w="1260" w:type="dxa"/>
            <w:tcBorders>
              <w:top w:val="nil"/>
              <w:left w:val="nil"/>
              <w:bottom w:val="nil"/>
              <w:right w:val="single" w:sz="8" w:space="0" w:color="auto"/>
            </w:tcBorders>
          </w:tcPr>
          <w:p w14:paraId="245B2973" w14:textId="4BD27F23" w:rsidR="00702F17" w:rsidRPr="00702F17" w:rsidRDefault="00702F17" w:rsidP="0004735A">
            <w:pPr>
              <w:spacing w:after="0" w:line="240" w:lineRule="auto"/>
              <w:jc w:val="right"/>
              <w:rPr>
                <w:rFonts w:ascii="Calibri" w:eastAsia="Times New Roman" w:hAnsi="Calibri" w:cs="Calibri"/>
                <w:color w:val="000000"/>
                <w:sz w:val="20"/>
                <w:szCs w:val="20"/>
                <w:lang w:eastAsia="pt-PT"/>
              </w:rPr>
            </w:pPr>
            <w:r>
              <w:rPr>
                <w:rFonts w:ascii="Calibri" w:eastAsia="Times New Roman" w:hAnsi="Calibri" w:cs="Calibri"/>
                <w:color w:val="000000"/>
                <w:sz w:val="20"/>
                <w:szCs w:val="20"/>
                <w:lang w:eastAsia="pt-PT"/>
              </w:rPr>
              <w:t>38.1</w:t>
            </w:r>
          </w:p>
        </w:tc>
      </w:tr>
      <w:tr w:rsidR="00702F17" w:rsidRPr="00702F17" w14:paraId="37056EC5" w14:textId="5851E5A3" w:rsidTr="00702F17">
        <w:trPr>
          <w:trHeight w:val="300"/>
        </w:trPr>
        <w:tc>
          <w:tcPr>
            <w:tcW w:w="2249" w:type="dxa"/>
            <w:tcBorders>
              <w:top w:val="nil"/>
              <w:left w:val="single" w:sz="8" w:space="0" w:color="auto"/>
              <w:bottom w:val="single" w:sz="8" w:space="0" w:color="auto"/>
              <w:right w:val="single" w:sz="4" w:space="0" w:color="auto"/>
            </w:tcBorders>
            <w:shd w:val="clear" w:color="auto" w:fill="auto"/>
            <w:noWrap/>
            <w:vAlign w:val="bottom"/>
          </w:tcPr>
          <w:p w14:paraId="6C3AA6BA" w14:textId="21E85D58" w:rsidR="00702F17" w:rsidRPr="00702F17" w:rsidRDefault="00702F17" w:rsidP="0004735A">
            <w:pPr>
              <w:spacing w:after="0" w:line="240" w:lineRule="auto"/>
              <w:rPr>
                <w:rFonts w:ascii="Calibri" w:eastAsia="Times New Roman" w:hAnsi="Calibri" w:cs="Calibri"/>
                <w:color w:val="000000"/>
                <w:sz w:val="20"/>
                <w:szCs w:val="20"/>
                <w:lang w:eastAsia="pt-PT"/>
              </w:rPr>
            </w:pPr>
            <w:r w:rsidRPr="00702F17">
              <w:rPr>
                <w:rFonts w:ascii="Calibri" w:eastAsia="Times New Roman" w:hAnsi="Calibri" w:cs="Calibri"/>
                <w:color w:val="000000"/>
                <w:sz w:val="20"/>
                <w:szCs w:val="20"/>
                <w:lang w:eastAsia="pt-PT"/>
              </w:rPr>
              <w:t>Delivery (%)</w:t>
            </w:r>
          </w:p>
        </w:tc>
        <w:tc>
          <w:tcPr>
            <w:tcW w:w="2610" w:type="dxa"/>
            <w:gridSpan w:val="2"/>
            <w:tcBorders>
              <w:top w:val="nil"/>
              <w:left w:val="nil"/>
              <w:bottom w:val="single" w:sz="8" w:space="0" w:color="auto"/>
              <w:right w:val="single" w:sz="4" w:space="0" w:color="auto"/>
            </w:tcBorders>
            <w:shd w:val="clear" w:color="auto" w:fill="auto"/>
            <w:noWrap/>
            <w:vAlign w:val="bottom"/>
          </w:tcPr>
          <w:p w14:paraId="284812D1" w14:textId="7E0E3F7D" w:rsidR="00702F17" w:rsidRPr="00702F17" w:rsidRDefault="00702F17" w:rsidP="0004735A">
            <w:pPr>
              <w:spacing w:after="0" w:line="240" w:lineRule="auto"/>
              <w:jc w:val="right"/>
              <w:rPr>
                <w:rFonts w:ascii="Calibri" w:eastAsia="Times New Roman" w:hAnsi="Calibri" w:cs="Calibri"/>
                <w:color w:val="000000"/>
                <w:sz w:val="20"/>
                <w:szCs w:val="20"/>
                <w:lang w:eastAsia="pt-PT"/>
              </w:rPr>
            </w:pPr>
            <w:r>
              <w:rPr>
                <w:rFonts w:ascii="Calibri" w:eastAsia="Times New Roman" w:hAnsi="Calibri" w:cs="Calibri"/>
                <w:color w:val="000000"/>
                <w:sz w:val="20"/>
                <w:szCs w:val="20"/>
                <w:lang w:eastAsia="pt-PT"/>
              </w:rPr>
              <w:t>60.6</w:t>
            </w:r>
          </w:p>
        </w:tc>
        <w:tc>
          <w:tcPr>
            <w:tcW w:w="2520" w:type="dxa"/>
            <w:gridSpan w:val="2"/>
            <w:tcBorders>
              <w:top w:val="nil"/>
              <w:left w:val="nil"/>
              <w:bottom w:val="single" w:sz="8" w:space="0" w:color="auto"/>
              <w:right w:val="single" w:sz="4" w:space="0" w:color="auto"/>
            </w:tcBorders>
            <w:shd w:val="clear" w:color="auto" w:fill="auto"/>
            <w:noWrap/>
            <w:vAlign w:val="bottom"/>
          </w:tcPr>
          <w:p w14:paraId="4A86A83F" w14:textId="674E6BD2" w:rsidR="00702F17" w:rsidRPr="00702F17" w:rsidRDefault="00924178" w:rsidP="0004735A">
            <w:pPr>
              <w:spacing w:after="0" w:line="240" w:lineRule="auto"/>
              <w:jc w:val="right"/>
              <w:rPr>
                <w:rFonts w:ascii="Calibri" w:eastAsia="Times New Roman" w:hAnsi="Calibri" w:cs="Calibri"/>
                <w:color w:val="000000"/>
                <w:sz w:val="20"/>
                <w:szCs w:val="20"/>
                <w:lang w:eastAsia="pt-PT"/>
              </w:rPr>
            </w:pPr>
            <w:r>
              <w:rPr>
                <w:rFonts w:ascii="Calibri" w:eastAsia="Times New Roman" w:hAnsi="Calibri" w:cs="Calibri"/>
                <w:color w:val="000000"/>
                <w:sz w:val="20"/>
                <w:szCs w:val="20"/>
                <w:lang w:eastAsia="pt-PT"/>
              </w:rPr>
              <w:t>28.2</w:t>
            </w:r>
          </w:p>
        </w:tc>
        <w:tc>
          <w:tcPr>
            <w:tcW w:w="2700" w:type="dxa"/>
            <w:gridSpan w:val="2"/>
            <w:tcBorders>
              <w:top w:val="nil"/>
              <w:left w:val="nil"/>
              <w:bottom w:val="single" w:sz="8" w:space="0" w:color="auto"/>
              <w:right w:val="single" w:sz="8" w:space="0" w:color="auto"/>
            </w:tcBorders>
            <w:shd w:val="clear" w:color="auto" w:fill="auto"/>
            <w:noWrap/>
            <w:vAlign w:val="bottom"/>
          </w:tcPr>
          <w:p w14:paraId="0A4C9539" w14:textId="7635408B" w:rsidR="00702F17" w:rsidRPr="00702F17" w:rsidRDefault="00924178" w:rsidP="0004735A">
            <w:pPr>
              <w:spacing w:after="0" w:line="240" w:lineRule="auto"/>
              <w:jc w:val="right"/>
              <w:rPr>
                <w:rFonts w:ascii="Calibri" w:eastAsia="Times New Roman" w:hAnsi="Calibri" w:cs="Calibri"/>
                <w:color w:val="000000"/>
                <w:sz w:val="20"/>
                <w:szCs w:val="20"/>
                <w:lang w:eastAsia="pt-PT"/>
              </w:rPr>
            </w:pPr>
            <w:r>
              <w:rPr>
                <w:rFonts w:ascii="Calibri" w:eastAsia="Times New Roman" w:hAnsi="Calibri" w:cs="Calibri"/>
                <w:color w:val="000000"/>
                <w:sz w:val="20"/>
                <w:szCs w:val="20"/>
                <w:lang w:eastAsia="pt-PT"/>
              </w:rPr>
              <w:t>38.1</w:t>
            </w:r>
          </w:p>
        </w:tc>
        <w:tc>
          <w:tcPr>
            <w:tcW w:w="1260" w:type="dxa"/>
            <w:tcBorders>
              <w:top w:val="nil"/>
              <w:left w:val="nil"/>
              <w:bottom w:val="single" w:sz="8" w:space="0" w:color="auto"/>
              <w:right w:val="single" w:sz="8" w:space="0" w:color="auto"/>
            </w:tcBorders>
          </w:tcPr>
          <w:p w14:paraId="58E37548" w14:textId="77777777" w:rsidR="00702F17" w:rsidRPr="00702F17" w:rsidRDefault="00702F17" w:rsidP="0004735A">
            <w:pPr>
              <w:spacing w:after="0" w:line="240" w:lineRule="auto"/>
              <w:jc w:val="right"/>
              <w:rPr>
                <w:rFonts w:ascii="Calibri" w:eastAsia="Times New Roman" w:hAnsi="Calibri" w:cs="Calibri"/>
                <w:color w:val="000000"/>
                <w:sz w:val="20"/>
                <w:szCs w:val="20"/>
                <w:lang w:eastAsia="pt-PT"/>
              </w:rPr>
            </w:pPr>
          </w:p>
        </w:tc>
      </w:tr>
    </w:tbl>
    <w:p w14:paraId="39E32B91" w14:textId="22B63A9E" w:rsidR="00377755" w:rsidRDefault="00377755" w:rsidP="00EF10EC">
      <w:r>
        <w:t xml:space="preserve"> </w:t>
      </w:r>
    </w:p>
    <w:p w14:paraId="28CF4FBB" w14:textId="77777777" w:rsidR="0049576D" w:rsidRDefault="0049576D" w:rsidP="00EF10EC"/>
    <w:p w14:paraId="16A33B6D" w14:textId="49512726" w:rsidR="00EF10EC" w:rsidRDefault="00446BE8" w:rsidP="0049576D">
      <w:pPr>
        <w:jc w:val="both"/>
      </w:pPr>
      <w:r>
        <w:t>Table 4 and Figure 2 below shows delivery by source of funding</w:t>
      </w:r>
      <w:r w:rsidR="005B4E64">
        <w:t xml:space="preserve">. While the delivery figure appears low percentage wise, in dollar terms, Global Fund resources </w:t>
      </w:r>
      <w:r w:rsidR="00261BE0">
        <w:t xml:space="preserve">accounted for </w:t>
      </w:r>
      <w:r w:rsidR="005B4E64">
        <w:t>5</w:t>
      </w:r>
      <w:r w:rsidR="00261BE0">
        <w:t>9</w:t>
      </w:r>
      <w:r w:rsidR="005B4E64">
        <w:t xml:space="preserve">% </w:t>
      </w:r>
      <w:r w:rsidR="00261BE0">
        <w:t xml:space="preserve">of total CO expenditures for 2020 and 2021 – see figure 3, thus, </w:t>
      </w:r>
      <w:r w:rsidR="005B4E64">
        <w:t>represent</w:t>
      </w:r>
      <w:r w:rsidR="00261BE0">
        <w:t xml:space="preserve">ing a dominant </w:t>
      </w:r>
      <w:r w:rsidR="005B4E64">
        <w:t xml:space="preserve">operation in the </w:t>
      </w:r>
      <w:r w:rsidR="00261BE0">
        <w:t>C</w:t>
      </w:r>
      <w:r w:rsidR="005B4E64">
        <w:t xml:space="preserve">ountry </w:t>
      </w:r>
      <w:r w:rsidR="00261BE0">
        <w:t>O</w:t>
      </w:r>
      <w:r w:rsidR="005B4E64">
        <w:t xml:space="preserve">ffice portfolio in terms of both quantum of resources and financial expenditures. </w:t>
      </w:r>
      <w:r>
        <w:t xml:space="preserve">Delivery by programme cluster is </w:t>
      </w:r>
      <w:r w:rsidR="00FB36E7">
        <w:t xml:space="preserve">further analysed and </w:t>
      </w:r>
      <w:r>
        <w:t>presented under chapter 3.</w:t>
      </w:r>
    </w:p>
    <w:p w14:paraId="2C6D8C7F" w14:textId="5AB667C4" w:rsidR="00446BE8" w:rsidRPr="00C0172D" w:rsidRDefault="00446BE8" w:rsidP="00EF10EC">
      <w:pPr>
        <w:rPr>
          <w:b/>
          <w:bCs/>
        </w:rPr>
      </w:pPr>
      <w:r w:rsidRPr="00C0172D">
        <w:rPr>
          <w:b/>
          <w:bCs/>
        </w:rPr>
        <w:t xml:space="preserve">Table </w:t>
      </w:r>
      <w:r w:rsidR="00DC7B30" w:rsidRPr="00C0172D">
        <w:rPr>
          <w:b/>
          <w:bCs/>
        </w:rPr>
        <w:t>5</w:t>
      </w:r>
      <w:r w:rsidRPr="00C0172D">
        <w:rPr>
          <w:b/>
          <w:bCs/>
        </w:rPr>
        <w:t>: Delivery by Source of Funding</w:t>
      </w:r>
    </w:p>
    <w:tbl>
      <w:tblPr>
        <w:tblW w:w="6946" w:type="dxa"/>
        <w:tblInd w:w="-5" w:type="dxa"/>
        <w:tblCellMar>
          <w:left w:w="70" w:type="dxa"/>
          <w:right w:w="70" w:type="dxa"/>
        </w:tblCellMar>
        <w:tblLook w:val="04A0" w:firstRow="1" w:lastRow="0" w:firstColumn="1" w:lastColumn="0" w:noHBand="0" w:noVBand="1"/>
      </w:tblPr>
      <w:tblGrid>
        <w:gridCol w:w="2060"/>
        <w:gridCol w:w="1909"/>
        <w:gridCol w:w="2268"/>
        <w:gridCol w:w="709"/>
      </w:tblGrid>
      <w:tr w:rsidR="00446BE8" w:rsidRPr="003A043A" w14:paraId="5AD7A9FE" w14:textId="77777777" w:rsidTr="00311629">
        <w:trPr>
          <w:trHeight w:val="300"/>
        </w:trPr>
        <w:tc>
          <w:tcPr>
            <w:tcW w:w="206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4E20D8C3" w14:textId="77777777" w:rsidR="00446BE8" w:rsidRPr="003A043A" w:rsidRDefault="00446BE8" w:rsidP="00311629">
            <w:pPr>
              <w:spacing w:after="0" w:line="240" w:lineRule="auto"/>
              <w:rPr>
                <w:rFonts w:ascii="Calibri" w:eastAsia="Times New Roman" w:hAnsi="Calibri" w:cs="Calibri"/>
                <w:color w:val="000000"/>
                <w:sz w:val="20"/>
                <w:szCs w:val="20"/>
                <w:lang w:eastAsia="pt-PT"/>
              </w:rPr>
            </w:pPr>
            <w:r w:rsidRPr="003A043A">
              <w:rPr>
                <w:rFonts w:ascii="Calibri" w:eastAsia="Times New Roman" w:hAnsi="Calibri" w:cs="Calibri"/>
                <w:color w:val="000000"/>
                <w:sz w:val="20"/>
                <w:szCs w:val="20"/>
                <w:lang w:eastAsia="pt-PT"/>
              </w:rPr>
              <w:t> </w:t>
            </w:r>
          </w:p>
        </w:tc>
        <w:tc>
          <w:tcPr>
            <w:tcW w:w="1909" w:type="dxa"/>
            <w:tcBorders>
              <w:top w:val="single" w:sz="8" w:space="0" w:color="auto"/>
              <w:left w:val="nil"/>
              <w:bottom w:val="single" w:sz="8" w:space="0" w:color="auto"/>
              <w:right w:val="single" w:sz="4" w:space="0" w:color="auto"/>
            </w:tcBorders>
            <w:shd w:val="clear" w:color="auto" w:fill="auto"/>
            <w:noWrap/>
            <w:vAlign w:val="bottom"/>
            <w:hideMark/>
          </w:tcPr>
          <w:p w14:paraId="5D288DF9" w14:textId="77777777" w:rsidR="00446BE8" w:rsidRPr="003A043A" w:rsidRDefault="00446BE8" w:rsidP="00311629">
            <w:pPr>
              <w:spacing w:after="0" w:line="240" w:lineRule="auto"/>
              <w:jc w:val="center"/>
              <w:rPr>
                <w:rFonts w:ascii="Calibri" w:eastAsia="Times New Roman" w:hAnsi="Calibri" w:cs="Calibri"/>
                <w:b/>
                <w:bCs/>
                <w:color w:val="000000"/>
                <w:sz w:val="20"/>
                <w:szCs w:val="20"/>
                <w:lang w:eastAsia="pt-PT"/>
              </w:rPr>
            </w:pPr>
            <w:r w:rsidRPr="003A043A">
              <w:rPr>
                <w:rFonts w:ascii="Calibri" w:eastAsia="Times New Roman" w:hAnsi="Calibri" w:cs="Calibri"/>
                <w:b/>
                <w:bCs/>
                <w:color w:val="000000"/>
                <w:sz w:val="20"/>
                <w:szCs w:val="20"/>
                <w:lang w:eastAsia="pt-PT"/>
              </w:rPr>
              <w:t>Budget</w:t>
            </w:r>
          </w:p>
        </w:tc>
        <w:tc>
          <w:tcPr>
            <w:tcW w:w="2268" w:type="dxa"/>
            <w:tcBorders>
              <w:top w:val="single" w:sz="8" w:space="0" w:color="auto"/>
              <w:left w:val="nil"/>
              <w:bottom w:val="single" w:sz="8" w:space="0" w:color="auto"/>
              <w:right w:val="single" w:sz="4" w:space="0" w:color="auto"/>
            </w:tcBorders>
            <w:shd w:val="clear" w:color="auto" w:fill="auto"/>
            <w:noWrap/>
            <w:vAlign w:val="bottom"/>
            <w:hideMark/>
          </w:tcPr>
          <w:p w14:paraId="77DB8130" w14:textId="77777777" w:rsidR="00446BE8" w:rsidRPr="003A043A" w:rsidRDefault="00446BE8" w:rsidP="00311629">
            <w:pPr>
              <w:spacing w:after="0" w:line="240" w:lineRule="auto"/>
              <w:jc w:val="center"/>
              <w:rPr>
                <w:rFonts w:ascii="Calibri" w:eastAsia="Times New Roman" w:hAnsi="Calibri" w:cs="Calibri"/>
                <w:b/>
                <w:bCs/>
                <w:color w:val="000000"/>
                <w:sz w:val="20"/>
                <w:szCs w:val="20"/>
                <w:lang w:eastAsia="pt-PT"/>
              </w:rPr>
            </w:pPr>
            <w:r w:rsidRPr="003A043A">
              <w:rPr>
                <w:rFonts w:ascii="Calibri" w:eastAsia="Times New Roman" w:hAnsi="Calibri" w:cs="Calibri"/>
                <w:b/>
                <w:bCs/>
                <w:color w:val="000000"/>
                <w:sz w:val="20"/>
                <w:szCs w:val="20"/>
                <w:lang w:eastAsia="pt-PT"/>
              </w:rPr>
              <w:t>Expenditures</w:t>
            </w:r>
          </w:p>
        </w:tc>
        <w:tc>
          <w:tcPr>
            <w:tcW w:w="709" w:type="dxa"/>
            <w:tcBorders>
              <w:top w:val="single" w:sz="8" w:space="0" w:color="auto"/>
              <w:left w:val="nil"/>
              <w:bottom w:val="single" w:sz="8" w:space="0" w:color="auto"/>
              <w:right w:val="single" w:sz="4" w:space="0" w:color="auto"/>
            </w:tcBorders>
            <w:shd w:val="clear" w:color="auto" w:fill="auto"/>
            <w:noWrap/>
            <w:vAlign w:val="bottom"/>
            <w:hideMark/>
          </w:tcPr>
          <w:p w14:paraId="3AF818AE" w14:textId="77777777" w:rsidR="00446BE8" w:rsidRPr="003A043A" w:rsidRDefault="00446BE8" w:rsidP="00311629">
            <w:pPr>
              <w:spacing w:after="0" w:line="240" w:lineRule="auto"/>
              <w:jc w:val="center"/>
              <w:rPr>
                <w:rFonts w:ascii="Calibri" w:eastAsia="Times New Roman" w:hAnsi="Calibri" w:cs="Calibri"/>
                <w:b/>
                <w:bCs/>
                <w:color w:val="000000"/>
                <w:sz w:val="20"/>
                <w:szCs w:val="20"/>
                <w:lang w:eastAsia="pt-PT"/>
              </w:rPr>
            </w:pPr>
            <w:r w:rsidRPr="003A043A">
              <w:rPr>
                <w:rFonts w:ascii="Calibri" w:eastAsia="Times New Roman" w:hAnsi="Calibri" w:cs="Calibri"/>
                <w:b/>
                <w:bCs/>
                <w:color w:val="000000"/>
                <w:sz w:val="20"/>
                <w:szCs w:val="20"/>
                <w:lang w:eastAsia="pt-PT"/>
              </w:rPr>
              <w:t>IR</w:t>
            </w:r>
          </w:p>
        </w:tc>
      </w:tr>
      <w:tr w:rsidR="00446BE8" w:rsidRPr="003A043A" w14:paraId="7A688DDD" w14:textId="77777777" w:rsidTr="00311629">
        <w:trPr>
          <w:trHeight w:val="29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1EA16CDD" w14:textId="77777777" w:rsidR="00446BE8" w:rsidRPr="003A043A" w:rsidRDefault="00446BE8" w:rsidP="00311629">
            <w:pPr>
              <w:spacing w:after="0" w:line="240" w:lineRule="auto"/>
              <w:rPr>
                <w:rFonts w:ascii="Calibri" w:eastAsia="Times New Roman" w:hAnsi="Calibri" w:cs="Calibri"/>
                <w:color w:val="000000"/>
                <w:sz w:val="20"/>
                <w:szCs w:val="20"/>
                <w:lang w:eastAsia="pt-PT"/>
              </w:rPr>
            </w:pPr>
            <w:r w:rsidRPr="003A043A">
              <w:rPr>
                <w:rFonts w:ascii="Calibri" w:eastAsia="Times New Roman" w:hAnsi="Calibri" w:cs="Calibri"/>
                <w:color w:val="000000"/>
                <w:sz w:val="20"/>
                <w:szCs w:val="20"/>
                <w:lang w:eastAsia="pt-PT"/>
              </w:rPr>
              <w:t>UNDP</w:t>
            </w:r>
          </w:p>
        </w:tc>
        <w:tc>
          <w:tcPr>
            <w:tcW w:w="1909" w:type="dxa"/>
            <w:tcBorders>
              <w:top w:val="nil"/>
              <w:left w:val="nil"/>
              <w:bottom w:val="single" w:sz="4" w:space="0" w:color="auto"/>
              <w:right w:val="single" w:sz="4" w:space="0" w:color="auto"/>
            </w:tcBorders>
            <w:shd w:val="clear" w:color="auto" w:fill="auto"/>
            <w:noWrap/>
            <w:vAlign w:val="bottom"/>
            <w:hideMark/>
          </w:tcPr>
          <w:p w14:paraId="31DA09DE" w14:textId="77777777" w:rsidR="00446BE8" w:rsidRPr="003A043A" w:rsidRDefault="00446BE8" w:rsidP="00311629">
            <w:pPr>
              <w:spacing w:after="0" w:line="240" w:lineRule="auto"/>
              <w:jc w:val="right"/>
              <w:rPr>
                <w:rFonts w:ascii="Calibri" w:eastAsia="Times New Roman" w:hAnsi="Calibri" w:cs="Calibri"/>
                <w:color w:val="000000"/>
                <w:sz w:val="20"/>
                <w:szCs w:val="20"/>
                <w:lang w:eastAsia="pt-PT"/>
              </w:rPr>
            </w:pPr>
            <w:r w:rsidRPr="003A043A">
              <w:rPr>
                <w:rFonts w:ascii="Calibri" w:eastAsia="Times New Roman" w:hAnsi="Calibri" w:cs="Calibri"/>
                <w:color w:val="000000"/>
                <w:sz w:val="20"/>
                <w:szCs w:val="20"/>
                <w:lang w:eastAsia="pt-PT"/>
              </w:rPr>
              <w:t>$4 484 676,91</w:t>
            </w:r>
          </w:p>
        </w:tc>
        <w:tc>
          <w:tcPr>
            <w:tcW w:w="2268" w:type="dxa"/>
            <w:tcBorders>
              <w:top w:val="nil"/>
              <w:left w:val="nil"/>
              <w:bottom w:val="single" w:sz="4" w:space="0" w:color="auto"/>
              <w:right w:val="single" w:sz="4" w:space="0" w:color="auto"/>
            </w:tcBorders>
            <w:shd w:val="clear" w:color="auto" w:fill="auto"/>
            <w:noWrap/>
            <w:vAlign w:val="bottom"/>
            <w:hideMark/>
          </w:tcPr>
          <w:p w14:paraId="14B94A3D" w14:textId="77777777" w:rsidR="00446BE8" w:rsidRPr="003A043A" w:rsidRDefault="00446BE8" w:rsidP="00311629">
            <w:pPr>
              <w:spacing w:after="0" w:line="240" w:lineRule="auto"/>
              <w:jc w:val="right"/>
              <w:rPr>
                <w:rFonts w:ascii="Calibri" w:eastAsia="Times New Roman" w:hAnsi="Calibri" w:cs="Calibri"/>
                <w:color w:val="000000"/>
                <w:sz w:val="20"/>
                <w:szCs w:val="20"/>
                <w:lang w:eastAsia="pt-PT"/>
              </w:rPr>
            </w:pPr>
            <w:r w:rsidRPr="003A043A">
              <w:rPr>
                <w:rFonts w:ascii="Calibri" w:eastAsia="Times New Roman" w:hAnsi="Calibri" w:cs="Calibri"/>
                <w:color w:val="000000"/>
                <w:sz w:val="20"/>
                <w:szCs w:val="20"/>
                <w:lang w:eastAsia="pt-PT"/>
              </w:rPr>
              <w:t>$3 234 608,55</w:t>
            </w:r>
          </w:p>
        </w:tc>
        <w:tc>
          <w:tcPr>
            <w:tcW w:w="709" w:type="dxa"/>
            <w:tcBorders>
              <w:top w:val="nil"/>
              <w:left w:val="nil"/>
              <w:bottom w:val="single" w:sz="4" w:space="0" w:color="auto"/>
              <w:right w:val="single" w:sz="4" w:space="0" w:color="auto"/>
            </w:tcBorders>
            <w:shd w:val="clear" w:color="auto" w:fill="auto"/>
            <w:noWrap/>
            <w:vAlign w:val="bottom"/>
            <w:hideMark/>
          </w:tcPr>
          <w:p w14:paraId="2361CFAB" w14:textId="77777777" w:rsidR="00446BE8" w:rsidRPr="003A043A" w:rsidRDefault="00446BE8" w:rsidP="00311629">
            <w:pPr>
              <w:spacing w:after="0" w:line="240" w:lineRule="auto"/>
              <w:jc w:val="right"/>
              <w:rPr>
                <w:rFonts w:ascii="Calibri" w:eastAsia="Times New Roman" w:hAnsi="Calibri" w:cs="Calibri"/>
                <w:color w:val="000000"/>
                <w:sz w:val="20"/>
                <w:szCs w:val="20"/>
                <w:lang w:eastAsia="pt-PT"/>
              </w:rPr>
            </w:pPr>
            <w:r w:rsidRPr="003A043A">
              <w:rPr>
                <w:rFonts w:ascii="Calibri" w:eastAsia="Times New Roman" w:hAnsi="Calibri" w:cs="Calibri"/>
                <w:color w:val="000000"/>
                <w:sz w:val="20"/>
                <w:szCs w:val="20"/>
                <w:lang w:eastAsia="pt-PT"/>
              </w:rPr>
              <w:t>58%</w:t>
            </w:r>
          </w:p>
        </w:tc>
      </w:tr>
      <w:tr w:rsidR="00446BE8" w:rsidRPr="003A043A" w14:paraId="3A0296C7" w14:textId="77777777" w:rsidTr="00311629">
        <w:trPr>
          <w:trHeight w:val="29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181740B6" w14:textId="77777777" w:rsidR="00446BE8" w:rsidRPr="003A043A" w:rsidRDefault="00446BE8" w:rsidP="00311629">
            <w:pPr>
              <w:spacing w:after="0" w:line="240" w:lineRule="auto"/>
              <w:rPr>
                <w:rFonts w:ascii="Calibri" w:eastAsia="Times New Roman" w:hAnsi="Calibri" w:cs="Calibri"/>
                <w:color w:val="000000"/>
                <w:sz w:val="20"/>
                <w:szCs w:val="20"/>
                <w:lang w:eastAsia="pt-PT"/>
              </w:rPr>
            </w:pPr>
            <w:r w:rsidRPr="003A043A">
              <w:rPr>
                <w:rFonts w:ascii="Calibri" w:eastAsia="Times New Roman" w:hAnsi="Calibri" w:cs="Calibri"/>
                <w:color w:val="000000"/>
                <w:sz w:val="20"/>
                <w:szCs w:val="20"/>
                <w:lang w:eastAsia="pt-PT"/>
              </w:rPr>
              <w:t>VARIOUS</w:t>
            </w:r>
          </w:p>
        </w:tc>
        <w:tc>
          <w:tcPr>
            <w:tcW w:w="1909" w:type="dxa"/>
            <w:tcBorders>
              <w:top w:val="nil"/>
              <w:left w:val="nil"/>
              <w:bottom w:val="single" w:sz="4" w:space="0" w:color="auto"/>
              <w:right w:val="single" w:sz="4" w:space="0" w:color="auto"/>
            </w:tcBorders>
            <w:shd w:val="clear" w:color="auto" w:fill="auto"/>
            <w:noWrap/>
            <w:vAlign w:val="bottom"/>
            <w:hideMark/>
          </w:tcPr>
          <w:p w14:paraId="4F1A4F79" w14:textId="77777777" w:rsidR="00446BE8" w:rsidRPr="003A043A" w:rsidRDefault="00446BE8" w:rsidP="00311629">
            <w:pPr>
              <w:spacing w:after="0" w:line="240" w:lineRule="auto"/>
              <w:jc w:val="right"/>
              <w:rPr>
                <w:rFonts w:ascii="Calibri" w:eastAsia="Times New Roman" w:hAnsi="Calibri" w:cs="Calibri"/>
                <w:color w:val="000000"/>
                <w:sz w:val="20"/>
                <w:szCs w:val="20"/>
                <w:lang w:eastAsia="pt-PT"/>
              </w:rPr>
            </w:pPr>
            <w:r w:rsidRPr="003A043A">
              <w:rPr>
                <w:rFonts w:ascii="Calibri" w:eastAsia="Times New Roman" w:hAnsi="Calibri" w:cs="Calibri"/>
                <w:color w:val="000000"/>
                <w:sz w:val="20"/>
                <w:szCs w:val="20"/>
                <w:lang w:eastAsia="pt-PT"/>
              </w:rPr>
              <w:t>$1 436 198,42</w:t>
            </w:r>
          </w:p>
        </w:tc>
        <w:tc>
          <w:tcPr>
            <w:tcW w:w="2268" w:type="dxa"/>
            <w:tcBorders>
              <w:top w:val="nil"/>
              <w:left w:val="nil"/>
              <w:bottom w:val="single" w:sz="4" w:space="0" w:color="auto"/>
              <w:right w:val="single" w:sz="4" w:space="0" w:color="auto"/>
            </w:tcBorders>
            <w:shd w:val="clear" w:color="auto" w:fill="auto"/>
            <w:noWrap/>
            <w:vAlign w:val="bottom"/>
            <w:hideMark/>
          </w:tcPr>
          <w:p w14:paraId="3F67A821" w14:textId="77777777" w:rsidR="00446BE8" w:rsidRPr="003A043A" w:rsidRDefault="00446BE8" w:rsidP="00311629">
            <w:pPr>
              <w:spacing w:after="0" w:line="240" w:lineRule="auto"/>
              <w:jc w:val="right"/>
              <w:rPr>
                <w:rFonts w:ascii="Calibri" w:eastAsia="Times New Roman" w:hAnsi="Calibri" w:cs="Calibri"/>
                <w:color w:val="000000"/>
                <w:sz w:val="20"/>
                <w:szCs w:val="20"/>
                <w:lang w:eastAsia="pt-PT"/>
              </w:rPr>
            </w:pPr>
            <w:r w:rsidRPr="003A043A">
              <w:rPr>
                <w:rFonts w:ascii="Calibri" w:eastAsia="Times New Roman" w:hAnsi="Calibri" w:cs="Calibri"/>
                <w:color w:val="000000"/>
                <w:sz w:val="20"/>
                <w:szCs w:val="20"/>
                <w:lang w:eastAsia="pt-PT"/>
              </w:rPr>
              <w:t>$564 671,70</w:t>
            </w:r>
          </w:p>
        </w:tc>
        <w:tc>
          <w:tcPr>
            <w:tcW w:w="709" w:type="dxa"/>
            <w:tcBorders>
              <w:top w:val="nil"/>
              <w:left w:val="nil"/>
              <w:bottom w:val="single" w:sz="4" w:space="0" w:color="auto"/>
              <w:right w:val="single" w:sz="4" w:space="0" w:color="auto"/>
            </w:tcBorders>
            <w:shd w:val="clear" w:color="auto" w:fill="auto"/>
            <w:noWrap/>
            <w:vAlign w:val="bottom"/>
            <w:hideMark/>
          </w:tcPr>
          <w:p w14:paraId="06A9C54C" w14:textId="77777777" w:rsidR="00446BE8" w:rsidRPr="003A043A" w:rsidRDefault="00446BE8" w:rsidP="00311629">
            <w:pPr>
              <w:spacing w:after="0" w:line="240" w:lineRule="auto"/>
              <w:jc w:val="right"/>
              <w:rPr>
                <w:rFonts w:ascii="Calibri" w:eastAsia="Times New Roman" w:hAnsi="Calibri" w:cs="Calibri"/>
                <w:color w:val="000000"/>
                <w:sz w:val="20"/>
                <w:szCs w:val="20"/>
                <w:lang w:eastAsia="pt-PT"/>
              </w:rPr>
            </w:pPr>
            <w:r w:rsidRPr="003A043A">
              <w:rPr>
                <w:rFonts w:ascii="Calibri" w:eastAsia="Times New Roman" w:hAnsi="Calibri" w:cs="Calibri"/>
                <w:color w:val="000000"/>
                <w:sz w:val="20"/>
                <w:szCs w:val="20"/>
                <w:lang w:eastAsia="pt-PT"/>
              </w:rPr>
              <w:t>5%</w:t>
            </w:r>
          </w:p>
        </w:tc>
      </w:tr>
      <w:tr w:rsidR="00446BE8" w:rsidRPr="003A043A" w14:paraId="05EF59FD" w14:textId="77777777" w:rsidTr="00311629">
        <w:trPr>
          <w:trHeight w:val="29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105F238B" w14:textId="77777777" w:rsidR="00446BE8" w:rsidRPr="003A043A" w:rsidRDefault="00446BE8" w:rsidP="00311629">
            <w:pPr>
              <w:spacing w:after="0" w:line="240" w:lineRule="auto"/>
              <w:rPr>
                <w:rFonts w:ascii="Calibri" w:eastAsia="Times New Roman" w:hAnsi="Calibri" w:cs="Calibri"/>
                <w:color w:val="000000"/>
                <w:sz w:val="20"/>
                <w:szCs w:val="20"/>
                <w:lang w:eastAsia="pt-PT"/>
              </w:rPr>
            </w:pPr>
            <w:r w:rsidRPr="003A043A">
              <w:rPr>
                <w:rFonts w:ascii="Calibri" w:eastAsia="Times New Roman" w:hAnsi="Calibri" w:cs="Calibri"/>
                <w:color w:val="000000"/>
                <w:sz w:val="20"/>
                <w:szCs w:val="20"/>
                <w:lang w:eastAsia="pt-PT"/>
              </w:rPr>
              <w:t>NORWAY</w:t>
            </w:r>
          </w:p>
        </w:tc>
        <w:tc>
          <w:tcPr>
            <w:tcW w:w="1909" w:type="dxa"/>
            <w:tcBorders>
              <w:top w:val="nil"/>
              <w:left w:val="nil"/>
              <w:bottom w:val="single" w:sz="4" w:space="0" w:color="auto"/>
              <w:right w:val="single" w:sz="4" w:space="0" w:color="auto"/>
            </w:tcBorders>
            <w:shd w:val="clear" w:color="auto" w:fill="auto"/>
            <w:noWrap/>
            <w:vAlign w:val="bottom"/>
            <w:hideMark/>
          </w:tcPr>
          <w:p w14:paraId="2CE33768" w14:textId="77777777" w:rsidR="00446BE8" w:rsidRPr="003A043A" w:rsidRDefault="00446BE8" w:rsidP="00311629">
            <w:pPr>
              <w:spacing w:after="0" w:line="240" w:lineRule="auto"/>
              <w:jc w:val="right"/>
              <w:rPr>
                <w:rFonts w:ascii="Calibri" w:eastAsia="Times New Roman" w:hAnsi="Calibri" w:cs="Calibri"/>
                <w:color w:val="000000"/>
                <w:sz w:val="20"/>
                <w:szCs w:val="20"/>
                <w:lang w:eastAsia="pt-PT"/>
              </w:rPr>
            </w:pPr>
            <w:r w:rsidRPr="003A043A">
              <w:rPr>
                <w:rFonts w:ascii="Calibri" w:eastAsia="Times New Roman" w:hAnsi="Calibri" w:cs="Calibri"/>
                <w:color w:val="000000"/>
                <w:sz w:val="20"/>
                <w:szCs w:val="20"/>
                <w:lang w:eastAsia="pt-PT"/>
              </w:rPr>
              <w:t>$1 423 324,71</w:t>
            </w:r>
          </w:p>
        </w:tc>
        <w:tc>
          <w:tcPr>
            <w:tcW w:w="2268" w:type="dxa"/>
            <w:tcBorders>
              <w:top w:val="nil"/>
              <w:left w:val="nil"/>
              <w:bottom w:val="single" w:sz="4" w:space="0" w:color="auto"/>
              <w:right w:val="single" w:sz="4" w:space="0" w:color="auto"/>
            </w:tcBorders>
            <w:shd w:val="clear" w:color="auto" w:fill="auto"/>
            <w:noWrap/>
            <w:vAlign w:val="bottom"/>
            <w:hideMark/>
          </w:tcPr>
          <w:p w14:paraId="23D15531" w14:textId="77777777" w:rsidR="00446BE8" w:rsidRPr="003A043A" w:rsidRDefault="00446BE8" w:rsidP="00311629">
            <w:pPr>
              <w:spacing w:after="0" w:line="240" w:lineRule="auto"/>
              <w:jc w:val="right"/>
              <w:rPr>
                <w:rFonts w:ascii="Calibri" w:eastAsia="Times New Roman" w:hAnsi="Calibri" w:cs="Calibri"/>
                <w:color w:val="000000"/>
                <w:sz w:val="20"/>
                <w:szCs w:val="20"/>
                <w:lang w:eastAsia="pt-PT"/>
              </w:rPr>
            </w:pPr>
            <w:r w:rsidRPr="003A043A">
              <w:rPr>
                <w:rFonts w:ascii="Calibri" w:eastAsia="Times New Roman" w:hAnsi="Calibri" w:cs="Calibri"/>
                <w:color w:val="000000"/>
                <w:sz w:val="20"/>
                <w:szCs w:val="20"/>
                <w:lang w:eastAsia="pt-PT"/>
              </w:rPr>
              <w:t>$846 373,89</w:t>
            </w:r>
          </w:p>
        </w:tc>
        <w:tc>
          <w:tcPr>
            <w:tcW w:w="709" w:type="dxa"/>
            <w:tcBorders>
              <w:top w:val="nil"/>
              <w:left w:val="nil"/>
              <w:bottom w:val="single" w:sz="4" w:space="0" w:color="auto"/>
              <w:right w:val="single" w:sz="4" w:space="0" w:color="auto"/>
            </w:tcBorders>
            <w:shd w:val="clear" w:color="auto" w:fill="auto"/>
            <w:noWrap/>
            <w:vAlign w:val="bottom"/>
            <w:hideMark/>
          </w:tcPr>
          <w:p w14:paraId="30BE0C6C" w14:textId="77777777" w:rsidR="00446BE8" w:rsidRPr="003A043A" w:rsidRDefault="00446BE8" w:rsidP="00311629">
            <w:pPr>
              <w:spacing w:after="0" w:line="240" w:lineRule="auto"/>
              <w:jc w:val="right"/>
              <w:rPr>
                <w:rFonts w:ascii="Calibri" w:eastAsia="Times New Roman" w:hAnsi="Calibri" w:cs="Calibri"/>
                <w:color w:val="000000"/>
                <w:sz w:val="20"/>
                <w:szCs w:val="20"/>
                <w:lang w:eastAsia="pt-PT"/>
              </w:rPr>
            </w:pPr>
            <w:r w:rsidRPr="003A043A">
              <w:rPr>
                <w:rFonts w:ascii="Calibri" w:eastAsia="Times New Roman" w:hAnsi="Calibri" w:cs="Calibri"/>
                <w:color w:val="000000"/>
                <w:sz w:val="20"/>
                <w:szCs w:val="20"/>
                <w:lang w:eastAsia="pt-PT"/>
              </w:rPr>
              <w:t>74%</w:t>
            </w:r>
          </w:p>
        </w:tc>
      </w:tr>
      <w:tr w:rsidR="00446BE8" w:rsidRPr="003A043A" w14:paraId="5501CD71" w14:textId="77777777" w:rsidTr="00311629">
        <w:trPr>
          <w:trHeight w:val="29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4A5BEEB7" w14:textId="77777777" w:rsidR="00446BE8" w:rsidRPr="003A043A" w:rsidRDefault="00446BE8" w:rsidP="00311629">
            <w:pPr>
              <w:spacing w:after="0" w:line="240" w:lineRule="auto"/>
              <w:rPr>
                <w:rFonts w:ascii="Calibri" w:eastAsia="Times New Roman" w:hAnsi="Calibri" w:cs="Calibri"/>
                <w:color w:val="000000"/>
                <w:sz w:val="20"/>
                <w:szCs w:val="20"/>
                <w:lang w:eastAsia="pt-PT"/>
              </w:rPr>
            </w:pPr>
            <w:r w:rsidRPr="003A043A">
              <w:rPr>
                <w:rFonts w:ascii="Calibri" w:eastAsia="Times New Roman" w:hAnsi="Calibri" w:cs="Calibri"/>
                <w:color w:val="000000"/>
                <w:sz w:val="20"/>
                <w:szCs w:val="20"/>
                <w:lang w:eastAsia="pt-PT"/>
              </w:rPr>
              <w:t>GLOBAL FUND</w:t>
            </w:r>
          </w:p>
        </w:tc>
        <w:tc>
          <w:tcPr>
            <w:tcW w:w="1909" w:type="dxa"/>
            <w:tcBorders>
              <w:top w:val="nil"/>
              <w:left w:val="nil"/>
              <w:bottom w:val="single" w:sz="4" w:space="0" w:color="auto"/>
              <w:right w:val="single" w:sz="4" w:space="0" w:color="auto"/>
            </w:tcBorders>
            <w:shd w:val="clear" w:color="auto" w:fill="auto"/>
            <w:noWrap/>
            <w:vAlign w:val="bottom"/>
            <w:hideMark/>
          </w:tcPr>
          <w:p w14:paraId="43E1B7F9" w14:textId="77777777" w:rsidR="00446BE8" w:rsidRPr="003A043A" w:rsidRDefault="00446BE8" w:rsidP="00311629">
            <w:pPr>
              <w:spacing w:after="0" w:line="240" w:lineRule="auto"/>
              <w:rPr>
                <w:rFonts w:ascii="Calibri" w:eastAsia="Times New Roman" w:hAnsi="Calibri" w:cs="Calibri"/>
                <w:color w:val="000000"/>
                <w:sz w:val="20"/>
                <w:szCs w:val="20"/>
                <w:lang w:eastAsia="pt-PT"/>
              </w:rPr>
            </w:pPr>
            <w:r w:rsidRPr="003A043A">
              <w:rPr>
                <w:rFonts w:ascii="Calibri" w:eastAsia="Times New Roman" w:hAnsi="Calibri" w:cs="Calibri"/>
                <w:color w:val="000000"/>
                <w:sz w:val="20"/>
                <w:szCs w:val="20"/>
                <w:lang w:eastAsia="pt-PT"/>
              </w:rPr>
              <w:t xml:space="preserve">       $44 073 834,00 </w:t>
            </w:r>
          </w:p>
        </w:tc>
        <w:tc>
          <w:tcPr>
            <w:tcW w:w="2268" w:type="dxa"/>
            <w:tcBorders>
              <w:top w:val="nil"/>
              <w:left w:val="nil"/>
              <w:bottom w:val="single" w:sz="4" w:space="0" w:color="auto"/>
              <w:right w:val="single" w:sz="4" w:space="0" w:color="auto"/>
            </w:tcBorders>
            <w:shd w:val="clear" w:color="auto" w:fill="auto"/>
            <w:noWrap/>
            <w:vAlign w:val="bottom"/>
            <w:hideMark/>
          </w:tcPr>
          <w:p w14:paraId="455BAEF6" w14:textId="77777777" w:rsidR="00446BE8" w:rsidRPr="003A043A" w:rsidRDefault="00446BE8" w:rsidP="00311629">
            <w:pPr>
              <w:spacing w:after="0" w:line="240" w:lineRule="auto"/>
              <w:jc w:val="right"/>
              <w:rPr>
                <w:rFonts w:ascii="Calibri" w:eastAsia="Times New Roman" w:hAnsi="Calibri" w:cs="Calibri"/>
                <w:color w:val="000000"/>
                <w:sz w:val="20"/>
                <w:szCs w:val="20"/>
                <w:lang w:eastAsia="pt-PT"/>
              </w:rPr>
            </w:pPr>
            <w:r w:rsidRPr="003A043A">
              <w:rPr>
                <w:rFonts w:ascii="Calibri" w:eastAsia="Times New Roman" w:hAnsi="Calibri" w:cs="Calibri"/>
                <w:color w:val="000000"/>
                <w:sz w:val="20"/>
                <w:szCs w:val="20"/>
                <w:lang w:eastAsia="pt-PT"/>
              </w:rPr>
              <w:t>$14 618 821,45</w:t>
            </w:r>
          </w:p>
        </w:tc>
        <w:tc>
          <w:tcPr>
            <w:tcW w:w="709" w:type="dxa"/>
            <w:tcBorders>
              <w:top w:val="nil"/>
              <w:left w:val="nil"/>
              <w:bottom w:val="single" w:sz="4" w:space="0" w:color="auto"/>
              <w:right w:val="single" w:sz="4" w:space="0" w:color="auto"/>
            </w:tcBorders>
            <w:shd w:val="clear" w:color="auto" w:fill="auto"/>
            <w:noWrap/>
            <w:vAlign w:val="bottom"/>
            <w:hideMark/>
          </w:tcPr>
          <w:p w14:paraId="6953F599" w14:textId="77777777" w:rsidR="00446BE8" w:rsidRPr="003A043A" w:rsidRDefault="00446BE8" w:rsidP="00311629">
            <w:pPr>
              <w:spacing w:after="0" w:line="240" w:lineRule="auto"/>
              <w:jc w:val="right"/>
              <w:rPr>
                <w:rFonts w:ascii="Calibri" w:eastAsia="Times New Roman" w:hAnsi="Calibri" w:cs="Calibri"/>
                <w:color w:val="000000"/>
                <w:sz w:val="20"/>
                <w:szCs w:val="20"/>
                <w:lang w:eastAsia="pt-PT"/>
              </w:rPr>
            </w:pPr>
            <w:r w:rsidRPr="003A043A">
              <w:rPr>
                <w:rFonts w:ascii="Calibri" w:eastAsia="Times New Roman" w:hAnsi="Calibri" w:cs="Calibri"/>
                <w:color w:val="000000"/>
                <w:sz w:val="20"/>
                <w:szCs w:val="20"/>
                <w:lang w:eastAsia="pt-PT"/>
              </w:rPr>
              <w:t>22%</w:t>
            </w:r>
          </w:p>
        </w:tc>
      </w:tr>
      <w:tr w:rsidR="00446BE8" w:rsidRPr="003A043A" w14:paraId="775D53B8" w14:textId="77777777" w:rsidTr="00311629">
        <w:trPr>
          <w:trHeight w:val="29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4133403E" w14:textId="77777777" w:rsidR="00446BE8" w:rsidRPr="003A043A" w:rsidRDefault="00446BE8" w:rsidP="00311629">
            <w:pPr>
              <w:spacing w:after="0" w:line="240" w:lineRule="auto"/>
              <w:rPr>
                <w:rFonts w:ascii="Calibri" w:eastAsia="Times New Roman" w:hAnsi="Calibri" w:cs="Calibri"/>
                <w:color w:val="000000"/>
                <w:sz w:val="20"/>
                <w:szCs w:val="20"/>
                <w:lang w:eastAsia="pt-PT"/>
              </w:rPr>
            </w:pPr>
            <w:r w:rsidRPr="003A043A">
              <w:rPr>
                <w:rFonts w:ascii="Calibri" w:eastAsia="Times New Roman" w:hAnsi="Calibri" w:cs="Calibri"/>
                <w:color w:val="000000"/>
                <w:sz w:val="20"/>
                <w:szCs w:val="20"/>
                <w:lang w:eastAsia="pt-PT"/>
              </w:rPr>
              <w:t>GEF</w:t>
            </w:r>
          </w:p>
        </w:tc>
        <w:tc>
          <w:tcPr>
            <w:tcW w:w="1909" w:type="dxa"/>
            <w:tcBorders>
              <w:top w:val="nil"/>
              <w:left w:val="nil"/>
              <w:bottom w:val="single" w:sz="4" w:space="0" w:color="auto"/>
              <w:right w:val="single" w:sz="4" w:space="0" w:color="auto"/>
            </w:tcBorders>
            <w:shd w:val="clear" w:color="auto" w:fill="auto"/>
            <w:noWrap/>
            <w:vAlign w:val="bottom"/>
            <w:hideMark/>
          </w:tcPr>
          <w:p w14:paraId="66345C58" w14:textId="77777777" w:rsidR="00446BE8" w:rsidRPr="003A043A" w:rsidRDefault="00446BE8" w:rsidP="00311629">
            <w:pPr>
              <w:spacing w:after="0" w:line="240" w:lineRule="auto"/>
              <w:jc w:val="right"/>
              <w:rPr>
                <w:rFonts w:ascii="Calibri" w:eastAsia="Times New Roman" w:hAnsi="Calibri" w:cs="Calibri"/>
                <w:color w:val="000000"/>
                <w:sz w:val="20"/>
                <w:szCs w:val="20"/>
                <w:lang w:eastAsia="pt-PT"/>
              </w:rPr>
            </w:pPr>
            <w:r w:rsidRPr="003A043A">
              <w:rPr>
                <w:rFonts w:ascii="Calibri" w:eastAsia="Times New Roman" w:hAnsi="Calibri" w:cs="Calibri"/>
                <w:color w:val="000000"/>
                <w:sz w:val="20"/>
                <w:szCs w:val="20"/>
                <w:lang w:eastAsia="pt-PT"/>
              </w:rPr>
              <w:t>$12 687 047,69</w:t>
            </w:r>
          </w:p>
        </w:tc>
        <w:tc>
          <w:tcPr>
            <w:tcW w:w="2268" w:type="dxa"/>
            <w:tcBorders>
              <w:top w:val="nil"/>
              <w:left w:val="nil"/>
              <w:bottom w:val="single" w:sz="4" w:space="0" w:color="auto"/>
              <w:right w:val="single" w:sz="4" w:space="0" w:color="auto"/>
            </w:tcBorders>
            <w:shd w:val="clear" w:color="auto" w:fill="auto"/>
            <w:noWrap/>
            <w:vAlign w:val="bottom"/>
            <w:hideMark/>
          </w:tcPr>
          <w:p w14:paraId="01C7834D" w14:textId="77777777" w:rsidR="00446BE8" w:rsidRPr="003A043A" w:rsidRDefault="00446BE8" w:rsidP="00311629">
            <w:pPr>
              <w:spacing w:after="0" w:line="240" w:lineRule="auto"/>
              <w:jc w:val="right"/>
              <w:rPr>
                <w:rFonts w:ascii="Calibri" w:eastAsia="Times New Roman" w:hAnsi="Calibri" w:cs="Calibri"/>
                <w:color w:val="000000"/>
                <w:sz w:val="20"/>
                <w:szCs w:val="20"/>
                <w:lang w:eastAsia="pt-PT"/>
              </w:rPr>
            </w:pPr>
            <w:r w:rsidRPr="003A043A">
              <w:rPr>
                <w:rFonts w:ascii="Calibri" w:eastAsia="Times New Roman" w:hAnsi="Calibri" w:cs="Calibri"/>
                <w:color w:val="000000"/>
                <w:sz w:val="20"/>
                <w:szCs w:val="20"/>
                <w:lang w:eastAsia="pt-PT"/>
              </w:rPr>
              <w:t>$4 998 252,28</w:t>
            </w:r>
          </w:p>
        </w:tc>
        <w:tc>
          <w:tcPr>
            <w:tcW w:w="709" w:type="dxa"/>
            <w:tcBorders>
              <w:top w:val="nil"/>
              <w:left w:val="nil"/>
              <w:bottom w:val="single" w:sz="4" w:space="0" w:color="auto"/>
              <w:right w:val="single" w:sz="4" w:space="0" w:color="auto"/>
            </w:tcBorders>
            <w:shd w:val="clear" w:color="auto" w:fill="auto"/>
            <w:noWrap/>
            <w:vAlign w:val="bottom"/>
            <w:hideMark/>
          </w:tcPr>
          <w:p w14:paraId="5E04C097" w14:textId="77777777" w:rsidR="00446BE8" w:rsidRPr="003A043A" w:rsidRDefault="00446BE8" w:rsidP="00311629">
            <w:pPr>
              <w:spacing w:after="0" w:line="240" w:lineRule="auto"/>
              <w:jc w:val="right"/>
              <w:rPr>
                <w:rFonts w:ascii="Calibri" w:eastAsia="Times New Roman" w:hAnsi="Calibri" w:cs="Calibri"/>
                <w:color w:val="000000"/>
                <w:sz w:val="20"/>
                <w:szCs w:val="20"/>
                <w:lang w:eastAsia="pt-PT"/>
              </w:rPr>
            </w:pPr>
            <w:r w:rsidRPr="003A043A">
              <w:rPr>
                <w:rFonts w:ascii="Calibri" w:eastAsia="Times New Roman" w:hAnsi="Calibri" w:cs="Calibri"/>
                <w:color w:val="000000"/>
                <w:sz w:val="20"/>
                <w:szCs w:val="20"/>
                <w:lang w:eastAsia="pt-PT"/>
              </w:rPr>
              <w:t>43%</w:t>
            </w:r>
          </w:p>
        </w:tc>
      </w:tr>
      <w:tr w:rsidR="00446BE8" w:rsidRPr="003A043A" w14:paraId="585BE507" w14:textId="77777777" w:rsidTr="00311629">
        <w:trPr>
          <w:trHeight w:val="300"/>
        </w:trPr>
        <w:tc>
          <w:tcPr>
            <w:tcW w:w="2060" w:type="dxa"/>
            <w:tcBorders>
              <w:top w:val="nil"/>
              <w:left w:val="single" w:sz="4" w:space="0" w:color="auto"/>
              <w:bottom w:val="nil"/>
              <w:right w:val="single" w:sz="4" w:space="0" w:color="auto"/>
            </w:tcBorders>
            <w:shd w:val="clear" w:color="auto" w:fill="auto"/>
            <w:noWrap/>
            <w:vAlign w:val="bottom"/>
            <w:hideMark/>
          </w:tcPr>
          <w:p w14:paraId="5261BC25" w14:textId="77777777" w:rsidR="00446BE8" w:rsidRPr="003A043A" w:rsidRDefault="00446BE8" w:rsidP="00311629">
            <w:pPr>
              <w:spacing w:after="0" w:line="240" w:lineRule="auto"/>
              <w:rPr>
                <w:rFonts w:ascii="Calibri" w:eastAsia="Times New Roman" w:hAnsi="Calibri" w:cs="Calibri"/>
                <w:color w:val="000000"/>
                <w:sz w:val="20"/>
                <w:szCs w:val="20"/>
                <w:lang w:eastAsia="pt-PT"/>
              </w:rPr>
            </w:pPr>
            <w:r w:rsidRPr="003A043A">
              <w:rPr>
                <w:rFonts w:ascii="Calibri" w:eastAsia="Times New Roman" w:hAnsi="Calibri" w:cs="Calibri"/>
                <w:color w:val="000000"/>
                <w:sz w:val="20"/>
                <w:szCs w:val="20"/>
                <w:lang w:eastAsia="pt-PT"/>
              </w:rPr>
              <w:t>EUCOMM</w:t>
            </w:r>
          </w:p>
        </w:tc>
        <w:tc>
          <w:tcPr>
            <w:tcW w:w="1909" w:type="dxa"/>
            <w:tcBorders>
              <w:top w:val="nil"/>
              <w:left w:val="nil"/>
              <w:bottom w:val="single" w:sz="4" w:space="0" w:color="auto"/>
              <w:right w:val="single" w:sz="4" w:space="0" w:color="auto"/>
            </w:tcBorders>
            <w:shd w:val="clear" w:color="auto" w:fill="auto"/>
            <w:noWrap/>
            <w:vAlign w:val="bottom"/>
            <w:hideMark/>
          </w:tcPr>
          <w:p w14:paraId="0A7BAC7D" w14:textId="77777777" w:rsidR="00446BE8" w:rsidRPr="003A043A" w:rsidRDefault="00446BE8" w:rsidP="00311629">
            <w:pPr>
              <w:spacing w:after="0" w:line="240" w:lineRule="auto"/>
              <w:jc w:val="right"/>
              <w:rPr>
                <w:rFonts w:ascii="Calibri" w:eastAsia="Times New Roman" w:hAnsi="Calibri" w:cs="Calibri"/>
                <w:color w:val="000000"/>
                <w:sz w:val="20"/>
                <w:szCs w:val="20"/>
                <w:lang w:eastAsia="pt-PT"/>
              </w:rPr>
            </w:pPr>
            <w:r w:rsidRPr="003A043A">
              <w:rPr>
                <w:rFonts w:ascii="Calibri" w:eastAsia="Times New Roman" w:hAnsi="Calibri" w:cs="Calibri"/>
                <w:color w:val="000000"/>
                <w:sz w:val="20"/>
                <w:szCs w:val="20"/>
                <w:lang w:eastAsia="pt-PT"/>
              </w:rPr>
              <w:t>$705 981,29</w:t>
            </w:r>
          </w:p>
        </w:tc>
        <w:tc>
          <w:tcPr>
            <w:tcW w:w="2268" w:type="dxa"/>
            <w:tcBorders>
              <w:top w:val="nil"/>
              <w:left w:val="nil"/>
              <w:bottom w:val="single" w:sz="4" w:space="0" w:color="auto"/>
              <w:right w:val="single" w:sz="4" w:space="0" w:color="auto"/>
            </w:tcBorders>
            <w:shd w:val="clear" w:color="auto" w:fill="auto"/>
            <w:noWrap/>
            <w:vAlign w:val="bottom"/>
            <w:hideMark/>
          </w:tcPr>
          <w:p w14:paraId="4594F11B" w14:textId="77777777" w:rsidR="00446BE8" w:rsidRPr="003A043A" w:rsidRDefault="00446BE8" w:rsidP="00311629">
            <w:pPr>
              <w:spacing w:after="0" w:line="240" w:lineRule="auto"/>
              <w:jc w:val="right"/>
              <w:rPr>
                <w:rFonts w:ascii="Calibri" w:eastAsia="Times New Roman" w:hAnsi="Calibri" w:cs="Calibri"/>
                <w:color w:val="000000"/>
                <w:sz w:val="20"/>
                <w:szCs w:val="20"/>
                <w:lang w:eastAsia="pt-PT"/>
              </w:rPr>
            </w:pPr>
            <w:r w:rsidRPr="003A043A">
              <w:rPr>
                <w:rFonts w:ascii="Calibri" w:eastAsia="Times New Roman" w:hAnsi="Calibri" w:cs="Calibri"/>
                <w:color w:val="000000"/>
                <w:sz w:val="20"/>
                <w:szCs w:val="20"/>
                <w:lang w:eastAsia="pt-PT"/>
              </w:rPr>
              <w:t>$410 402,84</w:t>
            </w:r>
          </w:p>
        </w:tc>
        <w:tc>
          <w:tcPr>
            <w:tcW w:w="709" w:type="dxa"/>
            <w:tcBorders>
              <w:top w:val="nil"/>
              <w:left w:val="nil"/>
              <w:bottom w:val="nil"/>
              <w:right w:val="single" w:sz="4" w:space="0" w:color="auto"/>
            </w:tcBorders>
            <w:shd w:val="clear" w:color="auto" w:fill="auto"/>
            <w:noWrap/>
            <w:vAlign w:val="bottom"/>
            <w:hideMark/>
          </w:tcPr>
          <w:p w14:paraId="7DF26D66" w14:textId="77777777" w:rsidR="00446BE8" w:rsidRPr="003A043A" w:rsidRDefault="00446BE8" w:rsidP="00311629">
            <w:pPr>
              <w:spacing w:after="0" w:line="240" w:lineRule="auto"/>
              <w:jc w:val="right"/>
              <w:rPr>
                <w:rFonts w:ascii="Calibri" w:eastAsia="Times New Roman" w:hAnsi="Calibri" w:cs="Calibri"/>
                <w:color w:val="000000"/>
                <w:sz w:val="20"/>
                <w:szCs w:val="20"/>
                <w:lang w:eastAsia="pt-PT"/>
              </w:rPr>
            </w:pPr>
            <w:r w:rsidRPr="003A043A">
              <w:rPr>
                <w:rFonts w:ascii="Calibri" w:eastAsia="Times New Roman" w:hAnsi="Calibri" w:cs="Calibri"/>
                <w:color w:val="000000"/>
                <w:sz w:val="20"/>
                <w:szCs w:val="20"/>
                <w:lang w:eastAsia="pt-PT"/>
              </w:rPr>
              <w:t>53%</w:t>
            </w:r>
          </w:p>
        </w:tc>
      </w:tr>
      <w:tr w:rsidR="00446BE8" w:rsidRPr="003A043A" w14:paraId="26388FA5" w14:textId="77777777" w:rsidTr="00311629">
        <w:trPr>
          <w:trHeight w:val="300"/>
        </w:trPr>
        <w:tc>
          <w:tcPr>
            <w:tcW w:w="206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586E2ADD" w14:textId="77777777" w:rsidR="00446BE8" w:rsidRPr="003A043A" w:rsidRDefault="00446BE8" w:rsidP="00311629">
            <w:pPr>
              <w:spacing w:after="0" w:line="240" w:lineRule="auto"/>
              <w:rPr>
                <w:rFonts w:ascii="Calibri" w:eastAsia="Times New Roman" w:hAnsi="Calibri" w:cs="Calibri"/>
                <w:color w:val="000000"/>
                <w:sz w:val="20"/>
                <w:szCs w:val="20"/>
                <w:lang w:eastAsia="pt-PT"/>
              </w:rPr>
            </w:pPr>
            <w:r w:rsidRPr="003A043A">
              <w:rPr>
                <w:rFonts w:ascii="Calibri" w:eastAsia="Times New Roman" w:hAnsi="Calibri" w:cs="Calibri"/>
                <w:color w:val="000000"/>
                <w:sz w:val="20"/>
                <w:szCs w:val="20"/>
                <w:lang w:eastAsia="pt-PT"/>
              </w:rPr>
              <w:t> </w:t>
            </w:r>
          </w:p>
        </w:tc>
        <w:tc>
          <w:tcPr>
            <w:tcW w:w="1909" w:type="dxa"/>
            <w:tcBorders>
              <w:top w:val="single" w:sz="8" w:space="0" w:color="auto"/>
              <w:left w:val="nil"/>
              <w:bottom w:val="single" w:sz="8" w:space="0" w:color="auto"/>
              <w:right w:val="single" w:sz="4" w:space="0" w:color="auto"/>
            </w:tcBorders>
            <w:shd w:val="clear" w:color="auto" w:fill="auto"/>
            <w:noWrap/>
            <w:vAlign w:val="bottom"/>
            <w:hideMark/>
          </w:tcPr>
          <w:p w14:paraId="156F3AA7" w14:textId="77777777" w:rsidR="00446BE8" w:rsidRPr="003A043A" w:rsidRDefault="00446BE8" w:rsidP="00311629">
            <w:pPr>
              <w:spacing w:after="0" w:line="240" w:lineRule="auto"/>
              <w:jc w:val="right"/>
              <w:rPr>
                <w:rFonts w:ascii="Calibri" w:eastAsia="Times New Roman" w:hAnsi="Calibri" w:cs="Calibri"/>
                <w:b/>
                <w:bCs/>
                <w:color w:val="000000"/>
                <w:sz w:val="20"/>
                <w:szCs w:val="20"/>
                <w:lang w:eastAsia="pt-PT"/>
              </w:rPr>
            </w:pPr>
            <w:r w:rsidRPr="003A043A">
              <w:rPr>
                <w:rFonts w:ascii="Calibri" w:eastAsia="Times New Roman" w:hAnsi="Calibri" w:cs="Calibri"/>
                <w:b/>
                <w:bCs/>
                <w:color w:val="000000"/>
                <w:sz w:val="20"/>
                <w:szCs w:val="20"/>
                <w:lang w:eastAsia="pt-PT"/>
              </w:rPr>
              <w:t>$64 811 063,02</w:t>
            </w:r>
          </w:p>
        </w:tc>
        <w:tc>
          <w:tcPr>
            <w:tcW w:w="2268" w:type="dxa"/>
            <w:tcBorders>
              <w:top w:val="single" w:sz="8" w:space="0" w:color="auto"/>
              <w:left w:val="nil"/>
              <w:bottom w:val="single" w:sz="8" w:space="0" w:color="auto"/>
              <w:right w:val="single" w:sz="4" w:space="0" w:color="auto"/>
            </w:tcBorders>
            <w:shd w:val="clear" w:color="auto" w:fill="auto"/>
            <w:noWrap/>
            <w:vAlign w:val="bottom"/>
            <w:hideMark/>
          </w:tcPr>
          <w:p w14:paraId="6729CE64" w14:textId="77777777" w:rsidR="00446BE8" w:rsidRPr="003A043A" w:rsidRDefault="00446BE8" w:rsidP="00311629">
            <w:pPr>
              <w:spacing w:after="0" w:line="240" w:lineRule="auto"/>
              <w:jc w:val="right"/>
              <w:rPr>
                <w:rFonts w:ascii="Calibri" w:eastAsia="Times New Roman" w:hAnsi="Calibri" w:cs="Calibri"/>
                <w:b/>
                <w:bCs/>
                <w:color w:val="000000"/>
                <w:sz w:val="20"/>
                <w:szCs w:val="20"/>
                <w:lang w:eastAsia="pt-PT"/>
              </w:rPr>
            </w:pPr>
            <w:r w:rsidRPr="003A043A">
              <w:rPr>
                <w:rFonts w:ascii="Calibri" w:eastAsia="Times New Roman" w:hAnsi="Calibri" w:cs="Calibri"/>
                <w:b/>
                <w:bCs/>
                <w:color w:val="000000"/>
                <w:sz w:val="20"/>
                <w:szCs w:val="20"/>
                <w:lang w:eastAsia="pt-PT"/>
              </w:rPr>
              <w:t>$24 673 130,71</w:t>
            </w:r>
          </w:p>
        </w:tc>
        <w:tc>
          <w:tcPr>
            <w:tcW w:w="709" w:type="dxa"/>
            <w:tcBorders>
              <w:top w:val="single" w:sz="8" w:space="0" w:color="auto"/>
              <w:left w:val="nil"/>
              <w:bottom w:val="single" w:sz="8" w:space="0" w:color="auto"/>
              <w:right w:val="single" w:sz="4" w:space="0" w:color="auto"/>
            </w:tcBorders>
            <w:shd w:val="clear" w:color="auto" w:fill="auto"/>
            <w:noWrap/>
            <w:vAlign w:val="bottom"/>
            <w:hideMark/>
          </w:tcPr>
          <w:p w14:paraId="49DFB53C" w14:textId="77777777" w:rsidR="00446BE8" w:rsidRPr="003A043A" w:rsidRDefault="00446BE8" w:rsidP="00311629">
            <w:pPr>
              <w:spacing w:after="0" w:line="240" w:lineRule="auto"/>
              <w:rPr>
                <w:rFonts w:ascii="Calibri" w:eastAsia="Times New Roman" w:hAnsi="Calibri" w:cs="Calibri"/>
                <w:b/>
                <w:bCs/>
                <w:color w:val="000000"/>
                <w:sz w:val="20"/>
                <w:szCs w:val="20"/>
                <w:lang w:eastAsia="pt-PT"/>
              </w:rPr>
            </w:pPr>
            <w:r w:rsidRPr="003A043A">
              <w:rPr>
                <w:rFonts w:ascii="Calibri" w:eastAsia="Times New Roman" w:hAnsi="Calibri" w:cs="Calibri"/>
                <w:b/>
                <w:bCs/>
                <w:color w:val="000000"/>
                <w:sz w:val="20"/>
                <w:szCs w:val="20"/>
                <w:lang w:eastAsia="pt-PT"/>
              </w:rPr>
              <w:t> </w:t>
            </w:r>
          </w:p>
        </w:tc>
      </w:tr>
    </w:tbl>
    <w:p w14:paraId="559F0B01" w14:textId="08536C3E" w:rsidR="00446BE8" w:rsidRDefault="00446BE8" w:rsidP="00EF10EC"/>
    <w:p w14:paraId="036C37C1" w14:textId="23B17735" w:rsidR="00446BE8" w:rsidRDefault="00446BE8" w:rsidP="00EF10EC">
      <w:r>
        <w:rPr>
          <w:noProof/>
          <w:lang w:eastAsia="pt-PT"/>
        </w:rPr>
        <w:drawing>
          <wp:inline distT="0" distB="0" distL="0" distR="0" wp14:anchorId="3BE0ABCA" wp14:editId="352B305C">
            <wp:extent cx="4572000" cy="3203575"/>
            <wp:effectExtent l="0" t="0" r="0" b="1587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A370424" w14:textId="5BA6DBC0" w:rsidR="00D96E71" w:rsidRDefault="00D96E71" w:rsidP="00EF10EC"/>
    <w:p w14:paraId="2B494C90" w14:textId="7CB36DA7" w:rsidR="00D96E71" w:rsidRDefault="00D96E71" w:rsidP="00EF10EC"/>
    <w:p w14:paraId="0A829C94" w14:textId="68B5AE9E" w:rsidR="00D96E71" w:rsidRDefault="00D96E71" w:rsidP="00EF10EC"/>
    <w:p w14:paraId="1CF8D90A" w14:textId="57BFD104" w:rsidR="00D96E71" w:rsidRDefault="00D96E71" w:rsidP="00EF10EC"/>
    <w:p w14:paraId="74C27665" w14:textId="6344E8C4" w:rsidR="00D96E71" w:rsidRDefault="00D96E71" w:rsidP="00EF10EC"/>
    <w:p w14:paraId="65A28C94" w14:textId="27F800C1" w:rsidR="00D96E71" w:rsidRDefault="00D96E71" w:rsidP="00EF10EC">
      <w:r>
        <w:rPr>
          <w:noProof/>
          <w:lang w:eastAsia="pt-PT"/>
        </w:rPr>
        <w:lastRenderedPageBreak/>
        <w:drawing>
          <wp:inline distT="0" distB="0" distL="0" distR="0" wp14:anchorId="7041B0AC" wp14:editId="6F2C3496">
            <wp:extent cx="4572000" cy="2743200"/>
            <wp:effectExtent l="0" t="0" r="0" b="0"/>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652D8B8" w14:textId="0627D502" w:rsidR="00D96E71" w:rsidRDefault="00A2494F" w:rsidP="00A2494F">
      <w:pPr>
        <w:pStyle w:val="Heading3"/>
        <w:rPr>
          <w:rFonts w:asciiTheme="minorHAnsi" w:hAnsiTheme="minorHAnsi" w:cstheme="minorHAnsi"/>
          <w:sz w:val="22"/>
          <w:szCs w:val="22"/>
        </w:rPr>
      </w:pPr>
      <w:bookmarkStart w:id="17" w:name="_Toc88741774"/>
      <w:r w:rsidRPr="00A2494F">
        <w:rPr>
          <w:rFonts w:asciiTheme="minorHAnsi" w:hAnsiTheme="minorHAnsi" w:cstheme="minorHAnsi"/>
          <w:sz w:val="22"/>
          <w:szCs w:val="22"/>
        </w:rPr>
        <w:t>2.3.2 Comparative Delivery with Other Southern Africa Countries</w:t>
      </w:r>
      <w:bookmarkEnd w:id="17"/>
    </w:p>
    <w:p w14:paraId="41237210" w14:textId="2E7E0CD7" w:rsidR="00A2494F" w:rsidRDefault="00A2494F" w:rsidP="00281A53">
      <w:pPr>
        <w:jc w:val="both"/>
      </w:pPr>
      <w:r>
        <w:t xml:space="preserve">An analysis was conducted to find out </w:t>
      </w:r>
      <w:r w:rsidR="00FB36E7">
        <w:t xml:space="preserve">how </w:t>
      </w:r>
      <w:r>
        <w:t xml:space="preserve">the UNDP Angola Country </w:t>
      </w:r>
      <w:r w:rsidR="00FB36E7">
        <w:t xml:space="preserve">ranks </w:t>
      </w:r>
      <w:r>
        <w:t xml:space="preserve">in terms of delivery of programme resources </w:t>
      </w:r>
      <w:r w:rsidR="00FB36E7">
        <w:t xml:space="preserve">when </w:t>
      </w:r>
      <w:r>
        <w:t>compared to 1</w:t>
      </w:r>
      <w:r w:rsidR="00FB36E7">
        <w:t>1</w:t>
      </w:r>
      <w:r>
        <w:t xml:space="preserve"> other Southern Africa</w:t>
      </w:r>
      <w:r w:rsidR="00FB36E7">
        <w:t xml:space="preserve"> countries</w:t>
      </w:r>
      <w:r>
        <w:t>. Information</w:t>
      </w:r>
      <w:r w:rsidR="00281A53">
        <w:t xml:space="preserve"> was</w:t>
      </w:r>
      <w:r>
        <w:t xml:space="preserve"> extracted from the UNDP Transparency </w:t>
      </w:r>
      <w:r w:rsidR="00281A53">
        <w:t>Portal for</w:t>
      </w:r>
      <w:r>
        <w:t xml:space="preserve"> the 1</w:t>
      </w:r>
      <w:r w:rsidR="00FB36E7">
        <w:t>1</w:t>
      </w:r>
      <w:r>
        <w:t xml:space="preserve"> countries, </w:t>
      </w:r>
      <w:r w:rsidR="00FB36E7">
        <w:t xml:space="preserve">while </w:t>
      </w:r>
      <w:r>
        <w:t xml:space="preserve">for Angola data from ATLAS was used. The results are presented in </w:t>
      </w:r>
      <w:r w:rsidR="00281A53">
        <w:t>Table 6 and figures 4, 5, 6 and 7.</w:t>
      </w:r>
      <w:r w:rsidR="00DA0474">
        <w:t xml:space="preserve"> The analysis shows that at 38% combined delivery for both 2020 and 2021, Angola ranked the lowest </w:t>
      </w:r>
      <w:r w:rsidR="00FB36E7">
        <w:t xml:space="preserve">in programme delivery </w:t>
      </w:r>
      <w:r w:rsidR="00DA0474">
        <w:t>and this was consistent for both years.</w:t>
      </w:r>
    </w:p>
    <w:p w14:paraId="417BF85D" w14:textId="49E50D2D" w:rsidR="00281A53" w:rsidRPr="00C0172D" w:rsidRDefault="00E12B19" w:rsidP="00A2494F">
      <w:pPr>
        <w:rPr>
          <w:b/>
          <w:bCs/>
        </w:rPr>
      </w:pPr>
      <w:r w:rsidRPr="00C0172D">
        <w:rPr>
          <w:b/>
          <w:bCs/>
        </w:rPr>
        <w:t>Table 6</w:t>
      </w:r>
      <w:r w:rsidR="00FB36E7" w:rsidRPr="00C0172D">
        <w:rPr>
          <w:b/>
          <w:bCs/>
        </w:rPr>
        <w:t xml:space="preserve">: </w:t>
      </w:r>
      <w:r w:rsidRPr="00C0172D">
        <w:rPr>
          <w:b/>
          <w:bCs/>
        </w:rPr>
        <w:t>Comparative Programme Delivery of UNDP Country Offices in Southern Africa</w:t>
      </w:r>
    </w:p>
    <w:tbl>
      <w:tblPr>
        <w:tblW w:w="9540" w:type="dxa"/>
        <w:tblInd w:w="-5" w:type="dxa"/>
        <w:tblCellMar>
          <w:left w:w="70" w:type="dxa"/>
          <w:right w:w="70" w:type="dxa"/>
        </w:tblCellMar>
        <w:tblLook w:val="04A0" w:firstRow="1" w:lastRow="0" w:firstColumn="1" w:lastColumn="0" w:noHBand="0" w:noVBand="1"/>
      </w:tblPr>
      <w:tblGrid>
        <w:gridCol w:w="1520"/>
        <w:gridCol w:w="1120"/>
        <w:gridCol w:w="1120"/>
        <w:gridCol w:w="1120"/>
        <w:gridCol w:w="1120"/>
        <w:gridCol w:w="960"/>
        <w:gridCol w:w="960"/>
        <w:gridCol w:w="1620"/>
      </w:tblGrid>
      <w:tr w:rsidR="00E12B19" w:rsidRPr="004E44B4" w14:paraId="65E59602" w14:textId="77777777" w:rsidTr="00E12B19">
        <w:trPr>
          <w:trHeight w:val="640"/>
        </w:trPr>
        <w:tc>
          <w:tcPr>
            <w:tcW w:w="1520" w:type="dxa"/>
            <w:vMerge w:val="restart"/>
            <w:tcBorders>
              <w:top w:val="single" w:sz="8" w:space="0" w:color="auto"/>
              <w:left w:val="single" w:sz="8" w:space="0" w:color="auto"/>
              <w:bottom w:val="single" w:sz="8" w:space="0" w:color="000000"/>
              <w:right w:val="single" w:sz="8" w:space="0" w:color="auto"/>
            </w:tcBorders>
            <w:shd w:val="clear" w:color="000000" w:fill="BDD6EE"/>
            <w:vAlign w:val="center"/>
            <w:hideMark/>
          </w:tcPr>
          <w:p w14:paraId="128A0DD0" w14:textId="1C8CE5D6" w:rsidR="00E12B19" w:rsidRPr="004E44B4" w:rsidRDefault="00E12B19" w:rsidP="002934D9">
            <w:pPr>
              <w:spacing w:after="0" w:line="240" w:lineRule="auto"/>
              <w:jc w:val="center"/>
              <w:rPr>
                <w:rFonts w:ascii="Calibri" w:eastAsia="Times New Roman" w:hAnsi="Calibri" w:cs="Calibri"/>
                <w:b/>
                <w:bCs/>
                <w:color w:val="000000"/>
                <w:lang w:eastAsia="pt-PT"/>
              </w:rPr>
            </w:pPr>
            <w:r w:rsidRPr="004E44B4">
              <w:rPr>
                <w:rFonts w:ascii="Calibri" w:eastAsia="Times New Roman" w:hAnsi="Calibri" w:cs="Calibri"/>
                <w:b/>
                <w:bCs/>
                <w:color w:val="000000"/>
                <w:lang w:eastAsia="pt-PT"/>
              </w:rPr>
              <w:t>Countr</w:t>
            </w:r>
            <w:r>
              <w:rPr>
                <w:rFonts w:ascii="Calibri" w:eastAsia="Times New Roman" w:hAnsi="Calibri" w:cs="Calibri"/>
                <w:b/>
                <w:bCs/>
                <w:color w:val="000000"/>
                <w:lang w:eastAsia="pt-PT"/>
              </w:rPr>
              <w:t>y</w:t>
            </w:r>
          </w:p>
        </w:tc>
        <w:tc>
          <w:tcPr>
            <w:tcW w:w="2240" w:type="dxa"/>
            <w:gridSpan w:val="2"/>
            <w:tcBorders>
              <w:top w:val="single" w:sz="8" w:space="0" w:color="auto"/>
              <w:left w:val="nil"/>
              <w:bottom w:val="single" w:sz="8" w:space="0" w:color="auto"/>
              <w:right w:val="single" w:sz="8" w:space="0" w:color="000000"/>
            </w:tcBorders>
            <w:shd w:val="clear" w:color="000000" w:fill="BDD6EE"/>
            <w:vAlign w:val="center"/>
            <w:hideMark/>
          </w:tcPr>
          <w:p w14:paraId="5540A440" w14:textId="77777777" w:rsidR="00E12B19" w:rsidRPr="004E44B4" w:rsidRDefault="00E12B19" w:rsidP="002934D9">
            <w:pPr>
              <w:spacing w:after="0" w:line="240" w:lineRule="auto"/>
              <w:jc w:val="center"/>
              <w:rPr>
                <w:rFonts w:ascii="Calibri" w:eastAsia="Times New Roman" w:hAnsi="Calibri" w:cs="Calibri"/>
                <w:b/>
                <w:bCs/>
                <w:color w:val="000000"/>
                <w:lang w:eastAsia="pt-PT"/>
              </w:rPr>
            </w:pPr>
            <w:r w:rsidRPr="004E44B4">
              <w:rPr>
                <w:rFonts w:ascii="Calibri" w:eastAsia="Times New Roman" w:hAnsi="Calibri" w:cs="Calibri"/>
                <w:b/>
                <w:bCs/>
                <w:color w:val="000000"/>
                <w:lang w:eastAsia="pt-PT"/>
              </w:rPr>
              <w:t>Budget</w:t>
            </w:r>
          </w:p>
        </w:tc>
        <w:tc>
          <w:tcPr>
            <w:tcW w:w="2240" w:type="dxa"/>
            <w:gridSpan w:val="2"/>
            <w:tcBorders>
              <w:top w:val="single" w:sz="8" w:space="0" w:color="auto"/>
              <w:left w:val="nil"/>
              <w:bottom w:val="single" w:sz="8" w:space="0" w:color="auto"/>
              <w:right w:val="single" w:sz="8" w:space="0" w:color="000000"/>
            </w:tcBorders>
            <w:shd w:val="clear" w:color="000000" w:fill="BDD6EE"/>
            <w:vAlign w:val="center"/>
            <w:hideMark/>
          </w:tcPr>
          <w:p w14:paraId="2BEA143A" w14:textId="77777777" w:rsidR="00E12B19" w:rsidRPr="004E44B4" w:rsidRDefault="00E12B19" w:rsidP="002934D9">
            <w:pPr>
              <w:spacing w:after="0" w:line="240" w:lineRule="auto"/>
              <w:jc w:val="center"/>
              <w:rPr>
                <w:rFonts w:ascii="Calibri" w:eastAsia="Times New Roman" w:hAnsi="Calibri" w:cs="Calibri"/>
                <w:b/>
                <w:bCs/>
                <w:color w:val="000000"/>
                <w:lang w:eastAsia="pt-PT"/>
              </w:rPr>
            </w:pPr>
            <w:r w:rsidRPr="004E44B4">
              <w:rPr>
                <w:rFonts w:ascii="Calibri" w:eastAsia="Times New Roman" w:hAnsi="Calibri" w:cs="Calibri"/>
                <w:b/>
                <w:bCs/>
                <w:color w:val="000000"/>
                <w:lang w:eastAsia="pt-PT"/>
              </w:rPr>
              <w:t>Expenditures</w:t>
            </w:r>
          </w:p>
        </w:tc>
        <w:tc>
          <w:tcPr>
            <w:tcW w:w="1920" w:type="dxa"/>
            <w:gridSpan w:val="2"/>
            <w:tcBorders>
              <w:top w:val="single" w:sz="8" w:space="0" w:color="auto"/>
              <w:left w:val="nil"/>
              <w:bottom w:val="single" w:sz="8" w:space="0" w:color="auto"/>
              <w:right w:val="single" w:sz="8" w:space="0" w:color="000000"/>
            </w:tcBorders>
            <w:shd w:val="clear" w:color="000000" w:fill="BDD6EE"/>
            <w:vAlign w:val="center"/>
            <w:hideMark/>
          </w:tcPr>
          <w:p w14:paraId="4E16BAE7" w14:textId="77777777" w:rsidR="00E12B19" w:rsidRPr="004E44B4" w:rsidRDefault="00E12B19" w:rsidP="002934D9">
            <w:pPr>
              <w:spacing w:after="0" w:line="240" w:lineRule="auto"/>
              <w:jc w:val="center"/>
              <w:rPr>
                <w:rFonts w:ascii="Calibri" w:eastAsia="Times New Roman" w:hAnsi="Calibri" w:cs="Calibri"/>
                <w:b/>
                <w:bCs/>
                <w:color w:val="000000"/>
                <w:lang w:eastAsia="pt-PT"/>
              </w:rPr>
            </w:pPr>
            <w:r w:rsidRPr="004E44B4">
              <w:rPr>
                <w:rFonts w:ascii="Calibri" w:eastAsia="Times New Roman" w:hAnsi="Calibri" w:cs="Calibri"/>
                <w:b/>
                <w:bCs/>
                <w:color w:val="000000"/>
                <w:lang w:eastAsia="pt-PT"/>
              </w:rPr>
              <w:t>Implementation Rate</w:t>
            </w:r>
          </w:p>
        </w:tc>
        <w:tc>
          <w:tcPr>
            <w:tcW w:w="1620" w:type="dxa"/>
            <w:tcBorders>
              <w:top w:val="single" w:sz="8" w:space="0" w:color="auto"/>
              <w:left w:val="nil"/>
              <w:bottom w:val="single" w:sz="8" w:space="0" w:color="auto"/>
              <w:right w:val="single" w:sz="8" w:space="0" w:color="000000"/>
            </w:tcBorders>
            <w:shd w:val="clear" w:color="000000" w:fill="BDD6EE"/>
          </w:tcPr>
          <w:p w14:paraId="590D14D8" w14:textId="2D47F09C" w:rsidR="00E12B19" w:rsidRPr="004E44B4" w:rsidRDefault="00E12B19" w:rsidP="002934D9">
            <w:pPr>
              <w:spacing w:after="0" w:line="240" w:lineRule="auto"/>
              <w:jc w:val="center"/>
              <w:rPr>
                <w:rFonts w:ascii="Calibri" w:eastAsia="Times New Roman" w:hAnsi="Calibri" w:cs="Calibri"/>
                <w:b/>
                <w:bCs/>
                <w:color w:val="000000"/>
                <w:lang w:eastAsia="pt-PT"/>
              </w:rPr>
            </w:pPr>
            <w:r>
              <w:rPr>
                <w:rFonts w:ascii="Calibri" w:eastAsia="Times New Roman" w:hAnsi="Calibri" w:cs="Calibri"/>
                <w:b/>
                <w:bCs/>
                <w:color w:val="000000"/>
                <w:lang w:eastAsia="pt-PT"/>
              </w:rPr>
              <w:t xml:space="preserve">Combined </w:t>
            </w:r>
            <w:r w:rsidR="00DA0474">
              <w:rPr>
                <w:rFonts w:ascii="Calibri" w:eastAsia="Times New Roman" w:hAnsi="Calibri" w:cs="Calibri"/>
                <w:b/>
                <w:bCs/>
                <w:color w:val="000000"/>
                <w:lang w:eastAsia="pt-PT"/>
              </w:rPr>
              <w:t>Implementation Rate</w:t>
            </w:r>
          </w:p>
        </w:tc>
      </w:tr>
      <w:tr w:rsidR="00E12B19" w:rsidRPr="004E44B4" w14:paraId="661EE650" w14:textId="77777777" w:rsidTr="00E12B19">
        <w:trPr>
          <w:trHeight w:val="300"/>
        </w:trPr>
        <w:tc>
          <w:tcPr>
            <w:tcW w:w="1520" w:type="dxa"/>
            <w:vMerge/>
            <w:tcBorders>
              <w:top w:val="single" w:sz="8" w:space="0" w:color="auto"/>
              <w:left w:val="single" w:sz="8" w:space="0" w:color="auto"/>
              <w:bottom w:val="single" w:sz="8" w:space="0" w:color="000000"/>
              <w:right w:val="single" w:sz="8" w:space="0" w:color="auto"/>
            </w:tcBorders>
            <w:vAlign w:val="center"/>
            <w:hideMark/>
          </w:tcPr>
          <w:p w14:paraId="33B8A803" w14:textId="77777777" w:rsidR="00E12B19" w:rsidRPr="004E44B4" w:rsidRDefault="00E12B19" w:rsidP="002934D9">
            <w:pPr>
              <w:spacing w:after="0" w:line="240" w:lineRule="auto"/>
              <w:rPr>
                <w:rFonts w:ascii="Calibri" w:eastAsia="Times New Roman" w:hAnsi="Calibri" w:cs="Calibri"/>
                <w:b/>
                <w:bCs/>
                <w:color w:val="000000"/>
                <w:lang w:eastAsia="pt-PT"/>
              </w:rPr>
            </w:pPr>
          </w:p>
        </w:tc>
        <w:tc>
          <w:tcPr>
            <w:tcW w:w="1120" w:type="dxa"/>
            <w:tcBorders>
              <w:top w:val="nil"/>
              <w:left w:val="nil"/>
              <w:bottom w:val="single" w:sz="8" w:space="0" w:color="auto"/>
              <w:right w:val="single" w:sz="8" w:space="0" w:color="auto"/>
            </w:tcBorders>
            <w:shd w:val="clear" w:color="000000" w:fill="BDD6EE"/>
            <w:vAlign w:val="center"/>
            <w:hideMark/>
          </w:tcPr>
          <w:p w14:paraId="4E125A66" w14:textId="77777777" w:rsidR="00E12B19" w:rsidRPr="004E44B4" w:rsidRDefault="00E12B19" w:rsidP="002934D9">
            <w:pPr>
              <w:spacing w:after="0" w:line="240" w:lineRule="auto"/>
              <w:jc w:val="center"/>
              <w:rPr>
                <w:rFonts w:ascii="Calibri" w:eastAsia="Times New Roman" w:hAnsi="Calibri" w:cs="Calibri"/>
                <w:b/>
                <w:bCs/>
                <w:color w:val="000000"/>
                <w:lang w:eastAsia="pt-PT"/>
              </w:rPr>
            </w:pPr>
            <w:r w:rsidRPr="004E44B4">
              <w:rPr>
                <w:rFonts w:ascii="Calibri" w:eastAsia="Times New Roman" w:hAnsi="Calibri" w:cs="Calibri"/>
                <w:b/>
                <w:bCs/>
                <w:color w:val="000000"/>
                <w:lang w:eastAsia="pt-PT"/>
              </w:rPr>
              <w:t>2020</w:t>
            </w:r>
          </w:p>
        </w:tc>
        <w:tc>
          <w:tcPr>
            <w:tcW w:w="1120" w:type="dxa"/>
            <w:tcBorders>
              <w:top w:val="nil"/>
              <w:left w:val="nil"/>
              <w:bottom w:val="single" w:sz="8" w:space="0" w:color="auto"/>
              <w:right w:val="single" w:sz="8" w:space="0" w:color="auto"/>
            </w:tcBorders>
            <w:shd w:val="clear" w:color="000000" w:fill="BDD6EE"/>
            <w:vAlign w:val="center"/>
            <w:hideMark/>
          </w:tcPr>
          <w:p w14:paraId="3122D6B1" w14:textId="77777777" w:rsidR="00E12B19" w:rsidRPr="004E44B4" w:rsidRDefault="00E12B19" w:rsidP="002934D9">
            <w:pPr>
              <w:spacing w:after="0" w:line="240" w:lineRule="auto"/>
              <w:jc w:val="center"/>
              <w:rPr>
                <w:rFonts w:ascii="Calibri" w:eastAsia="Times New Roman" w:hAnsi="Calibri" w:cs="Calibri"/>
                <w:b/>
                <w:bCs/>
                <w:color w:val="000000"/>
                <w:lang w:eastAsia="pt-PT"/>
              </w:rPr>
            </w:pPr>
            <w:r w:rsidRPr="004E44B4">
              <w:rPr>
                <w:rFonts w:ascii="Calibri" w:eastAsia="Times New Roman" w:hAnsi="Calibri" w:cs="Calibri"/>
                <w:b/>
                <w:bCs/>
                <w:color w:val="000000"/>
                <w:lang w:eastAsia="pt-PT"/>
              </w:rPr>
              <w:t>2021</w:t>
            </w:r>
          </w:p>
        </w:tc>
        <w:tc>
          <w:tcPr>
            <w:tcW w:w="1120" w:type="dxa"/>
            <w:tcBorders>
              <w:top w:val="nil"/>
              <w:left w:val="nil"/>
              <w:bottom w:val="single" w:sz="8" w:space="0" w:color="auto"/>
              <w:right w:val="single" w:sz="8" w:space="0" w:color="auto"/>
            </w:tcBorders>
            <w:shd w:val="clear" w:color="000000" w:fill="BDD6EE"/>
            <w:vAlign w:val="center"/>
            <w:hideMark/>
          </w:tcPr>
          <w:p w14:paraId="209323C3" w14:textId="77777777" w:rsidR="00E12B19" w:rsidRPr="004E44B4" w:rsidRDefault="00E12B19" w:rsidP="002934D9">
            <w:pPr>
              <w:spacing w:after="0" w:line="240" w:lineRule="auto"/>
              <w:jc w:val="center"/>
              <w:rPr>
                <w:rFonts w:ascii="Calibri" w:eastAsia="Times New Roman" w:hAnsi="Calibri" w:cs="Calibri"/>
                <w:b/>
                <w:bCs/>
                <w:color w:val="000000"/>
                <w:lang w:eastAsia="pt-PT"/>
              </w:rPr>
            </w:pPr>
            <w:r w:rsidRPr="004E44B4">
              <w:rPr>
                <w:rFonts w:ascii="Calibri" w:eastAsia="Times New Roman" w:hAnsi="Calibri" w:cs="Calibri"/>
                <w:b/>
                <w:bCs/>
                <w:color w:val="000000"/>
                <w:lang w:eastAsia="pt-PT"/>
              </w:rPr>
              <w:t>2020</w:t>
            </w:r>
          </w:p>
        </w:tc>
        <w:tc>
          <w:tcPr>
            <w:tcW w:w="1120" w:type="dxa"/>
            <w:tcBorders>
              <w:top w:val="nil"/>
              <w:left w:val="nil"/>
              <w:bottom w:val="single" w:sz="8" w:space="0" w:color="auto"/>
              <w:right w:val="single" w:sz="8" w:space="0" w:color="auto"/>
            </w:tcBorders>
            <w:shd w:val="clear" w:color="000000" w:fill="BDD6EE"/>
            <w:vAlign w:val="center"/>
            <w:hideMark/>
          </w:tcPr>
          <w:p w14:paraId="47CFB30D" w14:textId="77777777" w:rsidR="00E12B19" w:rsidRPr="004E44B4" w:rsidRDefault="00E12B19" w:rsidP="002934D9">
            <w:pPr>
              <w:spacing w:after="0" w:line="240" w:lineRule="auto"/>
              <w:jc w:val="center"/>
              <w:rPr>
                <w:rFonts w:ascii="Calibri" w:eastAsia="Times New Roman" w:hAnsi="Calibri" w:cs="Calibri"/>
                <w:b/>
                <w:bCs/>
                <w:color w:val="000000"/>
                <w:lang w:eastAsia="pt-PT"/>
              </w:rPr>
            </w:pPr>
            <w:r w:rsidRPr="004E44B4">
              <w:rPr>
                <w:rFonts w:ascii="Calibri" w:eastAsia="Times New Roman" w:hAnsi="Calibri" w:cs="Calibri"/>
                <w:b/>
                <w:bCs/>
                <w:color w:val="000000"/>
                <w:lang w:eastAsia="pt-PT"/>
              </w:rPr>
              <w:t>2021</w:t>
            </w:r>
          </w:p>
        </w:tc>
        <w:tc>
          <w:tcPr>
            <w:tcW w:w="960" w:type="dxa"/>
            <w:tcBorders>
              <w:top w:val="nil"/>
              <w:left w:val="nil"/>
              <w:bottom w:val="single" w:sz="8" w:space="0" w:color="auto"/>
              <w:right w:val="single" w:sz="8" w:space="0" w:color="auto"/>
            </w:tcBorders>
            <w:shd w:val="clear" w:color="000000" w:fill="BDD6EE"/>
            <w:vAlign w:val="center"/>
            <w:hideMark/>
          </w:tcPr>
          <w:p w14:paraId="0614D0F1" w14:textId="77777777" w:rsidR="00E12B19" w:rsidRPr="004E44B4" w:rsidRDefault="00E12B19" w:rsidP="002934D9">
            <w:pPr>
              <w:spacing w:after="0" w:line="240" w:lineRule="auto"/>
              <w:jc w:val="center"/>
              <w:rPr>
                <w:rFonts w:ascii="Calibri" w:eastAsia="Times New Roman" w:hAnsi="Calibri" w:cs="Calibri"/>
                <w:b/>
                <w:bCs/>
                <w:color w:val="000000"/>
                <w:lang w:eastAsia="pt-PT"/>
              </w:rPr>
            </w:pPr>
            <w:r w:rsidRPr="004E44B4">
              <w:rPr>
                <w:rFonts w:ascii="Calibri" w:eastAsia="Times New Roman" w:hAnsi="Calibri" w:cs="Calibri"/>
                <w:b/>
                <w:bCs/>
                <w:color w:val="000000"/>
                <w:lang w:eastAsia="pt-PT"/>
              </w:rPr>
              <w:t>2020</w:t>
            </w:r>
          </w:p>
        </w:tc>
        <w:tc>
          <w:tcPr>
            <w:tcW w:w="960" w:type="dxa"/>
            <w:tcBorders>
              <w:top w:val="nil"/>
              <w:left w:val="nil"/>
              <w:bottom w:val="single" w:sz="8" w:space="0" w:color="auto"/>
              <w:right w:val="single" w:sz="8" w:space="0" w:color="auto"/>
            </w:tcBorders>
            <w:shd w:val="clear" w:color="000000" w:fill="BDD6EE"/>
            <w:vAlign w:val="center"/>
            <w:hideMark/>
          </w:tcPr>
          <w:p w14:paraId="67A07182" w14:textId="77777777" w:rsidR="00E12B19" w:rsidRPr="004E44B4" w:rsidRDefault="00E12B19" w:rsidP="002934D9">
            <w:pPr>
              <w:spacing w:after="0" w:line="240" w:lineRule="auto"/>
              <w:jc w:val="center"/>
              <w:rPr>
                <w:rFonts w:ascii="Calibri" w:eastAsia="Times New Roman" w:hAnsi="Calibri" w:cs="Calibri"/>
                <w:b/>
                <w:bCs/>
                <w:color w:val="000000"/>
                <w:lang w:eastAsia="pt-PT"/>
              </w:rPr>
            </w:pPr>
            <w:r w:rsidRPr="004E44B4">
              <w:rPr>
                <w:rFonts w:ascii="Calibri" w:eastAsia="Times New Roman" w:hAnsi="Calibri" w:cs="Calibri"/>
                <w:b/>
                <w:bCs/>
                <w:color w:val="000000"/>
                <w:lang w:eastAsia="pt-PT"/>
              </w:rPr>
              <w:t>2021</w:t>
            </w:r>
          </w:p>
        </w:tc>
        <w:tc>
          <w:tcPr>
            <w:tcW w:w="1620" w:type="dxa"/>
            <w:tcBorders>
              <w:top w:val="nil"/>
              <w:left w:val="nil"/>
              <w:bottom w:val="single" w:sz="8" w:space="0" w:color="auto"/>
              <w:right w:val="single" w:sz="8" w:space="0" w:color="auto"/>
            </w:tcBorders>
            <w:shd w:val="clear" w:color="000000" w:fill="BDD6EE"/>
          </w:tcPr>
          <w:p w14:paraId="112F7EC4" w14:textId="77777777" w:rsidR="00E12B19" w:rsidRPr="004E44B4" w:rsidRDefault="00E12B19" w:rsidP="002934D9">
            <w:pPr>
              <w:spacing w:after="0" w:line="240" w:lineRule="auto"/>
              <w:jc w:val="center"/>
              <w:rPr>
                <w:rFonts w:ascii="Calibri" w:eastAsia="Times New Roman" w:hAnsi="Calibri" w:cs="Calibri"/>
                <w:b/>
                <w:bCs/>
                <w:color w:val="000000"/>
                <w:lang w:eastAsia="pt-PT"/>
              </w:rPr>
            </w:pPr>
          </w:p>
        </w:tc>
      </w:tr>
      <w:tr w:rsidR="00E12B19" w:rsidRPr="004E44B4" w14:paraId="585C19EC" w14:textId="77777777" w:rsidTr="00E12B19">
        <w:trPr>
          <w:trHeight w:val="290"/>
        </w:trPr>
        <w:tc>
          <w:tcPr>
            <w:tcW w:w="152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4A768558" w14:textId="781C941D" w:rsidR="00E12B19" w:rsidRPr="004E44B4" w:rsidRDefault="00E12B19" w:rsidP="002934D9">
            <w:pPr>
              <w:spacing w:after="0" w:line="240" w:lineRule="auto"/>
              <w:rPr>
                <w:rFonts w:ascii="Calibri" w:eastAsia="Times New Roman" w:hAnsi="Calibri" w:cs="Calibri"/>
                <w:color w:val="000000"/>
                <w:lang w:eastAsia="pt-PT"/>
              </w:rPr>
            </w:pPr>
            <w:r>
              <w:rPr>
                <w:rFonts w:ascii="Calibri" w:eastAsia="Times New Roman" w:hAnsi="Calibri" w:cs="Calibri"/>
                <w:color w:val="000000"/>
                <w:lang w:eastAsia="pt-PT"/>
              </w:rPr>
              <w:t xml:space="preserve"> Angola</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14:paraId="3FE66B98"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$19,73</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14:paraId="05BA6BE8"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$45,07</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14:paraId="5BCA53E9"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$11,96</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14:paraId="7C01E70F"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$12,70</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700A2D59" w14:textId="77777777" w:rsidR="00E12B19" w:rsidRPr="004E44B4" w:rsidRDefault="00E12B19" w:rsidP="002934D9">
            <w:pPr>
              <w:spacing w:after="0" w:line="240" w:lineRule="auto"/>
              <w:jc w:val="right"/>
              <w:rPr>
                <w:rFonts w:ascii="Calibri" w:eastAsia="Times New Roman" w:hAnsi="Calibri" w:cs="Calibri"/>
                <w:color w:val="000000"/>
                <w:lang w:eastAsia="pt-PT"/>
              </w:rPr>
            </w:pPr>
            <w:r w:rsidRPr="004E44B4">
              <w:rPr>
                <w:rFonts w:ascii="Calibri" w:eastAsia="Times New Roman" w:hAnsi="Calibri" w:cs="Calibri"/>
                <w:color w:val="000000"/>
                <w:lang w:eastAsia="pt-PT"/>
              </w:rPr>
              <w:t>61%</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517A95C2" w14:textId="77777777" w:rsidR="00E12B19" w:rsidRPr="004E44B4" w:rsidRDefault="00E12B19" w:rsidP="002934D9">
            <w:pPr>
              <w:spacing w:after="0" w:line="240" w:lineRule="auto"/>
              <w:jc w:val="right"/>
              <w:rPr>
                <w:rFonts w:ascii="Calibri" w:eastAsia="Times New Roman" w:hAnsi="Calibri" w:cs="Calibri"/>
                <w:color w:val="000000"/>
                <w:lang w:eastAsia="pt-PT"/>
              </w:rPr>
            </w:pPr>
            <w:r w:rsidRPr="004E44B4">
              <w:rPr>
                <w:rFonts w:ascii="Calibri" w:eastAsia="Times New Roman" w:hAnsi="Calibri" w:cs="Calibri"/>
                <w:color w:val="000000"/>
                <w:lang w:eastAsia="pt-PT"/>
              </w:rPr>
              <w:t>28%</w:t>
            </w:r>
          </w:p>
        </w:tc>
        <w:tc>
          <w:tcPr>
            <w:tcW w:w="1620" w:type="dxa"/>
            <w:tcBorders>
              <w:top w:val="single" w:sz="8" w:space="0" w:color="auto"/>
              <w:left w:val="nil"/>
              <w:bottom w:val="single" w:sz="4" w:space="0" w:color="auto"/>
              <w:right w:val="single" w:sz="4" w:space="0" w:color="auto"/>
            </w:tcBorders>
          </w:tcPr>
          <w:p w14:paraId="66D01901" w14:textId="77777777" w:rsidR="00E12B19" w:rsidRPr="004E44B4" w:rsidRDefault="00E12B19" w:rsidP="002934D9">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38%</w:t>
            </w:r>
          </w:p>
        </w:tc>
      </w:tr>
      <w:tr w:rsidR="00E12B19" w:rsidRPr="004E44B4" w14:paraId="36FEE12B" w14:textId="77777777" w:rsidTr="00E12B19">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605B556A" w14:textId="77777777" w:rsidR="00E12B19" w:rsidRPr="004E44B4" w:rsidRDefault="00E12B19" w:rsidP="002934D9">
            <w:pPr>
              <w:spacing w:after="0" w:line="240" w:lineRule="auto"/>
              <w:rPr>
                <w:rFonts w:ascii="Calibri" w:eastAsia="Times New Roman" w:hAnsi="Calibri" w:cs="Calibri"/>
                <w:color w:val="000000"/>
                <w:lang w:eastAsia="pt-PT"/>
              </w:rPr>
            </w:pPr>
            <w:r w:rsidRPr="004E44B4">
              <w:rPr>
                <w:rFonts w:ascii="Calibri" w:eastAsia="Times New Roman" w:hAnsi="Calibri" w:cs="Calibri"/>
                <w:color w:val="000000"/>
                <w:lang w:eastAsia="pt-PT"/>
              </w:rPr>
              <w:t>Botswana</w:t>
            </w:r>
          </w:p>
        </w:tc>
        <w:tc>
          <w:tcPr>
            <w:tcW w:w="1120" w:type="dxa"/>
            <w:tcBorders>
              <w:top w:val="nil"/>
              <w:left w:val="nil"/>
              <w:bottom w:val="single" w:sz="4" w:space="0" w:color="auto"/>
              <w:right w:val="single" w:sz="4" w:space="0" w:color="auto"/>
            </w:tcBorders>
            <w:shd w:val="clear" w:color="auto" w:fill="auto"/>
            <w:noWrap/>
            <w:vAlign w:val="bottom"/>
            <w:hideMark/>
          </w:tcPr>
          <w:p w14:paraId="2AE8A5D1"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$7,42</w:t>
            </w:r>
          </w:p>
        </w:tc>
        <w:tc>
          <w:tcPr>
            <w:tcW w:w="1120" w:type="dxa"/>
            <w:tcBorders>
              <w:top w:val="nil"/>
              <w:left w:val="nil"/>
              <w:bottom w:val="single" w:sz="4" w:space="0" w:color="auto"/>
              <w:right w:val="single" w:sz="4" w:space="0" w:color="auto"/>
            </w:tcBorders>
            <w:shd w:val="clear" w:color="auto" w:fill="auto"/>
            <w:noWrap/>
            <w:vAlign w:val="bottom"/>
            <w:hideMark/>
          </w:tcPr>
          <w:p w14:paraId="3A2E0264"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$11,75</w:t>
            </w:r>
          </w:p>
        </w:tc>
        <w:tc>
          <w:tcPr>
            <w:tcW w:w="1120" w:type="dxa"/>
            <w:tcBorders>
              <w:top w:val="nil"/>
              <w:left w:val="nil"/>
              <w:bottom w:val="single" w:sz="4" w:space="0" w:color="auto"/>
              <w:right w:val="single" w:sz="4" w:space="0" w:color="auto"/>
            </w:tcBorders>
            <w:shd w:val="clear" w:color="auto" w:fill="auto"/>
            <w:noWrap/>
            <w:vAlign w:val="bottom"/>
            <w:hideMark/>
          </w:tcPr>
          <w:p w14:paraId="121E8A67"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$4,96</w:t>
            </w:r>
          </w:p>
        </w:tc>
        <w:tc>
          <w:tcPr>
            <w:tcW w:w="1120" w:type="dxa"/>
            <w:tcBorders>
              <w:top w:val="nil"/>
              <w:left w:val="nil"/>
              <w:bottom w:val="single" w:sz="4" w:space="0" w:color="auto"/>
              <w:right w:val="single" w:sz="4" w:space="0" w:color="auto"/>
            </w:tcBorders>
            <w:shd w:val="clear" w:color="auto" w:fill="auto"/>
            <w:noWrap/>
            <w:vAlign w:val="bottom"/>
            <w:hideMark/>
          </w:tcPr>
          <w:p w14:paraId="38B03D40"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$4,76</w:t>
            </w:r>
          </w:p>
        </w:tc>
        <w:tc>
          <w:tcPr>
            <w:tcW w:w="960" w:type="dxa"/>
            <w:tcBorders>
              <w:top w:val="nil"/>
              <w:left w:val="nil"/>
              <w:bottom w:val="single" w:sz="4" w:space="0" w:color="auto"/>
              <w:right w:val="single" w:sz="4" w:space="0" w:color="auto"/>
            </w:tcBorders>
            <w:shd w:val="clear" w:color="auto" w:fill="auto"/>
            <w:noWrap/>
            <w:vAlign w:val="bottom"/>
            <w:hideMark/>
          </w:tcPr>
          <w:p w14:paraId="5C2AA40E" w14:textId="77777777" w:rsidR="00E12B19" w:rsidRPr="004E44B4" w:rsidRDefault="00E12B19" w:rsidP="002934D9">
            <w:pPr>
              <w:spacing w:after="0" w:line="240" w:lineRule="auto"/>
              <w:jc w:val="right"/>
              <w:rPr>
                <w:rFonts w:ascii="Calibri" w:eastAsia="Times New Roman" w:hAnsi="Calibri" w:cs="Calibri"/>
                <w:color w:val="000000"/>
                <w:lang w:eastAsia="pt-PT"/>
              </w:rPr>
            </w:pPr>
            <w:r w:rsidRPr="004E44B4">
              <w:rPr>
                <w:rFonts w:ascii="Calibri" w:eastAsia="Times New Roman" w:hAnsi="Calibri" w:cs="Calibri"/>
                <w:color w:val="000000"/>
                <w:lang w:eastAsia="pt-PT"/>
              </w:rPr>
              <w:t>67%</w:t>
            </w:r>
          </w:p>
        </w:tc>
        <w:tc>
          <w:tcPr>
            <w:tcW w:w="960" w:type="dxa"/>
            <w:tcBorders>
              <w:top w:val="nil"/>
              <w:left w:val="nil"/>
              <w:bottom w:val="single" w:sz="4" w:space="0" w:color="auto"/>
              <w:right w:val="single" w:sz="4" w:space="0" w:color="auto"/>
            </w:tcBorders>
            <w:shd w:val="clear" w:color="auto" w:fill="auto"/>
            <w:noWrap/>
            <w:vAlign w:val="bottom"/>
            <w:hideMark/>
          </w:tcPr>
          <w:p w14:paraId="6AE484D3" w14:textId="77777777" w:rsidR="00E12B19" w:rsidRPr="004E44B4" w:rsidRDefault="00E12B19" w:rsidP="002934D9">
            <w:pPr>
              <w:spacing w:after="0" w:line="240" w:lineRule="auto"/>
              <w:jc w:val="right"/>
              <w:rPr>
                <w:rFonts w:ascii="Calibri" w:eastAsia="Times New Roman" w:hAnsi="Calibri" w:cs="Calibri"/>
                <w:color w:val="000000"/>
                <w:lang w:eastAsia="pt-PT"/>
              </w:rPr>
            </w:pPr>
            <w:r w:rsidRPr="004E44B4">
              <w:rPr>
                <w:rFonts w:ascii="Calibri" w:eastAsia="Times New Roman" w:hAnsi="Calibri" w:cs="Calibri"/>
                <w:color w:val="000000"/>
                <w:lang w:eastAsia="pt-PT"/>
              </w:rPr>
              <w:t>41%</w:t>
            </w:r>
          </w:p>
        </w:tc>
        <w:tc>
          <w:tcPr>
            <w:tcW w:w="1620" w:type="dxa"/>
            <w:tcBorders>
              <w:top w:val="nil"/>
              <w:left w:val="nil"/>
              <w:bottom w:val="single" w:sz="4" w:space="0" w:color="auto"/>
              <w:right w:val="single" w:sz="4" w:space="0" w:color="auto"/>
            </w:tcBorders>
          </w:tcPr>
          <w:p w14:paraId="5BC88764" w14:textId="77777777" w:rsidR="00E12B19" w:rsidRPr="004E44B4" w:rsidRDefault="00E12B19" w:rsidP="002934D9">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51%</w:t>
            </w:r>
          </w:p>
        </w:tc>
      </w:tr>
      <w:tr w:rsidR="00E12B19" w:rsidRPr="004E44B4" w14:paraId="79718ED3" w14:textId="77777777" w:rsidTr="00E12B19">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6B11004A" w14:textId="77777777" w:rsidR="00E12B19" w:rsidRPr="004E44B4" w:rsidRDefault="00E12B19" w:rsidP="002934D9">
            <w:pPr>
              <w:spacing w:after="0" w:line="240" w:lineRule="auto"/>
              <w:rPr>
                <w:rFonts w:ascii="Calibri" w:eastAsia="Times New Roman" w:hAnsi="Calibri" w:cs="Calibri"/>
                <w:color w:val="000000"/>
                <w:lang w:eastAsia="pt-PT"/>
              </w:rPr>
            </w:pPr>
            <w:r w:rsidRPr="004E44B4">
              <w:rPr>
                <w:rFonts w:ascii="Calibri" w:eastAsia="Times New Roman" w:hAnsi="Calibri" w:cs="Calibri"/>
                <w:color w:val="000000"/>
                <w:lang w:eastAsia="pt-PT"/>
              </w:rPr>
              <w:t>DRCongo</w:t>
            </w:r>
          </w:p>
        </w:tc>
        <w:tc>
          <w:tcPr>
            <w:tcW w:w="1120" w:type="dxa"/>
            <w:tcBorders>
              <w:top w:val="nil"/>
              <w:left w:val="nil"/>
              <w:bottom w:val="single" w:sz="4" w:space="0" w:color="auto"/>
              <w:right w:val="single" w:sz="4" w:space="0" w:color="auto"/>
            </w:tcBorders>
            <w:shd w:val="clear" w:color="auto" w:fill="auto"/>
            <w:noWrap/>
            <w:vAlign w:val="bottom"/>
            <w:hideMark/>
          </w:tcPr>
          <w:p w14:paraId="064516A4"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$109,08</w:t>
            </w:r>
          </w:p>
        </w:tc>
        <w:tc>
          <w:tcPr>
            <w:tcW w:w="1120" w:type="dxa"/>
            <w:tcBorders>
              <w:top w:val="nil"/>
              <w:left w:val="nil"/>
              <w:bottom w:val="single" w:sz="4" w:space="0" w:color="auto"/>
              <w:right w:val="single" w:sz="4" w:space="0" w:color="auto"/>
            </w:tcBorders>
            <w:shd w:val="clear" w:color="auto" w:fill="auto"/>
            <w:noWrap/>
            <w:vAlign w:val="bottom"/>
            <w:hideMark/>
          </w:tcPr>
          <w:p w14:paraId="23823984"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$81,79</w:t>
            </w:r>
          </w:p>
        </w:tc>
        <w:tc>
          <w:tcPr>
            <w:tcW w:w="1120" w:type="dxa"/>
            <w:tcBorders>
              <w:top w:val="nil"/>
              <w:left w:val="nil"/>
              <w:bottom w:val="single" w:sz="4" w:space="0" w:color="auto"/>
              <w:right w:val="single" w:sz="4" w:space="0" w:color="auto"/>
            </w:tcBorders>
            <w:shd w:val="clear" w:color="auto" w:fill="auto"/>
            <w:noWrap/>
            <w:vAlign w:val="bottom"/>
            <w:hideMark/>
          </w:tcPr>
          <w:p w14:paraId="55E54FAC"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$84,36</w:t>
            </w:r>
          </w:p>
        </w:tc>
        <w:tc>
          <w:tcPr>
            <w:tcW w:w="1120" w:type="dxa"/>
            <w:tcBorders>
              <w:top w:val="nil"/>
              <w:left w:val="nil"/>
              <w:bottom w:val="single" w:sz="4" w:space="0" w:color="auto"/>
              <w:right w:val="single" w:sz="4" w:space="0" w:color="auto"/>
            </w:tcBorders>
            <w:shd w:val="clear" w:color="auto" w:fill="auto"/>
            <w:noWrap/>
            <w:vAlign w:val="bottom"/>
            <w:hideMark/>
          </w:tcPr>
          <w:p w14:paraId="592E67B4"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$32,97</w:t>
            </w:r>
          </w:p>
        </w:tc>
        <w:tc>
          <w:tcPr>
            <w:tcW w:w="960" w:type="dxa"/>
            <w:tcBorders>
              <w:top w:val="nil"/>
              <w:left w:val="nil"/>
              <w:bottom w:val="single" w:sz="4" w:space="0" w:color="auto"/>
              <w:right w:val="single" w:sz="4" w:space="0" w:color="auto"/>
            </w:tcBorders>
            <w:shd w:val="clear" w:color="auto" w:fill="auto"/>
            <w:noWrap/>
            <w:vAlign w:val="bottom"/>
            <w:hideMark/>
          </w:tcPr>
          <w:p w14:paraId="644D45A5" w14:textId="77777777" w:rsidR="00E12B19" w:rsidRPr="004E44B4" w:rsidRDefault="00E12B19" w:rsidP="002934D9">
            <w:pPr>
              <w:spacing w:after="0" w:line="240" w:lineRule="auto"/>
              <w:jc w:val="right"/>
              <w:rPr>
                <w:rFonts w:ascii="Calibri" w:eastAsia="Times New Roman" w:hAnsi="Calibri" w:cs="Calibri"/>
                <w:color w:val="000000"/>
                <w:lang w:eastAsia="pt-PT"/>
              </w:rPr>
            </w:pPr>
            <w:r w:rsidRPr="004E44B4">
              <w:rPr>
                <w:rFonts w:ascii="Calibri" w:eastAsia="Times New Roman" w:hAnsi="Calibri" w:cs="Calibri"/>
                <w:color w:val="000000"/>
                <w:lang w:eastAsia="pt-PT"/>
              </w:rPr>
              <w:t>77%</w:t>
            </w:r>
          </w:p>
        </w:tc>
        <w:tc>
          <w:tcPr>
            <w:tcW w:w="960" w:type="dxa"/>
            <w:tcBorders>
              <w:top w:val="nil"/>
              <w:left w:val="nil"/>
              <w:bottom w:val="single" w:sz="4" w:space="0" w:color="auto"/>
              <w:right w:val="single" w:sz="4" w:space="0" w:color="auto"/>
            </w:tcBorders>
            <w:shd w:val="clear" w:color="auto" w:fill="auto"/>
            <w:noWrap/>
            <w:vAlign w:val="bottom"/>
            <w:hideMark/>
          </w:tcPr>
          <w:p w14:paraId="0375C24E" w14:textId="77777777" w:rsidR="00E12B19" w:rsidRPr="004E44B4" w:rsidRDefault="00E12B19" w:rsidP="002934D9">
            <w:pPr>
              <w:spacing w:after="0" w:line="240" w:lineRule="auto"/>
              <w:jc w:val="right"/>
              <w:rPr>
                <w:rFonts w:ascii="Calibri" w:eastAsia="Times New Roman" w:hAnsi="Calibri" w:cs="Calibri"/>
                <w:color w:val="000000"/>
                <w:lang w:eastAsia="pt-PT"/>
              </w:rPr>
            </w:pPr>
            <w:r w:rsidRPr="004E44B4">
              <w:rPr>
                <w:rFonts w:ascii="Calibri" w:eastAsia="Times New Roman" w:hAnsi="Calibri" w:cs="Calibri"/>
                <w:color w:val="000000"/>
                <w:lang w:eastAsia="pt-PT"/>
              </w:rPr>
              <w:t>40%</w:t>
            </w:r>
          </w:p>
        </w:tc>
        <w:tc>
          <w:tcPr>
            <w:tcW w:w="1620" w:type="dxa"/>
            <w:tcBorders>
              <w:top w:val="nil"/>
              <w:left w:val="nil"/>
              <w:bottom w:val="single" w:sz="4" w:space="0" w:color="auto"/>
              <w:right w:val="single" w:sz="4" w:space="0" w:color="auto"/>
            </w:tcBorders>
          </w:tcPr>
          <w:p w14:paraId="57ABEB5F" w14:textId="77777777" w:rsidR="00E12B19" w:rsidRPr="004E44B4" w:rsidRDefault="00E12B19" w:rsidP="002934D9">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61%</w:t>
            </w:r>
          </w:p>
        </w:tc>
      </w:tr>
      <w:tr w:rsidR="00E12B19" w:rsidRPr="004E44B4" w14:paraId="26A0BCDA" w14:textId="77777777" w:rsidTr="00E12B19">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14812366" w14:textId="77777777" w:rsidR="00E12B19" w:rsidRPr="004E44B4" w:rsidRDefault="00E12B19" w:rsidP="002934D9">
            <w:pPr>
              <w:spacing w:after="0" w:line="240" w:lineRule="auto"/>
              <w:rPr>
                <w:rFonts w:ascii="Calibri" w:eastAsia="Times New Roman" w:hAnsi="Calibri" w:cs="Calibri"/>
                <w:color w:val="000000"/>
                <w:lang w:eastAsia="pt-PT"/>
              </w:rPr>
            </w:pPr>
            <w:r w:rsidRPr="004E44B4">
              <w:rPr>
                <w:rFonts w:ascii="Calibri" w:eastAsia="Times New Roman" w:hAnsi="Calibri" w:cs="Calibri"/>
                <w:color w:val="000000"/>
                <w:lang w:eastAsia="pt-PT"/>
              </w:rPr>
              <w:t xml:space="preserve">eSwatini </w:t>
            </w:r>
          </w:p>
        </w:tc>
        <w:tc>
          <w:tcPr>
            <w:tcW w:w="1120" w:type="dxa"/>
            <w:tcBorders>
              <w:top w:val="nil"/>
              <w:left w:val="nil"/>
              <w:bottom w:val="single" w:sz="4" w:space="0" w:color="auto"/>
              <w:right w:val="single" w:sz="4" w:space="0" w:color="auto"/>
            </w:tcBorders>
            <w:shd w:val="clear" w:color="auto" w:fill="auto"/>
            <w:noWrap/>
            <w:vAlign w:val="bottom"/>
            <w:hideMark/>
          </w:tcPr>
          <w:p w14:paraId="3937C584"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$5,16</w:t>
            </w:r>
          </w:p>
        </w:tc>
        <w:tc>
          <w:tcPr>
            <w:tcW w:w="1120" w:type="dxa"/>
            <w:tcBorders>
              <w:top w:val="nil"/>
              <w:left w:val="nil"/>
              <w:bottom w:val="single" w:sz="4" w:space="0" w:color="auto"/>
              <w:right w:val="single" w:sz="4" w:space="0" w:color="auto"/>
            </w:tcBorders>
            <w:shd w:val="clear" w:color="auto" w:fill="auto"/>
            <w:noWrap/>
            <w:vAlign w:val="bottom"/>
            <w:hideMark/>
          </w:tcPr>
          <w:p w14:paraId="2BA11B0B"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$3,66</w:t>
            </w:r>
          </w:p>
        </w:tc>
        <w:tc>
          <w:tcPr>
            <w:tcW w:w="1120" w:type="dxa"/>
            <w:tcBorders>
              <w:top w:val="nil"/>
              <w:left w:val="nil"/>
              <w:bottom w:val="single" w:sz="4" w:space="0" w:color="auto"/>
              <w:right w:val="single" w:sz="4" w:space="0" w:color="auto"/>
            </w:tcBorders>
            <w:shd w:val="clear" w:color="auto" w:fill="auto"/>
            <w:noWrap/>
            <w:vAlign w:val="bottom"/>
            <w:hideMark/>
          </w:tcPr>
          <w:p w14:paraId="5E97306A"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$4,25</w:t>
            </w:r>
          </w:p>
        </w:tc>
        <w:tc>
          <w:tcPr>
            <w:tcW w:w="1120" w:type="dxa"/>
            <w:tcBorders>
              <w:top w:val="nil"/>
              <w:left w:val="nil"/>
              <w:bottom w:val="single" w:sz="4" w:space="0" w:color="auto"/>
              <w:right w:val="single" w:sz="4" w:space="0" w:color="auto"/>
            </w:tcBorders>
            <w:shd w:val="clear" w:color="auto" w:fill="auto"/>
            <w:noWrap/>
            <w:vAlign w:val="bottom"/>
            <w:hideMark/>
          </w:tcPr>
          <w:p w14:paraId="69292DEB"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$3,17</w:t>
            </w:r>
          </w:p>
        </w:tc>
        <w:tc>
          <w:tcPr>
            <w:tcW w:w="960" w:type="dxa"/>
            <w:tcBorders>
              <w:top w:val="nil"/>
              <w:left w:val="nil"/>
              <w:bottom w:val="single" w:sz="4" w:space="0" w:color="auto"/>
              <w:right w:val="single" w:sz="4" w:space="0" w:color="auto"/>
            </w:tcBorders>
            <w:shd w:val="clear" w:color="auto" w:fill="auto"/>
            <w:noWrap/>
            <w:vAlign w:val="bottom"/>
            <w:hideMark/>
          </w:tcPr>
          <w:p w14:paraId="6BD38149" w14:textId="77777777" w:rsidR="00E12B19" w:rsidRPr="004E44B4" w:rsidRDefault="00E12B19" w:rsidP="002934D9">
            <w:pPr>
              <w:spacing w:after="0" w:line="240" w:lineRule="auto"/>
              <w:jc w:val="right"/>
              <w:rPr>
                <w:rFonts w:ascii="Calibri" w:eastAsia="Times New Roman" w:hAnsi="Calibri" w:cs="Calibri"/>
                <w:color w:val="000000"/>
                <w:lang w:eastAsia="pt-PT"/>
              </w:rPr>
            </w:pPr>
            <w:r w:rsidRPr="004E44B4">
              <w:rPr>
                <w:rFonts w:ascii="Calibri" w:eastAsia="Times New Roman" w:hAnsi="Calibri" w:cs="Calibri"/>
                <w:color w:val="000000"/>
                <w:lang w:eastAsia="pt-PT"/>
              </w:rPr>
              <w:t>82%</w:t>
            </w:r>
          </w:p>
        </w:tc>
        <w:tc>
          <w:tcPr>
            <w:tcW w:w="960" w:type="dxa"/>
            <w:tcBorders>
              <w:top w:val="nil"/>
              <w:left w:val="nil"/>
              <w:bottom w:val="single" w:sz="4" w:space="0" w:color="auto"/>
              <w:right w:val="single" w:sz="4" w:space="0" w:color="auto"/>
            </w:tcBorders>
            <w:shd w:val="clear" w:color="auto" w:fill="auto"/>
            <w:noWrap/>
            <w:vAlign w:val="bottom"/>
            <w:hideMark/>
          </w:tcPr>
          <w:p w14:paraId="2C13C375" w14:textId="77777777" w:rsidR="00E12B19" w:rsidRPr="004E44B4" w:rsidRDefault="00E12B19" w:rsidP="002934D9">
            <w:pPr>
              <w:spacing w:after="0" w:line="240" w:lineRule="auto"/>
              <w:jc w:val="right"/>
              <w:rPr>
                <w:rFonts w:ascii="Calibri" w:eastAsia="Times New Roman" w:hAnsi="Calibri" w:cs="Calibri"/>
                <w:color w:val="000000"/>
                <w:lang w:eastAsia="pt-PT"/>
              </w:rPr>
            </w:pPr>
            <w:r w:rsidRPr="004E44B4">
              <w:rPr>
                <w:rFonts w:ascii="Calibri" w:eastAsia="Times New Roman" w:hAnsi="Calibri" w:cs="Calibri"/>
                <w:color w:val="000000"/>
                <w:lang w:eastAsia="pt-PT"/>
              </w:rPr>
              <w:t>87%</w:t>
            </w:r>
          </w:p>
        </w:tc>
        <w:tc>
          <w:tcPr>
            <w:tcW w:w="1620" w:type="dxa"/>
            <w:tcBorders>
              <w:top w:val="nil"/>
              <w:left w:val="nil"/>
              <w:bottom w:val="single" w:sz="4" w:space="0" w:color="auto"/>
              <w:right w:val="single" w:sz="4" w:space="0" w:color="auto"/>
            </w:tcBorders>
          </w:tcPr>
          <w:p w14:paraId="0D3E35C0" w14:textId="77777777" w:rsidR="00E12B19" w:rsidRPr="004E44B4" w:rsidRDefault="00E12B19" w:rsidP="002934D9">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84%</w:t>
            </w:r>
          </w:p>
        </w:tc>
      </w:tr>
      <w:tr w:rsidR="00E12B19" w:rsidRPr="004E44B4" w14:paraId="3E9CEA8B" w14:textId="77777777" w:rsidTr="00E12B19">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7F79B036" w14:textId="77777777" w:rsidR="00E12B19" w:rsidRPr="004E44B4" w:rsidRDefault="00E12B19" w:rsidP="002934D9">
            <w:pPr>
              <w:spacing w:after="0" w:line="240" w:lineRule="auto"/>
              <w:rPr>
                <w:rFonts w:ascii="Calibri" w:eastAsia="Times New Roman" w:hAnsi="Calibri" w:cs="Calibri"/>
                <w:color w:val="000000"/>
                <w:lang w:eastAsia="pt-PT"/>
              </w:rPr>
            </w:pPr>
            <w:r w:rsidRPr="004E44B4">
              <w:rPr>
                <w:rFonts w:ascii="Calibri" w:eastAsia="Times New Roman" w:hAnsi="Calibri" w:cs="Calibri"/>
                <w:color w:val="000000"/>
                <w:lang w:eastAsia="pt-PT"/>
              </w:rPr>
              <w:t>Lesotho</w:t>
            </w:r>
          </w:p>
        </w:tc>
        <w:tc>
          <w:tcPr>
            <w:tcW w:w="1120" w:type="dxa"/>
            <w:tcBorders>
              <w:top w:val="nil"/>
              <w:left w:val="nil"/>
              <w:bottom w:val="single" w:sz="4" w:space="0" w:color="auto"/>
              <w:right w:val="single" w:sz="4" w:space="0" w:color="auto"/>
            </w:tcBorders>
            <w:shd w:val="clear" w:color="auto" w:fill="auto"/>
            <w:noWrap/>
            <w:vAlign w:val="bottom"/>
            <w:hideMark/>
          </w:tcPr>
          <w:p w14:paraId="7A6A1095"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$7,75</w:t>
            </w:r>
          </w:p>
        </w:tc>
        <w:tc>
          <w:tcPr>
            <w:tcW w:w="1120" w:type="dxa"/>
            <w:tcBorders>
              <w:top w:val="nil"/>
              <w:left w:val="nil"/>
              <w:bottom w:val="single" w:sz="4" w:space="0" w:color="auto"/>
              <w:right w:val="single" w:sz="4" w:space="0" w:color="auto"/>
            </w:tcBorders>
            <w:shd w:val="clear" w:color="auto" w:fill="auto"/>
            <w:noWrap/>
            <w:vAlign w:val="bottom"/>
            <w:hideMark/>
          </w:tcPr>
          <w:p w14:paraId="520B25D4"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$7,63</w:t>
            </w:r>
          </w:p>
        </w:tc>
        <w:tc>
          <w:tcPr>
            <w:tcW w:w="1120" w:type="dxa"/>
            <w:tcBorders>
              <w:top w:val="nil"/>
              <w:left w:val="nil"/>
              <w:bottom w:val="single" w:sz="4" w:space="0" w:color="auto"/>
              <w:right w:val="single" w:sz="4" w:space="0" w:color="auto"/>
            </w:tcBorders>
            <w:shd w:val="clear" w:color="auto" w:fill="auto"/>
            <w:noWrap/>
            <w:vAlign w:val="bottom"/>
            <w:hideMark/>
          </w:tcPr>
          <w:p w14:paraId="10B7200B"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$5,61</w:t>
            </w:r>
          </w:p>
        </w:tc>
        <w:tc>
          <w:tcPr>
            <w:tcW w:w="1120" w:type="dxa"/>
            <w:tcBorders>
              <w:top w:val="nil"/>
              <w:left w:val="nil"/>
              <w:bottom w:val="single" w:sz="4" w:space="0" w:color="auto"/>
              <w:right w:val="single" w:sz="4" w:space="0" w:color="auto"/>
            </w:tcBorders>
            <w:shd w:val="clear" w:color="auto" w:fill="auto"/>
            <w:noWrap/>
            <w:vAlign w:val="bottom"/>
            <w:hideMark/>
          </w:tcPr>
          <w:p w14:paraId="5C54FA4B"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$3,66</w:t>
            </w:r>
          </w:p>
        </w:tc>
        <w:tc>
          <w:tcPr>
            <w:tcW w:w="960" w:type="dxa"/>
            <w:tcBorders>
              <w:top w:val="nil"/>
              <w:left w:val="nil"/>
              <w:bottom w:val="single" w:sz="4" w:space="0" w:color="auto"/>
              <w:right w:val="single" w:sz="4" w:space="0" w:color="auto"/>
            </w:tcBorders>
            <w:shd w:val="clear" w:color="auto" w:fill="auto"/>
            <w:noWrap/>
            <w:vAlign w:val="bottom"/>
            <w:hideMark/>
          </w:tcPr>
          <w:p w14:paraId="43130735" w14:textId="77777777" w:rsidR="00E12B19" w:rsidRPr="004E44B4" w:rsidRDefault="00E12B19" w:rsidP="002934D9">
            <w:pPr>
              <w:spacing w:after="0" w:line="240" w:lineRule="auto"/>
              <w:jc w:val="right"/>
              <w:rPr>
                <w:rFonts w:ascii="Calibri" w:eastAsia="Times New Roman" w:hAnsi="Calibri" w:cs="Calibri"/>
                <w:color w:val="000000"/>
                <w:lang w:eastAsia="pt-PT"/>
              </w:rPr>
            </w:pPr>
            <w:r w:rsidRPr="004E44B4">
              <w:rPr>
                <w:rFonts w:ascii="Calibri" w:eastAsia="Times New Roman" w:hAnsi="Calibri" w:cs="Calibri"/>
                <w:color w:val="000000"/>
                <w:lang w:eastAsia="pt-PT"/>
              </w:rPr>
              <w:t>72%</w:t>
            </w:r>
          </w:p>
        </w:tc>
        <w:tc>
          <w:tcPr>
            <w:tcW w:w="960" w:type="dxa"/>
            <w:tcBorders>
              <w:top w:val="nil"/>
              <w:left w:val="nil"/>
              <w:bottom w:val="single" w:sz="4" w:space="0" w:color="auto"/>
              <w:right w:val="single" w:sz="4" w:space="0" w:color="auto"/>
            </w:tcBorders>
            <w:shd w:val="clear" w:color="auto" w:fill="auto"/>
            <w:noWrap/>
            <w:vAlign w:val="bottom"/>
            <w:hideMark/>
          </w:tcPr>
          <w:p w14:paraId="4C084EAD" w14:textId="77777777" w:rsidR="00E12B19" w:rsidRPr="004E44B4" w:rsidRDefault="00E12B19" w:rsidP="002934D9">
            <w:pPr>
              <w:spacing w:after="0" w:line="240" w:lineRule="auto"/>
              <w:jc w:val="right"/>
              <w:rPr>
                <w:rFonts w:ascii="Calibri" w:eastAsia="Times New Roman" w:hAnsi="Calibri" w:cs="Calibri"/>
                <w:color w:val="000000"/>
                <w:lang w:eastAsia="pt-PT"/>
              </w:rPr>
            </w:pPr>
            <w:r w:rsidRPr="004E44B4">
              <w:rPr>
                <w:rFonts w:ascii="Calibri" w:eastAsia="Times New Roman" w:hAnsi="Calibri" w:cs="Calibri"/>
                <w:color w:val="000000"/>
                <w:lang w:eastAsia="pt-PT"/>
              </w:rPr>
              <w:t>48%</w:t>
            </w:r>
          </w:p>
        </w:tc>
        <w:tc>
          <w:tcPr>
            <w:tcW w:w="1620" w:type="dxa"/>
            <w:tcBorders>
              <w:top w:val="nil"/>
              <w:left w:val="nil"/>
              <w:bottom w:val="single" w:sz="4" w:space="0" w:color="auto"/>
              <w:right w:val="single" w:sz="4" w:space="0" w:color="auto"/>
            </w:tcBorders>
          </w:tcPr>
          <w:p w14:paraId="75BF1531" w14:textId="77777777" w:rsidR="00E12B19" w:rsidRPr="004E44B4" w:rsidRDefault="00E12B19" w:rsidP="002934D9">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60%</w:t>
            </w:r>
          </w:p>
        </w:tc>
      </w:tr>
      <w:tr w:rsidR="00E12B19" w:rsidRPr="004E44B4" w14:paraId="496C2601" w14:textId="77777777" w:rsidTr="00E12B19">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4DEA626" w14:textId="77777777" w:rsidR="00E12B19" w:rsidRPr="004E44B4" w:rsidRDefault="00E12B19" w:rsidP="002934D9">
            <w:pPr>
              <w:spacing w:after="0" w:line="240" w:lineRule="auto"/>
              <w:rPr>
                <w:rFonts w:ascii="Calibri" w:eastAsia="Times New Roman" w:hAnsi="Calibri" w:cs="Calibri"/>
                <w:color w:val="000000"/>
                <w:lang w:eastAsia="pt-PT"/>
              </w:rPr>
            </w:pPr>
            <w:r w:rsidRPr="004E44B4">
              <w:rPr>
                <w:rFonts w:ascii="Calibri" w:eastAsia="Times New Roman" w:hAnsi="Calibri" w:cs="Calibri"/>
                <w:color w:val="000000"/>
                <w:lang w:eastAsia="pt-PT"/>
              </w:rPr>
              <w:t>Malawi</w:t>
            </w:r>
          </w:p>
        </w:tc>
        <w:tc>
          <w:tcPr>
            <w:tcW w:w="1120" w:type="dxa"/>
            <w:tcBorders>
              <w:top w:val="nil"/>
              <w:left w:val="nil"/>
              <w:bottom w:val="single" w:sz="4" w:space="0" w:color="auto"/>
              <w:right w:val="single" w:sz="4" w:space="0" w:color="auto"/>
            </w:tcBorders>
            <w:shd w:val="clear" w:color="auto" w:fill="auto"/>
            <w:noWrap/>
            <w:vAlign w:val="bottom"/>
            <w:hideMark/>
          </w:tcPr>
          <w:p w14:paraId="0C98B681"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$44,79</w:t>
            </w:r>
          </w:p>
        </w:tc>
        <w:tc>
          <w:tcPr>
            <w:tcW w:w="1120" w:type="dxa"/>
            <w:tcBorders>
              <w:top w:val="nil"/>
              <w:left w:val="nil"/>
              <w:bottom w:val="single" w:sz="4" w:space="0" w:color="auto"/>
              <w:right w:val="single" w:sz="4" w:space="0" w:color="auto"/>
            </w:tcBorders>
            <w:shd w:val="clear" w:color="auto" w:fill="auto"/>
            <w:noWrap/>
            <w:vAlign w:val="bottom"/>
            <w:hideMark/>
          </w:tcPr>
          <w:p w14:paraId="599E3D44"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$31,91</w:t>
            </w:r>
          </w:p>
        </w:tc>
        <w:tc>
          <w:tcPr>
            <w:tcW w:w="1120" w:type="dxa"/>
            <w:tcBorders>
              <w:top w:val="nil"/>
              <w:left w:val="nil"/>
              <w:bottom w:val="single" w:sz="4" w:space="0" w:color="auto"/>
              <w:right w:val="single" w:sz="4" w:space="0" w:color="auto"/>
            </w:tcBorders>
            <w:shd w:val="clear" w:color="auto" w:fill="auto"/>
            <w:noWrap/>
            <w:vAlign w:val="bottom"/>
            <w:hideMark/>
          </w:tcPr>
          <w:p w14:paraId="26A141B5"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$33,38</w:t>
            </w:r>
          </w:p>
        </w:tc>
        <w:tc>
          <w:tcPr>
            <w:tcW w:w="1120" w:type="dxa"/>
            <w:tcBorders>
              <w:top w:val="nil"/>
              <w:left w:val="nil"/>
              <w:bottom w:val="single" w:sz="4" w:space="0" w:color="auto"/>
              <w:right w:val="single" w:sz="4" w:space="0" w:color="auto"/>
            </w:tcBorders>
            <w:shd w:val="clear" w:color="auto" w:fill="auto"/>
            <w:noWrap/>
            <w:vAlign w:val="bottom"/>
            <w:hideMark/>
          </w:tcPr>
          <w:p w14:paraId="136274BA"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$22,90</w:t>
            </w:r>
          </w:p>
        </w:tc>
        <w:tc>
          <w:tcPr>
            <w:tcW w:w="960" w:type="dxa"/>
            <w:tcBorders>
              <w:top w:val="nil"/>
              <w:left w:val="nil"/>
              <w:bottom w:val="single" w:sz="4" w:space="0" w:color="auto"/>
              <w:right w:val="single" w:sz="4" w:space="0" w:color="auto"/>
            </w:tcBorders>
            <w:shd w:val="clear" w:color="auto" w:fill="auto"/>
            <w:noWrap/>
            <w:vAlign w:val="bottom"/>
            <w:hideMark/>
          </w:tcPr>
          <w:p w14:paraId="4324D159" w14:textId="77777777" w:rsidR="00E12B19" w:rsidRPr="004E44B4" w:rsidRDefault="00E12B19" w:rsidP="002934D9">
            <w:pPr>
              <w:spacing w:after="0" w:line="240" w:lineRule="auto"/>
              <w:jc w:val="right"/>
              <w:rPr>
                <w:rFonts w:ascii="Calibri" w:eastAsia="Times New Roman" w:hAnsi="Calibri" w:cs="Calibri"/>
                <w:color w:val="000000"/>
                <w:lang w:eastAsia="pt-PT"/>
              </w:rPr>
            </w:pPr>
            <w:r w:rsidRPr="004E44B4">
              <w:rPr>
                <w:rFonts w:ascii="Calibri" w:eastAsia="Times New Roman" w:hAnsi="Calibri" w:cs="Calibri"/>
                <w:color w:val="000000"/>
                <w:lang w:eastAsia="pt-PT"/>
              </w:rPr>
              <w:t>75%</w:t>
            </w:r>
          </w:p>
        </w:tc>
        <w:tc>
          <w:tcPr>
            <w:tcW w:w="960" w:type="dxa"/>
            <w:tcBorders>
              <w:top w:val="nil"/>
              <w:left w:val="nil"/>
              <w:bottom w:val="single" w:sz="4" w:space="0" w:color="auto"/>
              <w:right w:val="single" w:sz="4" w:space="0" w:color="auto"/>
            </w:tcBorders>
            <w:shd w:val="clear" w:color="auto" w:fill="auto"/>
            <w:noWrap/>
            <w:vAlign w:val="bottom"/>
            <w:hideMark/>
          </w:tcPr>
          <w:p w14:paraId="76800BA3" w14:textId="77777777" w:rsidR="00E12B19" w:rsidRPr="004E44B4" w:rsidRDefault="00E12B19" w:rsidP="002934D9">
            <w:pPr>
              <w:spacing w:after="0" w:line="240" w:lineRule="auto"/>
              <w:jc w:val="right"/>
              <w:rPr>
                <w:rFonts w:ascii="Calibri" w:eastAsia="Times New Roman" w:hAnsi="Calibri" w:cs="Calibri"/>
                <w:color w:val="000000"/>
                <w:lang w:eastAsia="pt-PT"/>
              </w:rPr>
            </w:pPr>
            <w:r w:rsidRPr="004E44B4">
              <w:rPr>
                <w:rFonts w:ascii="Calibri" w:eastAsia="Times New Roman" w:hAnsi="Calibri" w:cs="Calibri"/>
                <w:color w:val="000000"/>
                <w:lang w:eastAsia="pt-PT"/>
              </w:rPr>
              <w:t>72%</w:t>
            </w:r>
          </w:p>
        </w:tc>
        <w:tc>
          <w:tcPr>
            <w:tcW w:w="1620" w:type="dxa"/>
            <w:tcBorders>
              <w:top w:val="nil"/>
              <w:left w:val="nil"/>
              <w:bottom w:val="single" w:sz="4" w:space="0" w:color="auto"/>
              <w:right w:val="single" w:sz="4" w:space="0" w:color="auto"/>
            </w:tcBorders>
          </w:tcPr>
          <w:p w14:paraId="294B50EC" w14:textId="77777777" w:rsidR="00E12B19" w:rsidRPr="004E44B4" w:rsidRDefault="00E12B19" w:rsidP="002934D9">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73%</w:t>
            </w:r>
          </w:p>
        </w:tc>
      </w:tr>
      <w:tr w:rsidR="00E12B19" w:rsidRPr="004E44B4" w14:paraId="150891D7" w14:textId="77777777" w:rsidTr="00E12B19">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54FADE03" w14:textId="77777777" w:rsidR="00E12B19" w:rsidRPr="004E44B4" w:rsidRDefault="00E12B19" w:rsidP="002934D9">
            <w:pPr>
              <w:spacing w:after="0" w:line="240" w:lineRule="auto"/>
              <w:rPr>
                <w:rFonts w:ascii="Calibri" w:eastAsia="Times New Roman" w:hAnsi="Calibri" w:cs="Calibri"/>
                <w:color w:val="000000"/>
                <w:lang w:eastAsia="pt-PT"/>
              </w:rPr>
            </w:pPr>
            <w:r w:rsidRPr="004E44B4">
              <w:rPr>
                <w:rFonts w:ascii="Calibri" w:eastAsia="Times New Roman" w:hAnsi="Calibri" w:cs="Calibri"/>
                <w:color w:val="000000"/>
                <w:lang w:eastAsia="pt-PT"/>
              </w:rPr>
              <w:t>Mozambique</w:t>
            </w:r>
          </w:p>
        </w:tc>
        <w:tc>
          <w:tcPr>
            <w:tcW w:w="1120" w:type="dxa"/>
            <w:tcBorders>
              <w:top w:val="nil"/>
              <w:left w:val="nil"/>
              <w:bottom w:val="single" w:sz="4" w:space="0" w:color="auto"/>
              <w:right w:val="single" w:sz="4" w:space="0" w:color="auto"/>
            </w:tcBorders>
            <w:shd w:val="clear" w:color="auto" w:fill="auto"/>
            <w:noWrap/>
            <w:vAlign w:val="bottom"/>
            <w:hideMark/>
          </w:tcPr>
          <w:p w14:paraId="3723F747"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$42,54</w:t>
            </w:r>
          </w:p>
        </w:tc>
        <w:tc>
          <w:tcPr>
            <w:tcW w:w="1120" w:type="dxa"/>
            <w:tcBorders>
              <w:top w:val="nil"/>
              <w:left w:val="nil"/>
              <w:bottom w:val="single" w:sz="4" w:space="0" w:color="auto"/>
              <w:right w:val="single" w:sz="4" w:space="0" w:color="auto"/>
            </w:tcBorders>
            <w:shd w:val="clear" w:color="auto" w:fill="auto"/>
            <w:noWrap/>
            <w:vAlign w:val="bottom"/>
            <w:hideMark/>
          </w:tcPr>
          <w:p w14:paraId="79D21EA1"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$39,09</w:t>
            </w:r>
          </w:p>
        </w:tc>
        <w:tc>
          <w:tcPr>
            <w:tcW w:w="1120" w:type="dxa"/>
            <w:tcBorders>
              <w:top w:val="nil"/>
              <w:left w:val="nil"/>
              <w:bottom w:val="single" w:sz="4" w:space="0" w:color="auto"/>
              <w:right w:val="single" w:sz="4" w:space="0" w:color="auto"/>
            </w:tcBorders>
            <w:shd w:val="clear" w:color="auto" w:fill="auto"/>
            <w:noWrap/>
            <w:vAlign w:val="bottom"/>
            <w:hideMark/>
          </w:tcPr>
          <w:p w14:paraId="0CEDFD67"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$31,91</w:t>
            </w:r>
          </w:p>
        </w:tc>
        <w:tc>
          <w:tcPr>
            <w:tcW w:w="1120" w:type="dxa"/>
            <w:tcBorders>
              <w:top w:val="nil"/>
              <w:left w:val="nil"/>
              <w:bottom w:val="single" w:sz="4" w:space="0" w:color="auto"/>
              <w:right w:val="single" w:sz="4" w:space="0" w:color="auto"/>
            </w:tcBorders>
            <w:shd w:val="clear" w:color="auto" w:fill="auto"/>
            <w:noWrap/>
            <w:vAlign w:val="bottom"/>
            <w:hideMark/>
          </w:tcPr>
          <w:p w14:paraId="211F1616"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$18,67</w:t>
            </w:r>
          </w:p>
        </w:tc>
        <w:tc>
          <w:tcPr>
            <w:tcW w:w="960" w:type="dxa"/>
            <w:tcBorders>
              <w:top w:val="nil"/>
              <w:left w:val="nil"/>
              <w:bottom w:val="single" w:sz="4" w:space="0" w:color="auto"/>
              <w:right w:val="single" w:sz="4" w:space="0" w:color="auto"/>
            </w:tcBorders>
            <w:shd w:val="clear" w:color="auto" w:fill="auto"/>
            <w:noWrap/>
            <w:vAlign w:val="bottom"/>
            <w:hideMark/>
          </w:tcPr>
          <w:p w14:paraId="409F1046" w14:textId="77777777" w:rsidR="00E12B19" w:rsidRPr="004E44B4" w:rsidRDefault="00E12B19" w:rsidP="002934D9">
            <w:pPr>
              <w:spacing w:after="0" w:line="240" w:lineRule="auto"/>
              <w:jc w:val="right"/>
              <w:rPr>
                <w:rFonts w:ascii="Calibri" w:eastAsia="Times New Roman" w:hAnsi="Calibri" w:cs="Calibri"/>
                <w:color w:val="000000"/>
                <w:lang w:eastAsia="pt-PT"/>
              </w:rPr>
            </w:pPr>
            <w:r w:rsidRPr="004E44B4">
              <w:rPr>
                <w:rFonts w:ascii="Calibri" w:eastAsia="Times New Roman" w:hAnsi="Calibri" w:cs="Calibri"/>
                <w:color w:val="000000"/>
                <w:lang w:eastAsia="pt-PT"/>
              </w:rPr>
              <w:t>75%</w:t>
            </w:r>
          </w:p>
        </w:tc>
        <w:tc>
          <w:tcPr>
            <w:tcW w:w="960" w:type="dxa"/>
            <w:tcBorders>
              <w:top w:val="nil"/>
              <w:left w:val="nil"/>
              <w:bottom w:val="single" w:sz="4" w:space="0" w:color="auto"/>
              <w:right w:val="single" w:sz="4" w:space="0" w:color="auto"/>
            </w:tcBorders>
            <w:shd w:val="clear" w:color="auto" w:fill="auto"/>
            <w:noWrap/>
            <w:vAlign w:val="bottom"/>
            <w:hideMark/>
          </w:tcPr>
          <w:p w14:paraId="314035CE" w14:textId="77777777" w:rsidR="00E12B19" w:rsidRPr="004E44B4" w:rsidRDefault="00E12B19" w:rsidP="002934D9">
            <w:pPr>
              <w:spacing w:after="0" w:line="240" w:lineRule="auto"/>
              <w:jc w:val="right"/>
              <w:rPr>
                <w:rFonts w:ascii="Calibri" w:eastAsia="Times New Roman" w:hAnsi="Calibri" w:cs="Calibri"/>
                <w:color w:val="000000"/>
                <w:lang w:eastAsia="pt-PT"/>
              </w:rPr>
            </w:pPr>
            <w:r w:rsidRPr="004E44B4">
              <w:rPr>
                <w:rFonts w:ascii="Calibri" w:eastAsia="Times New Roman" w:hAnsi="Calibri" w:cs="Calibri"/>
                <w:color w:val="000000"/>
                <w:lang w:eastAsia="pt-PT"/>
              </w:rPr>
              <w:t>48%</w:t>
            </w:r>
          </w:p>
        </w:tc>
        <w:tc>
          <w:tcPr>
            <w:tcW w:w="1620" w:type="dxa"/>
            <w:tcBorders>
              <w:top w:val="nil"/>
              <w:left w:val="nil"/>
              <w:bottom w:val="single" w:sz="4" w:space="0" w:color="auto"/>
              <w:right w:val="single" w:sz="4" w:space="0" w:color="auto"/>
            </w:tcBorders>
          </w:tcPr>
          <w:p w14:paraId="075CFAA7" w14:textId="77777777" w:rsidR="00E12B19" w:rsidRPr="004E44B4" w:rsidRDefault="00E12B19" w:rsidP="002934D9">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62%</w:t>
            </w:r>
          </w:p>
        </w:tc>
      </w:tr>
      <w:tr w:rsidR="00E12B19" w:rsidRPr="004E44B4" w14:paraId="0A187A7E" w14:textId="77777777" w:rsidTr="00E12B19">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04CFAF4A" w14:textId="77777777" w:rsidR="00E12B19" w:rsidRPr="004E44B4" w:rsidRDefault="00E12B19" w:rsidP="002934D9">
            <w:pPr>
              <w:spacing w:after="0" w:line="240" w:lineRule="auto"/>
              <w:rPr>
                <w:rFonts w:ascii="Calibri" w:eastAsia="Times New Roman" w:hAnsi="Calibri" w:cs="Calibri"/>
                <w:color w:val="000000"/>
                <w:lang w:eastAsia="pt-PT"/>
              </w:rPr>
            </w:pPr>
            <w:r w:rsidRPr="004E44B4">
              <w:rPr>
                <w:rFonts w:ascii="Calibri" w:eastAsia="Times New Roman" w:hAnsi="Calibri" w:cs="Calibri"/>
                <w:color w:val="000000"/>
                <w:lang w:eastAsia="pt-PT"/>
              </w:rPr>
              <w:t>Namibia</w:t>
            </w:r>
          </w:p>
        </w:tc>
        <w:tc>
          <w:tcPr>
            <w:tcW w:w="1120" w:type="dxa"/>
            <w:tcBorders>
              <w:top w:val="nil"/>
              <w:left w:val="nil"/>
              <w:bottom w:val="single" w:sz="4" w:space="0" w:color="auto"/>
              <w:right w:val="single" w:sz="4" w:space="0" w:color="auto"/>
            </w:tcBorders>
            <w:shd w:val="clear" w:color="auto" w:fill="auto"/>
            <w:noWrap/>
            <w:vAlign w:val="bottom"/>
            <w:hideMark/>
          </w:tcPr>
          <w:p w14:paraId="2E84569E"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$6,06</w:t>
            </w:r>
          </w:p>
        </w:tc>
        <w:tc>
          <w:tcPr>
            <w:tcW w:w="1120" w:type="dxa"/>
            <w:tcBorders>
              <w:top w:val="nil"/>
              <w:left w:val="nil"/>
              <w:bottom w:val="single" w:sz="4" w:space="0" w:color="auto"/>
              <w:right w:val="single" w:sz="4" w:space="0" w:color="auto"/>
            </w:tcBorders>
            <w:shd w:val="clear" w:color="auto" w:fill="auto"/>
            <w:noWrap/>
            <w:vAlign w:val="bottom"/>
            <w:hideMark/>
          </w:tcPr>
          <w:p w14:paraId="25FBAFBC"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$10,43</w:t>
            </w:r>
          </w:p>
        </w:tc>
        <w:tc>
          <w:tcPr>
            <w:tcW w:w="1120" w:type="dxa"/>
            <w:tcBorders>
              <w:top w:val="nil"/>
              <w:left w:val="nil"/>
              <w:bottom w:val="single" w:sz="4" w:space="0" w:color="auto"/>
              <w:right w:val="single" w:sz="4" w:space="0" w:color="auto"/>
            </w:tcBorders>
            <w:shd w:val="clear" w:color="auto" w:fill="auto"/>
            <w:noWrap/>
            <w:vAlign w:val="bottom"/>
            <w:hideMark/>
          </w:tcPr>
          <w:p w14:paraId="43918BF3"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$6,22</w:t>
            </w:r>
          </w:p>
        </w:tc>
        <w:tc>
          <w:tcPr>
            <w:tcW w:w="1120" w:type="dxa"/>
            <w:tcBorders>
              <w:top w:val="nil"/>
              <w:left w:val="nil"/>
              <w:bottom w:val="single" w:sz="4" w:space="0" w:color="auto"/>
              <w:right w:val="single" w:sz="4" w:space="0" w:color="auto"/>
            </w:tcBorders>
            <w:shd w:val="clear" w:color="auto" w:fill="auto"/>
            <w:noWrap/>
            <w:vAlign w:val="bottom"/>
            <w:hideMark/>
          </w:tcPr>
          <w:p w14:paraId="41B2BC26"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$5,10</w:t>
            </w:r>
          </w:p>
        </w:tc>
        <w:tc>
          <w:tcPr>
            <w:tcW w:w="960" w:type="dxa"/>
            <w:tcBorders>
              <w:top w:val="nil"/>
              <w:left w:val="nil"/>
              <w:bottom w:val="single" w:sz="4" w:space="0" w:color="auto"/>
              <w:right w:val="single" w:sz="4" w:space="0" w:color="auto"/>
            </w:tcBorders>
            <w:shd w:val="clear" w:color="auto" w:fill="auto"/>
            <w:noWrap/>
            <w:vAlign w:val="bottom"/>
            <w:hideMark/>
          </w:tcPr>
          <w:p w14:paraId="00E8D39A" w14:textId="77777777" w:rsidR="00E12B19" w:rsidRPr="004E44B4" w:rsidRDefault="00E12B19" w:rsidP="002934D9">
            <w:pPr>
              <w:spacing w:after="0" w:line="240" w:lineRule="auto"/>
              <w:jc w:val="right"/>
              <w:rPr>
                <w:rFonts w:ascii="Calibri" w:eastAsia="Times New Roman" w:hAnsi="Calibri" w:cs="Calibri"/>
                <w:color w:val="000000"/>
                <w:lang w:eastAsia="pt-PT"/>
              </w:rPr>
            </w:pPr>
            <w:r w:rsidRPr="004E44B4">
              <w:rPr>
                <w:rFonts w:ascii="Calibri" w:eastAsia="Times New Roman" w:hAnsi="Calibri" w:cs="Calibri"/>
                <w:color w:val="000000"/>
                <w:lang w:eastAsia="pt-PT"/>
              </w:rPr>
              <w:t>103%</w:t>
            </w:r>
          </w:p>
        </w:tc>
        <w:tc>
          <w:tcPr>
            <w:tcW w:w="960" w:type="dxa"/>
            <w:tcBorders>
              <w:top w:val="nil"/>
              <w:left w:val="nil"/>
              <w:bottom w:val="single" w:sz="4" w:space="0" w:color="auto"/>
              <w:right w:val="single" w:sz="4" w:space="0" w:color="auto"/>
            </w:tcBorders>
            <w:shd w:val="clear" w:color="auto" w:fill="auto"/>
            <w:noWrap/>
            <w:vAlign w:val="bottom"/>
            <w:hideMark/>
          </w:tcPr>
          <w:p w14:paraId="7F0A6D98" w14:textId="77777777" w:rsidR="00E12B19" w:rsidRPr="004E44B4" w:rsidRDefault="00E12B19" w:rsidP="002934D9">
            <w:pPr>
              <w:spacing w:after="0" w:line="240" w:lineRule="auto"/>
              <w:jc w:val="right"/>
              <w:rPr>
                <w:rFonts w:ascii="Calibri" w:eastAsia="Times New Roman" w:hAnsi="Calibri" w:cs="Calibri"/>
                <w:color w:val="000000"/>
                <w:lang w:eastAsia="pt-PT"/>
              </w:rPr>
            </w:pPr>
            <w:r w:rsidRPr="004E44B4">
              <w:rPr>
                <w:rFonts w:ascii="Calibri" w:eastAsia="Times New Roman" w:hAnsi="Calibri" w:cs="Calibri"/>
                <w:color w:val="000000"/>
                <w:lang w:eastAsia="pt-PT"/>
              </w:rPr>
              <w:t>49%</w:t>
            </w:r>
          </w:p>
        </w:tc>
        <w:tc>
          <w:tcPr>
            <w:tcW w:w="1620" w:type="dxa"/>
            <w:tcBorders>
              <w:top w:val="nil"/>
              <w:left w:val="nil"/>
              <w:bottom w:val="single" w:sz="4" w:space="0" w:color="auto"/>
              <w:right w:val="single" w:sz="4" w:space="0" w:color="auto"/>
            </w:tcBorders>
          </w:tcPr>
          <w:p w14:paraId="4E1B5854" w14:textId="77777777" w:rsidR="00E12B19" w:rsidRPr="004E44B4" w:rsidRDefault="00E12B19" w:rsidP="002934D9">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69%</w:t>
            </w:r>
          </w:p>
        </w:tc>
      </w:tr>
      <w:tr w:rsidR="00E12B19" w:rsidRPr="004E44B4" w14:paraId="09907388" w14:textId="77777777" w:rsidTr="00E12B19">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681FDD6E" w14:textId="77777777" w:rsidR="00E12B19" w:rsidRPr="004E44B4" w:rsidRDefault="00E12B19" w:rsidP="002934D9">
            <w:pPr>
              <w:spacing w:after="0" w:line="240" w:lineRule="auto"/>
              <w:rPr>
                <w:rFonts w:ascii="Calibri" w:eastAsia="Times New Roman" w:hAnsi="Calibri" w:cs="Calibri"/>
                <w:color w:val="000000"/>
                <w:lang w:eastAsia="pt-PT"/>
              </w:rPr>
            </w:pPr>
            <w:r w:rsidRPr="004E44B4">
              <w:rPr>
                <w:rFonts w:ascii="Calibri" w:eastAsia="Times New Roman" w:hAnsi="Calibri" w:cs="Calibri"/>
                <w:color w:val="000000"/>
                <w:lang w:eastAsia="pt-PT"/>
              </w:rPr>
              <w:t>South Africa</w:t>
            </w:r>
          </w:p>
        </w:tc>
        <w:tc>
          <w:tcPr>
            <w:tcW w:w="1120" w:type="dxa"/>
            <w:tcBorders>
              <w:top w:val="nil"/>
              <w:left w:val="nil"/>
              <w:bottom w:val="single" w:sz="4" w:space="0" w:color="auto"/>
              <w:right w:val="single" w:sz="4" w:space="0" w:color="auto"/>
            </w:tcBorders>
            <w:shd w:val="clear" w:color="auto" w:fill="auto"/>
            <w:noWrap/>
            <w:vAlign w:val="bottom"/>
            <w:hideMark/>
          </w:tcPr>
          <w:p w14:paraId="297EC4DD"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$13,36</w:t>
            </w:r>
          </w:p>
        </w:tc>
        <w:tc>
          <w:tcPr>
            <w:tcW w:w="1120" w:type="dxa"/>
            <w:tcBorders>
              <w:top w:val="nil"/>
              <w:left w:val="nil"/>
              <w:bottom w:val="single" w:sz="4" w:space="0" w:color="auto"/>
              <w:right w:val="single" w:sz="4" w:space="0" w:color="auto"/>
            </w:tcBorders>
            <w:shd w:val="clear" w:color="auto" w:fill="auto"/>
            <w:noWrap/>
            <w:vAlign w:val="bottom"/>
            <w:hideMark/>
          </w:tcPr>
          <w:p w14:paraId="7F532E72"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$14,08</w:t>
            </w:r>
          </w:p>
        </w:tc>
        <w:tc>
          <w:tcPr>
            <w:tcW w:w="1120" w:type="dxa"/>
            <w:tcBorders>
              <w:top w:val="nil"/>
              <w:left w:val="nil"/>
              <w:bottom w:val="single" w:sz="4" w:space="0" w:color="auto"/>
              <w:right w:val="single" w:sz="4" w:space="0" w:color="auto"/>
            </w:tcBorders>
            <w:shd w:val="clear" w:color="auto" w:fill="auto"/>
            <w:noWrap/>
            <w:vAlign w:val="bottom"/>
            <w:hideMark/>
          </w:tcPr>
          <w:p w14:paraId="3529B54A"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$9,22</w:t>
            </w:r>
          </w:p>
        </w:tc>
        <w:tc>
          <w:tcPr>
            <w:tcW w:w="1120" w:type="dxa"/>
            <w:tcBorders>
              <w:top w:val="nil"/>
              <w:left w:val="nil"/>
              <w:bottom w:val="single" w:sz="4" w:space="0" w:color="auto"/>
              <w:right w:val="single" w:sz="4" w:space="0" w:color="auto"/>
            </w:tcBorders>
            <w:shd w:val="clear" w:color="auto" w:fill="auto"/>
            <w:noWrap/>
            <w:vAlign w:val="bottom"/>
            <w:hideMark/>
          </w:tcPr>
          <w:p w14:paraId="1C1CA4B0"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$6,57</w:t>
            </w:r>
          </w:p>
        </w:tc>
        <w:tc>
          <w:tcPr>
            <w:tcW w:w="960" w:type="dxa"/>
            <w:tcBorders>
              <w:top w:val="nil"/>
              <w:left w:val="nil"/>
              <w:bottom w:val="single" w:sz="4" w:space="0" w:color="auto"/>
              <w:right w:val="single" w:sz="4" w:space="0" w:color="auto"/>
            </w:tcBorders>
            <w:shd w:val="clear" w:color="auto" w:fill="auto"/>
            <w:noWrap/>
            <w:vAlign w:val="bottom"/>
            <w:hideMark/>
          </w:tcPr>
          <w:p w14:paraId="11E6AE62" w14:textId="77777777" w:rsidR="00E12B19" w:rsidRPr="004E44B4" w:rsidRDefault="00E12B19" w:rsidP="002934D9">
            <w:pPr>
              <w:spacing w:after="0" w:line="240" w:lineRule="auto"/>
              <w:jc w:val="right"/>
              <w:rPr>
                <w:rFonts w:ascii="Calibri" w:eastAsia="Times New Roman" w:hAnsi="Calibri" w:cs="Calibri"/>
                <w:color w:val="000000"/>
                <w:lang w:eastAsia="pt-PT"/>
              </w:rPr>
            </w:pPr>
            <w:r w:rsidRPr="004E44B4">
              <w:rPr>
                <w:rFonts w:ascii="Calibri" w:eastAsia="Times New Roman" w:hAnsi="Calibri" w:cs="Calibri"/>
                <w:color w:val="000000"/>
                <w:lang w:eastAsia="pt-PT"/>
              </w:rPr>
              <w:t>69%</w:t>
            </w:r>
          </w:p>
        </w:tc>
        <w:tc>
          <w:tcPr>
            <w:tcW w:w="960" w:type="dxa"/>
            <w:tcBorders>
              <w:top w:val="nil"/>
              <w:left w:val="nil"/>
              <w:bottom w:val="single" w:sz="4" w:space="0" w:color="auto"/>
              <w:right w:val="single" w:sz="4" w:space="0" w:color="auto"/>
            </w:tcBorders>
            <w:shd w:val="clear" w:color="auto" w:fill="auto"/>
            <w:noWrap/>
            <w:vAlign w:val="bottom"/>
            <w:hideMark/>
          </w:tcPr>
          <w:p w14:paraId="59BCB327" w14:textId="77777777" w:rsidR="00E12B19" w:rsidRPr="004E44B4" w:rsidRDefault="00E12B19" w:rsidP="002934D9">
            <w:pPr>
              <w:spacing w:after="0" w:line="240" w:lineRule="auto"/>
              <w:jc w:val="right"/>
              <w:rPr>
                <w:rFonts w:ascii="Calibri" w:eastAsia="Times New Roman" w:hAnsi="Calibri" w:cs="Calibri"/>
                <w:color w:val="000000"/>
                <w:lang w:eastAsia="pt-PT"/>
              </w:rPr>
            </w:pPr>
            <w:r w:rsidRPr="004E44B4">
              <w:rPr>
                <w:rFonts w:ascii="Calibri" w:eastAsia="Times New Roman" w:hAnsi="Calibri" w:cs="Calibri"/>
                <w:color w:val="000000"/>
                <w:lang w:eastAsia="pt-PT"/>
              </w:rPr>
              <w:t>47%</w:t>
            </w:r>
          </w:p>
        </w:tc>
        <w:tc>
          <w:tcPr>
            <w:tcW w:w="1620" w:type="dxa"/>
            <w:tcBorders>
              <w:top w:val="nil"/>
              <w:left w:val="nil"/>
              <w:bottom w:val="single" w:sz="4" w:space="0" w:color="auto"/>
              <w:right w:val="single" w:sz="4" w:space="0" w:color="auto"/>
            </w:tcBorders>
          </w:tcPr>
          <w:p w14:paraId="3731B8EF" w14:textId="77777777" w:rsidR="00E12B19" w:rsidRPr="004E44B4" w:rsidRDefault="00E12B19" w:rsidP="002934D9">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58%</w:t>
            </w:r>
          </w:p>
        </w:tc>
      </w:tr>
      <w:tr w:rsidR="00E12B19" w:rsidRPr="004E44B4" w14:paraId="5C8EE14C" w14:textId="77777777" w:rsidTr="00E12B19">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05ACDF8F" w14:textId="77777777" w:rsidR="00E12B19" w:rsidRPr="004E44B4" w:rsidRDefault="00E12B19" w:rsidP="002934D9">
            <w:pPr>
              <w:spacing w:after="0" w:line="240" w:lineRule="auto"/>
              <w:rPr>
                <w:rFonts w:ascii="Calibri" w:eastAsia="Times New Roman" w:hAnsi="Calibri" w:cs="Calibri"/>
                <w:color w:val="000000"/>
                <w:lang w:eastAsia="pt-PT"/>
              </w:rPr>
            </w:pPr>
            <w:r w:rsidRPr="004E44B4">
              <w:rPr>
                <w:rFonts w:ascii="Calibri" w:eastAsia="Times New Roman" w:hAnsi="Calibri" w:cs="Calibri"/>
                <w:color w:val="000000"/>
                <w:lang w:eastAsia="pt-PT"/>
              </w:rPr>
              <w:t>Tanzania</w:t>
            </w:r>
          </w:p>
        </w:tc>
        <w:tc>
          <w:tcPr>
            <w:tcW w:w="1120" w:type="dxa"/>
            <w:tcBorders>
              <w:top w:val="nil"/>
              <w:left w:val="nil"/>
              <w:bottom w:val="single" w:sz="4" w:space="0" w:color="auto"/>
              <w:right w:val="single" w:sz="4" w:space="0" w:color="auto"/>
            </w:tcBorders>
            <w:shd w:val="clear" w:color="auto" w:fill="auto"/>
            <w:noWrap/>
            <w:vAlign w:val="bottom"/>
            <w:hideMark/>
          </w:tcPr>
          <w:p w14:paraId="5409186F"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$27,54</w:t>
            </w:r>
          </w:p>
        </w:tc>
        <w:tc>
          <w:tcPr>
            <w:tcW w:w="1120" w:type="dxa"/>
            <w:tcBorders>
              <w:top w:val="nil"/>
              <w:left w:val="nil"/>
              <w:bottom w:val="single" w:sz="4" w:space="0" w:color="auto"/>
              <w:right w:val="single" w:sz="4" w:space="0" w:color="auto"/>
            </w:tcBorders>
            <w:shd w:val="clear" w:color="auto" w:fill="auto"/>
            <w:noWrap/>
            <w:vAlign w:val="bottom"/>
            <w:hideMark/>
          </w:tcPr>
          <w:p w14:paraId="7BFB4FF5"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$35,63</w:t>
            </w:r>
          </w:p>
        </w:tc>
        <w:tc>
          <w:tcPr>
            <w:tcW w:w="1120" w:type="dxa"/>
            <w:tcBorders>
              <w:top w:val="nil"/>
              <w:left w:val="nil"/>
              <w:bottom w:val="single" w:sz="4" w:space="0" w:color="auto"/>
              <w:right w:val="single" w:sz="4" w:space="0" w:color="auto"/>
            </w:tcBorders>
            <w:shd w:val="clear" w:color="auto" w:fill="auto"/>
            <w:noWrap/>
            <w:vAlign w:val="bottom"/>
            <w:hideMark/>
          </w:tcPr>
          <w:p w14:paraId="733770F2"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$20,84</w:t>
            </w:r>
          </w:p>
        </w:tc>
        <w:tc>
          <w:tcPr>
            <w:tcW w:w="1120" w:type="dxa"/>
            <w:tcBorders>
              <w:top w:val="nil"/>
              <w:left w:val="nil"/>
              <w:bottom w:val="single" w:sz="4" w:space="0" w:color="auto"/>
              <w:right w:val="single" w:sz="4" w:space="0" w:color="auto"/>
            </w:tcBorders>
            <w:shd w:val="clear" w:color="auto" w:fill="auto"/>
            <w:noWrap/>
            <w:vAlign w:val="bottom"/>
            <w:hideMark/>
          </w:tcPr>
          <w:p w14:paraId="30F4F95D"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$15,51</w:t>
            </w:r>
          </w:p>
        </w:tc>
        <w:tc>
          <w:tcPr>
            <w:tcW w:w="960" w:type="dxa"/>
            <w:tcBorders>
              <w:top w:val="nil"/>
              <w:left w:val="nil"/>
              <w:bottom w:val="single" w:sz="4" w:space="0" w:color="auto"/>
              <w:right w:val="single" w:sz="4" w:space="0" w:color="auto"/>
            </w:tcBorders>
            <w:shd w:val="clear" w:color="auto" w:fill="auto"/>
            <w:noWrap/>
            <w:vAlign w:val="bottom"/>
            <w:hideMark/>
          </w:tcPr>
          <w:p w14:paraId="410F2B98" w14:textId="77777777" w:rsidR="00E12B19" w:rsidRPr="004E44B4" w:rsidRDefault="00E12B19" w:rsidP="002934D9">
            <w:pPr>
              <w:spacing w:after="0" w:line="240" w:lineRule="auto"/>
              <w:jc w:val="right"/>
              <w:rPr>
                <w:rFonts w:ascii="Calibri" w:eastAsia="Times New Roman" w:hAnsi="Calibri" w:cs="Calibri"/>
                <w:color w:val="000000"/>
                <w:lang w:eastAsia="pt-PT"/>
              </w:rPr>
            </w:pPr>
            <w:r w:rsidRPr="004E44B4">
              <w:rPr>
                <w:rFonts w:ascii="Calibri" w:eastAsia="Times New Roman" w:hAnsi="Calibri" w:cs="Calibri"/>
                <w:color w:val="000000"/>
                <w:lang w:eastAsia="pt-PT"/>
              </w:rPr>
              <w:t>76%</w:t>
            </w:r>
          </w:p>
        </w:tc>
        <w:tc>
          <w:tcPr>
            <w:tcW w:w="960" w:type="dxa"/>
            <w:tcBorders>
              <w:top w:val="nil"/>
              <w:left w:val="nil"/>
              <w:bottom w:val="single" w:sz="4" w:space="0" w:color="auto"/>
              <w:right w:val="single" w:sz="4" w:space="0" w:color="auto"/>
            </w:tcBorders>
            <w:shd w:val="clear" w:color="auto" w:fill="auto"/>
            <w:noWrap/>
            <w:vAlign w:val="bottom"/>
            <w:hideMark/>
          </w:tcPr>
          <w:p w14:paraId="7E0832A4" w14:textId="77777777" w:rsidR="00E12B19" w:rsidRPr="004E44B4" w:rsidRDefault="00E12B19" w:rsidP="002934D9">
            <w:pPr>
              <w:spacing w:after="0" w:line="240" w:lineRule="auto"/>
              <w:jc w:val="right"/>
              <w:rPr>
                <w:rFonts w:ascii="Calibri" w:eastAsia="Times New Roman" w:hAnsi="Calibri" w:cs="Calibri"/>
                <w:color w:val="000000"/>
                <w:lang w:eastAsia="pt-PT"/>
              </w:rPr>
            </w:pPr>
            <w:r w:rsidRPr="004E44B4">
              <w:rPr>
                <w:rFonts w:ascii="Calibri" w:eastAsia="Times New Roman" w:hAnsi="Calibri" w:cs="Calibri"/>
                <w:color w:val="000000"/>
                <w:lang w:eastAsia="pt-PT"/>
              </w:rPr>
              <w:t>44%</w:t>
            </w:r>
          </w:p>
        </w:tc>
        <w:tc>
          <w:tcPr>
            <w:tcW w:w="1620" w:type="dxa"/>
            <w:tcBorders>
              <w:top w:val="nil"/>
              <w:left w:val="nil"/>
              <w:bottom w:val="single" w:sz="4" w:space="0" w:color="auto"/>
              <w:right w:val="single" w:sz="4" w:space="0" w:color="auto"/>
            </w:tcBorders>
          </w:tcPr>
          <w:p w14:paraId="1B8BC846" w14:textId="77777777" w:rsidR="00E12B19" w:rsidRPr="004E44B4" w:rsidRDefault="00E12B19" w:rsidP="002934D9">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58%</w:t>
            </w:r>
          </w:p>
        </w:tc>
      </w:tr>
      <w:tr w:rsidR="00E12B19" w:rsidRPr="004E44B4" w14:paraId="03DE335D" w14:textId="77777777" w:rsidTr="00E12B19">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7065FF77" w14:textId="77777777" w:rsidR="00E12B19" w:rsidRPr="004E44B4" w:rsidRDefault="00E12B19" w:rsidP="002934D9">
            <w:pPr>
              <w:spacing w:after="0" w:line="240" w:lineRule="auto"/>
              <w:rPr>
                <w:rFonts w:ascii="Calibri" w:eastAsia="Times New Roman" w:hAnsi="Calibri" w:cs="Calibri"/>
                <w:color w:val="000000"/>
                <w:lang w:eastAsia="pt-PT"/>
              </w:rPr>
            </w:pPr>
            <w:r w:rsidRPr="004E44B4">
              <w:rPr>
                <w:rFonts w:ascii="Calibri" w:eastAsia="Times New Roman" w:hAnsi="Calibri" w:cs="Calibri"/>
                <w:color w:val="000000"/>
                <w:lang w:eastAsia="pt-PT"/>
              </w:rPr>
              <w:t>Zambia</w:t>
            </w:r>
          </w:p>
        </w:tc>
        <w:tc>
          <w:tcPr>
            <w:tcW w:w="1120" w:type="dxa"/>
            <w:tcBorders>
              <w:top w:val="nil"/>
              <w:left w:val="nil"/>
              <w:bottom w:val="single" w:sz="4" w:space="0" w:color="auto"/>
              <w:right w:val="single" w:sz="4" w:space="0" w:color="auto"/>
            </w:tcBorders>
            <w:shd w:val="clear" w:color="auto" w:fill="auto"/>
            <w:noWrap/>
            <w:vAlign w:val="bottom"/>
            <w:hideMark/>
          </w:tcPr>
          <w:p w14:paraId="140676CA"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$17,11</w:t>
            </w:r>
          </w:p>
        </w:tc>
        <w:tc>
          <w:tcPr>
            <w:tcW w:w="1120" w:type="dxa"/>
            <w:tcBorders>
              <w:top w:val="nil"/>
              <w:left w:val="nil"/>
              <w:bottom w:val="single" w:sz="4" w:space="0" w:color="auto"/>
              <w:right w:val="single" w:sz="4" w:space="0" w:color="auto"/>
            </w:tcBorders>
            <w:shd w:val="clear" w:color="auto" w:fill="auto"/>
            <w:noWrap/>
            <w:vAlign w:val="bottom"/>
            <w:hideMark/>
          </w:tcPr>
          <w:p w14:paraId="5707CEEA"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$28,55</w:t>
            </w:r>
          </w:p>
        </w:tc>
        <w:tc>
          <w:tcPr>
            <w:tcW w:w="1120" w:type="dxa"/>
            <w:tcBorders>
              <w:top w:val="nil"/>
              <w:left w:val="nil"/>
              <w:bottom w:val="single" w:sz="4" w:space="0" w:color="auto"/>
              <w:right w:val="single" w:sz="4" w:space="0" w:color="auto"/>
            </w:tcBorders>
            <w:shd w:val="clear" w:color="auto" w:fill="auto"/>
            <w:noWrap/>
            <w:vAlign w:val="bottom"/>
            <w:hideMark/>
          </w:tcPr>
          <w:p w14:paraId="6199D54D"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$11,83</w:t>
            </w:r>
          </w:p>
        </w:tc>
        <w:tc>
          <w:tcPr>
            <w:tcW w:w="1120" w:type="dxa"/>
            <w:tcBorders>
              <w:top w:val="nil"/>
              <w:left w:val="nil"/>
              <w:bottom w:val="single" w:sz="4" w:space="0" w:color="auto"/>
              <w:right w:val="single" w:sz="4" w:space="0" w:color="auto"/>
            </w:tcBorders>
            <w:shd w:val="clear" w:color="auto" w:fill="auto"/>
            <w:noWrap/>
            <w:vAlign w:val="bottom"/>
            <w:hideMark/>
          </w:tcPr>
          <w:p w14:paraId="6598D332"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$7,37</w:t>
            </w:r>
          </w:p>
        </w:tc>
        <w:tc>
          <w:tcPr>
            <w:tcW w:w="960" w:type="dxa"/>
            <w:tcBorders>
              <w:top w:val="nil"/>
              <w:left w:val="nil"/>
              <w:bottom w:val="single" w:sz="4" w:space="0" w:color="auto"/>
              <w:right w:val="single" w:sz="4" w:space="0" w:color="auto"/>
            </w:tcBorders>
            <w:shd w:val="clear" w:color="auto" w:fill="auto"/>
            <w:noWrap/>
            <w:vAlign w:val="bottom"/>
            <w:hideMark/>
          </w:tcPr>
          <w:p w14:paraId="32EB1868" w14:textId="77777777" w:rsidR="00E12B19" w:rsidRPr="004E44B4" w:rsidRDefault="00E12B19" w:rsidP="002934D9">
            <w:pPr>
              <w:spacing w:after="0" w:line="240" w:lineRule="auto"/>
              <w:jc w:val="right"/>
              <w:rPr>
                <w:rFonts w:ascii="Calibri" w:eastAsia="Times New Roman" w:hAnsi="Calibri" w:cs="Calibri"/>
                <w:color w:val="000000"/>
                <w:lang w:eastAsia="pt-PT"/>
              </w:rPr>
            </w:pPr>
            <w:r w:rsidRPr="004E44B4">
              <w:rPr>
                <w:rFonts w:ascii="Calibri" w:eastAsia="Times New Roman" w:hAnsi="Calibri" w:cs="Calibri"/>
                <w:color w:val="000000"/>
                <w:lang w:eastAsia="pt-PT"/>
              </w:rPr>
              <w:t>69%</w:t>
            </w:r>
          </w:p>
        </w:tc>
        <w:tc>
          <w:tcPr>
            <w:tcW w:w="960" w:type="dxa"/>
            <w:tcBorders>
              <w:top w:val="nil"/>
              <w:left w:val="nil"/>
              <w:bottom w:val="single" w:sz="4" w:space="0" w:color="auto"/>
              <w:right w:val="single" w:sz="4" w:space="0" w:color="auto"/>
            </w:tcBorders>
            <w:shd w:val="clear" w:color="auto" w:fill="auto"/>
            <w:noWrap/>
            <w:vAlign w:val="bottom"/>
            <w:hideMark/>
          </w:tcPr>
          <w:p w14:paraId="00140F33" w14:textId="77777777" w:rsidR="00E12B19" w:rsidRPr="004E44B4" w:rsidRDefault="00E12B19" w:rsidP="002934D9">
            <w:pPr>
              <w:spacing w:after="0" w:line="240" w:lineRule="auto"/>
              <w:jc w:val="right"/>
              <w:rPr>
                <w:rFonts w:ascii="Calibri" w:eastAsia="Times New Roman" w:hAnsi="Calibri" w:cs="Calibri"/>
                <w:color w:val="000000"/>
                <w:lang w:eastAsia="pt-PT"/>
              </w:rPr>
            </w:pPr>
            <w:r w:rsidRPr="004E44B4">
              <w:rPr>
                <w:rFonts w:ascii="Calibri" w:eastAsia="Times New Roman" w:hAnsi="Calibri" w:cs="Calibri"/>
                <w:color w:val="000000"/>
                <w:lang w:eastAsia="pt-PT"/>
              </w:rPr>
              <w:t>26%</w:t>
            </w:r>
          </w:p>
        </w:tc>
        <w:tc>
          <w:tcPr>
            <w:tcW w:w="1620" w:type="dxa"/>
            <w:tcBorders>
              <w:top w:val="nil"/>
              <w:left w:val="nil"/>
              <w:bottom w:val="single" w:sz="4" w:space="0" w:color="auto"/>
              <w:right w:val="single" w:sz="4" w:space="0" w:color="auto"/>
            </w:tcBorders>
          </w:tcPr>
          <w:p w14:paraId="1C97BA99" w14:textId="77777777" w:rsidR="00E12B19" w:rsidRPr="00506979" w:rsidRDefault="00E12B19" w:rsidP="002934D9">
            <w:pPr>
              <w:spacing w:after="0" w:line="240" w:lineRule="auto"/>
              <w:jc w:val="right"/>
              <w:rPr>
                <w:rFonts w:ascii="Calibri" w:eastAsia="Times New Roman" w:hAnsi="Calibri" w:cs="Calibri"/>
                <w:color w:val="000000"/>
                <w:lang w:val="en-US" w:eastAsia="pt-PT"/>
              </w:rPr>
            </w:pPr>
            <w:r>
              <w:rPr>
                <w:rFonts w:ascii="Calibri" w:eastAsia="Times New Roman" w:hAnsi="Calibri" w:cs="Calibri"/>
                <w:color w:val="000000"/>
                <w:lang w:eastAsia="pt-PT"/>
              </w:rPr>
              <w:t>42</w:t>
            </w:r>
            <w:r>
              <w:rPr>
                <w:rFonts w:ascii="Calibri" w:eastAsia="Times New Roman" w:hAnsi="Calibri" w:cs="Calibri"/>
                <w:color w:val="000000"/>
                <w:lang w:val="en-US" w:eastAsia="pt-PT"/>
              </w:rPr>
              <w:t>%</w:t>
            </w:r>
          </w:p>
        </w:tc>
      </w:tr>
      <w:tr w:rsidR="00E12B19" w:rsidRPr="004E44B4" w14:paraId="33AECC77" w14:textId="77777777" w:rsidTr="00E12B19">
        <w:trPr>
          <w:trHeight w:val="300"/>
        </w:trPr>
        <w:tc>
          <w:tcPr>
            <w:tcW w:w="1520" w:type="dxa"/>
            <w:tcBorders>
              <w:top w:val="nil"/>
              <w:left w:val="single" w:sz="4" w:space="0" w:color="auto"/>
              <w:bottom w:val="single" w:sz="8" w:space="0" w:color="auto"/>
              <w:right w:val="single" w:sz="4" w:space="0" w:color="auto"/>
            </w:tcBorders>
            <w:shd w:val="clear" w:color="auto" w:fill="auto"/>
            <w:noWrap/>
            <w:vAlign w:val="bottom"/>
            <w:hideMark/>
          </w:tcPr>
          <w:p w14:paraId="7E65253D" w14:textId="77777777" w:rsidR="00E12B19" w:rsidRPr="004E44B4" w:rsidRDefault="00E12B19" w:rsidP="002934D9">
            <w:pPr>
              <w:spacing w:after="0" w:line="240" w:lineRule="auto"/>
              <w:rPr>
                <w:rFonts w:ascii="Calibri" w:eastAsia="Times New Roman" w:hAnsi="Calibri" w:cs="Calibri"/>
                <w:color w:val="000000"/>
                <w:lang w:eastAsia="pt-PT"/>
              </w:rPr>
            </w:pPr>
            <w:r w:rsidRPr="004E44B4">
              <w:rPr>
                <w:rFonts w:ascii="Calibri" w:eastAsia="Times New Roman" w:hAnsi="Calibri" w:cs="Calibri"/>
                <w:color w:val="000000"/>
                <w:lang w:eastAsia="pt-PT"/>
              </w:rPr>
              <w:t>Zimbabwe</w:t>
            </w:r>
          </w:p>
        </w:tc>
        <w:tc>
          <w:tcPr>
            <w:tcW w:w="1120" w:type="dxa"/>
            <w:tcBorders>
              <w:top w:val="nil"/>
              <w:left w:val="nil"/>
              <w:bottom w:val="single" w:sz="8" w:space="0" w:color="auto"/>
              <w:right w:val="single" w:sz="4" w:space="0" w:color="auto"/>
            </w:tcBorders>
            <w:shd w:val="clear" w:color="auto" w:fill="auto"/>
            <w:noWrap/>
            <w:vAlign w:val="bottom"/>
            <w:hideMark/>
          </w:tcPr>
          <w:p w14:paraId="095286AE"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$188,69</w:t>
            </w:r>
          </w:p>
        </w:tc>
        <w:tc>
          <w:tcPr>
            <w:tcW w:w="1120" w:type="dxa"/>
            <w:tcBorders>
              <w:top w:val="nil"/>
              <w:left w:val="nil"/>
              <w:bottom w:val="single" w:sz="8" w:space="0" w:color="auto"/>
              <w:right w:val="single" w:sz="4" w:space="0" w:color="auto"/>
            </w:tcBorders>
            <w:shd w:val="clear" w:color="auto" w:fill="auto"/>
            <w:noWrap/>
            <w:vAlign w:val="bottom"/>
            <w:hideMark/>
          </w:tcPr>
          <w:p w14:paraId="3E057BE1"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$218,20</w:t>
            </w:r>
          </w:p>
        </w:tc>
        <w:tc>
          <w:tcPr>
            <w:tcW w:w="1120" w:type="dxa"/>
            <w:tcBorders>
              <w:top w:val="nil"/>
              <w:left w:val="nil"/>
              <w:bottom w:val="single" w:sz="8" w:space="0" w:color="auto"/>
              <w:right w:val="single" w:sz="4" w:space="0" w:color="auto"/>
            </w:tcBorders>
            <w:shd w:val="clear" w:color="auto" w:fill="auto"/>
            <w:noWrap/>
            <w:vAlign w:val="bottom"/>
            <w:hideMark/>
          </w:tcPr>
          <w:p w14:paraId="736E4931"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$170,55</w:t>
            </w:r>
          </w:p>
        </w:tc>
        <w:tc>
          <w:tcPr>
            <w:tcW w:w="1120" w:type="dxa"/>
            <w:tcBorders>
              <w:top w:val="nil"/>
              <w:left w:val="nil"/>
              <w:bottom w:val="single" w:sz="8" w:space="0" w:color="auto"/>
              <w:right w:val="single" w:sz="4" w:space="0" w:color="auto"/>
            </w:tcBorders>
            <w:shd w:val="clear" w:color="auto" w:fill="auto"/>
            <w:noWrap/>
            <w:vAlign w:val="bottom"/>
            <w:hideMark/>
          </w:tcPr>
          <w:p w14:paraId="68FAD090" w14:textId="77777777" w:rsidR="00E12B19" w:rsidRPr="004E44B4" w:rsidRDefault="00E12B19" w:rsidP="002934D9">
            <w:pPr>
              <w:spacing w:after="0" w:line="240" w:lineRule="auto"/>
              <w:jc w:val="right"/>
              <w:rPr>
                <w:rFonts w:ascii="Calibri" w:eastAsia="Times New Roman" w:hAnsi="Calibri" w:cs="Calibri"/>
                <w:color w:val="444444"/>
                <w:lang w:eastAsia="pt-PT"/>
              </w:rPr>
            </w:pPr>
            <w:r w:rsidRPr="004E44B4">
              <w:rPr>
                <w:rFonts w:ascii="Calibri" w:eastAsia="Times New Roman" w:hAnsi="Calibri" w:cs="Calibri"/>
                <w:color w:val="444444"/>
                <w:lang w:eastAsia="pt-PT"/>
              </w:rPr>
              <w:t>$136,22</w:t>
            </w:r>
          </w:p>
        </w:tc>
        <w:tc>
          <w:tcPr>
            <w:tcW w:w="960" w:type="dxa"/>
            <w:tcBorders>
              <w:top w:val="nil"/>
              <w:left w:val="nil"/>
              <w:bottom w:val="single" w:sz="8" w:space="0" w:color="auto"/>
              <w:right w:val="single" w:sz="4" w:space="0" w:color="auto"/>
            </w:tcBorders>
            <w:shd w:val="clear" w:color="auto" w:fill="auto"/>
            <w:noWrap/>
            <w:vAlign w:val="bottom"/>
            <w:hideMark/>
          </w:tcPr>
          <w:p w14:paraId="79201693" w14:textId="77777777" w:rsidR="00E12B19" w:rsidRPr="004E44B4" w:rsidRDefault="00E12B19" w:rsidP="002934D9">
            <w:pPr>
              <w:spacing w:after="0" w:line="240" w:lineRule="auto"/>
              <w:jc w:val="right"/>
              <w:rPr>
                <w:rFonts w:ascii="Calibri" w:eastAsia="Times New Roman" w:hAnsi="Calibri" w:cs="Calibri"/>
                <w:color w:val="000000"/>
                <w:lang w:eastAsia="pt-PT"/>
              </w:rPr>
            </w:pPr>
            <w:r w:rsidRPr="004E44B4">
              <w:rPr>
                <w:rFonts w:ascii="Calibri" w:eastAsia="Times New Roman" w:hAnsi="Calibri" w:cs="Calibri"/>
                <w:color w:val="000000"/>
                <w:lang w:eastAsia="pt-PT"/>
              </w:rPr>
              <w:t>90%</w:t>
            </w:r>
          </w:p>
        </w:tc>
        <w:tc>
          <w:tcPr>
            <w:tcW w:w="960" w:type="dxa"/>
            <w:tcBorders>
              <w:top w:val="nil"/>
              <w:left w:val="nil"/>
              <w:bottom w:val="single" w:sz="8" w:space="0" w:color="auto"/>
              <w:right w:val="single" w:sz="4" w:space="0" w:color="auto"/>
            </w:tcBorders>
            <w:shd w:val="clear" w:color="auto" w:fill="auto"/>
            <w:noWrap/>
            <w:vAlign w:val="bottom"/>
            <w:hideMark/>
          </w:tcPr>
          <w:p w14:paraId="5F0F05AE" w14:textId="77777777" w:rsidR="00E12B19" w:rsidRPr="004E44B4" w:rsidRDefault="00E12B19" w:rsidP="002934D9">
            <w:pPr>
              <w:spacing w:after="0" w:line="240" w:lineRule="auto"/>
              <w:jc w:val="right"/>
              <w:rPr>
                <w:rFonts w:ascii="Calibri" w:eastAsia="Times New Roman" w:hAnsi="Calibri" w:cs="Calibri"/>
                <w:color w:val="000000"/>
                <w:lang w:eastAsia="pt-PT"/>
              </w:rPr>
            </w:pPr>
            <w:r w:rsidRPr="004E44B4">
              <w:rPr>
                <w:rFonts w:ascii="Calibri" w:eastAsia="Times New Roman" w:hAnsi="Calibri" w:cs="Calibri"/>
                <w:color w:val="000000"/>
                <w:lang w:eastAsia="pt-PT"/>
              </w:rPr>
              <w:t>62%</w:t>
            </w:r>
          </w:p>
        </w:tc>
        <w:tc>
          <w:tcPr>
            <w:tcW w:w="1620" w:type="dxa"/>
            <w:tcBorders>
              <w:top w:val="nil"/>
              <w:left w:val="nil"/>
              <w:bottom w:val="single" w:sz="8" w:space="0" w:color="auto"/>
              <w:right w:val="single" w:sz="4" w:space="0" w:color="auto"/>
            </w:tcBorders>
          </w:tcPr>
          <w:p w14:paraId="5E59BCD9" w14:textId="77777777" w:rsidR="00E12B19" w:rsidRPr="004E44B4" w:rsidRDefault="00E12B19" w:rsidP="002934D9">
            <w:pPr>
              <w:spacing w:after="0" w:line="240" w:lineRule="auto"/>
              <w:jc w:val="right"/>
              <w:rPr>
                <w:rFonts w:ascii="Calibri" w:eastAsia="Times New Roman" w:hAnsi="Calibri" w:cs="Calibri"/>
                <w:color w:val="000000"/>
                <w:lang w:eastAsia="pt-PT"/>
              </w:rPr>
            </w:pPr>
            <w:r>
              <w:rPr>
                <w:rFonts w:ascii="Calibri" w:eastAsia="Times New Roman" w:hAnsi="Calibri" w:cs="Calibri"/>
                <w:color w:val="000000"/>
                <w:lang w:eastAsia="pt-PT"/>
              </w:rPr>
              <w:t>75%</w:t>
            </w:r>
          </w:p>
        </w:tc>
      </w:tr>
    </w:tbl>
    <w:p w14:paraId="34DE5D28" w14:textId="77777777" w:rsidR="00E12B19" w:rsidRDefault="00E12B19" w:rsidP="00E12B19">
      <w:pPr>
        <w:spacing w:after="0" w:line="240" w:lineRule="auto"/>
      </w:pPr>
      <w:r>
        <w:t>Source: UNDP Transparency portal (millions)</w:t>
      </w:r>
    </w:p>
    <w:p w14:paraId="51A8844C" w14:textId="0CDE03E7" w:rsidR="00E12B19" w:rsidRDefault="00E12B19" w:rsidP="00E12B19">
      <w:r>
        <w:t>*Source for Angola is ATLAS</w:t>
      </w:r>
    </w:p>
    <w:p w14:paraId="3C487282" w14:textId="68881745" w:rsidR="00E12B19" w:rsidRDefault="00E12B19" w:rsidP="00E12B19"/>
    <w:p w14:paraId="47F1B232" w14:textId="1E4DF2DF" w:rsidR="00E12B19" w:rsidRDefault="00E12B19" w:rsidP="00E12B19"/>
    <w:p w14:paraId="38BE4EBF" w14:textId="77777777" w:rsidR="00E12B19" w:rsidRDefault="00E12B19" w:rsidP="00E12B19">
      <w:pPr>
        <w:spacing w:after="0"/>
      </w:pPr>
      <w:r>
        <w:rPr>
          <w:noProof/>
          <w:lang w:eastAsia="pt-PT"/>
        </w:rPr>
        <w:drawing>
          <wp:inline distT="0" distB="0" distL="0" distR="0" wp14:anchorId="3209C0E8" wp14:editId="2AEBEA84">
            <wp:extent cx="4572000" cy="3295650"/>
            <wp:effectExtent l="0" t="0" r="0" b="0"/>
            <wp:docPr id="6"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7DFC4A8" w14:textId="77777777" w:rsidR="00E12B19" w:rsidRDefault="00E12B19" w:rsidP="00E12B19">
      <w:pPr>
        <w:spacing w:after="0" w:line="240" w:lineRule="auto"/>
      </w:pPr>
      <w:r>
        <w:t>Source: UNDP Transparency portal (millions)</w:t>
      </w:r>
    </w:p>
    <w:p w14:paraId="5E8867FA" w14:textId="77777777" w:rsidR="00E12B19" w:rsidRDefault="00E12B19" w:rsidP="00E12B19">
      <w:r>
        <w:t>*Source for Angola is ATLAS</w:t>
      </w:r>
    </w:p>
    <w:p w14:paraId="5AD104D9" w14:textId="77777777" w:rsidR="00E12B19" w:rsidRDefault="00E12B19" w:rsidP="00E12B19">
      <w:pPr>
        <w:spacing w:after="0"/>
      </w:pPr>
      <w:r>
        <w:rPr>
          <w:noProof/>
          <w:lang w:eastAsia="pt-PT"/>
        </w:rPr>
        <w:drawing>
          <wp:inline distT="0" distB="0" distL="0" distR="0" wp14:anchorId="2D8754BC" wp14:editId="73374977">
            <wp:extent cx="4572000" cy="3482975"/>
            <wp:effectExtent l="0" t="0" r="0" b="3175"/>
            <wp:docPr id="7"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FB3F045" w14:textId="77777777" w:rsidR="00E12B19" w:rsidRDefault="00E12B19" w:rsidP="00E12B19">
      <w:pPr>
        <w:spacing w:after="0" w:line="240" w:lineRule="auto"/>
      </w:pPr>
      <w:r>
        <w:t>Source: UNDP Transparency portal (millions)</w:t>
      </w:r>
    </w:p>
    <w:p w14:paraId="55154F12" w14:textId="14B84CD0" w:rsidR="00E12B19" w:rsidRDefault="00E12B19" w:rsidP="00E12B19">
      <w:r>
        <w:t>*Source for Angola is ATLAS</w:t>
      </w:r>
    </w:p>
    <w:p w14:paraId="01C67C80" w14:textId="77777777" w:rsidR="00DA0474" w:rsidRDefault="00DA0474" w:rsidP="00DA0474">
      <w:pPr>
        <w:spacing w:after="0"/>
      </w:pPr>
      <w:r>
        <w:rPr>
          <w:noProof/>
          <w:lang w:eastAsia="pt-PT"/>
        </w:rPr>
        <w:lastRenderedPageBreak/>
        <w:drawing>
          <wp:inline distT="0" distB="0" distL="0" distR="0" wp14:anchorId="1A531F73" wp14:editId="7D1823D9">
            <wp:extent cx="4572000" cy="2743200"/>
            <wp:effectExtent l="0" t="0" r="0" b="0"/>
            <wp:docPr id="10"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6A2F086" w14:textId="77777777" w:rsidR="00DA0474" w:rsidRDefault="00DA0474" w:rsidP="00DA0474">
      <w:pPr>
        <w:spacing w:after="0" w:line="240" w:lineRule="auto"/>
      </w:pPr>
      <w:r>
        <w:t>Source: UNDP Transparency portal (millions)</w:t>
      </w:r>
    </w:p>
    <w:p w14:paraId="23F21D19" w14:textId="4EE9C0AB" w:rsidR="00DA0474" w:rsidRDefault="00DA0474" w:rsidP="00DA0474">
      <w:r>
        <w:t>*Source for Angola is ATLAS</w:t>
      </w:r>
    </w:p>
    <w:p w14:paraId="03CB018D" w14:textId="77777777" w:rsidR="00DA0474" w:rsidRDefault="00DA0474" w:rsidP="00DA0474">
      <w:pPr>
        <w:spacing w:after="0"/>
      </w:pPr>
      <w:r w:rsidRPr="00506979">
        <w:rPr>
          <w:noProof/>
          <w:lang w:eastAsia="pt-PT"/>
        </w:rPr>
        <w:drawing>
          <wp:inline distT="0" distB="0" distL="0" distR="0" wp14:anchorId="6A19E21F" wp14:editId="47AF20E6">
            <wp:extent cx="4572000" cy="2749550"/>
            <wp:effectExtent l="0" t="0" r="0" b="12700"/>
            <wp:docPr id="11"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E073812" w14:textId="77777777" w:rsidR="00DA0474" w:rsidRDefault="00DA0474" w:rsidP="00DA0474">
      <w:pPr>
        <w:spacing w:after="0" w:line="240" w:lineRule="auto"/>
      </w:pPr>
      <w:r>
        <w:t>Source: UNDP Transparency portal (millions)</w:t>
      </w:r>
    </w:p>
    <w:p w14:paraId="15FEC6B6" w14:textId="490FC57D" w:rsidR="00DA0474" w:rsidRDefault="00DA0474" w:rsidP="00DA0474">
      <w:r>
        <w:t>*Source for Angola is ATLAS</w:t>
      </w:r>
    </w:p>
    <w:p w14:paraId="78914F63" w14:textId="77777777" w:rsidR="00DA0474" w:rsidRDefault="00DA0474" w:rsidP="00DA0474"/>
    <w:p w14:paraId="7D678287" w14:textId="77777777" w:rsidR="00E12B19" w:rsidRDefault="00E12B19" w:rsidP="00E12B19"/>
    <w:p w14:paraId="2F6B0C29" w14:textId="77777777" w:rsidR="00E12B19" w:rsidRDefault="00E12B19" w:rsidP="00E12B19"/>
    <w:p w14:paraId="35AA4167" w14:textId="77777777" w:rsidR="00E12B19" w:rsidRPr="00A2494F" w:rsidRDefault="00E12B19" w:rsidP="00A2494F"/>
    <w:p w14:paraId="1B57C51D" w14:textId="66054D7C" w:rsidR="00EF10EC" w:rsidRPr="00EF10EC" w:rsidRDefault="00EF10EC" w:rsidP="00EF10EC">
      <w:pPr>
        <w:pStyle w:val="Heading2"/>
        <w:rPr>
          <w:rFonts w:asciiTheme="minorHAnsi" w:hAnsiTheme="minorHAnsi" w:cstheme="minorHAnsi"/>
          <w:sz w:val="22"/>
          <w:szCs w:val="22"/>
        </w:rPr>
      </w:pPr>
      <w:bookmarkStart w:id="18" w:name="_Toc88741775"/>
      <w:r w:rsidRPr="00EF10EC">
        <w:rPr>
          <w:rFonts w:asciiTheme="minorHAnsi" w:hAnsiTheme="minorHAnsi" w:cstheme="minorHAnsi"/>
          <w:sz w:val="22"/>
          <w:szCs w:val="22"/>
        </w:rPr>
        <w:lastRenderedPageBreak/>
        <w:t>2.4 UNDP</w:t>
      </w:r>
      <w:r w:rsidR="00830267">
        <w:rPr>
          <w:rFonts w:asciiTheme="minorHAnsi" w:hAnsiTheme="minorHAnsi" w:cstheme="minorHAnsi"/>
          <w:sz w:val="22"/>
          <w:szCs w:val="22"/>
        </w:rPr>
        <w:t xml:space="preserve"> in</w:t>
      </w:r>
      <w:r w:rsidRPr="00EF10EC">
        <w:rPr>
          <w:rFonts w:asciiTheme="minorHAnsi" w:hAnsiTheme="minorHAnsi" w:cstheme="minorHAnsi"/>
          <w:sz w:val="22"/>
          <w:szCs w:val="22"/>
        </w:rPr>
        <w:t xml:space="preserve"> the United Nations Development </w:t>
      </w:r>
      <w:r w:rsidR="008D5A80">
        <w:rPr>
          <w:rFonts w:asciiTheme="minorHAnsi" w:hAnsiTheme="minorHAnsi" w:cstheme="minorHAnsi"/>
          <w:sz w:val="22"/>
          <w:szCs w:val="22"/>
        </w:rPr>
        <w:t>System in Angola</w:t>
      </w:r>
      <w:bookmarkEnd w:id="18"/>
    </w:p>
    <w:p w14:paraId="7878D72F" w14:textId="2BD9A738" w:rsidR="001001E6" w:rsidRDefault="00EF10EC" w:rsidP="002660C3">
      <w:pPr>
        <w:jc w:val="both"/>
      </w:pPr>
      <w:r>
        <w:t xml:space="preserve">The </w:t>
      </w:r>
      <w:r w:rsidR="001001E6">
        <w:t xml:space="preserve">UNDP Country Programme is closely aligned </w:t>
      </w:r>
      <w:r w:rsidR="00EC53CA">
        <w:t>with</w:t>
      </w:r>
      <w:r w:rsidR="001001E6">
        <w:t xml:space="preserve"> the</w:t>
      </w:r>
      <w:r w:rsidR="00371D71">
        <w:t xml:space="preserve"> </w:t>
      </w:r>
      <w:r>
        <w:t>U</w:t>
      </w:r>
      <w:r w:rsidR="008D5A80">
        <w:t xml:space="preserve">nited </w:t>
      </w:r>
      <w:r>
        <w:t>N</w:t>
      </w:r>
      <w:r w:rsidR="008D5A80">
        <w:t xml:space="preserve">ations </w:t>
      </w:r>
      <w:r w:rsidR="001001E6">
        <w:t>S</w:t>
      </w:r>
      <w:r w:rsidR="008D5A80">
        <w:t xml:space="preserve">ustainable </w:t>
      </w:r>
      <w:r w:rsidR="001001E6">
        <w:t>D</w:t>
      </w:r>
      <w:r w:rsidR="008D5A80">
        <w:t xml:space="preserve">evelopment </w:t>
      </w:r>
      <w:r w:rsidR="001001E6">
        <w:t>F</w:t>
      </w:r>
      <w:r w:rsidR="008D5A80">
        <w:t>ramework</w:t>
      </w:r>
      <w:r w:rsidR="001001E6">
        <w:t xml:space="preserve"> (</w:t>
      </w:r>
      <w:r w:rsidR="008D5A80">
        <w:t xml:space="preserve">UNSDF </w:t>
      </w:r>
      <w:r w:rsidR="001001E6">
        <w:t>2018-2022)</w:t>
      </w:r>
      <w:r w:rsidR="00FB36E7">
        <w:t xml:space="preserve"> of Angola,</w:t>
      </w:r>
      <w:r w:rsidR="001001E6">
        <w:t xml:space="preserve"> and </w:t>
      </w:r>
      <w:r w:rsidR="00FB36E7">
        <w:t xml:space="preserve">UNDP </w:t>
      </w:r>
      <w:r w:rsidR="001001E6">
        <w:t xml:space="preserve">is playing a vital role in its implementation. The UNSDF </w:t>
      </w:r>
      <w:r w:rsidR="00EC53CA">
        <w:t>has</w:t>
      </w:r>
      <w:r w:rsidR="001001E6">
        <w:t xml:space="preserve"> four outcomes as follows:</w:t>
      </w:r>
    </w:p>
    <w:p w14:paraId="2BC09583" w14:textId="77777777" w:rsidR="001001E6" w:rsidRPr="001001E6" w:rsidRDefault="001001E6" w:rsidP="00790AD5">
      <w:pPr>
        <w:pStyle w:val="ListParagraph"/>
        <w:numPr>
          <w:ilvl w:val="0"/>
          <w:numId w:val="11"/>
        </w:numPr>
        <w:jc w:val="both"/>
        <w:rPr>
          <w:i/>
          <w:iCs/>
        </w:rPr>
      </w:pPr>
      <w:r w:rsidRPr="001001E6">
        <w:rPr>
          <w:i/>
          <w:iCs/>
        </w:rPr>
        <w:t>Outcome 1: By 2022, the Angolan population, particularly the most vulnerable, has better access to quality and integrated social and productive services and to a diversified economy capable of the creation of decent employment and earnings in order to reduce poverty.</w:t>
      </w:r>
    </w:p>
    <w:p w14:paraId="1A5AD75F" w14:textId="77777777" w:rsidR="001001E6" w:rsidRPr="001001E6" w:rsidRDefault="001001E6" w:rsidP="00790AD5">
      <w:pPr>
        <w:pStyle w:val="ListParagraph"/>
        <w:numPr>
          <w:ilvl w:val="0"/>
          <w:numId w:val="11"/>
        </w:numPr>
        <w:jc w:val="both"/>
        <w:rPr>
          <w:i/>
          <w:iCs/>
        </w:rPr>
      </w:pPr>
      <w:r w:rsidRPr="001001E6">
        <w:rPr>
          <w:i/>
          <w:iCs/>
        </w:rPr>
        <w:t>Outcome 2: By 2022, adolescents, youth, women and the most vulnerable are given priority in social, economic, cultural, and environmental policies and programmes, including within humanitarian contexts.</w:t>
      </w:r>
    </w:p>
    <w:p w14:paraId="240FDCAF" w14:textId="77777777" w:rsidR="001001E6" w:rsidRPr="001001E6" w:rsidRDefault="001001E6" w:rsidP="00790AD5">
      <w:pPr>
        <w:pStyle w:val="ListParagraph"/>
        <w:numPr>
          <w:ilvl w:val="0"/>
          <w:numId w:val="11"/>
        </w:numPr>
        <w:jc w:val="both"/>
        <w:rPr>
          <w:i/>
          <w:iCs/>
        </w:rPr>
      </w:pPr>
      <w:r w:rsidRPr="001001E6">
        <w:rPr>
          <w:i/>
          <w:iCs/>
        </w:rPr>
        <w:t>Outcome 3: By 2022, vulnerable population is resilient to climate change and the risk of disasters, having an inclusive and sustainable production; with planning and management of the territory, cities, natural resources and the environment</w:t>
      </w:r>
    </w:p>
    <w:p w14:paraId="064F388E" w14:textId="77777777" w:rsidR="001001E6" w:rsidRPr="001001E6" w:rsidRDefault="001001E6" w:rsidP="00790AD5">
      <w:pPr>
        <w:pStyle w:val="ListParagraph"/>
        <w:numPr>
          <w:ilvl w:val="0"/>
          <w:numId w:val="11"/>
        </w:numPr>
        <w:jc w:val="both"/>
        <w:rPr>
          <w:i/>
          <w:iCs/>
        </w:rPr>
      </w:pPr>
      <w:r w:rsidRPr="001001E6">
        <w:rPr>
          <w:i/>
          <w:iCs/>
        </w:rPr>
        <w:t>Outcome 4: By 2022, citizens participate in and monitor governance, everyone has access to justice and Human Rights are observed, within an environment of peace and regional security</w:t>
      </w:r>
    </w:p>
    <w:p w14:paraId="74FAF188" w14:textId="77777777" w:rsidR="00371D71" w:rsidRDefault="001728A0" w:rsidP="00261BE0">
      <w:pPr>
        <w:jc w:val="both"/>
      </w:pPr>
      <w:r>
        <w:t xml:space="preserve">Annex 2 </w:t>
      </w:r>
      <w:r w:rsidR="002660C3">
        <w:t>pr</w:t>
      </w:r>
      <w:r>
        <w:t>esents</w:t>
      </w:r>
      <w:r w:rsidR="002660C3">
        <w:t xml:space="preserve"> a synopsis of UNDP’s planned contribution</w:t>
      </w:r>
      <w:r w:rsidR="00371D71">
        <w:t>s</w:t>
      </w:r>
      <w:r w:rsidR="002660C3">
        <w:t xml:space="preserve"> to the UNSDF (2018-2022) and through it</w:t>
      </w:r>
      <w:r w:rsidR="004348CC">
        <w:t>,</w:t>
      </w:r>
      <w:r w:rsidR="002660C3">
        <w:t xml:space="preserve"> </w:t>
      </w:r>
      <w:r w:rsidR="004348CC">
        <w:t xml:space="preserve">to </w:t>
      </w:r>
      <w:r w:rsidR="002660C3">
        <w:t>national development priorities</w:t>
      </w:r>
      <w:r w:rsidR="00371D71">
        <w:t>:</w:t>
      </w:r>
    </w:p>
    <w:p w14:paraId="0D29C92B" w14:textId="77777777" w:rsidR="00371D71" w:rsidRDefault="00261BE0" w:rsidP="00790AD5">
      <w:pPr>
        <w:pStyle w:val="ListParagraph"/>
        <w:numPr>
          <w:ilvl w:val="0"/>
          <w:numId w:val="63"/>
        </w:numPr>
        <w:jc w:val="both"/>
      </w:pPr>
      <w:r>
        <w:t xml:space="preserve"> </w:t>
      </w:r>
      <w:r w:rsidR="004348CC">
        <w:t>UNDP plan</w:t>
      </w:r>
      <w:r w:rsidR="00EC53CA">
        <w:t>s</w:t>
      </w:r>
      <w:r w:rsidR="004348CC">
        <w:t xml:space="preserve"> to be involved in all four UNSDF outcomes to varying degrees. Of the total 39 outputs of the UNSDF, UNDP is involved in 37</w:t>
      </w:r>
      <w:r w:rsidR="00830267">
        <w:t>,</w:t>
      </w:r>
      <w:r w:rsidR="004348CC">
        <w:t xml:space="preserve"> or 95% of them.</w:t>
      </w:r>
      <w:r>
        <w:t xml:space="preserve"> </w:t>
      </w:r>
    </w:p>
    <w:p w14:paraId="6E3B4F4E" w14:textId="77777777" w:rsidR="00371D71" w:rsidRDefault="004348CC" w:rsidP="00790AD5">
      <w:pPr>
        <w:pStyle w:val="ListParagraph"/>
        <w:numPr>
          <w:ilvl w:val="0"/>
          <w:numId w:val="63"/>
        </w:numPr>
        <w:jc w:val="both"/>
      </w:pPr>
      <w:r>
        <w:t>UNDP’s planned contribution to the projected UNSDF budget of $261 million is $71.7 million o</w:t>
      </w:r>
      <w:r w:rsidR="00830267">
        <w:t>r</w:t>
      </w:r>
      <w:r>
        <w:t xml:space="preserve"> 27%</w:t>
      </w:r>
      <w:r w:rsidR="00261BE0">
        <w:t xml:space="preserve">. </w:t>
      </w:r>
    </w:p>
    <w:p w14:paraId="63F6A896" w14:textId="77777777" w:rsidR="00371D71" w:rsidRDefault="004348CC" w:rsidP="00790AD5">
      <w:pPr>
        <w:pStyle w:val="ListParagraph"/>
        <w:numPr>
          <w:ilvl w:val="0"/>
          <w:numId w:val="63"/>
        </w:numPr>
        <w:jc w:val="both"/>
      </w:pPr>
      <w:r>
        <w:t xml:space="preserve">UNDP is the predominant player in the outcomes related to environment, poverty and governance, where its planned contributions amount to 44%, 31% and 20% respectively of the planned </w:t>
      </w:r>
      <w:r w:rsidR="00830267">
        <w:t xml:space="preserve">UNSDF </w:t>
      </w:r>
      <w:r>
        <w:t xml:space="preserve">budgets. </w:t>
      </w:r>
    </w:p>
    <w:p w14:paraId="3602F240" w14:textId="77777777" w:rsidR="00371D71" w:rsidRDefault="004348CC" w:rsidP="00790AD5">
      <w:pPr>
        <w:pStyle w:val="ListParagraph"/>
        <w:numPr>
          <w:ilvl w:val="0"/>
          <w:numId w:val="63"/>
        </w:numPr>
        <w:jc w:val="both"/>
      </w:pPr>
      <w:r>
        <w:t>UNDP</w:t>
      </w:r>
      <w:r w:rsidR="00371D71">
        <w:t>’s</w:t>
      </w:r>
      <w:r>
        <w:t xml:space="preserve"> direct contribution to outcome 2 focusing on women, youth, adolescents is not as high as in other outcomes, although contributions are planned through investment in other outcomes.</w:t>
      </w:r>
      <w:r w:rsidR="00261BE0">
        <w:t xml:space="preserve"> </w:t>
      </w:r>
    </w:p>
    <w:p w14:paraId="63BBF90F" w14:textId="15D8B776" w:rsidR="004348CC" w:rsidRDefault="004348CC" w:rsidP="00790AD5">
      <w:pPr>
        <w:pStyle w:val="ListParagraph"/>
        <w:numPr>
          <w:ilvl w:val="0"/>
          <w:numId w:val="63"/>
        </w:numPr>
        <w:jc w:val="both"/>
      </w:pPr>
      <w:r>
        <w:t>Given the context of Angola, and the importance of outcome 2 as an accelerator</w:t>
      </w:r>
      <w:r w:rsidR="00396C06">
        <w:t>/catalyst for her</w:t>
      </w:r>
      <w:r>
        <w:t xml:space="preserve"> development, more resources from UNDP would be a worthwhile investment. </w:t>
      </w:r>
    </w:p>
    <w:p w14:paraId="7C3EB1DB" w14:textId="77777777" w:rsidR="004348CC" w:rsidRDefault="004348CC" w:rsidP="002660C3"/>
    <w:p w14:paraId="58D6C637" w14:textId="77777777" w:rsidR="002660C3" w:rsidRDefault="002660C3" w:rsidP="001001E6">
      <w:pPr>
        <w:pStyle w:val="ListParagraph"/>
        <w:sectPr w:rsidR="002660C3" w:rsidSect="00146D4C">
          <w:pgSz w:w="12240" w:h="15840"/>
          <w:pgMar w:top="1440" w:right="1440" w:bottom="1440" w:left="1440" w:header="720" w:footer="720" w:gutter="0"/>
          <w:cols w:space="720"/>
          <w:docGrid w:linePitch="360"/>
        </w:sectPr>
      </w:pPr>
    </w:p>
    <w:p w14:paraId="0A633039" w14:textId="42E6F920" w:rsidR="00AB786A" w:rsidRDefault="00785016" w:rsidP="009133E8">
      <w:pPr>
        <w:pStyle w:val="Heading1"/>
        <w:numPr>
          <w:ilvl w:val="0"/>
          <w:numId w:val="1"/>
        </w:numPr>
        <w:rPr>
          <w:rFonts w:asciiTheme="minorHAnsi" w:hAnsiTheme="minorHAnsi" w:cstheme="minorHAnsi"/>
          <w:sz w:val="22"/>
          <w:szCs w:val="22"/>
        </w:rPr>
      </w:pPr>
      <w:bookmarkStart w:id="19" w:name="_Toc88741776"/>
      <w:r w:rsidRPr="009133E8">
        <w:rPr>
          <w:rFonts w:asciiTheme="minorHAnsi" w:hAnsiTheme="minorHAnsi" w:cstheme="minorHAnsi"/>
          <w:sz w:val="22"/>
          <w:szCs w:val="22"/>
        </w:rPr>
        <w:lastRenderedPageBreak/>
        <w:t xml:space="preserve">Evaluation </w:t>
      </w:r>
      <w:r w:rsidR="000520AE">
        <w:rPr>
          <w:rFonts w:asciiTheme="minorHAnsi" w:hAnsiTheme="minorHAnsi" w:cstheme="minorHAnsi"/>
          <w:sz w:val="22"/>
          <w:szCs w:val="22"/>
        </w:rPr>
        <w:t xml:space="preserve">Scope, </w:t>
      </w:r>
      <w:r w:rsidR="00AB786A">
        <w:rPr>
          <w:rFonts w:asciiTheme="minorHAnsi" w:hAnsiTheme="minorHAnsi" w:cstheme="minorHAnsi"/>
          <w:sz w:val="22"/>
          <w:szCs w:val="22"/>
        </w:rPr>
        <w:t>Methods</w:t>
      </w:r>
      <w:r w:rsidR="000520AE">
        <w:rPr>
          <w:rFonts w:asciiTheme="minorHAnsi" w:hAnsiTheme="minorHAnsi" w:cstheme="minorHAnsi"/>
          <w:sz w:val="22"/>
          <w:szCs w:val="22"/>
        </w:rPr>
        <w:t xml:space="preserve"> and Challenges</w:t>
      </w:r>
      <w:bookmarkEnd w:id="19"/>
    </w:p>
    <w:p w14:paraId="0DB7BEEE" w14:textId="50EA7D17" w:rsidR="00241228" w:rsidRPr="00AB786A" w:rsidRDefault="00AB786A" w:rsidP="00AB786A">
      <w:pPr>
        <w:pStyle w:val="Heading2"/>
        <w:rPr>
          <w:rFonts w:asciiTheme="minorHAnsi" w:hAnsiTheme="minorHAnsi" w:cstheme="minorHAnsi"/>
          <w:sz w:val="22"/>
          <w:szCs w:val="22"/>
        </w:rPr>
      </w:pPr>
      <w:bookmarkStart w:id="20" w:name="_Toc88741777"/>
      <w:r>
        <w:rPr>
          <w:rFonts w:asciiTheme="minorHAnsi" w:hAnsiTheme="minorHAnsi" w:cstheme="minorHAnsi"/>
          <w:sz w:val="22"/>
          <w:szCs w:val="22"/>
        </w:rPr>
        <w:t xml:space="preserve">3.1 </w:t>
      </w:r>
      <w:r w:rsidRPr="00AB786A">
        <w:rPr>
          <w:rFonts w:asciiTheme="minorHAnsi" w:hAnsiTheme="minorHAnsi" w:cstheme="minorHAnsi"/>
          <w:sz w:val="22"/>
          <w:szCs w:val="22"/>
        </w:rPr>
        <w:t xml:space="preserve">Evaluation </w:t>
      </w:r>
      <w:r w:rsidR="00254BF5" w:rsidRPr="00AB786A">
        <w:rPr>
          <w:rFonts w:asciiTheme="minorHAnsi" w:hAnsiTheme="minorHAnsi" w:cstheme="minorHAnsi"/>
          <w:sz w:val="22"/>
          <w:szCs w:val="22"/>
        </w:rPr>
        <w:t xml:space="preserve">Purpose and </w:t>
      </w:r>
      <w:r w:rsidR="009133E8" w:rsidRPr="00AB786A">
        <w:rPr>
          <w:rFonts w:asciiTheme="minorHAnsi" w:hAnsiTheme="minorHAnsi" w:cstheme="minorHAnsi"/>
          <w:sz w:val="22"/>
          <w:szCs w:val="22"/>
        </w:rPr>
        <w:t>S</w:t>
      </w:r>
      <w:r w:rsidR="00785016" w:rsidRPr="00AB786A">
        <w:rPr>
          <w:rFonts w:asciiTheme="minorHAnsi" w:hAnsiTheme="minorHAnsi" w:cstheme="minorHAnsi"/>
          <w:sz w:val="22"/>
          <w:szCs w:val="22"/>
        </w:rPr>
        <w:t>cope</w:t>
      </w:r>
      <w:bookmarkEnd w:id="20"/>
      <w:r w:rsidR="00785016" w:rsidRPr="00AB786A">
        <w:rPr>
          <w:rFonts w:asciiTheme="minorHAnsi" w:hAnsiTheme="minorHAnsi" w:cstheme="minorHAnsi"/>
          <w:sz w:val="22"/>
          <w:szCs w:val="22"/>
        </w:rPr>
        <w:t xml:space="preserve"> </w:t>
      </w:r>
    </w:p>
    <w:p w14:paraId="7C25C6D5" w14:textId="4AA37CA6" w:rsidR="00254BF5" w:rsidRDefault="00254BF5" w:rsidP="00254BF5">
      <w:pPr>
        <w:autoSpaceDE w:val="0"/>
        <w:autoSpaceDN w:val="0"/>
        <w:adjustRightInd w:val="0"/>
        <w:jc w:val="both"/>
      </w:pPr>
      <w:r>
        <w:t>The purpose of the evaluation is to assess UNDP's contribution and performance in supporting the national development and priorities under the C</w:t>
      </w:r>
      <w:r w:rsidR="007F7798">
        <w:t xml:space="preserve">ountry </w:t>
      </w:r>
      <w:r>
        <w:t>P</w:t>
      </w:r>
      <w:r w:rsidR="007F7798">
        <w:t xml:space="preserve">rogramme </w:t>
      </w:r>
      <w:r>
        <w:t>D</w:t>
      </w:r>
      <w:r w:rsidR="007F7798">
        <w:t>ocument approved by the Executive Board</w:t>
      </w:r>
      <w:r>
        <w:t>. The evaluation serve</w:t>
      </w:r>
      <w:r w:rsidR="004C568B">
        <w:t>s</w:t>
      </w:r>
      <w:r>
        <w:t xml:space="preserve"> an important accountability function, providing national stakeholders and partners Angola with an impartial assessment of the results of UNDP support. </w:t>
      </w:r>
    </w:p>
    <w:p w14:paraId="5049C13B" w14:textId="2FFF622A" w:rsidR="00254BF5" w:rsidRDefault="00254BF5" w:rsidP="00254BF5">
      <w:pPr>
        <w:autoSpaceDE w:val="0"/>
        <w:autoSpaceDN w:val="0"/>
        <w:adjustRightInd w:val="0"/>
        <w:jc w:val="both"/>
      </w:pPr>
      <w:r>
        <w:t>The evaluation capture</w:t>
      </w:r>
      <w:r w:rsidR="004C568B">
        <w:t>s</w:t>
      </w:r>
      <w:r>
        <w:t xml:space="preserve"> evidence of the relevance, effectiveness, efficiency and sustainability of the current programme, as well as its adaptation to the Covid-19 pandemic, which would be used to strengthen existing programmes and to set the stage for new the preparation of a new CPD. The scope of the CPD evaluation includes UNDP’s contribution to the outcomes and in entirety activities at output levels covering from 2020 to date, including their adaptation to the Covid -19 pandemic, south- south initiatives etc. </w:t>
      </w:r>
    </w:p>
    <w:p w14:paraId="3886C4FB" w14:textId="22EA2F28" w:rsidR="00254BF5" w:rsidRPr="00483B49" w:rsidRDefault="00254BF5" w:rsidP="00254BF5">
      <w:pPr>
        <w:autoSpaceDE w:val="0"/>
        <w:autoSpaceDN w:val="0"/>
        <w:adjustRightInd w:val="0"/>
        <w:jc w:val="both"/>
      </w:pPr>
      <w:r>
        <w:t>The evaluation also cover</w:t>
      </w:r>
      <w:r w:rsidR="004C568B">
        <w:t>s</w:t>
      </w:r>
      <w:r>
        <w:t xml:space="preserve"> interventions funded by all sources, including core UNDP resources, donor funds and government funds. Initiatives from regional and global programmes will be included in the CPD evaluation. The evaluation examine</w:t>
      </w:r>
      <w:r w:rsidR="004C568B">
        <w:t>s</w:t>
      </w:r>
      <w:r>
        <w:t xml:space="preserve"> the UNDP’s contribution toward cross-cutting issues, e.g., human rights, gender, leaving no one behind, and capacity development. The evaluation draw</w:t>
      </w:r>
      <w:r w:rsidR="004C568B">
        <w:t>s</w:t>
      </w:r>
      <w:r>
        <w:t xml:space="preserve"> lessons from the current CPD and propose</w:t>
      </w:r>
      <w:r w:rsidR="004C568B">
        <w:t>s</w:t>
      </w:r>
      <w:r>
        <w:t xml:space="preserve"> recommendations for the next CPD, including on the UN objective of “building back better” post COVID.</w:t>
      </w:r>
    </w:p>
    <w:p w14:paraId="4EFA0351" w14:textId="6E766C43" w:rsidR="00241228" w:rsidRPr="00AB786A" w:rsidRDefault="00AB786A" w:rsidP="00AB786A">
      <w:pPr>
        <w:pStyle w:val="Heading2"/>
        <w:rPr>
          <w:rFonts w:asciiTheme="minorHAnsi" w:hAnsiTheme="minorHAnsi" w:cstheme="minorHAnsi"/>
          <w:sz w:val="22"/>
          <w:szCs w:val="22"/>
        </w:rPr>
      </w:pPr>
      <w:bookmarkStart w:id="21" w:name="_Toc88741778"/>
      <w:r>
        <w:rPr>
          <w:rFonts w:asciiTheme="minorHAnsi" w:hAnsiTheme="minorHAnsi" w:cstheme="minorHAnsi"/>
          <w:sz w:val="22"/>
          <w:szCs w:val="22"/>
        </w:rPr>
        <w:t xml:space="preserve">3.2 </w:t>
      </w:r>
      <w:r w:rsidR="00785016" w:rsidRPr="00AB786A">
        <w:rPr>
          <w:rFonts w:asciiTheme="minorHAnsi" w:hAnsiTheme="minorHAnsi" w:cstheme="minorHAnsi"/>
          <w:sz w:val="22"/>
          <w:szCs w:val="22"/>
        </w:rPr>
        <w:t>Evaluation</w:t>
      </w:r>
      <w:r w:rsidR="00151F6F" w:rsidRPr="00AB786A">
        <w:rPr>
          <w:rFonts w:asciiTheme="minorHAnsi" w:hAnsiTheme="minorHAnsi" w:cstheme="minorHAnsi"/>
          <w:sz w:val="22"/>
          <w:szCs w:val="22"/>
        </w:rPr>
        <w:t xml:space="preserve"> </w:t>
      </w:r>
      <w:r w:rsidR="009133E8" w:rsidRPr="00AB786A">
        <w:rPr>
          <w:rFonts w:asciiTheme="minorHAnsi" w:hAnsiTheme="minorHAnsi" w:cstheme="minorHAnsi"/>
          <w:sz w:val="22"/>
          <w:szCs w:val="22"/>
        </w:rPr>
        <w:t>M</w:t>
      </w:r>
      <w:r w:rsidR="00785016" w:rsidRPr="00AB786A">
        <w:rPr>
          <w:rFonts w:asciiTheme="minorHAnsi" w:hAnsiTheme="minorHAnsi" w:cstheme="minorHAnsi"/>
          <w:sz w:val="22"/>
          <w:szCs w:val="22"/>
        </w:rPr>
        <w:t>ethods</w:t>
      </w:r>
      <w:r w:rsidR="000520AE">
        <w:rPr>
          <w:rFonts w:asciiTheme="minorHAnsi" w:hAnsiTheme="minorHAnsi" w:cstheme="minorHAnsi"/>
          <w:sz w:val="22"/>
          <w:szCs w:val="22"/>
        </w:rPr>
        <w:t xml:space="preserve"> and </w:t>
      </w:r>
      <w:r w:rsidR="00785016" w:rsidRPr="00AB786A">
        <w:rPr>
          <w:rFonts w:asciiTheme="minorHAnsi" w:hAnsiTheme="minorHAnsi" w:cstheme="minorHAnsi"/>
          <w:sz w:val="22"/>
          <w:szCs w:val="22"/>
        </w:rPr>
        <w:t>Approach</w:t>
      </w:r>
      <w:bookmarkEnd w:id="21"/>
      <w:r w:rsidR="00241228" w:rsidRPr="00AB786A">
        <w:rPr>
          <w:rFonts w:asciiTheme="minorHAnsi" w:hAnsiTheme="minorHAnsi" w:cstheme="minorHAnsi"/>
          <w:sz w:val="22"/>
          <w:szCs w:val="22"/>
        </w:rPr>
        <w:t xml:space="preserve"> </w:t>
      </w:r>
    </w:p>
    <w:p w14:paraId="61562F46" w14:textId="6A79E51B" w:rsidR="00151F6F" w:rsidRPr="00A40403" w:rsidRDefault="00A40403" w:rsidP="00A40403">
      <w:pPr>
        <w:pStyle w:val="Heading3"/>
        <w:rPr>
          <w:rFonts w:asciiTheme="minorHAnsi" w:hAnsiTheme="minorHAnsi" w:cstheme="minorHAnsi"/>
          <w:sz w:val="22"/>
          <w:szCs w:val="22"/>
          <w:lang w:val="en-US"/>
        </w:rPr>
      </w:pPr>
      <w:bookmarkStart w:id="22" w:name="_Toc88741779"/>
      <w:r w:rsidRPr="00A40403">
        <w:rPr>
          <w:rFonts w:asciiTheme="minorHAnsi" w:hAnsiTheme="minorHAnsi" w:cstheme="minorHAnsi"/>
          <w:sz w:val="22"/>
          <w:szCs w:val="22"/>
          <w:lang w:val="en-US"/>
        </w:rPr>
        <w:t xml:space="preserve">3.2.1 </w:t>
      </w:r>
      <w:r w:rsidR="00151F6F" w:rsidRPr="00A40403">
        <w:rPr>
          <w:rFonts w:asciiTheme="minorHAnsi" w:hAnsiTheme="minorHAnsi" w:cstheme="minorHAnsi"/>
          <w:sz w:val="22"/>
          <w:szCs w:val="22"/>
          <w:lang w:val="en-US"/>
        </w:rPr>
        <w:t>Evaluation Criteria</w:t>
      </w:r>
      <w:bookmarkEnd w:id="22"/>
    </w:p>
    <w:p w14:paraId="12CB0305" w14:textId="70CC1BDF" w:rsidR="00151F6F" w:rsidRDefault="00151F6F" w:rsidP="00151F6F">
      <w:pPr>
        <w:rPr>
          <w:lang w:val="en-US"/>
        </w:rPr>
      </w:pPr>
      <w:r>
        <w:rPr>
          <w:lang w:val="en-US"/>
        </w:rPr>
        <w:t>As set out in the ToRs, the evaluation was guided by the following three broad questions:</w:t>
      </w:r>
    </w:p>
    <w:p w14:paraId="113F8EDE" w14:textId="77777777" w:rsidR="00151F6F" w:rsidRPr="003A59B5" w:rsidRDefault="00151F6F" w:rsidP="001C3CEC">
      <w:pPr>
        <w:pStyle w:val="ListParagraph"/>
        <w:numPr>
          <w:ilvl w:val="0"/>
          <w:numId w:val="5"/>
        </w:numPr>
        <w:jc w:val="both"/>
        <w:rPr>
          <w:lang w:val="en-US"/>
        </w:rPr>
      </w:pPr>
      <w:r>
        <w:t>What did the UNDP country programme intend to achieve during the period under review?</w:t>
      </w:r>
    </w:p>
    <w:p w14:paraId="4E588907" w14:textId="77777777" w:rsidR="00151F6F" w:rsidRPr="003A59B5" w:rsidRDefault="00151F6F" w:rsidP="001C3CEC">
      <w:pPr>
        <w:pStyle w:val="ListParagraph"/>
        <w:numPr>
          <w:ilvl w:val="0"/>
          <w:numId w:val="5"/>
        </w:numPr>
        <w:jc w:val="both"/>
        <w:rPr>
          <w:lang w:val="en-US"/>
        </w:rPr>
      </w:pPr>
      <w:r>
        <w:t>To what extent has the programme achieved (or is likely to achieve) its intended objectives at the output level, and what contribution has it made at the outcome level and towards the UNSDCF?</w:t>
      </w:r>
    </w:p>
    <w:p w14:paraId="358DBC18" w14:textId="77777777" w:rsidR="00151F6F" w:rsidRPr="003A59B5" w:rsidRDefault="00151F6F" w:rsidP="001C3CEC">
      <w:pPr>
        <w:pStyle w:val="ListParagraph"/>
        <w:numPr>
          <w:ilvl w:val="0"/>
          <w:numId w:val="5"/>
        </w:numPr>
        <w:jc w:val="both"/>
        <w:rPr>
          <w:lang w:val="en-US"/>
        </w:rPr>
      </w:pPr>
      <w:r>
        <w:t>What factors contributed to or hindered UNDP’s performance and eventually, the sustainability of results?</w:t>
      </w:r>
    </w:p>
    <w:p w14:paraId="1975A370" w14:textId="77777777" w:rsidR="00151F6F" w:rsidRPr="003A59B5" w:rsidRDefault="00151F6F" w:rsidP="001C3CEC">
      <w:pPr>
        <w:pStyle w:val="ListParagraph"/>
        <w:numPr>
          <w:ilvl w:val="0"/>
          <w:numId w:val="5"/>
        </w:numPr>
        <w:jc w:val="both"/>
        <w:rPr>
          <w:lang w:val="en-US"/>
        </w:rPr>
      </w:pPr>
      <w:r>
        <w:t>To what extent was UNDP able to adapt to the COVID-19 situation and contribute effectively to the national response?</w:t>
      </w:r>
    </w:p>
    <w:p w14:paraId="3C1CFC3E" w14:textId="69CE0519" w:rsidR="00151F6F" w:rsidRDefault="00151F6F" w:rsidP="00151F6F">
      <w:pPr>
        <w:jc w:val="both"/>
      </w:pPr>
      <w:r>
        <w:t xml:space="preserve"> In addition to the above questions, the evaluation examined the evaluation criteria of relevance, effectiveness, efficiency and sustainability. These are further developed in the Evaluation Matrix in annex </w:t>
      </w:r>
      <w:r w:rsidR="001728A0">
        <w:t>3</w:t>
      </w:r>
      <w:r>
        <w:t xml:space="preserve">. </w:t>
      </w:r>
      <w:r w:rsidR="00FF6ED2">
        <w:t xml:space="preserve"> </w:t>
      </w:r>
      <w:r w:rsidRPr="00151F6F">
        <w:rPr>
          <w:lang w:val="en-US"/>
        </w:rPr>
        <w:t xml:space="preserve">The </w:t>
      </w:r>
      <w:r w:rsidR="007F7798">
        <w:rPr>
          <w:lang w:val="en-US"/>
        </w:rPr>
        <w:t xml:space="preserve">UNDP CPD </w:t>
      </w:r>
      <w:r w:rsidRPr="00151F6F">
        <w:rPr>
          <w:lang w:val="en-US"/>
        </w:rPr>
        <w:t>results framework, with its outcomes, outputs and indicators</w:t>
      </w:r>
      <w:r>
        <w:rPr>
          <w:lang w:val="en-US"/>
        </w:rPr>
        <w:t xml:space="preserve"> was</w:t>
      </w:r>
      <w:r w:rsidRPr="00151F6F">
        <w:rPr>
          <w:lang w:val="en-US"/>
        </w:rPr>
        <w:t xml:space="preserve"> used</w:t>
      </w:r>
      <w:r>
        <w:rPr>
          <w:lang w:val="en-US"/>
        </w:rPr>
        <w:t xml:space="preserve"> </w:t>
      </w:r>
      <w:r w:rsidRPr="00151F6F">
        <w:t>to ensure that the results achieved by UNDP are accurately and objectively identified, documented and analysed</w:t>
      </w:r>
      <w:r>
        <w:t xml:space="preserve">. The evaluation team </w:t>
      </w:r>
      <w:r w:rsidR="00E64C58">
        <w:t xml:space="preserve">also </w:t>
      </w:r>
      <w:r>
        <w:t>assessed programme interlinkages, synergies and review</w:t>
      </w:r>
      <w:r w:rsidR="007F7798">
        <w:t>ed</w:t>
      </w:r>
      <w:r>
        <w:t xml:space="preserve"> evidence of mutually reinforcing results. </w:t>
      </w:r>
    </w:p>
    <w:p w14:paraId="3F05B3BC" w14:textId="666EAACA" w:rsidR="00151F6F" w:rsidRPr="00A40403" w:rsidRDefault="00A40403" w:rsidP="00A40403">
      <w:pPr>
        <w:pStyle w:val="Heading3"/>
        <w:rPr>
          <w:rFonts w:asciiTheme="minorHAnsi" w:hAnsiTheme="minorHAnsi" w:cstheme="minorHAnsi"/>
          <w:sz w:val="22"/>
          <w:szCs w:val="22"/>
        </w:rPr>
      </w:pPr>
      <w:bookmarkStart w:id="23" w:name="_Toc84848101"/>
      <w:bookmarkStart w:id="24" w:name="_Toc88741780"/>
      <w:r>
        <w:rPr>
          <w:rFonts w:asciiTheme="minorHAnsi" w:hAnsiTheme="minorHAnsi" w:cstheme="minorHAnsi"/>
          <w:sz w:val="22"/>
          <w:szCs w:val="22"/>
        </w:rPr>
        <w:t xml:space="preserve">3.2.2 </w:t>
      </w:r>
      <w:r w:rsidR="00151F6F" w:rsidRPr="00A40403">
        <w:rPr>
          <w:rFonts w:asciiTheme="minorHAnsi" w:hAnsiTheme="minorHAnsi" w:cstheme="minorHAnsi"/>
          <w:sz w:val="22"/>
          <w:szCs w:val="22"/>
        </w:rPr>
        <w:t>Evaluation Approach and Methodology</w:t>
      </w:r>
      <w:bookmarkEnd w:id="23"/>
      <w:bookmarkEnd w:id="24"/>
    </w:p>
    <w:p w14:paraId="4D444BF9" w14:textId="397D4658" w:rsidR="00151F6F" w:rsidRDefault="00151F6F" w:rsidP="00151F6F">
      <w:pPr>
        <w:jc w:val="both"/>
        <w:rPr>
          <w:lang w:val="en-US"/>
        </w:rPr>
      </w:pPr>
      <w:r>
        <w:rPr>
          <w:lang w:val="en-US"/>
        </w:rPr>
        <w:t>The</w:t>
      </w:r>
      <w:r w:rsidR="00134B36">
        <w:rPr>
          <w:lang w:val="en-US"/>
        </w:rPr>
        <w:t xml:space="preserve"> evaluation </w:t>
      </w:r>
      <w:r w:rsidR="00FF6ED2">
        <w:rPr>
          <w:lang w:val="en-US"/>
        </w:rPr>
        <w:t xml:space="preserve">followed </w:t>
      </w:r>
      <w:r>
        <w:rPr>
          <w:lang w:val="en-US"/>
        </w:rPr>
        <w:t xml:space="preserve">the Guidelines </w:t>
      </w:r>
      <w:r w:rsidR="00FF6ED2">
        <w:rPr>
          <w:lang w:val="en-US"/>
        </w:rPr>
        <w:t xml:space="preserve">of </w:t>
      </w:r>
      <w:r>
        <w:rPr>
          <w:lang w:val="en-US"/>
        </w:rPr>
        <w:t xml:space="preserve">the UNDP Independent Evaluation Office (IEO), and in particular </w:t>
      </w:r>
      <w:r w:rsidR="00FF6ED2">
        <w:rPr>
          <w:lang w:val="en-US"/>
        </w:rPr>
        <w:t xml:space="preserve">as reflected in </w:t>
      </w:r>
      <w:r>
        <w:rPr>
          <w:lang w:val="en-US"/>
        </w:rPr>
        <w:t>the detailed Terms of Reference developed by UNDP Angola. This section presents the approach and methodology of the consultants. Particular efforts w</w:t>
      </w:r>
      <w:r w:rsidR="007F7798">
        <w:rPr>
          <w:lang w:val="en-US"/>
        </w:rPr>
        <w:t>ere</w:t>
      </w:r>
      <w:r>
        <w:rPr>
          <w:lang w:val="en-US"/>
        </w:rPr>
        <w:t xml:space="preserve"> made to ensure a fully inclusive and participatory process, in line with “leave no one behind” mantra.</w:t>
      </w:r>
    </w:p>
    <w:p w14:paraId="394064A1" w14:textId="5342AF77" w:rsidR="00151F6F" w:rsidRPr="00E64C58" w:rsidRDefault="00151F6F" w:rsidP="00E64C58">
      <w:pPr>
        <w:jc w:val="both"/>
        <w:rPr>
          <w:lang w:val="en-US"/>
        </w:rPr>
      </w:pPr>
      <w:r>
        <w:rPr>
          <w:lang w:val="en-US"/>
        </w:rPr>
        <w:lastRenderedPageBreak/>
        <w:t>The evaluation w</w:t>
      </w:r>
      <w:r w:rsidR="007F7798">
        <w:rPr>
          <w:lang w:val="en-US"/>
        </w:rPr>
        <w:t>as</w:t>
      </w:r>
      <w:r>
        <w:rPr>
          <w:lang w:val="en-US"/>
        </w:rPr>
        <w:t xml:space="preserve"> conducted in six phases, namely:</w:t>
      </w:r>
      <w:r w:rsidR="00E64C58">
        <w:rPr>
          <w:lang w:val="en-US"/>
        </w:rPr>
        <w:t xml:space="preserve"> a) </w:t>
      </w:r>
      <w:r w:rsidRPr="00E64C58">
        <w:rPr>
          <w:lang w:val="en-US"/>
        </w:rPr>
        <w:t>Inception Phase</w:t>
      </w:r>
      <w:r w:rsidR="00E64C58">
        <w:rPr>
          <w:lang w:val="en-US"/>
        </w:rPr>
        <w:t xml:space="preserve">; b) </w:t>
      </w:r>
      <w:r w:rsidRPr="00E64C58">
        <w:rPr>
          <w:lang w:val="en-US"/>
        </w:rPr>
        <w:t xml:space="preserve">Stakeholder </w:t>
      </w:r>
      <w:r w:rsidR="00E64C58" w:rsidRPr="00E64C58">
        <w:rPr>
          <w:lang w:val="en-US"/>
        </w:rPr>
        <w:t>Consultations</w:t>
      </w:r>
      <w:r w:rsidR="00E64C58">
        <w:rPr>
          <w:lang w:val="en-US"/>
        </w:rPr>
        <w:t xml:space="preserve">; c) </w:t>
      </w:r>
      <w:r w:rsidRPr="00E64C58">
        <w:rPr>
          <w:lang w:val="en-US"/>
        </w:rPr>
        <w:t>Field Visits</w:t>
      </w:r>
      <w:r w:rsidR="00E64C58">
        <w:rPr>
          <w:lang w:val="en-US"/>
        </w:rPr>
        <w:t xml:space="preserve">; d) </w:t>
      </w:r>
      <w:r w:rsidRPr="00E64C58">
        <w:rPr>
          <w:lang w:val="en-US"/>
        </w:rPr>
        <w:t>Analysis and Drafting of Report</w:t>
      </w:r>
      <w:r w:rsidR="00E64C58">
        <w:rPr>
          <w:lang w:val="en-US"/>
        </w:rPr>
        <w:t xml:space="preserve">; e) </w:t>
      </w:r>
      <w:r w:rsidRPr="00E64C58">
        <w:rPr>
          <w:lang w:val="en-US"/>
        </w:rPr>
        <w:t>Validation with Stakeholders</w:t>
      </w:r>
      <w:r w:rsidR="00E64C58">
        <w:rPr>
          <w:lang w:val="en-US"/>
        </w:rPr>
        <w:t xml:space="preserve">; and f) </w:t>
      </w:r>
      <w:r w:rsidRPr="00E64C58">
        <w:rPr>
          <w:lang w:val="en-US"/>
        </w:rPr>
        <w:t>Finalization and submission</w:t>
      </w:r>
      <w:r w:rsidR="007F7798">
        <w:rPr>
          <w:lang w:val="en-US"/>
        </w:rPr>
        <w:t>. Key activities included</w:t>
      </w:r>
      <w:r w:rsidR="002D600F">
        <w:rPr>
          <w:lang w:val="en-US"/>
        </w:rPr>
        <w:t>: stakeholder consultations; site visits and extensive documents review and analysis.</w:t>
      </w:r>
      <w:r w:rsidR="00FF6ED2">
        <w:rPr>
          <w:lang w:val="en-US"/>
        </w:rPr>
        <w:t xml:space="preserve"> The details </w:t>
      </w:r>
      <w:r w:rsidR="00161DF4">
        <w:rPr>
          <w:lang w:val="en-US"/>
        </w:rPr>
        <w:t>are</w:t>
      </w:r>
      <w:r w:rsidR="00FF6ED2">
        <w:rPr>
          <w:lang w:val="en-US"/>
        </w:rPr>
        <w:t xml:space="preserve"> in the Inception Report.</w:t>
      </w:r>
    </w:p>
    <w:p w14:paraId="0E47A6EA" w14:textId="2A196051" w:rsidR="00151F6F" w:rsidRPr="00A40403" w:rsidRDefault="00A40403" w:rsidP="00A40403">
      <w:pPr>
        <w:pStyle w:val="Heading3"/>
        <w:rPr>
          <w:rFonts w:asciiTheme="minorHAnsi" w:hAnsiTheme="minorHAnsi" w:cstheme="minorHAnsi"/>
          <w:sz w:val="22"/>
          <w:szCs w:val="22"/>
        </w:rPr>
      </w:pPr>
      <w:bookmarkStart w:id="25" w:name="_Toc84848103"/>
      <w:bookmarkStart w:id="26" w:name="_Toc88741781"/>
      <w:r w:rsidRPr="00A40403">
        <w:rPr>
          <w:rFonts w:asciiTheme="minorHAnsi" w:hAnsiTheme="minorHAnsi" w:cstheme="minorHAnsi"/>
          <w:sz w:val="22"/>
          <w:szCs w:val="22"/>
        </w:rPr>
        <w:t>3.2.</w:t>
      </w:r>
      <w:r w:rsidR="000520AE">
        <w:rPr>
          <w:rFonts w:asciiTheme="minorHAnsi" w:hAnsiTheme="minorHAnsi" w:cstheme="minorHAnsi"/>
          <w:sz w:val="22"/>
          <w:szCs w:val="22"/>
        </w:rPr>
        <w:t>3</w:t>
      </w:r>
      <w:r w:rsidRPr="00A40403">
        <w:rPr>
          <w:rFonts w:asciiTheme="minorHAnsi" w:hAnsiTheme="minorHAnsi" w:cstheme="minorHAnsi"/>
          <w:sz w:val="22"/>
          <w:szCs w:val="22"/>
        </w:rPr>
        <w:t xml:space="preserve"> </w:t>
      </w:r>
      <w:r w:rsidR="00151F6F" w:rsidRPr="00A40403">
        <w:rPr>
          <w:rFonts w:asciiTheme="minorHAnsi" w:hAnsiTheme="minorHAnsi" w:cstheme="minorHAnsi"/>
          <w:sz w:val="22"/>
          <w:szCs w:val="22"/>
        </w:rPr>
        <w:t>Stakeholder consultations</w:t>
      </w:r>
      <w:bookmarkEnd w:id="25"/>
      <w:r w:rsidR="000520AE">
        <w:rPr>
          <w:rFonts w:asciiTheme="minorHAnsi" w:hAnsiTheme="minorHAnsi" w:cstheme="minorHAnsi"/>
          <w:sz w:val="22"/>
          <w:szCs w:val="22"/>
        </w:rPr>
        <w:t xml:space="preserve"> and Site Visits</w:t>
      </w:r>
      <w:bookmarkEnd w:id="26"/>
    </w:p>
    <w:p w14:paraId="0BB0EA92" w14:textId="4E7C188C" w:rsidR="00151F6F" w:rsidRDefault="00151F6F" w:rsidP="00151F6F">
      <w:pPr>
        <w:jc w:val="both"/>
        <w:rPr>
          <w:rFonts w:cstheme="minorHAnsi"/>
        </w:rPr>
      </w:pPr>
      <w:r w:rsidRPr="00380D7D">
        <w:rPr>
          <w:rFonts w:cstheme="minorHAnsi"/>
        </w:rPr>
        <w:t>The evaluation team consult</w:t>
      </w:r>
      <w:r w:rsidR="00134B36">
        <w:rPr>
          <w:rFonts w:cstheme="minorHAnsi"/>
        </w:rPr>
        <w:t>ed</w:t>
      </w:r>
      <w:r w:rsidRPr="00380D7D">
        <w:rPr>
          <w:rFonts w:cstheme="minorHAnsi"/>
        </w:rPr>
        <w:t xml:space="preserve"> with all the main stakeholders and partners UNDP is working with to implement the CPD 2020-2021. The principle of </w:t>
      </w:r>
      <w:r>
        <w:rPr>
          <w:rFonts w:cstheme="minorHAnsi"/>
        </w:rPr>
        <w:t>“</w:t>
      </w:r>
      <w:r w:rsidRPr="00380D7D">
        <w:rPr>
          <w:rFonts w:cstheme="minorHAnsi"/>
        </w:rPr>
        <w:t>Leave No One Behind</w:t>
      </w:r>
      <w:r>
        <w:rPr>
          <w:rFonts w:cstheme="minorHAnsi"/>
        </w:rPr>
        <w:t>”</w:t>
      </w:r>
      <w:r w:rsidRPr="00380D7D">
        <w:rPr>
          <w:rFonts w:cstheme="minorHAnsi"/>
        </w:rPr>
        <w:t xml:space="preserve"> which informs the CPD w</w:t>
      </w:r>
      <w:r w:rsidR="00134B36">
        <w:rPr>
          <w:rFonts w:cstheme="minorHAnsi"/>
        </w:rPr>
        <w:t>as</w:t>
      </w:r>
      <w:r w:rsidRPr="00380D7D">
        <w:rPr>
          <w:rFonts w:cstheme="minorHAnsi"/>
        </w:rPr>
        <w:t xml:space="preserve"> </w:t>
      </w:r>
      <w:r>
        <w:rPr>
          <w:rFonts w:cstheme="minorHAnsi"/>
        </w:rPr>
        <w:t>observed</w:t>
      </w:r>
      <w:r w:rsidRPr="00380D7D">
        <w:rPr>
          <w:rFonts w:cstheme="minorHAnsi"/>
        </w:rPr>
        <w:t xml:space="preserve"> in selecting stakeholders</w:t>
      </w:r>
      <w:r>
        <w:rPr>
          <w:rFonts w:cstheme="minorHAnsi"/>
        </w:rPr>
        <w:t xml:space="preserve"> to consult. A list of key stakeholders is presented in Annex </w:t>
      </w:r>
      <w:r w:rsidR="001728A0">
        <w:rPr>
          <w:rFonts w:cstheme="minorHAnsi"/>
        </w:rPr>
        <w:t>4</w:t>
      </w:r>
      <w:r w:rsidRPr="00E94CA3">
        <w:rPr>
          <w:rFonts w:cstheme="minorHAnsi"/>
        </w:rPr>
        <w:t>.</w:t>
      </w:r>
      <w:r w:rsidR="00C0172D">
        <w:rPr>
          <w:rFonts w:cstheme="minorHAnsi"/>
        </w:rPr>
        <w:t xml:space="preserve"> </w:t>
      </w:r>
      <w:r>
        <w:rPr>
          <w:rFonts w:cstheme="minorHAnsi"/>
        </w:rPr>
        <w:t>The stakeholders</w:t>
      </w:r>
      <w:r w:rsidR="00E64C58">
        <w:rPr>
          <w:rFonts w:cstheme="minorHAnsi"/>
        </w:rPr>
        <w:t xml:space="preserve"> were identified </w:t>
      </w:r>
      <w:r>
        <w:rPr>
          <w:rFonts w:cstheme="minorHAnsi"/>
        </w:rPr>
        <w:t>in close consultation with UNDP CO</w:t>
      </w:r>
      <w:r w:rsidR="002D600F">
        <w:rPr>
          <w:rFonts w:cstheme="minorHAnsi"/>
        </w:rPr>
        <w:t xml:space="preserve"> based</w:t>
      </w:r>
      <w:r>
        <w:rPr>
          <w:rFonts w:cstheme="minorHAnsi"/>
        </w:rPr>
        <w:t xml:space="preserve"> on the following criteria:</w:t>
      </w:r>
    </w:p>
    <w:p w14:paraId="1D23A20E" w14:textId="55E27CE0" w:rsidR="00151F6F" w:rsidRPr="00E94CA3" w:rsidRDefault="00151F6F" w:rsidP="001C3CEC">
      <w:pPr>
        <w:pStyle w:val="ListParagraph"/>
        <w:numPr>
          <w:ilvl w:val="0"/>
          <w:numId w:val="7"/>
        </w:numPr>
        <w:jc w:val="both"/>
        <w:rPr>
          <w:rFonts w:cstheme="minorHAnsi"/>
        </w:rPr>
      </w:pPr>
      <w:r>
        <w:rPr>
          <w:rFonts w:cstheme="minorHAnsi"/>
        </w:rPr>
        <w:t>The portfolio analyses presented under section</w:t>
      </w:r>
      <w:r w:rsidR="002D600F">
        <w:rPr>
          <w:rFonts w:cstheme="minorHAnsi"/>
        </w:rPr>
        <w:t>s 2.1 and 2.2</w:t>
      </w:r>
      <w:r>
        <w:rPr>
          <w:rFonts w:cstheme="minorHAnsi"/>
        </w:rPr>
        <w:t xml:space="preserve"> w</w:t>
      </w:r>
      <w:r w:rsidR="00134B36">
        <w:rPr>
          <w:rFonts w:cstheme="minorHAnsi"/>
        </w:rPr>
        <w:t>as</w:t>
      </w:r>
      <w:r>
        <w:rPr>
          <w:rFonts w:cstheme="minorHAnsi"/>
        </w:rPr>
        <w:t xml:space="preserve"> taken into account in guiding the stakeholder selection. </w:t>
      </w:r>
      <w:r w:rsidRPr="00E94CA3">
        <w:rPr>
          <w:rFonts w:cstheme="minorHAnsi"/>
        </w:rPr>
        <w:t xml:space="preserve">Stakeholders </w:t>
      </w:r>
      <w:r>
        <w:rPr>
          <w:rFonts w:cstheme="minorHAnsi"/>
        </w:rPr>
        <w:t>w</w:t>
      </w:r>
      <w:r w:rsidR="00134B36">
        <w:rPr>
          <w:rFonts w:cstheme="minorHAnsi"/>
        </w:rPr>
        <w:t>ere</w:t>
      </w:r>
      <w:r w:rsidRPr="00E94CA3">
        <w:rPr>
          <w:rFonts w:cstheme="minorHAnsi"/>
        </w:rPr>
        <w:t xml:space="preserve"> representative of the entire UNDP project portfolio – thus stakeholders from each of the projects of each of the three programme clusters w</w:t>
      </w:r>
      <w:r w:rsidR="00134B36">
        <w:rPr>
          <w:rFonts w:cstheme="minorHAnsi"/>
        </w:rPr>
        <w:t>ere</w:t>
      </w:r>
      <w:r w:rsidRPr="00E94CA3">
        <w:rPr>
          <w:rFonts w:cstheme="minorHAnsi"/>
        </w:rPr>
        <w:t xml:space="preserve"> interviewed. </w:t>
      </w:r>
    </w:p>
    <w:p w14:paraId="7B0CC3B5" w14:textId="4C98AAE8" w:rsidR="00151F6F" w:rsidRDefault="00151F6F" w:rsidP="001C3CEC">
      <w:pPr>
        <w:pStyle w:val="ListParagraph"/>
        <w:numPr>
          <w:ilvl w:val="0"/>
          <w:numId w:val="7"/>
        </w:numPr>
        <w:jc w:val="both"/>
        <w:rPr>
          <w:rFonts w:cstheme="minorHAnsi"/>
        </w:rPr>
      </w:pPr>
      <w:r>
        <w:rPr>
          <w:rFonts w:cstheme="minorHAnsi"/>
        </w:rPr>
        <w:t>For each programme cluster and project, efforts have been made to ensure that stakeholders represent a broad spectrum: Government Institutions; Local authorities; Civil society; project beneficiaries; Women; youths; UN partners; and development partners. This</w:t>
      </w:r>
      <w:r w:rsidR="00134B36">
        <w:rPr>
          <w:rFonts w:cstheme="minorHAnsi"/>
        </w:rPr>
        <w:t xml:space="preserve"> served to </w:t>
      </w:r>
      <w:r>
        <w:rPr>
          <w:rFonts w:cstheme="minorHAnsi"/>
        </w:rPr>
        <w:t>ensure that when reviewing a particular programme cluster and related projects, the views of all stakeholders involved is collected and analysed. Any inconsistences and or conflicting views by different stakeholders w</w:t>
      </w:r>
      <w:r w:rsidR="00134B36">
        <w:rPr>
          <w:rFonts w:cstheme="minorHAnsi"/>
        </w:rPr>
        <w:t>ere</w:t>
      </w:r>
      <w:r>
        <w:rPr>
          <w:rFonts w:cstheme="minorHAnsi"/>
        </w:rPr>
        <w:t xml:space="preserve"> documented and followed up</w:t>
      </w:r>
      <w:r w:rsidR="00134B36">
        <w:rPr>
          <w:rFonts w:cstheme="minorHAnsi"/>
        </w:rPr>
        <w:t xml:space="preserve">, thus </w:t>
      </w:r>
      <w:r>
        <w:rPr>
          <w:rFonts w:cstheme="minorHAnsi"/>
        </w:rPr>
        <w:t>strengthen</w:t>
      </w:r>
      <w:r w:rsidR="00134B36">
        <w:rPr>
          <w:rFonts w:cstheme="minorHAnsi"/>
        </w:rPr>
        <w:t>ing</w:t>
      </w:r>
      <w:r>
        <w:rPr>
          <w:rFonts w:cstheme="minorHAnsi"/>
        </w:rPr>
        <w:t xml:space="preserve"> triangulation of evidence collected.</w:t>
      </w:r>
    </w:p>
    <w:p w14:paraId="33BCE1AD" w14:textId="4C14D53F" w:rsidR="00151F6F" w:rsidRDefault="00151F6F" w:rsidP="001C3CEC">
      <w:pPr>
        <w:pStyle w:val="ListParagraph"/>
        <w:numPr>
          <w:ilvl w:val="0"/>
          <w:numId w:val="7"/>
        </w:numPr>
        <w:jc w:val="both"/>
        <w:rPr>
          <w:rFonts w:cstheme="minorHAnsi"/>
        </w:rPr>
      </w:pPr>
      <w:r>
        <w:rPr>
          <w:rFonts w:cstheme="minorHAnsi"/>
        </w:rPr>
        <w:t xml:space="preserve">UNDP is </w:t>
      </w:r>
      <w:r w:rsidR="002D600F">
        <w:rPr>
          <w:rFonts w:cstheme="minorHAnsi"/>
        </w:rPr>
        <w:t>currently</w:t>
      </w:r>
      <w:r>
        <w:rPr>
          <w:rFonts w:cstheme="minorHAnsi"/>
        </w:rPr>
        <w:t xml:space="preserve"> the Principal Recipient </w:t>
      </w:r>
      <w:r w:rsidR="002D600F">
        <w:rPr>
          <w:rFonts w:cstheme="minorHAnsi"/>
        </w:rPr>
        <w:t xml:space="preserve">of the Global Fund in </w:t>
      </w:r>
      <w:r>
        <w:rPr>
          <w:rFonts w:cstheme="minorHAnsi"/>
        </w:rPr>
        <w:t>Angola, and this portfolio is of significant and growing importance to the UNDP portfolio – accounting for 6</w:t>
      </w:r>
      <w:r w:rsidR="00FF6ED2">
        <w:rPr>
          <w:rFonts w:cstheme="minorHAnsi"/>
        </w:rPr>
        <w:t>8</w:t>
      </w:r>
      <w:r>
        <w:rPr>
          <w:rFonts w:cstheme="minorHAnsi"/>
        </w:rPr>
        <w:t xml:space="preserve">% of the CO budget.  The </w:t>
      </w:r>
      <w:r w:rsidR="00134B36">
        <w:rPr>
          <w:rFonts w:cstheme="minorHAnsi"/>
        </w:rPr>
        <w:t>evaluation team</w:t>
      </w:r>
      <w:r>
        <w:rPr>
          <w:rFonts w:cstheme="minorHAnsi"/>
        </w:rPr>
        <w:t xml:space="preserve"> therefore aim</w:t>
      </w:r>
      <w:r w:rsidR="00134B36">
        <w:rPr>
          <w:rFonts w:cstheme="minorHAnsi"/>
        </w:rPr>
        <w:t>ed</w:t>
      </w:r>
      <w:r>
        <w:rPr>
          <w:rFonts w:cstheme="minorHAnsi"/>
        </w:rPr>
        <w:t xml:space="preserve"> to ensure that all the stakeholders involved in implementing Global Fund activities are fully consulted. The stakeholders identified </w:t>
      </w:r>
      <w:r w:rsidR="00134B36">
        <w:rPr>
          <w:rFonts w:cstheme="minorHAnsi"/>
        </w:rPr>
        <w:t xml:space="preserve">under this cluster </w:t>
      </w:r>
      <w:r>
        <w:rPr>
          <w:rFonts w:cstheme="minorHAnsi"/>
        </w:rPr>
        <w:t>include</w:t>
      </w:r>
      <w:r w:rsidR="00134B36">
        <w:rPr>
          <w:rFonts w:cstheme="minorHAnsi"/>
        </w:rPr>
        <w:t>d</w:t>
      </w:r>
      <w:r>
        <w:rPr>
          <w:rFonts w:cstheme="minorHAnsi"/>
        </w:rPr>
        <w:t>: the Global Fund Country Coordinating Mechanism (CCM), UNDP as PR; Sub-Recipients (2 International NGOs); Sub-Sub-Recipients (CBOs); Government Institutions (mainly Ministry of Health and related national programmes on Malaria, TB and HI and AIDs); and, the beneficiaries of Global Fund activities, which include the PLHIV (People Living with HIV and AIDs) as well as their respective support organizations.</w:t>
      </w:r>
    </w:p>
    <w:p w14:paraId="702A8B7A" w14:textId="77777777" w:rsidR="00151F6F" w:rsidRDefault="00151F6F" w:rsidP="001C3CEC">
      <w:pPr>
        <w:pStyle w:val="ListParagraph"/>
        <w:numPr>
          <w:ilvl w:val="0"/>
          <w:numId w:val="7"/>
        </w:numPr>
        <w:jc w:val="both"/>
        <w:rPr>
          <w:rFonts w:cstheme="minorHAnsi"/>
        </w:rPr>
      </w:pPr>
      <w:r>
        <w:rPr>
          <w:rFonts w:cstheme="minorHAnsi"/>
        </w:rPr>
        <w:t xml:space="preserve">Finally, as much as possible, stakeholders have been selected, where relevant, to represent national level institutions, as well as provincial/municipal authorities at the decentralized level. </w:t>
      </w:r>
    </w:p>
    <w:p w14:paraId="2B35BB29" w14:textId="51D60BEE" w:rsidR="00151F6F" w:rsidRDefault="00151F6F" w:rsidP="00151F6F">
      <w:pPr>
        <w:jc w:val="both"/>
        <w:rPr>
          <w:rFonts w:cstheme="minorHAnsi"/>
        </w:rPr>
      </w:pPr>
      <w:r>
        <w:rPr>
          <w:rFonts w:cstheme="minorHAnsi"/>
        </w:rPr>
        <w:t>The main tool use</w:t>
      </w:r>
      <w:r w:rsidR="002D600F">
        <w:rPr>
          <w:rFonts w:cstheme="minorHAnsi"/>
        </w:rPr>
        <w:t xml:space="preserve">d by the evaluation team for </w:t>
      </w:r>
      <w:r>
        <w:rPr>
          <w:rFonts w:cstheme="minorHAnsi"/>
        </w:rPr>
        <w:t xml:space="preserve">the stakeholder consultations </w:t>
      </w:r>
      <w:r w:rsidR="002D600F">
        <w:rPr>
          <w:rFonts w:cstheme="minorHAnsi"/>
        </w:rPr>
        <w:t>was</w:t>
      </w:r>
      <w:r>
        <w:rPr>
          <w:rFonts w:cstheme="minorHAnsi"/>
        </w:rPr>
        <w:t xml:space="preserve"> Key Informant Interviews (KIIs)</w:t>
      </w:r>
      <w:r w:rsidR="002D600F">
        <w:rPr>
          <w:rFonts w:cstheme="minorHAnsi"/>
        </w:rPr>
        <w:t>, which was adapted to different stakeholder contexts</w:t>
      </w:r>
      <w:r w:rsidR="001728A0">
        <w:rPr>
          <w:rFonts w:cstheme="minorHAnsi"/>
        </w:rPr>
        <w:t xml:space="preserve"> – Annex 5</w:t>
      </w:r>
      <w:r>
        <w:rPr>
          <w:rFonts w:cstheme="minorHAnsi"/>
        </w:rPr>
        <w:t>.</w:t>
      </w:r>
    </w:p>
    <w:p w14:paraId="29E9F38B" w14:textId="09C68030" w:rsidR="00151F6F" w:rsidRDefault="00151F6F" w:rsidP="00151F6F">
      <w:pPr>
        <w:jc w:val="both"/>
        <w:rPr>
          <w:lang w:val="en-US"/>
        </w:rPr>
      </w:pPr>
      <w:r>
        <w:rPr>
          <w:lang w:val="en-US"/>
        </w:rPr>
        <w:t xml:space="preserve">The </w:t>
      </w:r>
      <w:r w:rsidR="002D600F">
        <w:rPr>
          <w:lang w:val="en-US"/>
        </w:rPr>
        <w:t xml:space="preserve">evaluation undertook selected site visits the </w:t>
      </w:r>
      <w:r>
        <w:rPr>
          <w:lang w:val="en-US"/>
        </w:rPr>
        <w:t xml:space="preserve">purpose of </w:t>
      </w:r>
      <w:r w:rsidR="002D600F">
        <w:rPr>
          <w:lang w:val="en-US"/>
        </w:rPr>
        <w:t xml:space="preserve">which </w:t>
      </w:r>
      <w:r w:rsidR="00134B36">
        <w:rPr>
          <w:lang w:val="en-US"/>
        </w:rPr>
        <w:t>was</w:t>
      </w:r>
      <w:r>
        <w:rPr>
          <w:lang w:val="en-US"/>
        </w:rPr>
        <w:t xml:space="preserve"> to assess first hand project activities, dialogue with project staff, beneficiaries and local authorities. However, due to Covid-19 travel restrictions in place, the evaluation </w:t>
      </w:r>
      <w:r w:rsidR="002D600F">
        <w:rPr>
          <w:lang w:val="en-US"/>
        </w:rPr>
        <w:t xml:space="preserve">was not able to </w:t>
      </w:r>
      <w:r>
        <w:rPr>
          <w:lang w:val="en-US"/>
        </w:rPr>
        <w:t xml:space="preserve">undertake comprehensive site visits, </w:t>
      </w:r>
      <w:r w:rsidR="002D600F">
        <w:rPr>
          <w:lang w:val="en-US"/>
        </w:rPr>
        <w:t xml:space="preserve">and the visits </w:t>
      </w:r>
      <w:r w:rsidR="00134B36">
        <w:rPr>
          <w:lang w:val="en-US"/>
        </w:rPr>
        <w:t xml:space="preserve">were </w:t>
      </w:r>
      <w:r>
        <w:rPr>
          <w:lang w:val="en-US"/>
        </w:rPr>
        <w:t xml:space="preserve">therefore limited to Luanda Province. </w:t>
      </w:r>
      <w:r w:rsidR="00134B36">
        <w:rPr>
          <w:lang w:val="en-US"/>
        </w:rPr>
        <w:t>I</w:t>
      </w:r>
      <w:r>
        <w:rPr>
          <w:lang w:val="en-US"/>
        </w:rPr>
        <w:t xml:space="preserve">n consultation with UNDP Programme Officers, a representative sample of sites </w:t>
      </w:r>
      <w:r w:rsidR="00E66BCC">
        <w:rPr>
          <w:lang w:val="en-US"/>
        </w:rPr>
        <w:t xml:space="preserve">(see Table 7) </w:t>
      </w:r>
      <w:r>
        <w:rPr>
          <w:lang w:val="en-US"/>
        </w:rPr>
        <w:t xml:space="preserve">was </w:t>
      </w:r>
      <w:r w:rsidR="00E64C58">
        <w:rPr>
          <w:lang w:val="en-US"/>
        </w:rPr>
        <w:t xml:space="preserve">therefore </w:t>
      </w:r>
      <w:r>
        <w:rPr>
          <w:lang w:val="en-US"/>
        </w:rPr>
        <w:t>selected for field visits. In total six sites were selected for the field visits based on the following considerations:</w:t>
      </w:r>
    </w:p>
    <w:p w14:paraId="0F30ED9F" w14:textId="77777777" w:rsidR="00151F6F" w:rsidRDefault="00151F6F" w:rsidP="001C3CEC">
      <w:pPr>
        <w:pStyle w:val="ListParagraph"/>
        <w:numPr>
          <w:ilvl w:val="0"/>
          <w:numId w:val="8"/>
        </w:numPr>
        <w:jc w:val="both"/>
        <w:rPr>
          <w:lang w:val="en-US"/>
        </w:rPr>
      </w:pPr>
      <w:r>
        <w:rPr>
          <w:lang w:val="en-US"/>
        </w:rPr>
        <w:t>All programme clusters/CPD outcomes are represented in the sample;</w:t>
      </w:r>
    </w:p>
    <w:p w14:paraId="6318A33C" w14:textId="77777777" w:rsidR="00151F6F" w:rsidRDefault="00151F6F" w:rsidP="001C3CEC">
      <w:pPr>
        <w:pStyle w:val="ListParagraph"/>
        <w:numPr>
          <w:ilvl w:val="0"/>
          <w:numId w:val="8"/>
        </w:numPr>
        <w:jc w:val="both"/>
        <w:rPr>
          <w:lang w:val="en-US"/>
        </w:rPr>
      </w:pPr>
      <w:r>
        <w:rPr>
          <w:lang w:val="en-US"/>
        </w:rPr>
        <w:t>Sites for field visits reflect importance in UNDP project portfolio – thus given the predominance of Global Fund activities, the majority of the sites were selected from these projects – 4 sites;</w:t>
      </w:r>
    </w:p>
    <w:p w14:paraId="433B10A9" w14:textId="63F9A146" w:rsidR="00151F6F" w:rsidRPr="00065293" w:rsidRDefault="00FF6ED2" w:rsidP="001C3CEC">
      <w:pPr>
        <w:pStyle w:val="ListParagraph"/>
        <w:numPr>
          <w:ilvl w:val="0"/>
          <w:numId w:val="8"/>
        </w:numPr>
        <w:jc w:val="both"/>
        <w:rPr>
          <w:lang w:val="en-US"/>
        </w:rPr>
      </w:pPr>
      <w:r>
        <w:rPr>
          <w:lang w:val="en-US"/>
        </w:rPr>
        <w:lastRenderedPageBreak/>
        <w:t>Sites should d</w:t>
      </w:r>
      <w:r w:rsidR="00151F6F">
        <w:rPr>
          <w:lang w:val="en-US"/>
        </w:rPr>
        <w:t xml:space="preserve">emonstrate inter-programme linkages: e.g., Municipality of Cazenga/Luanda Province (Poverty and Governance programme custers).  </w:t>
      </w:r>
    </w:p>
    <w:p w14:paraId="098F5292" w14:textId="34D29C96" w:rsidR="007A59D5" w:rsidRPr="0063341F" w:rsidRDefault="007A59D5" w:rsidP="00151F6F">
      <w:pPr>
        <w:jc w:val="both"/>
        <w:rPr>
          <w:b/>
          <w:bCs/>
          <w:lang w:val="en-US"/>
        </w:rPr>
      </w:pPr>
      <w:r w:rsidRPr="0063341F">
        <w:rPr>
          <w:b/>
          <w:bCs/>
          <w:lang w:val="en-US"/>
        </w:rPr>
        <w:t xml:space="preserve">Table </w:t>
      </w:r>
      <w:r w:rsidR="00DC7B30" w:rsidRPr="0063341F">
        <w:rPr>
          <w:b/>
          <w:bCs/>
          <w:lang w:val="en-US"/>
        </w:rPr>
        <w:t>7</w:t>
      </w:r>
      <w:r w:rsidRPr="0063341F">
        <w:rPr>
          <w:b/>
          <w:bCs/>
          <w:lang w:val="en-US"/>
        </w:rPr>
        <w:t>: Evaluation Field Site Visits</w:t>
      </w:r>
    </w:p>
    <w:tbl>
      <w:tblPr>
        <w:tblStyle w:val="GridTable1Light"/>
        <w:tblW w:w="9625" w:type="dxa"/>
        <w:tblLook w:val="04A0" w:firstRow="1" w:lastRow="0" w:firstColumn="1" w:lastColumn="0" w:noHBand="0" w:noVBand="1"/>
      </w:tblPr>
      <w:tblGrid>
        <w:gridCol w:w="1615"/>
        <w:gridCol w:w="3600"/>
        <w:gridCol w:w="4410"/>
      </w:tblGrid>
      <w:tr w:rsidR="007A59D5" w:rsidRPr="009E7B4B" w14:paraId="4427028C" w14:textId="77777777" w:rsidTr="007A59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2597C6D3" w14:textId="77777777" w:rsidR="007A59D5" w:rsidRPr="009E7B4B" w:rsidRDefault="007A59D5" w:rsidP="008916C9">
            <w:pPr>
              <w:jc w:val="center"/>
              <w:rPr>
                <w:rFonts w:cstheme="minorHAnsi"/>
                <w:b w:val="0"/>
                <w:sz w:val="20"/>
                <w:szCs w:val="20"/>
              </w:rPr>
            </w:pPr>
            <w:r w:rsidRPr="009E7B4B">
              <w:rPr>
                <w:rFonts w:cstheme="minorHAnsi"/>
                <w:sz w:val="20"/>
                <w:szCs w:val="20"/>
              </w:rPr>
              <w:t>PROGRAM CLUSTER</w:t>
            </w:r>
          </w:p>
        </w:tc>
        <w:tc>
          <w:tcPr>
            <w:tcW w:w="3600" w:type="dxa"/>
          </w:tcPr>
          <w:p w14:paraId="4AB356E8" w14:textId="77777777" w:rsidR="007A59D5" w:rsidRPr="009E7B4B" w:rsidRDefault="007A59D5" w:rsidP="008916C9">
            <w:pPr>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9E7B4B">
              <w:rPr>
                <w:rFonts w:cstheme="minorHAnsi"/>
                <w:sz w:val="20"/>
                <w:szCs w:val="20"/>
              </w:rPr>
              <w:t>PROJECT</w:t>
            </w:r>
          </w:p>
        </w:tc>
        <w:tc>
          <w:tcPr>
            <w:tcW w:w="4410" w:type="dxa"/>
          </w:tcPr>
          <w:p w14:paraId="5D19DC58" w14:textId="77777777" w:rsidR="007A59D5" w:rsidRPr="009E7B4B" w:rsidRDefault="007A59D5" w:rsidP="008916C9">
            <w:pPr>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9E7B4B">
              <w:rPr>
                <w:rFonts w:cstheme="minorHAnsi"/>
                <w:sz w:val="20"/>
                <w:szCs w:val="20"/>
              </w:rPr>
              <w:t>SITE</w:t>
            </w:r>
          </w:p>
        </w:tc>
      </w:tr>
      <w:tr w:rsidR="007A59D5" w:rsidRPr="009E7B4B" w14:paraId="5FABD3B7" w14:textId="77777777" w:rsidTr="007A59D5">
        <w:tc>
          <w:tcPr>
            <w:cnfStyle w:val="001000000000" w:firstRow="0" w:lastRow="0" w:firstColumn="1" w:lastColumn="0" w:oddVBand="0" w:evenVBand="0" w:oddHBand="0" w:evenHBand="0" w:firstRowFirstColumn="0" w:firstRowLastColumn="0" w:lastRowFirstColumn="0" w:lastRowLastColumn="0"/>
            <w:tcW w:w="1615" w:type="dxa"/>
            <w:vMerge w:val="restart"/>
          </w:tcPr>
          <w:p w14:paraId="279981E3" w14:textId="77777777" w:rsidR="007A59D5" w:rsidRPr="009E7B4B" w:rsidRDefault="007A59D5" w:rsidP="008916C9">
            <w:pPr>
              <w:rPr>
                <w:rFonts w:cstheme="minorHAnsi"/>
                <w:b w:val="0"/>
                <w:color w:val="000000"/>
                <w:sz w:val="20"/>
                <w:szCs w:val="20"/>
              </w:rPr>
            </w:pPr>
          </w:p>
          <w:p w14:paraId="4718B0D0" w14:textId="77777777" w:rsidR="007A59D5" w:rsidRPr="009E7B4B" w:rsidRDefault="007A59D5" w:rsidP="008916C9">
            <w:pPr>
              <w:rPr>
                <w:rFonts w:cstheme="minorHAnsi"/>
                <w:b w:val="0"/>
                <w:color w:val="000000"/>
                <w:sz w:val="20"/>
                <w:szCs w:val="20"/>
              </w:rPr>
            </w:pPr>
          </w:p>
          <w:p w14:paraId="1944031E" w14:textId="77777777" w:rsidR="007A59D5" w:rsidRPr="009E7B4B" w:rsidRDefault="007A59D5" w:rsidP="008916C9">
            <w:pPr>
              <w:rPr>
                <w:rFonts w:cstheme="minorHAnsi"/>
                <w:b w:val="0"/>
                <w:color w:val="000000"/>
                <w:sz w:val="20"/>
                <w:szCs w:val="20"/>
              </w:rPr>
            </w:pPr>
            <w:r w:rsidRPr="009E7B4B">
              <w:rPr>
                <w:rFonts w:cstheme="minorHAnsi"/>
                <w:color w:val="000000"/>
                <w:sz w:val="20"/>
                <w:szCs w:val="20"/>
              </w:rPr>
              <w:t>Global Fund</w:t>
            </w:r>
          </w:p>
        </w:tc>
        <w:tc>
          <w:tcPr>
            <w:tcW w:w="3600" w:type="dxa"/>
            <w:vMerge w:val="restart"/>
          </w:tcPr>
          <w:p w14:paraId="61384A6C" w14:textId="77777777" w:rsidR="007A59D5" w:rsidRPr="009E7B4B" w:rsidRDefault="007A59D5" w:rsidP="008916C9">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7B4B">
              <w:rPr>
                <w:rFonts w:cstheme="minorHAnsi"/>
                <w:color w:val="000000"/>
                <w:sz w:val="20"/>
                <w:szCs w:val="20"/>
              </w:rPr>
              <w:t>Strengthening the National Response to HIV in Angola</w:t>
            </w:r>
          </w:p>
        </w:tc>
        <w:tc>
          <w:tcPr>
            <w:tcW w:w="4410" w:type="dxa"/>
          </w:tcPr>
          <w:p w14:paraId="478BF7BC" w14:textId="77777777" w:rsidR="007A59D5" w:rsidRPr="009E7B4B" w:rsidRDefault="007A59D5" w:rsidP="008916C9">
            <w:pPr>
              <w:pStyle w:val="yiv6760796677msonormal"/>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D2228"/>
                <w:sz w:val="20"/>
                <w:szCs w:val="20"/>
                <w:lang w:val="en-GB"/>
              </w:rPr>
            </w:pPr>
            <w:r w:rsidRPr="009E7B4B">
              <w:rPr>
                <w:rFonts w:asciiTheme="minorHAnsi" w:hAnsiTheme="minorHAnsi" w:cstheme="minorHAnsi"/>
                <w:color w:val="1D2228"/>
                <w:sz w:val="20"/>
                <w:szCs w:val="20"/>
                <w:lang w:val="en-GB"/>
              </w:rPr>
              <w:t>CAJ – Center for Young support – Makulusso</w:t>
            </w:r>
          </w:p>
        </w:tc>
      </w:tr>
      <w:tr w:rsidR="007A59D5" w:rsidRPr="009E7B4B" w14:paraId="3FF2B4C9" w14:textId="77777777" w:rsidTr="007A59D5">
        <w:tc>
          <w:tcPr>
            <w:cnfStyle w:val="001000000000" w:firstRow="0" w:lastRow="0" w:firstColumn="1" w:lastColumn="0" w:oddVBand="0" w:evenVBand="0" w:oddHBand="0" w:evenHBand="0" w:firstRowFirstColumn="0" w:firstRowLastColumn="0" w:lastRowFirstColumn="0" w:lastRowLastColumn="0"/>
            <w:tcW w:w="1615" w:type="dxa"/>
            <w:vMerge/>
          </w:tcPr>
          <w:p w14:paraId="5DE60D50" w14:textId="77777777" w:rsidR="007A59D5" w:rsidRPr="009E7B4B" w:rsidRDefault="007A59D5" w:rsidP="008916C9">
            <w:pPr>
              <w:rPr>
                <w:rFonts w:cstheme="minorHAnsi"/>
                <w:b w:val="0"/>
                <w:color w:val="000000"/>
                <w:sz w:val="20"/>
                <w:szCs w:val="20"/>
              </w:rPr>
            </w:pPr>
          </w:p>
        </w:tc>
        <w:tc>
          <w:tcPr>
            <w:tcW w:w="3600" w:type="dxa"/>
            <w:vMerge/>
          </w:tcPr>
          <w:p w14:paraId="5D999D3D" w14:textId="77777777" w:rsidR="007A59D5" w:rsidRPr="009E7B4B" w:rsidRDefault="007A59D5" w:rsidP="008916C9">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4410" w:type="dxa"/>
          </w:tcPr>
          <w:p w14:paraId="69320B91" w14:textId="77777777" w:rsidR="007A59D5" w:rsidRPr="009E7B4B" w:rsidRDefault="007A59D5" w:rsidP="008916C9">
            <w:pPr>
              <w:pStyle w:val="yiv6760796677msonormal"/>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D2228"/>
                <w:sz w:val="20"/>
                <w:szCs w:val="20"/>
              </w:rPr>
            </w:pPr>
            <w:r w:rsidRPr="009E7B4B">
              <w:rPr>
                <w:rFonts w:asciiTheme="minorHAnsi" w:hAnsiTheme="minorHAnsi" w:cstheme="minorHAnsi"/>
                <w:color w:val="1D2228"/>
                <w:sz w:val="20"/>
                <w:szCs w:val="20"/>
              </w:rPr>
              <w:t>Angola IRIS Association – Ingombota</w:t>
            </w:r>
          </w:p>
        </w:tc>
      </w:tr>
      <w:tr w:rsidR="007A59D5" w:rsidRPr="009E7B4B" w14:paraId="002E614D" w14:textId="77777777" w:rsidTr="007A59D5">
        <w:tc>
          <w:tcPr>
            <w:cnfStyle w:val="001000000000" w:firstRow="0" w:lastRow="0" w:firstColumn="1" w:lastColumn="0" w:oddVBand="0" w:evenVBand="0" w:oddHBand="0" w:evenHBand="0" w:firstRowFirstColumn="0" w:firstRowLastColumn="0" w:lastRowFirstColumn="0" w:lastRowLastColumn="0"/>
            <w:tcW w:w="1615" w:type="dxa"/>
            <w:vMerge/>
          </w:tcPr>
          <w:p w14:paraId="5D0E4734" w14:textId="77777777" w:rsidR="007A59D5" w:rsidRPr="009E7B4B" w:rsidRDefault="007A59D5" w:rsidP="008916C9">
            <w:pPr>
              <w:rPr>
                <w:rFonts w:cstheme="minorHAnsi"/>
                <w:b w:val="0"/>
                <w:color w:val="000000"/>
                <w:sz w:val="20"/>
                <w:szCs w:val="20"/>
              </w:rPr>
            </w:pPr>
          </w:p>
        </w:tc>
        <w:tc>
          <w:tcPr>
            <w:tcW w:w="3600" w:type="dxa"/>
            <w:vMerge/>
          </w:tcPr>
          <w:p w14:paraId="07CE7AF9" w14:textId="77777777" w:rsidR="007A59D5" w:rsidRPr="009E7B4B" w:rsidRDefault="007A59D5" w:rsidP="008916C9">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4410" w:type="dxa"/>
          </w:tcPr>
          <w:p w14:paraId="17505736" w14:textId="77777777" w:rsidR="007A59D5" w:rsidRPr="009E7B4B" w:rsidRDefault="007A59D5" w:rsidP="008916C9">
            <w:pPr>
              <w:pStyle w:val="yiv6760796677msonormal"/>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D2228"/>
                <w:sz w:val="20"/>
                <w:szCs w:val="20"/>
                <w:lang w:val="en-GB"/>
              </w:rPr>
            </w:pPr>
            <w:r w:rsidRPr="009E7B4B">
              <w:rPr>
                <w:rFonts w:asciiTheme="minorHAnsi" w:hAnsiTheme="minorHAnsi" w:cstheme="minorHAnsi"/>
                <w:color w:val="1D2228"/>
                <w:sz w:val="20"/>
                <w:szCs w:val="20"/>
                <w:lang w:val="en-GB"/>
              </w:rPr>
              <w:t>NGO Mwenho – Street of Samba </w:t>
            </w:r>
          </w:p>
        </w:tc>
      </w:tr>
      <w:tr w:rsidR="007A59D5" w:rsidRPr="009E7B4B" w14:paraId="5A3AA7E5" w14:textId="77777777" w:rsidTr="007A59D5">
        <w:tc>
          <w:tcPr>
            <w:cnfStyle w:val="001000000000" w:firstRow="0" w:lastRow="0" w:firstColumn="1" w:lastColumn="0" w:oddVBand="0" w:evenVBand="0" w:oddHBand="0" w:evenHBand="0" w:firstRowFirstColumn="0" w:firstRowLastColumn="0" w:lastRowFirstColumn="0" w:lastRowLastColumn="0"/>
            <w:tcW w:w="1615" w:type="dxa"/>
            <w:vMerge/>
          </w:tcPr>
          <w:p w14:paraId="0E5780AC" w14:textId="77777777" w:rsidR="007A59D5" w:rsidRPr="009E7B4B" w:rsidRDefault="007A59D5" w:rsidP="008916C9">
            <w:pPr>
              <w:rPr>
                <w:rFonts w:cstheme="minorHAnsi"/>
                <w:b w:val="0"/>
                <w:color w:val="000000"/>
                <w:sz w:val="20"/>
                <w:szCs w:val="20"/>
              </w:rPr>
            </w:pPr>
          </w:p>
        </w:tc>
        <w:tc>
          <w:tcPr>
            <w:tcW w:w="3600" w:type="dxa"/>
            <w:vMerge/>
          </w:tcPr>
          <w:p w14:paraId="4DEFF4B7" w14:textId="77777777" w:rsidR="007A59D5" w:rsidRPr="009E7B4B" w:rsidRDefault="007A59D5" w:rsidP="008916C9">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4410" w:type="dxa"/>
          </w:tcPr>
          <w:p w14:paraId="098BFB77" w14:textId="77777777" w:rsidR="007A59D5" w:rsidRPr="009E7B4B" w:rsidRDefault="007A59D5" w:rsidP="008916C9">
            <w:pPr>
              <w:pStyle w:val="yiv6760796677msonormal"/>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D2228"/>
                <w:sz w:val="20"/>
                <w:szCs w:val="20"/>
                <w:lang w:val="en-GB"/>
              </w:rPr>
            </w:pPr>
            <w:r w:rsidRPr="009E7B4B">
              <w:rPr>
                <w:rFonts w:asciiTheme="minorHAnsi" w:hAnsiTheme="minorHAnsi" w:cstheme="minorHAnsi"/>
                <w:color w:val="1D2228"/>
                <w:sz w:val="20"/>
                <w:szCs w:val="20"/>
                <w:lang w:val="en-GB"/>
              </w:rPr>
              <w:t>ASCAM – Association of Christian Solidarity – District of Palanca </w:t>
            </w:r>
          </w:p>
        </w:tc>
      </w:tr>
      <w:tr w:rsidR="007A59D5" w:rsidRPr="009E7B4B" w14:paraId="2A5DCE50" w14:textId="77777777" w:rsidTr="007A59D5">
        <w:tc>
          <w:tcPr>
            <w:cnfStyle w:val="001000000000" w:firstRow="0" w:lastRow="0" w:firstColumn="1" w:lastColumn="0" w:oddVBand="0" w:evenVBand="0" w:oddHBand="0" w:evenHBand="0" w:firstRowFirstColumn="0" w:firstRowLastColumn="0" w:lastRowFirstColumn="0" w:lastRowLastColumn="0"/>
            <w:tcW w:w="1615" w:type="dxa"/>
            <w:vMerge w:val="restart"/>
          </w:tcPr>
          <w:p w14:paraId="1747E7B7" w14:textId="77777777" w:rsidR="007A59D5" w:rsidRPr="009E7B4B" w:rsidRDefault="007A59D5" w:rsidP="008916C9">
            <w:pPr>
              <w:rPr>
                <w:rFonts w:cstheme="minorHAnsi"/>
                <w:b w:val="0"/>
                <w:color w:val="000000"/>
                <w:sz w:val="20"/>
                <w:szCs w:val="20"/>
              </w:rPr>
            </w:pPr>
          </w:p>
          <w:p w14:paraId="3C91240F" w14:textId="77777777" w:rsidR="007A59D5" w:rsidRPr="009E7B4B" w:rsidRDefault="007A59D5" w:rsidP="008916C9">
            <w:pPr>
              <w:rPr>
                <w:rFonts w:cstheme="minorHAnsi"/>
                <w:b w:val="0"/>
                <w:color w:val="000000"/>
                <w:sz w:val="20"/>
                <w:szCs w:val="20"/>
              </w:rPr>
            </w:pPr>
            <w:r w:rsidRPr="009E7B4B">
              <w:rPr>
                <w:rFonts w:cstheme="minorHAnsi"/>
                <w:color w:val="000000"/>
                <w:sz w:val="20"/>
                <w:szCs w:val="20"/>
              </w:rPr>
              <w:t>Environment and Disaster Risk Reduction</w:t>
            </w:r>
          </w:p>
        </w:tc>
        <w:tc>
          <w:tcPr>
            <w:tcW w:w="3600" w:type="dxa"/>
          </w:tcPr>
          <w:p w14:paraId="27211F5A" w14:textId="77777777" w:rsidR="007A59D5" w:rsidRPr="009E7B4B" w:rsidRDefault="007A59D5" w:rsidP="008916C9">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7B4B">
              <w:rPr>
                <w:rFonts w:cstheme="minorHAnsi"/>
                <w:color w:val="000000"/>
                <w:sz w:val="20"/>
                <w:szCs w:val="20"/>
              </w:rPr>
              <w:t>Promotion of Sustainable Charcoal in Angola through a Value Chain Approach</w:t>
            </w:r>
          </w:p>
        </w:tc>
        <w:tc>
          <w:tcPr>
            <w:tcW w:w="4410" w:type="dxa"/>
          </w:tcPr>
          <w:p w14:paraId="3CBC999C" w14:textId="77777777" w:rsidR="007A59D5" w:rsidRPr="009E7B4B" w:rsidRDefault="007A59D5" w:rsidP="008916C9">
            <w:pPr>
              <w:pStyle w:val="yiv6760796677msonormal"/>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D2228"/>
                <w:sz w:val="20"/>
                <w:szCs w:val="20"/>
                <w:lang w:val="en-GB"/>
              </w:rPr>
            </w:pPr>
            <w:r w:rsidRPr="009E7B4B">
              <w:rPr>
                <w:rFonts w:asciiTheme="minorHAnsi" w:hAnsiTheme="minorHAnsi" w:cstheme="minorHAnsi"/>
                <w:color w:val="1D2228"/>
                <w:sz w:val="20"/>
                <w:szCs w:val="20"/>
                <w:lang w:val="en-GB"/>
              </w:rPr>
              <w:t>Ministry of Environment, Municipality of Talatona </w:t>
            </w:r>
          </w:p>
        </w:tc>
      </w:tr>
      <w:tr w:rsidR="007A59D5" w:rsidRPr="009E7B4B" w14:paraId="053DD79E" w14:textId="77777777" w:rsidTr="007A59D5">
        <w:tc>
          <w:tcPr>
            <w:cnfStyle w:val="001000000000" w:firstRow="0" w:lastRow="0" w:firstColumn="1" w:lastColumn="0" w:oddVBand="0" w:evenVBand="0" w:oddHBand="0" w:evenHBand="0" w:firstRowFirstColumn="0" w:firstRowLastColumn="0" w:lastRowFirstColumn="0" w:lastRowLastColumn="0"/>
            <w:tcW w:w="1615" w:type="dxa"/>
            <w:vMerge/>
          </w:tcPr>
          <w:p w14:paraId="6BC0A854" w14:textId="77777777" w:rsidR="007A59D5" w:rsidRPr="009E7B4B" w:rsidRDefault="007A59D5" w:rsidP="008916C9">
            <w:pPr>
              <w:rPr>
                <w:rFonts w:cstheme="minorHAnsi"/>
                <w:b w:val="0"/>
                <w:sz w:val="20"/>
                <w:szCs w:val="20"/>
              </w:rPr>
            </w:pPr>
          </w:p>
        </w:tc>
        <w:tc>
          <w:tcPr>
            <w:tcW w:w="3600" w:type="dxa"/>
          </w:tcPr>
          <w:p w14:paraId="5906937A" w14:textId="77777777" w:rsidR="007A59D5" w:rsidRPr="009E7B4B" w:rsidRDefault="007A59D5" w:rsidP="008916C9">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7B4B">
              <w:rPr>
                <w:rFonts w:cstheme="minorHAnsi"/>
                <w:color w:val="000000"/>
                <w:sz w:val="20"/>
                <w:szCs w:val="20"/>
              </w:rPr>
              <w:t>Expansion and strengthening of Angola’s Protected Area system</w:t>
            </w:r>
          </w:p>
        </w:tc>
        <w:tc>
          <w:tcPr>
            <w:tcW w:w="4410" w:type="dxa"/>
          </w:tcPr>
          <w:p w14:paraId="6C549DFD" w14:textId="77777777" w:rsidR="007A59D5" w:rsidRPr="009E7B4B" w:rsidRDefault="007A59D5" w:rsidP="008916C9">
            <w:pPr>
              <w:pStyle w:val="yiv6760796677msonormal"/>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D2228"/>
                <w:sz w:val="20"/>
                <w:szCs w:val="20"/>
                <w:lang w:val="en-GB"/>
              </w:rPr>
            </w:pPr>
            <w:r w:rsidRPr="009E7B4B">
              <w:rPr>
                <w:rFonts w:asciiTheme="minorHAnsi" w:hAnsiTheme="minorHAnsi" w:cstheme="minorHAnsi"/>
                <w:color w:val="1D2228"/>
                <w:sz w:val="20"/>
                <w:szCs w:val="20"/>
                <w:lang w:val="en-GB"/>
              </w:rPr>
              <w:t>Ministry of Environment, Municipality of Talatona </w:t>
            </w:r>
          </w:p>
        </w:tc>
      </w:tr>
      <w:tr w:rsidR="007A59D5" w:rsidRPr="009E7B4B" w14:paraId="7E43B3F3" w14:textId="77777777" w:rsidTr="007A59D5">
        <w:tc>
          <w:tcPr>
            <w:cnfStyle w:val="001000000000" w:firstRow="0" w:lastRow="0" w:firstColumn="1" w:lastColumn="0" w:oddVBand="0" w:evenVBand="0" w:oddHBand="0" w:evenHBand="0" w:firstRowFirstColumn="0" w:firstRowLastColumn="0" w:lastRowFirstColumn="0" w:lastRowLastColumn="0"/>
            <w:tcW w:w="1615" w:type="dxa"/>
          </w:tcPr>
          <w:p w14:paraId="308580AC" w14:textId="77777777" w:rsidR="007A59D5" w:rsidRPr="009E7B4B" w:rsidRDefault="007A59D5" w:rsidP="008916C9">
            <w:pPr>
              <w:rPr>
                <w:rFonts w:cstheme="minorHAnsi"/>
                <w:sz w:val="20"/>
                <w:szCs w:val="20"/>
              </w:rPr>
            </w:pPr>
            <w:r w:rsidRPr="009E7B4B">
              <w:rPr>
                <w:rFonts w:cstheme="minorHAnsi"/>
                <w:sz w:val="20"/>
                <w:szCs w:val="20"/>
              </w:rPr>
              <w:t xml:space="preserve">Sustainable Development and Inclusive Growth </w:t>
            </w:r>
          </w:p>
        </w:tc>
        <w:tc>
          <w:tcPr>
            <w:tcW w:w="3600" w:type="dxa"/>
          </w:tcPr>
          <w:p w14:paraId="0CA609C6" w14:textId="77777777" w:rsidR="007A59D5" w:rsidRPr="009E7B4B" w:rsidRDefault="007A59D5" w:rsidP="008916C9">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7B4B">
              <w:rPr>
                <w:rFonts w:cstheme="minorHAnsi"/>
                <w:color w:val="1D2228"/>
                <w:sz w:val="20"/>
                <w:szCs w:val="20"/>
              </w:rPr>
              <w:t>Building back better post COVID-19. Enhancing skill development and job creation for the youth in Angola</w:t>
            </w:r>
            <w:r w:rsidRPr="009E7B4B">
              <w:rPr>
                <w:rFonts w:cstheme="minorHAnsi"/>
                <w:color w:val="000000"/>
                <w:sz w:val="20"/>
                <w:szCs w:val="20"/>
              </w:rPr>
              <w:t xml:space="preserve"> </w:t>
            </w:r>
          </w:p>
        </w:tc>
        <w:tc>
          <w:tcPr>
            <w:tcW w:w="4410" w:type="dxa"/>
          </w:tcPr>
          <w:p w14:paraId="58D1A8C0" w14:textId="77777777" w:rsidR="007A59D5" w:rsidRPr="009E7B4B" w:rsidRDefault="007A59D5" w:rsidP="008916C9">
            <w:pPr>
              <w:pStyle w:val="yiv6760796677msonormal"/>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D2228"/>
                <w:sz w:val="20"/>
                <w:szCs w:val="20"/>
                <w:lang w:val="en-GB"/>
              </w:rPr>
            </w:pPr>
            <w:r w:rsidRPr="009E7B4B">
              <w:rPr>
                <w:rFonts w:asciiTheme="minorHAnsi" w:hAnsiTheme="minorHAnsi" w:cstheme="minorHAnsi"/>
                <w:color w:val="1D2228"/>
                <w:sz w:val="20"/>
                <w:szCs w:val="20"/>
                <w:lang w:val="en-GB"/>
              </w:rPr>
              <w:t>Professional Training Centre in Cazenga, Municipality of Cazenga</w:t>
            </w:r>
          </w:p>
        </w:tc>
      </w:tr>
      <w:tr w:rsidR="007A59D5" w:rsidRPr="009E7B4B" w14:paraId="5DEE2F61" w14:textId="77777777" w:rsidTr="007A59D5">
        <w:tc>
          <w:tcPr>
            <w:cnfStyle w:val="001000000000" w:firstRow="0" w:lastRow="0" w:firstColumn="1" w:lastColumn="0" w:oddVBand="0" w:evenVBand="0" w:oddHBand="0" w:evenHBand="0" w:firstRowFirstColumn="0" w:firstRowLastColumn="0" w:lastRowFirstColumn="0" w:lastRowLastColumn="0"/>
            <w:tcW w:w="1615" w:type="dxa"/>
          </w:tcPr>
          <w:p w14:paraId="065B6831" w14:textId="77777777" w:rsidR="007A59D5" w:rsidRPr="009E7B4B" w:rsidRDefault="007A59D5" w:rsidP="008916C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val="0"/>
                <w:sz w:val="20"/>
                <w:szCs w:val="20"/>
              </w:rPr>
            </w:pPr>
            <w:r w:rsidRPr="009E7B4B">
              <w:rPr>
                <w:rFonts w:cstheme="minorHAnsi"/>
                <w:sz w:val="20"/>
                <w:szCs w:val="20"/>
              </w:rPr>
              <w:t>Governance Unit</w:t>
            </w:r>
          </w:p>
        </w:tc>
        <w:tc>
          <w:tcPr>
            <w:tcW w:w="3600" w:type="dxa"/>
          </w:tcPr>
          <w:p w14:paraId="7BB8DD77" w14:textId="77777777" w:rsidR="007A59D5" w:rsidRPr="009E7B4B" w:rsidRDefault="007A59D5" w:rsidP="008916C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eastAsia="Times New Roman" w:cstheme="minorHAnsi"/>
                <w:color w:val="202124"/>
                <w:sz w:val="20"/>
                <w:szCs w:val="20"/>
                <w:lang w:eastAsia="pt-PT"/>
              </w:rPr>
            </w:pPr>
            <w:r w:rsidRPr="009E7B4B">
              <w:rPr>
                <w:rFonts w:eastAsia="Times New Roman" w:cstheme="minorHAnsi"/>
                <w:color w:val="202124"/>
                <w:sz w:val="20"/>
                <w:szCs w:val="20"/>
                <w:lang w:val="en" w:eastAsia="pt-PT"/>
              </w:rPr>
              <w:t>Fair and Inclusive Society</w:t>
            </w:r>
          </w:p>
          <w:p w14:paraId="7E150ADF" w14:textId="77777777" w:rsidR="007A59D5" w:rsidRPr="009E7B4B" w:rsidRDefault="007A59D5" w:rsidP="008916C9">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4410" w:type="dxa"/>
          </w:tcPr>
          <w:p w14:paraId="084F1BE7" w14:textId="77777777" w:rsidR="007A59D5" w:rsidRPr="009E7B4B" w:rsidRDefault="007A59D5" w:rsidP="008916C9">
            <w:pPr>
              <w:pStyle w:val="yiv6760796677msonormal"/>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D2228"/>
                <w:sz w:val="20"/>
                <w:szCs w:val="20"/>
                <w:lang w:val="en-GB"/>
              </w:rPr>
            </w:pPr>
            <w:r w:rsidRPr="009E7B4B">
              <w:rPr>
                <w:rFonts w:asciiTheme="minorHAnsi" w:hAnsiTheme="minorHAnsi" w:cstheme="minorHAnsi"/>
                <w:color w:val="1D2228"/>
                <w:sz w:val="20"/>
                <w:szCs w:val="20"/>
                <w:lang w:val="en-GB"/>
              </w:rPr>
              <w:t>Field visit to legal clinic – Municipality of Rangel</w:t>
            </w:r>
          </w:p>
        </w:tc>
      </w:tr>
    </w:tbl>
    <w:p w14:paraId="69CE2CC1" w14:textId="77777777" w:rsidR="007A59D5" w:rsidRDefault="007A59D5" w:rsidP="00151F6F">
      <w:pPr>
        <w:jc w:val="both"/>
        <w:rPr>
          <w:lang w:val="en-US"/>
        </w:rPr>
      </w:pPr>
    </w:p>
    <w:p w14:paraId="67458DCF" w14:textId="0D5DE6BD" w:rsidR="00151F6F" w:rsidRPr="00A40403" w:rsidRDefault="00A40403" w:rsidP="00A40403">
      <w:pPr>
        <w:pStyle w:val="Heading3"/>
        <w:rPr>
          <w:rFonts w:asciiTheme="minorHAnsi" w:hAnsiTheme="minorHAnsi" w:cstheme="minorHAnsi"/>
          <w:sz w:val="22"/>
          <w:szCs w:val="22"/>
        </w:rPr>
      </w:pPr>
      <w:bookmarkStart w:id="27" w:name="_Toc84848106"/>
      <w:bookmarkStart w:id="28" w:name="_Toc88741782"/>
      <w:r w:rsidRPr="00A40403">
        <w:rPr>
          <w:rFonts w:asciiTheme="minorHAnsi" w:hAnsiTheme="minorHAnsi" w:cstheme="minorHAnsi"/>
          <w:sz w:val="22"/>
          <w:szCs w:val="22"/>
        </w:rPr>
        <w:t>3</w:t>
      </w:r>
      <w:r w:rsidR="00134B36" w:rsidRPr="00A40403">
        <w:rPr>
          <w:rFonts w:asciiTheme="minorHAnsi" w:hAnsiTheme="minorHAnsi" w:cstheme="minorHAnsi"/>
          <w:sz w:val="22"/>
          <w:szCs w:val="22"/>
        </w:rPr>
        <w:t>.2.</w:t>
      </w:r>
      <w:r w:rsidR="000520AE">
        <w:rPr>
          <w:rFonts w:asciiTheme="minorHAnsi" w:hAnsiTheme="minorHAnsi" w:cstheme="minorHAnsi"/>
          <w:sz w:val="22"/>
          <w:szCs w:val="22"/>
        </w:rPr>
        <w:t>4</w:t>
      </w:r>
      <w:r w:rsidR="00151F6F" w:rsidRPr="00A40403">
        <w:rPr>
          <w:rFonts w:asciiTheme="minorHAnsi" w:hAnsiTheme="minorHAnsi" w:cstheme="minorHAnsi"/>
          <w:sz w:val="22"/>
          <w:szCs w:val="22"/>
        </w:rPr>
        <w:t xml:space="preserve"> Documents review</w:t>
      </w:r>
      <w:bookmarkEnd w:id="27"/>
      <w:bookmarkEnd w:id="28"/>
    </w:p>
    <w:p w14:paraId="71C03AFA" w14:textId="61EFD699" w:rsidR="00151F6F" w:rsidRPr="00134B36" w:rsidRDefault="00151F6F" w:rsidP="00134B36">
      <w:pPr>
        <w:jc w:val="both"/>
        <w:rPr>
          <w:lang w:val="en-US"/>
        </w:rPr>
      </w:pPr>
      <w:r>
        <w:rPr>
          <w:lang w:val="en-US"/>
        </w:rPr>
        <w:t xml:space="preserve">All the key documents to be reviewed were identified by programme cluster and are presented in Annex </w:t>
      </w:r>
      <w:r w:rsidR="00E66BCC">
        <w:rPr>
          <w:lang w:val="en-US"/>
        </w:rPr>
        <w:t>6</w:t>
      </w:r>
      <w:r>
        <w:rPr>
          <w:lang w:val="en-US"/>
        </w:rPr>
        <w:t>. These are in addition to those already listed in the ToRs. The consultants have observed that there are gaps in terms of some key documents such as progress reports, and efforts w</w:t>
      </w:r>
      <w:r w:rsidR="002D600F">
        <w:rPr>
          <w:lang w:val="en-US"/>
        </w:rPr>
        <w:t>ere</w:t>
      </w:r>
      <w:r>
        <w:rPr>
          <w:lang w:val="en-US"/>
        </w:rPr>
        <w:t xml:space="preserve"> made in close collaboration with programme officers to collate all the needed documents for review. </w:t>
      </w:r>
    </w:p>
    <w:p w14:paraId="76A374B7" w14:textId="7D16E0DB" w:rsidR="00151F6F" w:rsidRPr="000520AE" w:rsidRDefault="000520AE" w:rsidP="000520AE">
      <w:pPr>
        <w:pStyle w:val="Heading3"/>
        <w:rPr>
          <w:rFonts w:asciiTheme="minorHAnsi" w:hAnsiTheme="minorHAnsi" w:cstheme="minorHAnsi"/>
          <w:sz w:val="22"/>
          <w:szCs w:val="22"/>
        </w:rPr>
      </w:pPr>
      <w:bookmarkStart w:id="29" w:name="_Toc84848108"/>
      <w:bookmarkStart w:id="30" w:name="_Toc88741783"/>
      <w:r>
        <w:rPr>
          <w:rFonts w:asciiTheme="minorHAnsi" w:hAnsiTheme="minorHAnsi" w:cstheme="minorHAnsi"/>
          <w:sz w:val="22"/>
          <w:szCs w:val="22"/>
        </w:rPr>
        <w:t xml:space="preserve">3.2.5 </w:t>
      </w:r>
      <w:r w:rsidR="00151F6F" w:rsidRPr="000520AE">
        <w:rPr>
          <w:rFonts w:asciiTheme="minorHAnsi" w:hAnsiTheme="minorHAnsi" w:cstheme="minorHAnsi"/>
          <w:sz w:val="22"/>
          <w:szCs w:val="22"/>
        </w:rPr>
        <w:t>Cross-cutting Issues</w:t>
      </w:r>
      <w:bookmarkEnd w:id="29"/>
      <w:bookmarkEnd w:id="30"/>
    </w:p>
    <w:p w14:paraId="61186AEE" w14:textId="04AA9164" w:rsidR="00CE1587" w:rsidRDefault="00151F6F" w:rsidP="00CE1587">
      <w:pPr>
        <w:jc w:val="both"/>
      </w:pPr>
      <w:r>
        <w:t>The UNDP CPD identifies a number of cross-cutting themes such as Gender, Capacity development and Human rights. The evaluation review</w:t>
      </w:r>
      <w:r w:rsidR="007A59D5">
        <w:t>ed</w:t>
      </w:r>
      <w:r>
        <w:t xml:space="preserve"> the extent to which these three key cross-cutting themes are reflected in UNDP’s programmatic interventions, </w:t>
      </w:r>
      <w:r w:rsidR="00E66BCC">
        <w:t xml:space="preserve">and the results achieved, </w:t>
      </w:r>
      <w:r>
        <w:t>as outlined below.</w:t>
      </w:r>
      <w:bookmarkStart w:id="31" w:name="_Toc84848109"/>
    </w:p>
    <w:p w14:paraId="5554784A" w14:textId="70E37550" w:rsidR="00151F6F" w:rsidRPr="00CE1587" w:rsidRDefault="00151F6F" w:rsidP="00CE1587">
      <w:pPr>
        <w:jc w:val="both"/>
        <w:rPr>
          <w:b/>
          <w:bCs/>
          <w:u w:val="single"/>
        </w:rPr>
      </w:pPr>
      <w:r w:rsidRPr="00CE1587">
        <w:rPr>
          <w:rFonts w:cstheme="minorHAnsi"/>
          <w:b/>
          <w:bCs/>
          <w:u w:val="single"/>
        </w:rPr>
        <w:t>Gender</w:t>
      </w:r>
      <w:bookmarkEnd w:id="31"/>
    </w:p>
    <w:p w14:paraId="249791B7" w14:textId="70D81397" w:rsidR="00151F6F" w:rsidRDefault="00151F6F" w:rsidP="00151F6F">
      <w:pPr>
        <w:jc w:val="both"/>
      </w:pPr>
      <w:r>
        <w:t xml:space="preserve">The UNDP CPD has gender as a central cross-cutting concern and across all the three programme clusters/outcomes. UNDP CO has taken measures to strengthen gender by recruiting a gender expert. It has recently also been designated as a “Gender Seal” Country Office in </w:t>
      </w:r>
      <w:r w:rsidR="00E76382">
        <w:t xml:space="preserve">August </w:t>
      </w:r>
      <w:r w:rsidR="007A59D5">
        <w:t>of 2021</w:t>
      </w:r>
      <w:r>
        <w:t>. This is a welcome development but it is still at an early stage.</w:t>
      </w:r>
    </w:p>
    <w:p w14:paraId="65BDE35C" w14:textId="37AB6D7F" w:rsidR="00151F6F" w:rsidRDefault="00151F6F" w:rsidP="00151F6F">
      <w:pPr>
        <w:jc w:val="both"/>
      </w:pPr>
      <w:r>
        <w:t xml:space="preserve">The evaluation </w:t>
      </w:r>
      <w:r w:rsidR="00CE1587">
        <w:t xml:space="preserve">team </w:t>
      </w:r>
      <w:r>
        <w:t>review</w:t>
      </w:r>
      <w:r w:rsidR="00CE1587">
        <w:t>ed</w:t>
      </w:r>
      <w:r>
        <w:t xml:space="preserve"> all CPD projects being implemented with a gender lens</w:t>
      </w:r>
      <w:r w:rsidR="00CE1587">
        <w:t xml:space="preserve">, using </w:t>
      </w:r>
      <w:r>
        <w:t>the following approaches:</w:t>
      </w:r>
    </w:p>
    <w:p w14:paraId="40C81E02" w14:textId="77777777" w:rsidR="00151F6F" w:rsidRDefault="00151F6F" w:rsidP="001C3CEC">
      <w:pPr>
        <w:pStyle w:val="ListParagraph"/>
        <w:numPr>
          <w:ilvl w:val="0"/>
          <w:numId w:val="6"/>
        </w:numPr>
        <w:jc w:val="both"/>
      </w:pPr>
      <w:r>
        <w:t>Use of the gender marker to assess programme results, as a proxy for monitoring the programme’s responsiveness to the gender equality agenda.</w:t>
      </w:r>
    </w:p>
    <w:p w14:paraId="5F125103" w14:textId="683F06CB" w:rsidR="00151F6F" w:rsidRDefault="00CE1587" w:rsidP="001C3CEC">
      <w:pPr>
        <w:pStyle w:val="ListParagraph"/>
        <w:numPr>
          <w:ilvl w:val="0"/>
          <w:numId w:val="6"/>
        </w:numPr>
        <w:jc w:val="both"/>
      </w:pPr>
      <w:r>
        <w:t>C</w:t>
      </w:r>
      <w:r w:rsidR="00151F6F">
        <w:t>ollect</w:t>
      </w:r>
      <w:r>
        <w:t>ion</w:t>
      </w:r>
      <w:r w:rsidR="00151F6F">
        <w:t xml:space="preserve"> and analyse</w:t>
      </w:r>
      <w:r>
        <w:t>s</w:t>
      </w:r>
      <w:r w:rsidR="00E76382">
        <w:t>, were possible, of</w:t>
      </w:r>
      <w:r w:rsidR="00151F6F">
        <w:t xml:space="preserve"> sex-disaggregated data to correctly assess impact/potential impact on women, men, boys and girls;</w:t>
      </w:r>
    </w:p>
    <w:p w14:paraId="5CBAC10C" w14:textId="77777777" w:rsidR="00151F6F" w:rsidRDefault="00151F6F" w:rsidP="001C3CEC">
      <w:pPr>
        <w:pStyle w:val="ListParagraph"/>
        <w:numPr>
          <w:ilvl w:val="0"/>
          <w:numId w:val="6"/>
        </w:numPr>
        <w:jc w:val="both"/>
      </w:pPr>
      <w:r>
        <w:lastRenderedPageBreak/>
        <w:t>Observations by the team and interactions with beneficiaries, project staff and local authorities during field visits; and</w:t>
      </w:r>
    </w:p>
    <w:p w14:paraId="038CC4DA" w14:textId="77777777" w:rsidR="00151F6F" w:rsidRDefault="00151F6F" w:rsidP="001C3CEC">
      <w:pPr>
        <w:pStyle w:val="ListParagraph"/>
        <w:numPr>
          <w:ilvl w:val="0"/>
          <w:numId w:val="6"/>
        </w:numPr>
        <w:jc w:val="both"/>
      </w:pPr>
      <w:r>
        <w:t>Assessment of how the UNDP Country Office is working to advance gender holistically in its work.</w:t>
      </w:r>
    </w:p>
    <w:p w14:paraId="27909083" w14:textId="4369985B" w:rsidR="00151F6F" w:rsidRPr="00CE1587" w:rsidRDefault="00151F6F" w:rsidP="00CE1587">
      <w:pPr>
        <w:rPr>
          <w:b/>
          <w:bCs/>
          <w:u w:val="single"/>
        </w:rPr>
      </w:pPr>
      <w:bookmarkStart w:id="32" w:name="_Toc84848110"/>
      <w:r w:rsidRPr="00CE1587">
        <w:rPr>
          <w:b/>
          <w:bCs/>
          <w:u w:val="single"/>
        </w:rPr>
        <w:t>Capacity Development</w:t>
      </w:r>
      <w:bookmarkEnd w:id="32"/>
    </w:p>
    <w:p w14:paraId="77025BBB" w14:textId="16AB4A01" w:rsidR="00151F6F" w:rsidRPr="00CE1587" w:rsidRDefault="00151F6F" w:rsidP="00151F6F">
      <w:pPr>
        <w:jc w:val="both"/>
      </w:pPr>
      <w:r>
        <w:t>Capacity development is a core mandate of UNDP, and preliminary review of UNDP Angola CO project portfolio reveals that the Office aims to undertake significant capacity building interventions across all programme clusters/outcomes. The evaluation therefore comprehensively map</w:t>
      </w:r>
      <w:r w:rsidR="00CE1587">
        <w:t>ped</w:t>
      </w:r>
      <w:r>
        <w:t xml:space="preserve"> the nature of these capacity building interventions </w:t>
      </w:r>
      <w:r w:rsidR="007A59D5">
        <w:t xml:space="preserve">to </w:t>
      </w:r>
      <w:r>
        <w:t>identify evidence of the impact of these interventions.</w:t>
      </w:r>
      <w:r w:rsidR="00CE1587">
        <w:t xml:space="preserve"> </w:t>
      </w:r>
      <w:r>
        <w:t xml:space="preserve">The </w:t>
      </w:r>
      <w:r w:rsidRPr="00680620">
        <w:rPr>
          <w:u w:val="single"/>
        </w:rPr>
        <w:t>UNDP Capacity Development Framework</w:t>
      </w:r>
      <w:r>
        <w:t xml:space="preserve"> </w:t>
      </w:r>
      <w:r w:rsidR="007A59D5">
        <w:t>was used by the evaluation</w:t>
      </w:r>
      <w:r>
        <w:t xml:space="preserve"> to </w:t>
      </w:r>
      <w:r w:rsidR="007A59D5">
        <w:t>document</w:t>
      </w:r>
      <w:r>
        <w:t xml:space="preserve"> the nature and scope of capacity interventions</w:t>
      </w:r>
      <w:r>
        <w:rPr>
          <w:rFonts w:ascii="Avenir Book" w:hAnsi="Avenir Book"/>
        </w:rPr>
        <w:t xml:space="preserve">.  </w:t>
      </w:r>
    </w:p>
    <w:p w14:paraId="30860660" w14:textId="53FC9EE4" w:rsidR="00151F6F" w:rsidRPr="00CE1587" w:rsidRDefault="00151F6F" w:rsidP="00CE1587">
      <w:pPr>
        <w:rPr>
          <w:b/>
          <w:bCs/>
          <w:u w:val="single"/>
        </w:rPr>
      </w:pPr>
      <w:bookmarkStart w:id="33" w:name="_Toc84848111"/>
      <w:r w:rsidRPr="00CE1587">
        <w:rPr>
          <w:b/>
          <w:bCs/>
          <w:u w:val="single"/>
        </w:rPr>
        <w:t>Human Rights</w:t>
      </w:r>
      <w:bookmarkEnd w:id="33"/>
      <w:r w:rsidRPr="00CE1587">
        <w:rPr>
          <w:b/>
          <w:bCs/>
          <w:u w:val="single"/>
        </w:rPr>
        <w:t xml:space="preserve"> </w:t>
      </w:r>
    </w:p>
    <w:p w14:paraId="20AF6B04" w14:textId="6FCDE2B6" w:rsidR="00151F6F" w:rsidRDefault="00151F6F" w:rsidP="00151F6F">
      <w:pPr>
        <w:jc w:val="both"/>
        <w:rPr>
          <w:lang w:val="en-US"/>
        </w:rPr>
      </w:pPr>
      <w:r>
        <w:rPr>
          <w:lang w:val="en-US"/>
        </w:rPr>
        <w:t>UNDP under the CPD commits to ensure integration of human rights issues across all its three core programmatic interventions, principally through the governance programme. The extent to which it has succeeded and the resulting impacts w</w:t>
      </w:r>
      <w:r w:rsidR="00E76382">
        <w:rPr>
          <w:lang w:val="en-US"/>
        </w:rPr>
        <w:t>as</w:t>
      </w:r>
      <w:r>
        <w:rPr>
          <w:lang w:val="en-US"/>
        </w:rPr>
        <w:t xml:space="preserve"> assessed by the consultant team.</w:t>
      </w:r>
    </w:p>
    <w:p w14:paraId="39C57890" w14:textId="5E13CFA6" w:rsidR="00B20628" w:rsidRPr="009907B5" w:rsidRDefault="009907B5" w:rsidP="009907B5">
      <w:pPr>
        <w:pStyle w:val="Heading3"/>
        <w:rPr>
          <w:rFonts w:asciiTheme="minorHAnsi" w:hAnsiTheme="minorHAnsi" w:cstheme="minorHAnsi"/>
          <w:sz w:val="22"/>
          <w:szCs w:val="22"/>
        </w:rPr>
      </w:pPr>
      <w:bookmarkStart w:id="34" w:name="_Toc88741784"/>
      <w:r>
        <w:rPr>
          <w:rFonts w:asciiTheme="minorHAnsi" w:hAnsiTheme="minorHAnsi" w:cstheme="minorHAnsi"/>
          <w:sz w:val="22"/>
          <w:szCs w:val="22"/>
        </w:rPr>
        <w:t xml:space="preserve">3.2.6 </w:t>
      </w:r>
      <w:r w:rsidR="00B20628" w:rsidRPr="009907B5">
        <w:rPr>
          <w:rFonts w:asciiTheme="minorHAnsi" w:hAnsiTheme="minorHAnsi" w:cstheme="minorHAnsi"/>
          <w:sz w:val="22"/>
          <w:szCs w:val="22"/>
        </w:rPr>
        <w:t>Data Analysis</w:t>
      </w:r>
      <w:bookmarkEnd w:id="34"/>
    </w:p>
    <w:p w14:paraId="2A0C7E20" w14:textId="2A71C2FD" w:rsidR="007A59D5" w:rsidRPr="0063341F" w:rsidRDefault="00E66BCC" w:rsidP="00E66BCC">
      <w:pPr>
        <w:jc w:val="both"/>
      </w:pPr>
      <w:r>
        <w:t>D</w:t>
      </w:r>
      <w:r w:rsidR="007A59D5">
        <w:t>ata analysis</w:t>
      </w:r>
      <w:r w:rsidR="00C36D88">
        <w:t xml:space="preserve"> </w:t>
      </w:r>
      <w:r w:rsidR="007A59D5">
        <w:t>were</w:t>
      </w:r>
      <w:r w:rsidR="00C36D88">
        <w:t xml:space="preserve"> </w:t>
      </w:r>
      <w:r>
        <w:t>was done through r</w:t>
      </w:r>
      <w:r w:rsidR="007A59D5" w:rsidRPr="007A59D5">
        <w:t xml:space="preserve">eview of </w:t>
      </w:r>
      <w:r>
        <w:t>d</w:t>
      </w:r>
      <w:r w:rsidR="007A59D5" w:rsidRPr="007A59D5">
        <w:t>ocuments</w:t>
      </w:r>
      <w:r w:rsidR="0063341F">
        <w:t xml:space="preserve">, </w:t>
      </w:r>
      <w:r>
        <w:t>q</w:t>
      </w:r>
      <w:r w:rsidR="007A59D5" w:rsidRPr="007A59D5">
        <w:t>ualitative analytical methods</w:t>
      </w:r>
      <w:r w:rsidR="0063341F">
        <w:t xml:space="preserve">, and </w:t>
      </w:r>
      <w:r>
        <w:t>q</w:t>
      </w:r>
      <w:r w:rsidR="007A59D5" w:rsidRPr="007A59D5">
        <w:t>uantitative analytical methods</w:t>
      </w:r>
      <w:r>
        <w:t>.</w:t>
      </w:r>
    </w:p>
    <w:p w14:paraId="775953E6" w14:textId="6D262A35" w:rsidR="007A59D5" w:rsidRDefault="007A59D5" w:rsidP="00790AD5">
      <w:pPr>
        <w:pStyle w:val="Heading2"/>
        <w:numPr>
          <w:ilvl w:val="1"/>
          <w:numId w:val="50"/>
        </w:numPr>
        <w:rPr>
          <w:rFonts w:asciiTheme="minorHAnsi" w:hAnsiTheme="minorHAnsi" w:cstheme="minorHAnsi"/>
          <w:sz w:val="22"/>
          <w:szCs w:val="22"/>
        </w:rPr>
      </w:pPr>
      <w:bookmarkStart w:id="35" w:name="_Toc88741785"/>
      <w:r w:rsidRPr="007A59D5">
        <w:rPr>
          <w:rFonts w:asciiTheme="minorHAnsi" w:hAnsiTheme="minorHAnsi" w:cstheme="minorHAnsi"/>
          <w:sz w:val="22"/>
          <w:szCs w:val="22"/>
        </w:rPr>
        <w:t>Challenges</w:t>
      </w:r>
      <w:r w:rsidR="00462FE9">
        <w:rPr>
          <w:rFonts w:asciiTheme="minorHAnsi" w:hAnsiTheme="minorHAnsi" w:cstheme="minorHAnsi"/>
          <w:sz w:val="22"/>
          <w:szCs w:val="22"/>
        </w:rPr>
        <w:t xml:space="preserve"> in carrying out the Evaluation</w:t>
      </w:r>
      <w:bookmarkEnd w:id="35"/>
    </w:p>
    <w:p w14:paraId="1897DE0C" w14:textId="77777777" w:rsidR="007A59D5" w:rsidRDefault="007A59D5" w:rsidP="007A59D5">
      <w:pPr>
        <w:jc w:val="both"/>
      </w:pPr>
      <w:r>
        <w:t>A number of challenges were faced by the evaluation team as follows:</w:t>
      </w:r>
    </w:p>
    <w:p w14:paraId="68A939EC" w14:textId="79D66182" w:rsidR="007A59D5" w:rsidRDefault="007A59D5" w:rsidP="00790AD5">
      <w:pPr>
        <w:pStyle w:val="ListParagraph"/>
        <w:numPr>
          <w:ilvl w:val="0"/>
          <w:numId w:val="10"/>
        </w:numPr>
        <w:jc w:val="both"/>
      </w:pPr>
      <w:r>
        <w:t xml:space="preserve">The main one was that </w:t>
      </w:r>
      <w:r w:rsidR="00E66BCC">
        <w:t xml:space="preserve">Covid-19 </w:t>
      </w:r>
      <w:r>
        <w:t xml:space="preserve">travel restrictions did not allow the international consultant to travel to Angola, </w:t>
      </w:r>
      <w:r w:rsidR="00A404B6">
        <w:t xml:space="preserve">and </w:t>
      </w:r>
      <w:r w:rsidR="00E66BCC">
        <w:t xml:space="preserve">the </w:t>
      </w:r>
      <w:r w:rsidR="00A404B6">
        <w:t xml:space="preserve">national consultant’s ability to meet face to face with stakeholders and undertake field visits was seriously curtailed. </w:t>
      </w:r>
      <w:r w:rsidR="00E51EC8">
        <w:t>H</w:t>
      </w:r>
      <w:r>
        <w:t xml:space="preserve">ence </w:t>
      </w:r>
      <w:r w:rsidR="00E66BCC">
        <w:t>most of</w:t>
      </w:r>
      <w:r>
        <w:t xml:space="preserve"> the interactions with UNDP Country Office and stakeholders were done remotely.</w:t>
      </w:r>
    </w:p>
    <w:p w14:paraId="59BA813C" w14:textId="255CE5A7" w:rsidR="00C0172D" w:rsidRDefault="000E49DA" w:rsidP="00790AD5">
      <w:pPr>
        <w:pStyle w:val="ListParagraph"/>
        <w:numPr>
          <w:ilvl w:val="0"/>
          <w:numId w:val="10"/>
        </w:numPr>
        <w:jc w:val="both"/>
      </w:pPr>
      <w:r>
        <w:t>Institutional realignments in government and f</w:t>
      </w:r>
      <w:r w:rsidR="007A59D5">
        <w:t xml:space="preserve">requent staff changes within government institutions resulted in </w:t>
      </w:r>
      <w:r w:rsidR="00E51EC8">
        <w:t xml:space="preserve">loss of institutional memory and </w:t>
      </w:r>
      <w:r w:rsidR="007A59D5">
        <w:t xml:space="preserve">difficulties in properly documenting and obtaining detailed feedback from </w:t>
      </w:r>
      <w:r w:rsidR="00E51EC8">
        <w:t xml:space="preserve">some </w:t>
      </w:r>
      <w:r w:rsidR="007A59D5">
        <w:t xml:space="preserve">stakeholders; </w:t>
      </w:r>
    </w:p>
    <w:p w14:paraId="3EF189C3" w14:textId="5F83FD01" w:rsidR="007A59D5" w:rsidRDefault="00C0172D" w:rsidP="00790AD5">
      <w:pPr>
        <w:pStyle w:val="ListParagraph"/>
        <w:numPr>
          <w:ilvl w:val="0"/>
          <w:numId w:val="10"/>
        </w:numPr>
        <w:jc w:val="both"/>
      </w:pPr>
      <w:r>
        <w:t xml:space="preserve">Reporting against targets is relatively weak within the </w:t>
      </w:r>
      <w:r w:rsidR="00540C7D">
        <w:t xml:space="preserve">Country Office; </w:t>
      </w:r>
      <w:r w:rsidR="007A59D5">
        <w:t>and</w:t>
      </w:r>
    </w:p>
    <w:p w14:paraId="0C2254D1" w14:textId="08D12DB3" w:rsidR="007A59D5" w:rsidRDefault="007A59D5" w:rsidP="00790AD5">
      <w:pPr>
        <w:pStyle w:val="ListParagraph"/>
        <w:numPr>
          <w:ilvl w:val="0"/>
          <w:numId w:val="10"/>
        </w:numPr>
        <w:jc w:val="both"/>
      </w:pPr>
      <w:r>
        <w:t>Access to data</w:t>
      </w:r>
      <w:r w:rsidR="000E49DA">
        <w:t>,</w:t>
      </w:r>
      <w:r>
        <w:t xml:space="preserve"> relevant documentation</w:t>
      </w:r>
      <w:r w:rsidR="000E49DA">
        <w:t xml:space="preserve"> and responses to questionnaires from the UNDP country Office was exceedingly slow and protracted</w:t>
      </w:r>
      <w:r>
        <w:t xml:space="preserve">, </w:t>
      </w:r>
      <w:r w:rsidR="00BD73F1">
        <w:t xml:space="preserve">and </w:t>
      </w:r>
      <w:r>
        <w:t xml:space="preserve">this led to </w:t>
      </w:r>
      <w:r w:rsidR="00E51EC8">
        <w:t xml:space="preserve">serious </w:t>
      </w:r>
      <w:r>
        <w:t>delays</w:t>
      </w:r>
      <w:r w:rsidR="00BD73F1">
        <w:rPr>
          <w:rStyle w:val="FootnoteReference"/>
        </w:rPr>
        <w:footnoteReference w:id="33"/>
      </w:r>
      <w:r>
        <w:t>.</w:t>
      </w:r>
    </w:p>
    <w:p w14:paraId="57AAD59E" w14:textId="77777777" w:rsidR="007A59D5" w:rsidRDefault="007A59D5" w:rsidP="007A59D5">
      <w:pPr>
        <w:jc w:val="both"/>
        <w:rPr>
          <w:lang w:val="en-US"/>
        </w:rPr>
      </w:pPr>
      <w:r>
        <w:rPr>
          <w:lang w:val="en-US"/>
        </w:rPr>
        <w:t xml:space="preserve">Any evaluation in a dynamic and fluid context such as exists in Angola, and for a UNDP Country office that is rapidly transforming in response to many factors, is challenging at best. This is compounded by the Covid-19 pandemic. Nonetheless, the consultants are of the view that useful findings and recommendations can be obtained despite these concerns. </w:t>
      </w:r>
    </w:p>
    <w:p w14:paraId="4E157525" w14:textId="0177CFB1" w:rsidR="007A59D5" w:rsidRPr="007A59D5" w:rsidRDefault="007A59D5" w:rsidP="007A59D5">
      <w:pPr>
        <w:jc w:val="both"/>
        <w:sectPr w:rsidR="007A59D5" w:rsidRPr="007A59D5" w:rsidSect="00146D4C">
          <w:pgSz w:w="12240" w:h="15840"/>
          <w:pgMar w:top="1440" w:right="1440" w:bottom="1440" w:left="1440" w:header="720" w:footer="720" w:gutter="0"/>
          <w:cols w:space="720"/>
          <w:docGrid w:linePitch="360"/>
        </w:sectPr>
      </w:pPr>
    </w:p>
    <w:p w14:paraId="70D055C8" w14:textId="77777777" w:rsidR="00241228" w:rsidRDefault="00785016" w:rsidP="005634A0">
      <w:pPr>
        <w:pStyle w:val="Heading1"/>
        <w:numPr>
          <w:ilvl w:val="0"/>
          <w:numId w:val="9"/>
        </w:numPr>
        <w:rPr>
          <w:rFonts w:asciiTheme="minorHAnsi" w:hAnsiTheme="minorHAnsi" w:cstheme="minorHAnsi"/>
          <w:sz w:val="22"/>
          <w:szCs w:val="22"/>
        </w:rPr>
      </w:pPr>
      <w:bookmarkStart w:id="36" w:name="_Toc88741786"/>
      <w:r w:rsidRPr="009133E8">
        <w:rPr>
          <w:rFonts w:asciiTheme="minorHAnsi" w:hAnsiTheme="minorHAnsi" w:cstheme="minorHAnsi"/>
          <w:sz w:val="22"/>
          <w:szCs w:val="22"/>
        </w:rPr>
        <w:lastRenderedPageBreak/>
        <w:t>Evaluation Findings</w:t>
      </w:r>
      <w:bookmarkEnd w:id="36"/>
      <w:r w:rsidRPr="009133E8">
        <w:rPr>
          <w:rFonts w:asciiTheme="minorHAnsi" w:hAnsiTheme="minorHAnsi" w:cstheme="minorHAnsi"/>
          <w:sz w:val="22"/>
          <w:szCs w:val="22"/>
        </w:rPr>
        <w:t xml:space="preserve"> </w:t>
      </w:r>
    </w:p>
    <w:p w14:paraId="249DA4BF" w14:textId="652FF9B1" w:rsidR="00B20628" w:rsidRDefault="00E51EC8" w:rsidP="00DC7B30">
      <w:pPr>
        <w:jc w:val="both"/>
      </w:pPr>
      <w:r>
        <w:t xml:space="preserve">This section of the report presents the key findings of the evaluation and documents the associated </w:t>
      </w:r>
      <w:r w:rsidR="00E66BCC">
        <w:t xml:space="preserve">results and </w:t>
      </w:r>
      <w:r>
        <w:t>evidence. The findings are presented by programme outcome/cluster, followed by discussion of the key cross-cutting themes.</w:t>
      </w:r>
      <w:r w:rsidR="00C36D88">
        <w:t xml:space="preserve"> For each programme cluster, the parameters relating to relevance, effectiveness, efficiency and sustainability were assessed. </w:t>
      </w:r>
    </w:p>
    <w:p w14:paraId="60299453" w14:textId="6A615F00" w:rsidR="00B20628" w:rsidRPr="003A6CB4" w:rsidRDefault="009907B5" w:rsidP="00B20628">
      <w:pPr>
        <w:pStyle w:val="Heading2"/>
        <w:rPr>
          <w:rFonts w:asciiTheme="minorHAnsi" w:hAnsiTheme="minorHAnsi" w:cstheme="minorHAnsi"/>
          <w:sz w:val="22"/>
          <w:szCs w:val="22"/>
        </w:rPr>
      </w:pPr>
      <w:bookmarkStart w:id="37" w:name="_Toc88741787"/>
      <w:r>
        <w:rPr>
          <w:rFonts w:asciiTheme="minorHAnsi" w:hAnsiTheme="minorHAnsi" w:cstheme="minorHAnsi"/>
          <w:sz w:val="22"/>
          <w:szCs w:val="22"/>
        </w:rPr>
        <w:t>4</w:t>
      </w:r>
      <w:r w:rsidR="00B20628" w:rsidRPr="003A6CB4">
        <w:rPr>
          <w:rFonts w:asciiTheme="minorHAnsi" w:hAnsiTheme="minorHAnsi" w:cstheme="minorHAnsi"/>
          <w:sz w:val="22"/>
          <w:szCs w:val="22"/>
        </w:rPr>
        <w:t xml:space="preserve">.1 </w:t>
      </w:r>
      <w:r w:rsidR="003A6CB4" w:rsidRPr="003A6CB4">
        <w:rPr>
          <w:rFonts w:asciiTheme="minorHAnsi" w:hAnsiTheme="minorHAnsi" w:cstheme="minorHAnsi"/>
          <w:sz w:val="22"/>
          <w:szCs w:val="22"/>
        </w:rPr>
        <w:t>Fostering poverty eradication and inclusive economic growth</w:t>
      </w:r>
      <w:bookmarkEnd w:id="37"/>
    </w:p>
    <w:p w14:paraId="534CB901" w14:textId="238D1FCB" w:rsidR="00B20628" w:rsidRPr="00201087" w:rsidRDefault="009907B5" w:rsidP="00201087">
      <w:pPr>
        <w:pStyle w:val="Heading3"/>
        <w:rPr>
          <w:rFonts w:asciiTheme="minorHAnsi" w:hAnsiTheme="minorHAnsi" w:cstheme="minorHAnsi"/>
          <w:sz w:val="22"/>
          <w:szCs w:val="22"/>
        </w:rPr>
      </w:pPr>
      <w:bookmarkStart w:id="38" w:name="_Toc88741788"/>
      <w:r>
        <w:rPr>
          <w:rFonts w:asciiTheme="minorHAnsi" w:hAnsiTheme="minorHAnsi" w:cstheme="minorHAnsi"/>
          <w:sz w:val="22"/>
          <w:szCs w:val="22"/>
        </w:rPr>
        <w:t>4</w:t>
      </w:r>
      <w:r w:rsidR="00201087" w:rsidRPr="00201087">
        <w:rPr>
          <w:rFonts w:asciiTheme="minorHAnsi" w:hAnsiTheme="minorHAnsi" w:cstheme="minorHAnsi"/>
          <w:sz w:val="22"/>
          <w:szCs w:val="22"/>
        </w:rPr>
        <w:t>.1.1 Relevance</w:t>
      </w:r>
      <w:bookmarkEnd w:id="38"/>
    </w:p>
    <w:p w14:paraId="2FB31C81" w14:textId="78323C58" w:rsidR="00201087" w:rsidRPr="00165BCC" w:rsidRDefault="00830267" w:rsidP="00830267">
      <w:pPr>
        <w:jc w:val="both"/>
        <w:rPr>
          <w:b/>
          <w:bCs/>
        </w:rPr>
      </w:pPr>
      <w:r w:rsidRPr="00165BCC">
        <w:rPr>
          <w:b/>
          <w:bCs/>
        </w:rPr>
        <w:t>Finding 1: UNDP</w:t>
      </w:r>
      <w:r w:rsidR="00E56ACC" w:rsidRPr="00165BCC">
        <w:rPr>
          <w:b/>
          <w:bCs/>
        </w:rPr>
        <w:t>’s</w:t>
      </w:r>
      <w:r w:rsidRPr="00165BCC">
        <w:rPr>
          <w:b/>
          <w:bCs/>
        </w:rPr>
        <w:t xml:space="preserve"> planned interventions under the poverty and inclusive economic growth </w:t>
      </w:r>
      <w:r w:rsidR="00E56ACC" w:rsidRPr="00165BCC">
        <w:rPr>
          <w:b/>
          <w:bCs/>
        </w:rPr>
        <w:t xml:space="preserve">outcome of the CPD </w:t>
      </w:r>
      <w:r w:rsidRPr="00165BCC">
        <w:rPr>
          <w:b/>
          <w:bCs/>
        </w:rPr>
        <w:t xml:space="preserve">are </w:t>
      </w:r>
      <w:r w:rsidR="00E56ACC" w:rsidRPr="00165BCC">
        <w:rPr>
          <w:b/>
          <w:bCs/>
        </w:rPr>
        <w:t xml:space="preserve">judged to be </w:t>
      </w:r>
      <w:r w:rsidRPr="00165BCC">
        <w:rPr>
          <w:b/>
          <w:bCs/>
        </w:rPr>
        <w:t>highly relevant to national development priorities as reflected in the NDP 2018-2022</w:t>
      </w:r>
      <w:r w:rsidR="00C82AB5" w:rsidRPr="00165BCC">
        <w:rPr>
          <w:b/>
          <w:bCs/>
        </w:rPr>
        <w:t xml:space="preserve">, </w:t>
      </w:r>
      <w:r w:rsidRPr="00165BCC">
        <w:rPr>
          <w:b/>
          <w:bCs/>
        </w:rPr>
        <w:t>are closely aligned with the United Nations Sustainable Development Framework (UNSDF 2018-2022)</w:t>
      </w:r>
      <w:r w:rsidR="003C0605" w:rsidRPr="00165BCC">
        <w:rPr>
          <w:b/>
          <w:bCs/>
        </w:rPr>
        <w:t>, the UNDP strategic plan (</w:t>
      </w:r>
      <w:r w:rsidR="008D5A80" w:rsidRPr="00165BCC">
        <w:rPr>
          <w:b/>
          <w:bCs/>
        </w:rPr>
        <w:t>2018-2021</w:t>
      </w:r>
      <w:r w:rsidR="003C0605" w:rsidRPr="00165BCC">
        <w:rPr>
          <w:b/>
          <w:bCs/>
        </w:rPr>
        <w:t>)</w:t>
      </w:r>
      <w:r w:rsidR="00C82AB5" w:rsidRPr="00165BCC">
        <w:rPr>
          <w:b/>
          <w:bCs/>
        </w:rPr>
        <w:t xml:space="preserve"> and</w:t>
      </w:r>
      <w:r w:rsidR="003C0605" w:rsidRPr="00165BCC">
        <w:rPr>
          <w:b/>
          <w:bCs/>
        </w:rPr>
        <w:t xml:space="preserve"> the </w:t>
      </w:r>
      <w:r w:rsidR="00E76382">
        <w:rPr>
          <w:b/>
          <w:bCs/>
        </w:rPr>
        <w:t xml:space="preserve">UN </w:t>
      </w:r>
      <w:r w:rsidR="003C0605" w:rsidRPr="00165BCC">
        <w:rPr>
          <w:b/>
          <w:bCs/>
        </w:rPr>
        <w:t>S</w:t>
      </w:r>
      <w:r w:rsidR="00E66BCC" w:rsidRPr="00165BCC">
        <w:rPr>
          <w:b/>
          <w:bCs/>
        </w:rPr>
        <w:t xml:space="preserve">ustainable </w:t>
      </w:r>
      <w:r w:rsidR="003C0605" w:rsidRPr="00165BCC">
        <w:rPr>
          <w:b/>
          <w:bCs/>
        </w:rPr>
        <w:t>D</w:t>
      </w:r>
      <w:r w:rsidR="00E66BCC" w:rsidRPr="00165BCC">
        <w:rPr>
          <w:b/>
          <w:bCs/>
        </w:rPr>
        <w:t xml:space="preserve">evelopment </w:t>
      </w:r>
      <w:r w:rsidR="003C0605" w:rsidRPr="00165BCC">
        <w:rPr>
          <w:b/>
          <w:bCs/>
        </w:rPr>
        <w:t>G</w:t>
      </w:r>
      <w:r w:rsidR="00B146CC" w:rsidRPr="00165BCC">
        <w:rPr>
          <w:b/>
          <w:bCs/>
        </w:rPr>
        <w:t>oals</w:t>
      </w:r>
    </w:p>
    <w:p w14:paraId="0B2B7202" w14:textId="70D79038" w:rsidR="0038401E" w:rsidRDefault="0038401E" w:rsidP="00830267">
      <w:pPr>
        <w:jc w:val="both"/>
      </w:pPr>
      <w:r>
        <w:t xml:space="preserve">The country context analysed in </w:t>
      </w:r>
      <w:r w:rsidR="00F86F60">
        <w:t>the preceding sections</w:t>
      </w:r>
      <w:r>
        <w:t xml:space="preserve"> has highlighted that despite impressive growth experienced by Angola for the past decades and its new found status as a </w:t>
      </w:r>
      <w:r w:rsidR="00F86F60">
        <w:t>middle-income</w:t>
      </w:r>
      <w:r>
        <w:t xml:space="preserve"> country, poverty is deep and multi-dimensional, the economy remains </w:t>
      </w:r>
      <w:r w:rsidR="00F86F60">
        <w:t>oil-</w:t>
      </w:r>
      <w:r>
        <w:t xml:space="preserve">dependent and largely undiversified, unemployment and informal economy is pervasive thus heightening economic vulnerabilities of the country.  </w:t>
      </w:r>
    </w:p>
    <w:p w14:paraId="0A9039AA" w14:textId="4A053F84" w:rsidR="005916DF" w:rsidRDefault="00F86F60" w:rsidP="00830267">
      <w:pPr>
        <w:jc w:val="both"/>
      </w:pPr>
      <w:r>
        <w:t xml:space="preserve">Under the CDP, </w:t>
      </w:r>
      <w:r w:rsidR="005916DF">
        <w:t xml:space="preserve">UNDP </w:t>
      </w:r>
      <w:r w:rsidR="00E64B32">
        <w:t xml:space="preserve">committed to </w:t>
      </w:r>
      <w:r w:rsidR="002D3908">
        <w:t xml:space="preserve">support national priorities </w:t>
      </w:r>
      <w:r>
        <w:t xml:space="preserve">to address the challenges highlighted </w:t>
      </w:r>
      <w:r w:rsidR="002D3908">
        <w:t xml:space="preserve">by </w:t>
      </w:r>
      <w:r w:rsidR="00E64B32">
        <w:t>deepen</w:t>
      </w:r>
      <w:r w:rsidR="002D3908">
        <w:t>ing</w:t>
      </w:r>
      <w:r w:rsidR="00E64B32">
        <w:t xml:space="preserve"> its engagement to end poverty in Angola and reduce inequalit</w:t>
      </w:r>
      <w:r w:rsidR="009F29CB">
        <w:t>ies</w:t>
      </w:r>
      <w:r w:rsidR="00E64B32">
        <w:t xml:space="preserve"> through substantive analysis, dialogue and technical advice to develop more effective national policies and programmes. It also planned to support policies and initiatives for self-employment and growth of micro and small enterprises, targeting sectors with high impact on poverty reduction and addressing inclusion of the informal economy. An important area of concern for UNDP under the CPD is the strengthening of entrepreneurship and employment for young Angolans ages 18 to 35, and supporting government policy on vocational training, institutional development and testing of innovative models, </w:t>
      </w:r>
      <w:r w:rsidR="009F29CB">
        <w:t xml:space="preserve">and </w:t>
      </w:r>
      <w:r w:rsidR="00E64B32">
        <w:t xml:space="preserve">ensuring </w:t>
      </w:r>
      <w:r w:rsidR="009F29CB">
        <w:t xml:space="preserve">that </w:t>
      </w:r>
      <w:r w:rsidR="00E64B32">
        <w:t>the most vulnerable sections of the workforce have access to skills and resources that match labour market demand.</w:t>
      </w:r>
      <w:r w:rsidR="005916DF">
        <w:t xml:space="preserve"> UNDP planned to </w:t>
      </w:r>
      <w:r>
        <w:t xml:space="preserve">also </w:t>
      </w:r>
      <w:r w:rsidR="005916DF">
        <w:t>continue its youth internship programme and enhance it with the national volunteer programme.</w:t>
      </w:r>
      <w:r w:rsidR="009F29CB">
        <w:t xml:space="preserve"> In the same vein, </w:t>
      </w:r>
      <w:r w:rsidR="005916DF">
        <w:t xml:space="preserve">UNDP </w:t>
      </w:r>
      <w:r w:rsidR="002D3908">
        <w:t>also planned to</w:t>
      </w:r>
      <w:r w:rsidR="005916DF">
        <w:t xml:space="preserve"> contribute to mobilizing international and national private capital for financing development projects within the context of DP/DCP/AGO/4. In its integrator role, UNDP </w:t>
      </w:r>
      <w:r w:rsidR="009F29CB">
        <w:t>set out</w:t>
      </w:r>
      <w:r w:rsidR="005916DF">
        <w:t xml:space="preserve"> to facilitate the establishment of an engaged private sector platform through the umbrella of the Angolan Corporate Social Responsibility Network and Public-Private Partnership Initiative.</w:t>
      </w:r>
    </w:p>
    <w:p w14:paraId="5687D263" w14:textId="48AF22C1" w:rsidR="00E64B32" w:rsidRDefault="002D3908" w:rsidP="005916DF">
      <w:pPr>
        <w:jc w:val="both"/>
      </w:pPr>
      <w:r>
        <w:t xml:space="preserve">In </w:t>
      </w:r>
      <w:r w:rsidR="009F29CB">
        <w:t xml:space="preserve">the </w:t>
      </w:r>
      <w:r>
        <w:t xml:space="preserve">area of health, </w:t>
      </w:r>
      <w:r w:rsidR="005916DF">
        <w:t xml:space="preserve">UNDP planned to strengthen its support to national efforts for sustainable solutions in health, in line with the UNDP HIV, health and development strategy, 2016-2022 (HHD). Building on its Global Fund </w:t>
      </w:r>
      <w:r w:rsidR="009F29CB">
        <w:t>P</w:t>
      </w:r>
      <w:r w:rsidR="005916DF">
        <w:t xml:space="preserve">rincipal </w:t>
      </w:r>
      <w:r w:rsidR="009F29CB">
        <w:t>R</w:t>
      </w:r>
      <w:r w:rsidR="005916DF">
        <w:t xml:space="preserve">ecipient role, UNDP </w:t>
      </w:r>
      <w:r>
        <w:t>committed to</w:t>
      </w:r>
      <w:r w:rsidR="005916DF">
        <w:t xml:space="preserve"> deliver packages of HIV prevention services to adolescent girls and young women, female sex workers, men having se</w:t>
      </w:r>
      <w:r w:rsidR="007F74BD">
        <w:t xml:space="preserve">x with men. </w:t>
      </w:r>
      <w:r w:rsidR="005916DF">
        <w:t xml:space="preserve">In the same vein, and in order to reduce gender, legal and human rights-related barriers to accessing basic social services, UNDP planned to promote national ownership of the 2018 HIV legal environment assessment report and the national strategy for key populations, and revision of the 2004 HIV law. UNDP </w:t>
      </w:r>
      <w:r>
        <w:t>planned to</w:t>
      </w:r>
      <w:r w:rsidR="005916DF">
        <w:t xml:space="preserve"> deliver capacity-building packages for advocacy to CSOs.</w:t>
      </w:r>
    </w:p>
    <w:p w14:paraId="356DA106" w14:textId="349C5E1E" w:rsidR="007F74BD" w:rsidRDefault="007F74BD" w:rsidP="005916DF">
      <w:pPr>
        <w:jc w:val="both"/>
      </w:pPr>
      <w:r>
        <w:t xml:space="preserve">Economic and social </w:t>
      </w:r>
      <w:r w:rsidR="002D3908">
        <w:t xml:space="preserve">development </w:t>
      </w:r>
      <w:r>
        <w:t xml:space="preserve">are </w:t>
      </w:r>
      <w:r w:rsidR="00F86F60">
        <w:t>key p</w:t>
      </w:r>
      <w:r>
        <w:t>riorit</w:t>
      </w:r>
      <w:r w:rsidR="00F86F60">
        <w:t>ies</w:t>
      </w:r>
      <w:r>
        <w:t xml:space="preserve"> for the </w:t>
      </w:r>
      <w:r w:rsidR="00E66BCC">
        <w:t xml:space="preserve">Government of </w:t>
      </w:r>
      <w:r>
        <w:t xml:space="preserve">Angola and UNDP’s planned activities </w:t>
      </w:r>
      <w:r w:rsidR="00F86F60">
        <w:t xml:space="preserve">outlined above </w:t>
      </w:r>
      <w:r>
        <w:t xml:space="preserve">are directly in line with national priorities in the NDP 2018-2022. Specifically, </w:t>
      </w:r>
      <w:r w:rsidR="00E66BCC">
        <w:t xml:space="preserve">the </w:t>
      </w:r>
      <w:r w:rsidR="00E66BCC">
        <w:lastRenderedPageBreak/>
        <w:t xml:space="preserve">CPD is firmly anchored on </w:t>
      </w:r>
      <w:r>
        <w:t>Axis 1 of the NDP</w:t>
      </w:r>
      <w:r w:rsidR="00017062">
        <w:t xml:space="preserve"> (Human development and Wellbeing)</w:t>
      </w:r>
      <w:r w:rsidR="00F86F60">
        <w:t>, which</w:t>
      </w:r>
      <w:r>
        <w:t xml:space="preserve"> constitutes a central dimension of the entire plan, </w:t>
      </w:r>
      <w:r w:rsidR="002D3908">
        <w:t xml:space="preserve">focusing on </w:t>
      </w:r>
      <w:r>
        <w:t>the improvement of well-being of citizens and the quality of life of Angolan families, the reduction of poverty and inequalities and the promotion of the level of human development a</w:t>
      </w:r>
      <w:r w:rsidR="002D3908">
        <w:t>s</w:t>
      </w:r>
      <w:r>
        <w:t xml:space="preserve"> essential conditions for progress. Similarly</w:t>
      </w:r>
      <w:r w:rsidR="000E0EB0">
        <w:t>,</w:t>
      </w:r>
      <w:r>
        <w:t xml:space="preserve"> </w:t>
      </w:r>
      <w:r w:rsidR="00E66BCC">
        <w:t>the</w:t>
      </w:r>
      <w:r w:rsidR="002D3908">
        <w:t xml:space="preserve"> CPD responds directly to </w:t>
      </w:r>
      <w:r>
        <w:t>Axis 2</w:t>
      </w:r>
      <w:r w:rsidR="002D3908">
        <w:t xml:space="preserve"> </w:t>
      </w:r>
      <w:r w:rsidR="000E0EB0">
        <w:t>of the NDP</w:t>
      </w:r>
      <w:r w:rsidR="00017062">
        <w:t xml:space="preserve"> (Sustainable Development and Inclusive Economic Growth)</w:t>
      </w:r>
      <w:r w:rsidR="000E0EB0">
        <w:t xml:space="preserve"> </w:t>
      </w:r>
      <w:r w:rsidR="002D3908">
        <w:t xml:space="preserve">which </w:t>
      </w:r>
      <w:r>
        <w:t>focus</w:t>
      </w:r>
      <w:r w:rsidR="002D3908">
        <w:t>es</w:t>
      </w:r>
      <w:r>
        <w:t xml:space="preserve"> on sustainable and diversified economic development, inclusive</w:t>
      </w:r>
      <w:r w:rsidR="008B1365">
        <w:t xml:space="preserve"> growth</w:t>
      </w:r>
      <w:r>
        <w:t xml:space="preserve">, </w:t>
      </w:r>
      <w:r w:rsidR="002D3908">
        <w:t xml:space="preserve">and </w:t>
      </w:r>
      <w:r>
        <w:t>generation of employment opportunities.</w:t>
      </w:r>
    </w:p>
    <w:p w14:paraId="533866DC" w14:textId="3A744CC5" w:rsidR="000E0EB0" w:rsidRDefault="007F74BD" w:rsidP="000E0EB0">
      <w:pPr>
        <w:jc w:val="both"/>
      </w:pPr>
      <w:r>
        <w:t xml:space="preserve">UNDP’s planned interventions are also well aligned with the UNSDF </w:t>
      </w:r>
      <w:r w:rsidR="002D3908">
        <w:t>(2018-2022)</w:t>
      </w:r>
      <w:r>
        <w:t xml:space="preserve">. </w:t>
      </w:r>
      <w:r w:rsidR="000E0EB0">
        <w:t>In particular</w:t>
      </w:r>
      <w:r w:rsidR="00F86F60">
        <w:t>,</w:t>
      </w:r>
      <w:r w:rsidR="000E0EB0">
        <w:t xml:space="preserve"> Outcome 1: </w:t>
      </w:r>
      <w:r w:rsidR="000E0EB0">
        <w:rPr>
          <w:i/>
          <w:iCs/>
          <w:sz w:val="20"/>
          <w:szCs w:val="20"/>
        </w:rPr>
        <w:t>“</w:t>
      </w:r>
      <w:r w:rsidR="000E0EB0" w:rsidRPr="000E0EB0">
        <w:rPr>
          <w:i/>
          <w:iCs/>
        </w:rPr>
        <w:t>By 2022, the Angolan population, particularly the most vulnerable, has better access to quality and integrated social and productive services and to a diversified economy capable of the creation of decent employment and earnings in order to reduce poverty”.</w:t>
      </w:r>
      <w:r w:rsidR="000E0EB0">
        <w:rPr>
          <w:i/>
          <w:iCs/>
        </w:rPr>
        <w:t xml:space="preserve"> </w:t>
      </w:r>
      <w:r w:rsidR="000E0EB0">
        <w:t xml:space="preserve">UNDP </w:t>
      </w:r>
      <w:r w:rsidR="00F86F60">
        <w:t xml:space="preserve">action is envisaged </w:t>
      </w:r>
      <w:r w:rsidR="000E0EB0">
        <w:t xml:space="preserve">in </w:t>
      </w:r>
      <w:r w:rsidR="00E56ACC">
        <w:t>all the planned outputs of this outcome, contribut</w:t>
      </w:r>
      <w:r w:rsidR="00F86F60">
        <w:t>ing</w:t>
      </w:r>
      <w:r w:rsidR="00E56ACC">
        <w:t xml:space="preserve"> 31% of the projected UNSDF resources for this area</w:t>
      </w:r>
      <w:r w:rsidR="00E66BCC">
        <w:t>. UNDP in this regard plans to w</w:t>
      </w:r>
      <w:r w:rsidR="00E56ACC">
        <w:t>ork with UN and national partners by providing t</w:t>
      </w:r>
      <w:r w:rsidR="00E56ACC" w:rsidRPr="00E56ACC">
        <w:t>echnical assistance</w:t>
      </w:r>
      <w:r w:rsidR="00E56ACC">
        <w:t>,</w:t>
      </w:r>
      <w:r w:rsidR="00E56ACC" w:rsidRPr="00E56ACC">
        <w:t xml:space="preserve"> advocacy</w:t>
      </w:r>
      <w:r w:rsidR="00E56ACC">
        <w:t>,</w:t>
      </w:r>
      <w:r w:rsidR="00E56ACC" w:rsidRPr="00E56ACC">
        <w:t xml:space="preserve"> service delivery</w:t>
      </w:r>
      <w:r w:rsidR="00E56ACC">
        <w:t xml:space="preserve"> and</w:t>
      </w:r>
      <w:r w:rsidR="00E56ACC" w:rsidRPr="00E56ACC">
        <w:t xml:space="preserve"> capacity building</w:t>
      </w:r>
      <w:r w:rsidR="00E56ACC">
        <w:t>.</w:t>
      </w:r>
    </w:p>
    <w:p w14:paraId="7741A3ED" w14:textId="661685CE" w:rsidR="003C0605" w:rsidRPr="00E56ACC" w:rsidRDefault="00F1746E" w:rsidP="000E0EB0">
      <w:pPr>
        <w:jc w:val="both"/>
      </w:pPr>
      <w:r>
        <w:t>Finally, t</w:t>
      </w:r>
      <w:r w:rsidR="003C0605">
        <w:t xml:space="preserve">he </w:t>
      </w:r>
      <w:r>
        <w:t xml:space="preserve">CPD outcome on poverty is also closely aligned with the UNDP </w:t>
      </w:r>
      <w:r w:rsidR="003C0605">
        <w:t>Corporate Strategic Plan</w:t>
      </w:r>
      <w:r>
        <w:t xml:space="preserve"> (</w:t>
      </w:r>
      <w:r w:rsidR="00DC7B30">
        <w:t>2018-2021</w:t>
      </w:r>
      <w:r>
        <w:t>) and the SDGs. The UNDP Strategic Plan</w:t>
      </w:r>
      <w:r w:rsidR="00DC379E">
        <w:t xml:space="preserve"> vision states as follows: “</w:t>
      </w:r>
      <w:r w:rsidR="00DC379E" w:rsidRPr="00DC379E">
        <w:rPr>
          <w:i/>
          <w:iCs/>
        </w:rPr>
        <w:t>to help countries to achieve sustainable development by eradicating poverty in all its forms and dimensions, accelerating structural transformations for sustainable development and building resilience to crises and shocks</w:t>
      </w:r>
      <w:r w:rsidRPr="00DC379E">
        <w:rPr>
          <w:i/>
          <w:iCs/>
        </w:rPr>
        <w:t xml:space="preserve"> identifie</w:t>
      </w:r>
      <w:r w:rsidR="008B1365">
        <w:rPr>
          <w:i/>
          <w:iCs/>
        </w:rPr>
        <w:t>d</w:t>
      </w:r>
      <w:r w:rsidR="00DC379E">
        <w:t>. Specifically, the CPD outcome is aligned with the UNDP Strategic Plan priority to eradicate poverty in all its forms and dimensions.</w:t>
      </w:r>
      <w:r w:rsidR="00BD3739">
        <w:t xml:space="preserve"> </w:t>
      </w:r>
      <w:r w:rsidR="00DC379E">
        <w:t>Similarly, t</w:t>
      </w:r>
      <w:r>
        <w:t>he CPD outcome on poverty speaks directly to the SDG goals 1</w:t>
      </w:r>
      <w:r w:rsidR="00074F0F">
        <w:t xml:space="preserve"> (no poverty), 4 (quality education), 5 (gender equality) and 8 (decent work and economic growth).</w:t>
      </w:r>
    </w:p>
    <w:p w14:paraId="7492BB68" w14:textId="1F374646" w:rsidR="00201087" w:rsidRPr="00201087" w:rsidRDefault="009907B5" w:rsidP="00201087">
      <w:pPr>
        <w:pStyle w:val="Heading3"/>
        <w:rPr>
          <w:rFonts w:asciiTheme="minorHAnsi" w:hAnsiTheme="minorHAnsi" w:cstheme="minorHAnsi"/>
          <w:sz w:val="22"/>
          <w:szCs w:val="22"/>
        </w:rPr>
      </w:pPr>
      <w:bookmarkStart w:id="39" w:name="_Toc88741789"/>
      <w:r>
        <w:rPr>
          <w:rFonts w:asciiTheme="minorHAnsi" w:hAnsiTheme="minorHAnsi" w:cstheme="minorHAnsi"/>
          <w:sz w:val="22"/>
          <w:szCs w:val="22"/>
        </w:rPr>
        <w:t>4</w:t>
      </w:r>
      <w:r w:rsidR="00201087" w:rsidRPr="00201087">
        <w:rPr>
          <w:rFonts w:asciiTheme="minorHAnsi" w:hAnsiTheme="minorHAnsi" w:cstheme="minorHAnsi"/>
          <w:sz w:val="22"/>
          <w:szCs w:val="22"/>
        </w:rPr>
        <w:t>.1.2 Effectiveness</w:t>
      </w:r>
      <w:bookmarkEnd w:id="39"/>
    </w:p>
    <w:p w14:paraId="7B34CA87" w14:textId="7EB61EFD" w:rsidR="00F1746E" w:rsidRDefault="00F1746E" w:rsidP="008353FD">
      <w:pPr>
        <w:jc w:val="both"/>
      </w:pPr>
      <w:r>
        <w:t>Under the CPD, UNDP set out to</w:t>
      </w:r>
      <w:r w:rsidR="00041AEB">
        <w:t xml:space="preserve"> </w:t>
      </w:r>
      <w:r w:rsidR="008353FD">
        <w:t>strengthen technical capacities of n</w:t>
      </w:r>
      <w:r w:rsidR="00041AEB" w:rsidRPr="00145430">
        <w:t>ational and subnational institutions to develop, implement and monitor strategies and programmes to end extreme poverty.</w:t>
      </w:r>
      <w:r w:rsidR="008353FD">
        <w:t xml:space="preserve"> UNDP also planned to </w:t>
      </w:r>
      <w:r w:rsidR="00041AEB" w:rsidRPr="00145430">
        <w:t>support job creation and inclusive growth through the strengthening of micro, small and medium-size enterprises (MSMEs) and professional skills development, particularly for women and youth</w:t>
      </w:r>
      <w:r w:rsidR="008353FD">
        <w:t>. Under the CPD, p</w:t>
      </w:r>
      <w:r w:rsidR="00041AEB" w:rsidRPr="00145430">
        <w:t xml:space="preserve">rivate sector platforms </w:t>
      </w:r>
      <w:r w:rsidR="008353FD">
        <w:t xml:space="preserve">would be </w:t>
      </w:r>
      <w:r w:rsidR="00041AEB" w:rsidRPr="00145430">
        <w:t>enabled to participate in the achievement of the Goals.</w:t>
      </w:r>
      <w:r w:rsidR="008353FD">
        <w:t xml:space="preserve"> Finally, the c</w:t>
      </w:r>
      <w:r w:rsidR="00145430" w:rsidRPr="00145430">
        <w:t xml:space="preserve">apacities at national and local levels </w:t>
      </w:r>
      <w:r w:rsidR="008353FD">
        <w:t xml:space="preserve">would be </w:t>
      </w:r>
      <w:r w:rsidR="00145430" w:rsidRPr="00145430">
        <w:t>strengthened to deliver HIV and related services, including for people living with HIV, adolescent girls and young women, and key populations</w:t>
      </w:r>
      <w:r w:rsidR="00041AEB" w:rsidRPr="00145430">
        <w:t>.</w:t>
      </w:r>
      <w:r w:rsidR="008353FD">
        <w:t xml:space="preserve"> </w:t>
      </w:r>
    </w:p>
    <w:p w14:paraId="2BCFD0A3" w14:textId="6E887122" w:rsidR="00427E80" w:rsidRDefault="001E3DB6" w:rsidP="008353FD">
      <w:pPr>
        <w:jc w:val="both"/>
      </w:pPr>
      <w:r>
        <w:t>Through</w:t>
      </w:r>
      <w:r w:rsidR="00295BD3">
        <w:t xml:space="preserve"> the Poverty and Inclusive Growth cluster</w:t>
      </w:r>
      <w:r>
        <w:t xml:space="preserve">, </w:t>
      </w:r>
      <w:r w:rsidR="00427E80">
        <w:t xml:space="preserve">UNDP is implementing </w:t>
      </w:r>
      <w:r w:rsidR="00EE2C9D">
        <w:t>ten</w:t>
      </w:r>
      <w:r w:rsidR="00427E80">
        <w:t xml:space="preserve"> projects</w:t>
      </w:r>
      <w:r w:rsidR="00EE2C9D">
        <w:t>, four of which are Global Fund</w:t>
      </w:r>
      <w:r w:rsidR="00D13FF4">
        <w:t xml:space="preserve"> </w:t>
      </w:r>
      <w:r w:rsidR="007D4743">
        <w:t xml:space="preserve">ones, </w:t>
      </w:r>
      <w:r w:rsidR="00427E80">
        <w:t xml:space="preserve">as shown in Table </w:t>
      </w:r>
      <w:r w:rsidR="00DC7B30">
        <w:t>8</w:t>
      </w:r>
      <w:r w:rsidR="00427E80">
        <w:t>.</w:t>
      </w:r>
      <w:r w:rsidR="00EE2C9D">
        <w:t xml:space="preserve"> </w:t>
      </w:r>
      <w:r>
        <w:t xml:space="preserve">The total resources committed to this outcome amounts </w:t>
      </w:r>
      <w:r w:rsidR="007D4743">
        <w:t xml:space="preserve">to </w:t>
      </w:r>
      <w:r>
        <w:t>US$4</w:t>
      </w:r>
      <w:r w:rsidR="00EE2C9D">
        <w:t>6</w:t>
      </w:r>
      <w:r>
        <w:t xml:space="preserve"> million, or </w:t>
      </w:r>
      <w:r w:rsidR="00540C7D">
        <w:t>71</w:t>
      </w:r>
      <w:r w:rsidR="00832CA5">
        <w:t>% of CPD budget.</w:t>
      </w:r>
      <w:r w:rsidR="00540C7D">
        <w:t xml:space="preserve"> Annex 7 summarizes the key achievements for this CPD outcome, and the key findings are presented in the sections below. </w:t>
      </w:r>
    </w:p>
    <w:p w14:paraId="246BD11D" w14:textId="7F4CF2FF" w:rsidR="00F643E6" w:rsidRPr="00FB24C5" w:rsidRDefault="00F643E6" w:rsidP="008353FD">
      <w:pPr>
        <w:jc w:val="both"/>
        <w:rPr>
          <w:b/>
          <w:bCs/>
        </w:rPr>
      </w:pPr>
      <w:r w:rsidRPr="00FB24C5">
        <w:rPr>
          <w:b/>
          <w:bCs/>
        </w:rPr>
        <w:t xml:space="preserve">Table </w:t>
      </w:r>
      <w:r w:rsidR="00DC7B30">
        <w:rPr>
          <w:b/>
          <w:bCs/>
        </w:rPr>
        <w:t>8</w:t>
      </w:r>
      <w:r w:rsidRPr="00FB24C5">
        <w:rPr>
          <w:b/>
          <w:bCs/>
        </w:rPr>
        <w:t xml:space="preserve">: UNDP Projects under the Poverty and Inclusive Growth Cluster </w:t>
      </w:r>
    </w:p>
    <w:tbl>
      <w:tblPr>
        <w:tblStyle w:val="GridTable1Light"/>
        <w:tblW w:w="10070" w:type="dxa"/>
        <w:tblLook w:val="04A0" w:firstRow="1" w:lastRow="0" w:firstColumn="1" w:lastColumn="0" w:noHBand="0" w:noVBand="1"/>
      </w:tblPr>
      <w:tblGrid>
        <w:gridCol w:w="742"/>
        <w:gridCol w:w="94"/>
        <w:gridCol w:w="2872"/>
        <w:gridCol w:w="73"/>
        <w:gridCol w:w="2972"/>
        <w:gridCol w:w="25"/>
        <w:gridCol w:w="1769"/>
        <w:gridCol w:w="1523"/>
      </w:tblGrid>
      <w:tr w:rsidR="00F643E6" w:rsidRPr="00295BD3" w14:paraId="2BE05646" w14:textId="77777777" w:rsidTr="00540C7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2" w:type="dxa"/>
          </w:tcPr>
          <w:p w14:paraId="319F33F8" w14:textId="71D4389F" w:rsidR="00F643E6" w:rsidRPr="00295BD3" w:rsidRDefault="00295BD3" w:rsidP="009E3469">
            <w:pPr>
              <w:jc w:val="center"/>
              <w:rPr>
                <w:bCs w:val="0"/>
              </w:rPr>
            </w:pPr>
            <w:bookmarkStart w:id="40" w:name="_Hlk86994579"/>
            <w:bookmarkStart w:id="41" w:name="_Hlk86994462"/>
            <w:r w:rsidRPr="00295BD3">
              <w:rPr>
                <w:bCs w:val="0"/>
              </w:rPr>
              <w:t>No.</w:t>
            </w:r>
          </w:p>
        </w:tc>
        <w:tc>
          <w:tcPr>
            <w:tcW w:w="2966" w:type="dxa"/>
            <w:gridSpan w:val="2"/>
          </w:tcPr>
          <w:p w14:paraId="43997D72" w14:textId="09232247" w:rsidR="00F643E6" w:rsidRPr="00295BD3" w:rsidRDefault="00295BD3" w:rsidP="009E3469">
            <w:pPr>
              <w:jc w:val="center"/>
              <w:cnfStyle w:val="100000000000" w:firstRow="1" w:lastRow="0" w:firstColumn="0" w:lastColumn="0" w:oddVBand="0" w:evenVBand="0" w:oddHBand="0" w:evenHBand="0" w:firstRowFirstColumn="0" w:firstRowLastColumn="0" w:lastRowFirstColumn="0" w:lastRowLastColumn="0"/>
              <w:rPr>
                <w:bCs w:val="0"/>
              </w:rPr>
            </w:pPr>
            <w:r w:rsidRPr="00295BD3">
              <w:rPr>
                <w:bCs w:val="0"/>
              </w:rPr>
              <w:t>Project Title</w:t>
            </w:r>
          </w:p>
        </w:tc>
        <w:tc>
          <w:tcPr>
            <w:tcW w:w="3045" w:type="dxa"/>
            <w:gridSpan w:val="2"/>
          </w:tcPr>
          <w:p w14:paraId="726E5BC6" w14:textId="77777777" w:rsidR="00F643E6" w:rsidRPr="00295BD3" w:rsidRDefault="00F643E6" w:rsidP="009E3469">
            <w:pPr>
              <w:jc w:val="center"/>
              <w:cnfStyle w:val="100000000000" w:firstRow="1" w:lastRow="0" w:firstColumn="0" w:lastColumn="0" w:oddVBand="0" w:evenVBand="0" w:oddHBand="0" w:evenHBand="0" w:firstRowFirstColumn="0" w:firstRowLastColumn="0" w:lastRowFirstColumn="0" w:lastRowLastColumn="0"/>
              <w:rPr>
                <w:bCs w:val="0"/>
              </w:rPr>
            </w:pPr>
            <w:r w:rsidRPr="00295BD3">
              <w:rPr>
                <w:bCs w:val="0"/>
              </w:rPr>
              <w:t>Government</w:t>
            </w:r>
          </w:p>
        </w:tc>
        <w:tc>
          <w:tcPr>
            <w:tcW w:w="1794" w:type="dxa"/>
            <w:gridSpan w:val="2"/>
          </w:tcPr>
          <w:p w14:paraId="0EC3A136" w14:textId="77777777" w:rsidR="00F643E6" w:rsidRPr="00295BD3" w:rsidRDefault="00F643E6" w:rsidP="009E3469">
            <w:pPr>
              <w:jc w:val="center"/>
              <w:cnfStyle w:val="100000000000" w:firstRow="1" w:lastRow="0" w:firstColumn="0" w:lastColumn="0" w:oddVBand="0" w:evenVBand="0" w:oddHBand="0" w:evenHBand="0" w:firstRowFirstColumn="0" w:firstRowLastColumn="0" w:lastRowFirstColumn="0" w:lastRowLastColumn="0"/>
              <w:rPr>
                <w:bCs w:val="0"/>
              </w:rPr>
            </w:pPr>
            <w:r w:rsidRPr="00295BD3">
              <w:rPr>
                <w:bCs w:val="0"/>
              </w:rPr>
              <w:t>Private Sector</w:t>
            </w:r>
          </w:p>
        </w:tc>
        <w:tc>
          <w:tcPr>
            <w:tcW w:w="1523" w:type="dxa"/>
          </w:tcPr>
          <w:p w14:paraId="020C45D9" w14:textId="7C0C98B9" w:rsidR="00F643E6" w:rsidRPr="00295BD3" w:rsidRDefault="00295BD3" w:rsidP="009E3469">
            <w:pPr>
              <w:jc w:val="center"/>
              <w:cnfStyle w:val="100000000000" w:firstRow="1" w:lastRow="0" w:firstColumn="0" w:lastColumn="0" w:oddVBand="0" w:evenVBand="0" w:oddHBand="0" w:evenHBand="0" w:firstRowFirstColumn="0" w:firstRowLastColumn="0" w:lastRowFirstColumn="0" w:lastRowLastColumn="0"/>
              <w:rPr>
                <w:bCs w:val="0"/>
              </w:rPr>
            </w:pPr>
            <w:r w:rsidRPr="00295BD3">
              <w:rPr>
                <w:bCs w:val="0"/>
              </w:rPr>
              <w:t>Budget</w:t>
            </w:r>
          </w:p>
        </w:tc>
      </w:tr>
      <w:tr w:rsidR="00F643E6" w14:paraId="6217216B" w14:textId="77777777" w:rsidTr="00540C7D">
        <w:tc>
          <w:tcPr>
            <w:cnfStyle w:val="001000000000" w:firstRow="0" w:lastRow="0" w:firstColumn="1" w:lastColumn="0" w:oddVBand="0" w:evenVBand="0" w:oddHBand="0" w:evenHBand="0" w:firstRowFirstColumn="0" w:firstRowLastColumn="0" w:lastRowFirstColumn="0" w:lastRowLastColumn="0"/>
            <w:tcW w:w="742" w:type="dxa"/>
          </w:tcPr>
          <w:p w14:paraId="48F60D85" w14:textId="77777777" w:rsidR="00F643E6" w:rsidRPr="00C94754" w:rsidRDefault="00F643E6" w:rsidP="009E3469">
            <w:pPr>
              <w:jc w:val="right"/>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1.1</w:t>
            </w:r>
          </w:p>
        </w:tc>
        <w:tc>
          <w:tcPr>
            <w:tcW w:w="2966" w:type="dxa"/>
            <w:gridSpan w:val="2"/>
          </w:tcPr>
          <w:p w14:paraId="22717877" w14:textId="77777777" w:rsidR="00F643E6" w:rsidRPr="00C94754" w:rsidRDefault="00F643E6" w:rsidP="009E34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Technical Assistance Economic Diversification</w:t>
            </w:r>
          </w:p>
        </w:tc>
        <w:tc>
          <w:tcPr>
            <w:tcW w:w="3045" w:type="dxa"/>
            <w:gridSpan w:val="2"/>
          </w:tcPr>
          <w:p w14:paraId="76273C34" w14:textId="77777777" w:rsidR="00F643E6" w:rsidRPr="00C94754" w:rsidRDefault="00F643E6" w:rsidP="009E34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1D2228"/>
                <w:sz w:val="20"/>
                <w:szCs w:val="20"/>
                <w:lang w:eastAsia="pt-PT"/>
              </w:rPr>
            </w:pPr>
            <w:r w:rsidRPr="00C94754">
              <w:rPr>
                <w:rFonts w:ascii="Calibri" w:eastAsia="Times New Roman" w:hAnsi="Calibri" w:cs="Calibri"/>
                <w:color w:val="1D2228"/>
                <w:sz w:val="20"/>
                <w:szCs w:val="20"/>
                <w:lang w:eastAsia="pt-PT"/>
              </w:rPr>
              <w:t>MAPTSS/INEFOP/ INAPEM/ MEP/ INE / Ministry of Public Administration, Labour and Social Security – National Institute for Employment and Vocational Training</w:t>
            </w:r>
          </w:p>
        </w:tc>
        <w:tc>
          <w:tcPr>
            <w:tcW w:w="1794" w:type="dxa"/>
            <w:gridSpan w:val="2"/>
          </w:tcPr>
          <w:p w14:paraId="5A3D81F6" w14:textId="77777777" w:rsidR="00F643E6" w:rsidRPr="00C94754" w:rsidRDefault="00F643E6" w:rsidP="009E34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1D2228"/>
                <w:sz w:val="20"/>
                <w:szCs w:val="20"/>
                <w:lang w:eastAsia="pt-PT"/>
              </w:rPr>
            </w:pPr>
            <w:r w:rsidRPr="00C94754">
              <w:rPr>
                <w:rFonts w:ascii="Calibri" w:eastAsia="Times New Roman" w:hAnsi="Calibri" w:cs="Calibri"/>
                <w:color w:val="1D2228"/>
                <w:sz w:val="20"/>
                <w:szCs w:val="20"/>
                <w:lang w:eastAsia="pt-PT"/>
              </w:rPr>
              <w:t>Lubango Livestock and Commercial Association</w:t>
            </w:r>
          </w:p>
        </w:tc>
        <w:tc>
          <w:tcPr>
            <w:tcW w:w="1523" w:type="dxa"/>
          </w:tcPr>
          <w:p w14:paraId="04AFA9F0" w14:textId="77777777" w:rsidR="00F643E6" w:rsidRPr="00C94754" w:rsidRDefault="00F643E6" w:rsidP="009E34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xml:space="preserve">$195 000 </w:t>
            </w:r>
          </w:p>
        </w:tc>
      </w:tr>
      <w:tr w:rsidR="00F643E6" w14:paraId="789BFE57" w14:textId="77777777" w:rsidTr="00540C7D">
        <w:tc>
          <w:tcPr>
            <w:cnfStyle w:val="001000000000" w:firstRow="0" w:lastRow="0" w:firstColumn="1" w:lastColumn="0" w:oddVBand="0" w:evenVBand="0" w:oddHBand="0" w:evenHBand="0" w:firstRowFirstColumn="0" w:firstRowLastColumn="0" w:lastRowFirstColumn="0" w:lastRowLastColumn="0"/>
            <w:tcW w:w="742" w:type="dxa"/>
          </w:tcPr>
          <w:p w14:paraId="2C69FFC8" w14:textId="77777777" w:rsidR="00F643E6" w:rsidRPr="00C94754" w:rsidRDefault="00F643E6" w:rsidP="009E3469">
            <w:pPr>
              <w:jc w:val="right"/>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1.2</w:t>
            </w:r>
          </w:p>
        </w:tc>
        <w:tc>
          <w:tcPr>
            <w:tcW w:w="2966" w:type="dxa"/>
            <w:gridSpan w:val="2"/>
          </w:tcPr>
          <w:p w14:paraId="7986636F" w14:textId="77777777" w:rsidR="00F643E6" w:rsidRPr="00C94754" w:rsidRDefault="00F643E6" w:rsidP="009E34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AGO COVID-19 Econ. Social Impact</w:t>
            </w:r>
          </w:p>
        </w:tc>
        <w:tc>
          <w:tcPr>
            <w:tcW w:w="3045" w:type="dxa"/>
            <w:gridSpan w:val="2"/>
          </w:tcPr>
          <w:p w14:paraId="33A199FA" w14:textId="77777777" w:rsidR="00F643E6" w:rsidRPr="00C94754" w:rsidRDefault="00F643E6"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1D2228"/>
                <w:sz w:val="20"/>
                <w:szCs w:val="20"/>
                <w:lang w:eastAsia="pt-PT"/>
              </w:rPr>
            </w:pPr>
            <w:r w:rsidRPr="00C94754">
              <w:rPr>
                <w:rFonts w:ascii="Calibri" w:eastAsia="Times New Roman" w:hAnsi="Calibri" w:cs="Calibri"/>
                <w:color w:val="1D2228"/>
                <w:sz w:val="20"/>
                <w:szCs w:val="20"/>
                <w:lang w:eastAsia="pt-PT"/>
              </w:rPr>
              <w:t>MAPTSS/INEFOP/ INAPEM/ MEP/ INE</w:t>
            </w:r>
          </w:p>
        </w:tc>
        <w:tc>
          <w:tcPr>
            <w:tcW w:w="1794" w:type="dxa"/>
            <w:gridSpan w:val="2"/>
          </w:tcPr>
          <w:p w14:paraId="599CE103" w14:textId="77777777" w:rsidR="00F643E6" w:rsidRPr="00C94754" w:rsidRDefault="00F643E6"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1D2228"/>
                <w:sz w:val="20"/>
                <w:szCs w:val="20"/>
                <w:lang w:eastAsia="pt-PT"/>
              </w:rPr>
            </w:pPr>
            <w:r w:rsidRPr="00C94754">
              <w:rPr>
                <w:rFonts w:ascii="Calibri" w:eastAsia="Times New Roman" w:hAnsi="Calibri" w:cs="Calibri"/>
                <w:color w:val="1D2228"/>
                <w:sz w:val="20"/>
                <w:szCs w:val="20"/>
                <w:lang w:eastAsia="pt-PT"/>
              </w:rPr>
              <w:t> </w:t>
            </w:r>
          </w:p>
        </w:tc>
        <w:tc>
          <w:tcPr>
            <w:tcW w:w="1523" w:type="dxa"/>
          </w:tcPr>
          <w:p w14:paraId="72711E15" w14:textId="77777777" w:rsidR="00F643E6" w:rsidRPr="00C94754" w:rsidRDefault="00F643E6" w:rsidP="009E34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xml:space="preserve">$600 000 </w:t>
            </w:r>
          </w:p>
        </w:tc>
      </w:tr>
      <w:tr w:rsidR="00F643E6" w14:paraId="62C91E63" w14:textId="77777777" w:rsidTr="00540C7D">
        <w:tc>
          <w:tcPr>
            <w:cnfStyle w:val="001000000000" w:firstRow="0" w:lastRow="0" w:firstColumn="1" w:lastColumn="0" w:oddVBand="0" w:evenVBand="0" w:oddHBand="0" w:evenHBand="0" w:firstRowFirstColumn="0" w:firstRowLastColumn="0" w:lastRowFirstColumn="0" w:lastRowLastColumn="0"/>
            <w:tcW w:w="742" w:type="dxa"/>
          </w:tcPr>
          <w:p w14:paraId="13795368" w14:textId="77777777" w:rsidR="00F643E6" w:rsidRPr="00C94754" w:rsidRDefault="00F643E6" w:rsidP="009E3469">
            <w:pPr>
              <w:jc w:val="right"/>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lastRenderedPageBreak/>
              <w:t>1.3</w:t>
            </w:r>
          </w:p>
        </w:tc>
        <w:tc>
          <w:tcPr>
            <w:tcW w:w="2966" w:type="dxa"/>
            <w:gridSpan w:val="2"/>
          </w:tcPr>
          <w:p w14:paraId="308183BD" w14:textId="77777777" w:rsidR="00F643E6" w:rsidRPr="00C94754" w:rsidRDefault="00F643E6" w:rsidP="009E34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Turkey- UNDP Partnership</w:t>
            </w:r>
          </w:p>
        </w:tc>
        <w:tc>
          <w:tcPr>
            <w:tcW w:w="3045" w:type="dxa"/>
            <w:gridSpan w:val="2"/>
          </w:tcPr>
          <w:p w14:paraId="73A7C405" w14:textId="77777777" w:rsidR="00F643E6" w:rsidRPr="00C94754" w:rsidRDefault="00F643E6" w:rsidP="009E34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1D2228"/>
                <w:sz w:val="20"/>
                <w:szCs w:val="20"/>
                <w:lang w:eastAsia="pt-PT"/>
              </w:rPr>
            </w:pPr>
            <w:r w:rsidRPr="00C94754">
              <w:rPr>
                <w:rFonts w:ascii="Calibri" w:eastAsia="Times New Roman" w:hAnsi="Calibri" w:cs="Calibri"/>
                <w:color w:val="1D2228"/>
                <w:sz w:val="20"/>
                <w:szCs w:val="20"/>
                <w:lang w:eastAsia="pt-PT"/>
              </w:rPr>
              <w:t>MAPTSS/INEFOP</w:t>
            </w:r>
          </w:p>
        </w:tc>
        <w:tc>
          <w:tcPr>
            <w:tcW w:w="1794" w:type="dxa"/>
            <w:gridSpan w:val="2"/>
          </w:tcPr>
          <w:p w14:paraId="0617F645" w14:textId="77777777" w:rsidR="00F643E6" w:rsidRPr="00C94754" w:rsidRDefault="00F643E6" w:rsidP="009E34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1D2228"/>
                <w:sz w:val="20"/>
                <w:szCs w:val="20"/>
                <w:lang w:eastAsia="pt-PT"/>
              </w:rPr>
            </w:pPr>
            <w:r w:rsidRPr="00C94754">
              <w:rPr>
                <w:rFonts w:ascii="Calibri" w:eastAsia="Times New Roman" w:hAnsi="Calibri" w:cs="Calibri"/>
                <w:color w:val="1D2228"/>
                <w:sz w:val="20"/>
                <w:szCs w:val="20"/>
                <w:lang w:eastAsia="pt-PT"/>
              </w:rPr>
              <w:t>Lubango Livestock and Commercial Association</w:t>
            </w:r>
          </w:p>
        </w:tc>
        <w:tc>
          <w:tcPr>
            <w:tcW w:w="1523" w:type="dxa"/>
          </w:tcPr>
          <w:p w14:paraId="604F71AF" w14:textId="77777777" w:rsidR="00F643E6" w:rsidRPr="00C94754" w:rsidRDefault="00F643E6" w:rsidP="009E34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xml:space="preserve">$99 614 </w:t>
            </w:r>
          </w:p>
        </w:tc>
      </w:tr>
      <w:tr w:rsidR="00F643E6" w14:paraId="132186BA" w14:textId="77777777" w:rsidTr="00540C7D">
        <w:tc>
          <w:tcPr>
            <w:cnfStyle w:val="001000000000" w:firstRow="0" w:lastRow="0" w:firstColumn="1" w:lastColumn="0" w:oddVBand="0" w:evenVBand="0" w:oddHBand="0" w:evenHBand="0" w:firstRowFirstColumn="0" w:firstRowLastColumn="0" w:lastRowFirstColumn="0" w:lastRowLastColumn="0"/>
            <w:tcW w:w="742" w:type="dxa"/>
          </w:tcPr>
          <w:p w14:paraId="589FB7AC" w14:textId="77777777" w:rsidR="00F643E6" w:rsidRPr="00C94754" w:rsidRDefault="00F643E6" w:rsidP="009E3469">
            <w:pPr>
              <w:jc w:val="right"/>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1.4</w:t>
            </w:r>
          </w:p>
        </w:tc>
        <w:tc>
          <w:tcPr>
            <w:tcW w:w="2966" w:type="dxa"/>
            <w:gridSpan w:val="2"/>
          </w:tcPr>
          <w:p w14:paraId="0256170E" w14:textId="77777777" w:rsidR="00F643E6" w:rsidRPr="00C94754" w:rsidRDefault="00F643E6" w:rsidP="009E34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1D2228"/>
                <w:sz w:val="20"/>
                <w:szCs w:val="20"/>
                <w:lang w:eastAsia="pt-PT"/>
              </w:rPr>
            </w:pPr>
            <w:r w:rsidRPr="00C94754">
              <w:rPr>
                <w:rFonts w:ascii="Calibri" w:eastAsia="Times New Roman" w:hAnsi="Calibri" w:cs="Calibri"/>
                <w:color w:val="1D2228"/>
                <w:sz w:val="20"/>
                <w:szCs w:val="20"/>
                <w:lang w:eastAsia="pt-PT"/>
              </w:rPr>
              <w:t>Building back better post COVID-19. Enhancing skill development and job creation for the youth in Angola</w:t>
            </w:r>
          </w:p>
        </w:tc>
        <w:tc>
          <w:tcPr>
            <w:tcW w:w="3045" w:type="dxa"/>
            <w:gridSpan w:val="2"/>
          </w:tcPr>
          <w:p w14:paraId="3BBF3832" w14:textId="77777777" w:rsidR="00F643E6" w:rsidRPr="00C94754" w:rsidRDefault="00F643E6"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1D2228"/>
                <w:sz w:val="20"/>
                <w:szCs w:val="20"/>
                <w:lang w:eastAsia="pt-PT"/>
              </w:rPr>
            </w:pPr>
            <w:r w:rsidRPr="00C94754">
              <w:rPr>
                <w:rFonts w:ascii="Calibri" w:eastAsia="Times New Roman" w:hAnsi="Calibri" w:cs="Calibri"/>
                <w:color w:val="1D2228"/>
                <w:sz w:val="20"/>
                <w:szCs w:val="20"/>
                <w:lang w:eastAsia="pt-PT"/>
              </w:rPr>
              <w:t>MAPTSS/INEFOP</w:t>
            </w:r>
          </w:p>
        </w:tc>
        <w:tc>
          <w:tcPr>
            <w:tcW w:w="1794" w:type="dxa"/>
            <w:gridSpan w:val="2"/>
          </w:tcPr>
          <w:p w14:paraId="31DBB447" w14:textId="77777777" w:rsidR="00F643E6" w:rsidRPr="00C94754" w:rsidRDefault="00F643E6"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1D2228"/>
                <w:sz w:val="20"/>
                <w:szCs w:val="20"/>
                <w:lang w:eastAsia="pt-PT"/>
              </w:rPr>
            </w:pPr>
            <w:r w:rsidRPr="00C94754">
              <w:rPr>
                <w:rFonts w:ascii="Calibri" w:eastAsia="Times New Roman" w:hAnsi="Calibri" w:cs="Calibri"/>
                <w:color w:val="1D2228"/>
                <w:sz w:val="20"/>
                <w:szCs w:val="20"/>
                <w:lang w:eastAsia="pt-PT"/>
              </w:rPr>
              <w:t> </w:t>
            </w:r>
          </w:p>
        </w:tc>
        <w:tc>
          <w:tcPr>
            <w:tcW w:w="1523" w:type="dxa"/>
          </w:tcPr>
          <w:p w14:paraId="549FD7AA" w14:textId="77777777" w:rsidR="00F643E6" w:rsidRPr="00C94754" w:rsidRDefault="00F643E6" w:rsidP="009E34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xml:space="preserve">$260 000 </w:t>
            </w:r>
          </w:p>
        </w:tc>
      </w:tr>
      <w:tr w:rsidR="00F643E6" w14:paraId="6589D6EC" w14:textId="77777777" w:rsidTr="00540C7D">
        <w:tc>
          <w:tcPr>
            <w:cnfStyle w:val="001000000000" w:firstRow="0" w:lastRow="0" w:firstColumn="1" w:lastColumn="0" w:oddVBand="0" w:evenVBand="0" w:oddHBand="0" w:evenHBand="0" w:firstRowFirstColumn="0" w:firstRowLastColumn="0" w:lastRowFirstColumn="0" w:lastRowLastColumn="0"/>
            <w:tcW w:w="742" w:type="dxa"/>
          </w:tcPr>
          <w:p w14:paraId="083A4B9D" w14:textId="77777777" w:rsidR="00F643E6" w:rsidRPr="00C94754" w:rsidRDefault="00F643E6" w:rsidP="009E3469">
            <w:pPr>
              <w:jc w:val="right"/>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1.5</w:t>
            </w:r>
          </w:p>
        </w:tc>
        <w:tc>
          <w:tcPr>
            <w:tcW w:w="2966" w:type="dxa"/>
            <w:gridSpan w:val="2"/>
          </w:tcPr>
          <w:p w14:paraId="3F7388CC" w14:textId="77777777" w:rsidR="00F643E6" w:rsidRPr="00C94754" w:rsidRDefault="00F643E6" w:rsidP="009E34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1D2228"/>
                <w:sz w:val="20"/>
                <w:szCs w:val="20"/>
                <w:lang w:eastAsia="pt-PT"/>
              </w:rPr>
            </w:pPr>
            <w:r w:rsidRPr="00C94754">
              <w:rPr>
                <w:rFonts w:ascii="Calibri" w:eastAsia="Times New Roman" w:hAnsi="Calibri" w:cs="Calibri"/>
                <w:color w:val="1D2228"/>
                <w:sz w:val="20"/>
                <w:szCs w:val="20"/>
                <w:lang w:eastAsia="pt-PT"/>
              </w:rPr>
              <w:t>Integrated Sustainable Development Goals</w:t>
            </w:r>
          </w:p>
        </w:tc>
        <w:tc>
          <w:tcPr>
            <w:tcW w:w="3045" w:type="dxa"/>
            <w:gridSpan w:val="2"/>
          </w:tcPr>
          <w:p w14:paraId="4E53CDE1" w14:textId="77777777" w:rsidR="00F643E6" w:rsidRPr="00C94754" w:rsidRDefault="00F643E6"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1D2228"/>
                <w:sz w:val="20"/>
                <w:szCs w:val="20"/>
                <w:lang w:eastAsia="pt-PT"/>
              </w:rPr>
            </w:pPr>
            <w:r w:rsidRPr="00C94754">
              <w:rPr>
                <w:rFonts w:ascii="Calibri" w:eastAsia="Times New Roman" w:hAnsi="Calibri" w:cs="Calibri"/>
                <w:color w:val="1D2228"/>
                <w:sz w:val="20"/>
                <w:szCs w:val="20"/>
                <w:lang w:eastAsia="pt-PT"/>
              </w:rPr>
              <w:t>MEP – Ministry of Economy and Planning</w:t>
            </w:r>
          </w:p>
        </w:tc>
        <w:tc>
          <w:tcPr>
            <w:tcW w:w="1794" w:type="dxa"/>
            <w:gridSpan w:val="2"/>
          </w:tcPr>
          <w:p w14:paraId="000E0D6E" w14:textId="77777777" w:rsidR="00F643E6" w:rsidRPr="00C94754" w:rsidRDefault="00F643E6"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1D2228"/>
                <w:sz w:val="20"/>
                <w:szCs w:val="20"/>
                <w:lang w:eastAsia="pt-PT"/>
              </w:rPr>
            </w:pPr>
            <w:r w:rsidRPr="00C94754">
              <w:rPr>
                <w:rFonts w:ascii="Calibri" w:eastAsia="Times New Roman" w:hAnsi="Calibri" w:cs="Calibri"/>
                <w:color w:val="1D2228"/>
                <w:sz w:val="20"/>
                <w:szCs w:val="20"/>
                <w:lang w:eastAsia="pt-PT"/>
              </w:rPr>
              <w:t> </w:t>
            </w:r>
          </w:p>
        </w:tc>
        <w:tc>
          <w:tcPr>
            <w:tcW w:w="1523" w:type="dxa"/>
          </w:tcPr>
          <w:p w14:paraId="3625DC86" w14:textId="77777777" w:rsidR="00F643E6" w:rsidRPr="00C94754" w:rsidRDefault="00F643E6" w:rsidP="009E34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xml:space="preserve">$405 371 </w:t>
            </w:r>
          </w:p>
        </w:tc>
      </w:tr>
      <w:tr w:rsidR="00F643E6" w14:paraId="030A4900" w14:textId="77777777" w:rsidTr="00540C7D">
        <w:tc>
          <w:tcPr>
            <w:cnfStyle w:val="001000000000" w:firstRow="0" w:lastRow="0" w:firstColumn="1" w:lastColumn="0" w:oddVBand="0" w:evenVBand="0" w:oddHBand="0" w:evenHBand="0" w:firstRowFirstColumn="0" w:firstRowLastColumn="0" w:lastRowFirstColumn="0" w:lastRowLastColumn="0"/>
            <w:tcW w:w="742" w:type="dxa"/>
          </w:tcPr>
          <w:p w14:paraId="740705D4" w14:textId="77777777" w:rsidR="00F643E6" w:rsidRPr="00C94754" w:rsidRDefault="00F643E6" w:rsidP="009E3469">
            <w:pPr>
              <w:jc w:val="right"/>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1.6</w:t>
            </w:r>
          </w:p>
        </w:tc>
        <w:tc>
          <w:tcPr>
            <w:tcW w:w="2966" w:type="dxa"/>
            <w:gridSpan w:val="2"/>
          </w:tcPr>
          <w:p w14:paraId="4C779E03" w14:textId="77777777" w:rsidR="00F643E6" w:rsidRPr="00C94754" w:rsidRDefault="00F643E6" w:rsidP="009E34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02124"/>
                <w:sz w:val="20"/>
                <w:szCs w:val="20"/>
                <w:lang w:eastAsia="pt-PT"/>
              </w:rPr>
            </w:pPr>
            <w:r w:rsidRPr="00C94754">
              <w:rPr>
                <w:rFonts w:ascii="Calibri" w:eastAsia="Times New Roman" w:hAnsi="Calibri" w:cs="Calibri"/>
                <w:color w:val="202124"/>
                <w:sz w:val="20"/>
                <w:szCs w:val="20"/>
                <w:lang w:eastAsia="pt-PT"/>
              </w:rPr>
              <w:t>Support for National Policies to Accelerate the SDGs</w:t>
            </w:r>
          </w:p>
        </w:tc>
        <w:tc>
          <w:tcPr>
            <w:tcW w:w="3045" w:type="dxa"/>
            <w:gridSpan w:val="2"/>
          </w:tcPr>
          <w:p w14:paraId="23F5A6A5" w14:textId="77777777" w:rsidR="00F643E6" w:rsidRPr="00C94754" w:rsidRDefault="00F643E6"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1D2228"/>
                <w:sz w:val="20"/>
                <w:szCs w:val="20"/>
                <w:lang w:eastAsia="pt-PT"/>
              </w:rPr>
            </w:pPr>
            <w:r w:rsidRPr="00C94754">
              <w:rPr>
                <w:rFonts w:ascii="Calibri" w:eastAsia="Times New Roman" w:hAnsi="Calibri" w:cs="Calibri"/>
                <w:color w:val="1D2228"/>
                <w:sz w:val="20"/>
                <w:szCs w:val="20"/>
                <w:lang w:eastAsia="pt-PT"/>
              </w:rPr>
              <w:t>MEP – Ministry of Economy and Planning</w:t>
            </w:r>
          </w:p>
        </w:tc>
        <w:tc>
          <w:tcPr>
            <w:tcW w:w="1794" w:type="dxa"/>
            <w:gridSpan w:val="2"/>
          </w:tcPr>
          <w:p w14:paraId="2206BB58" w14:textId="77777777" w:rsidR="00F643E6" w:rsidRPr="00C94754" w:rsidRDefault="00F643E6"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1D2228"/>
                <w:sz w:val="20"/>
                <w:szCs w:val="20"/>
                <w:lang w:eastAsia="pt-PT"/>
              </w:rPr>
            </w:pPr>
            <w:r w:rsidRPr="00C94754">
              <w:rPr>
                <w:rFonts w:ascii="Calibri" w:eastAsia="Times New Roman" w:hAnsi="Calibri" w:cs="Calibri"/>
                <w:color w:val="1D2228"/>
                <w:sz w:val="20"/>
                <w:szCs w:val="20"/>
                <w:lang w:eastAsia="pt-PT"/>
              </w:rPr>
              <w:t> </w:t>
            </w:r>
          </w:p>
        </w:tc>
        <w:tc>
          <w:tcPr>
            <w:tcW w:w="1523" w:type="dxa"/>
          </w:tcPr>
          <w:p w14:paraId="774DE9AB" w14:textId="77777777" w:rsidR="00F643E6" w:rsidRPr="00C94754" w:rsidRDefault="00F643E6" w:rsidP="009E34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xml:space="preserve">$399 964 </w:t>
            </w:r>
          </w:p>
        </w:tc>
      </w:tr>
      <w:bookmarkEnd w:id="40"/>
      <w:tr w:rsidR="00F643E6" w14:paraId="7BC3332A" w14:textId="77777777" w:rsidTr="00540C7D">
        <w:tc>
          <w:tcPr>
            <w:cnfStyle w:val="001000000000" w:firstRow="0" w:lastRow="0" w:firstColumn="1" w:lastColumn="0" w:oddVBand="0" w:evenVBand="0" w:oddHBand="0" w:evenHBand="0" w:firstRowFirstColumn="0" w:firstRowLastColumn="0" w:lastRowFirstColumn="0" w:lastRowLastColumn="0"/>
            <w:tcW w:w="742" w:type="dxa"/>
          </w:tcPr>
          <w:p w14:paraId="3C9F2C7D" w14:textId="77777777" w:rsidR="00F643E6" w:rsidRPr="00C94754" w:rsidRDefault="00F643E6" w:rsidP="009E3469">
            <w:pPr>
              <w:jc w:val="right"/>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w:t>
            </w:r>
          </w:p>
        </w:tc>
        <w:tc>
          <w:tcPr>
            <w:tcW w:w="2966" w:type="dxa"/>
            <w:gridSpan w:val="2"/>
          </w:tcPr>
          <w:p w14:paraId="417A86B0" w14:textId="77777777" w:rsidR="00F643E6" w:rsidRPr="00C94754" w:rsidRDefault="00F643E6"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pt-PT"/>
              </w:rPr>
            </w:pPr>
            <w:r w:rsidRPr="00C94754">
              <w:rPr>
                <w:rFonts w:ascii="Calibri" w:eastAsia="Times New Roman" w:hAnsi="Calibri" w:cs="Calibri"/>
                <w:b/>
                <w:bCs/>
                <w:color w:val="000000"/>
                <w:sz w:val="20"/>
                <w:szCs w:val="20"/>
                <w:lang w:eastAsia="pt-PT"/>
              </w:rPr>
              <w:t>SUB-TOTAL</w:t>
            </w:r>
          </w:p>
        </w:tc>
        <w:tc>
          <w:tcPr>
            <w:tcW w:w="3045" w:type="dxa"/>
            <w:gridSpan w:val="2"/>
          </w:tcPr>
          <w:p w14:paraId="148DDF2A" w14:textId="77777777" w:rsidR="00F643E6" w:rsidRPr="00C94754" w:rsidRDefault="00F643E6"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w:t>
            </w:r>
          </w:p>
        </w:tc>
        <w:tc>
          <w:tcPr>
            <w:tcW w:w="1794" w:type="dxa"/>
            <w:gridSpan w:val="2"/>
          </w:tcPr>
          <w:p w14:paraId="21B6FDD7" w14:textId="77777777" w:rsidR="00F643E6" w:rsidRPr="00C94754" w:rsidRDefault="00F643E6"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w:t>
            </w:r>
          </w:p>
        </w:tc>
        <w:tc>
          <w:tcPr>
            <w:tcW w:w="1523" w:type="dxa"/>
          </w:tcPr>
          <w:p w14:paraId="0434E1B3" w14:textId="77777777" w:rsidR="00F643E6" w:rsidRPr="00C94754" w:rsidRDefault="00F643E6" w:rsidP="009E34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pt-PT"/>
              </w:rPr>
            </w:pPr>
            <w:r w:rsidRPr="00C94754">
              <w:rPr>
                <w:rFonts w:ascii="Calibri" w:eastAsia="Times New Roman" w:hAnsi="Calibri" w:cs="Calibri"/>
                <w:b/>
                <w:bCs/>
                <w:color w:val="000000"/>
                <w:sz w:val="20"/>
                <w:szCs w:val="20"/>
                <w:lang w:eastAsia="pt-PT"/>
              </w:rPr>
              <w:t>$1 959 948</w:t>
            </w:r>
          </w:p>
        </w:tc>
      </w:tr>
      <w:tr w:rsidR="00F643E6" w:rsidRPr="00295BD3" w14:paraId="3E7DBC87" w14:textId="77777777" w:rsidTr="00540C7D">
        <w:trPr>
          <w:trHeight w:val="300"/>
        </w:trPr>
        <w:tc>
          <w:tcPr>
            <w:cnfStyle w:val="001000000000" w:firstRow="0" w:lastRow="0" w:firstColumn="1" w:lastColumn="0" w:oddVBand="0" w:evenVBand="0" w:oddHBand="0" w:evenHBand="0" w:firstRowFirstColumn="0" w:firstRowLastColumn="0" w:lastRowFirstColumn="0" w:lastRowLastColumn="0"/>
            <w:tcW w:w="10070" w:type="dxa"/>
            <w:gridSpan w:val="8"/>
          </w:tcPr>
          <w:p w14:paraId="41A6FE7C" w14:textId="2E6AF89B" w:rsidR="00F643E6" w:rsidRPr="00295BD3" w:rsidRDefault="00F643E6" w:rsidP="00F643E6">
            <w:pPr>
              <w:rPr>
                <w:rFonts w:ascii="Calibri" w:eastAsia="Times New Roman" w:hAnsi="Calibri" w:cs="Calibri"/>
                <w:color w:val="000000"/>
                <w:sz w:val="20"/>
                <w:szCs w:val="20"/>
                <w:lang w:eastAsia="pt-PT"/>
              </w:rPr>
            </w:pPr>
            <w:r w:rsidRPr="00295BD3">
              <w:rPr>
                <w:rFonts w:ascii="Calibri" w:eastAsia="Times New Roman" w:hAnsi="Calibri" w:cs="Calibri"/>
                <w:color w:val="000000"/>
                <w:sz w:val="20"/>
                <w:szCs w:val="20"/>
                <w:lang w:eastAsia="pt-PT"/>
              </w:rPr>
              <w:t>GLOBAL FUND</w:t>
            </w:r>
          </w:p>
        </w:tc>
      </w:tr>
      <w:bookmarkEnd w:id="41"/>
      <w:tr w:rsidR="00F643E6" w:rsidRPr="00C94754" w14:paraId="22CC922E" w14:textId="77777777" w:rsidTr="00540C7D">
        <w:trPr>
          <w:trHeight w:val="300"/>
        </w:trPr>
        <w:tc>
          <w:tcPr>
            <w:cnfStyle w:val="001000000000" w:firstRow="0" w:lastRow="0" w:firstColumn="1" w:lastColumn="0" w:oddVBand="0" w:evenVBand="0" w:oddHBand="0" w:evenHBand="0" w:firstRowFirstColumn="0" w:firstRowLastColumn="0" w:lastRowFirstColumn="0" w:lastRowLastColumn="0"/>
            <w:tcW w:w="836" w:type="dxa"/>
            <w:gridSpan w:val="2"/>
            <w:hideMark/>
          </w:tcPr>
          <w:p w14:paraId="1FAB4D34" w14:textId="6C6B7C94" w:rsidR="00F643E6" w:rsidRPr="00C94754" w:rsidRDefault="00F643E6" w:rsidP="00F643E6">
            <w:pPr>
              <w:jc w:val="center"/>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4.1</w:t>
            </w:r>
          </w:p>
        </w:tc>
        <w:tc>
          <w:tcPr>
            <w:tcW w:w="2945" w:type="dxa"/>
            <w:gridSpan w:val="2"/>
            <w:hideMark/>
          </w:tcPr>
          <w:p w14:paraId="09BD99D6" w14:textId="77777777" w:rsidR="00F643E6" w:rsidRPr="00C94754" w:rsidRDefault="00F643E6" w:rsidP="009E34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HIV MAL &amp; TB NFM3 BENGUELA CUANZA SUL</w:t>
            </w:r>
          </w:p>
        </w:tc>
        <w:tc>
          <w:tcPr>
            <w:tcW w:w="2997" w:type="dxa"/>
            <w:gridSpan w:val="2"/>
            <w:hideMark/>
          </w:tcPr>
          <w:p w14:paraId="49C36755" w14:textId="77777777" w:rsidR="00F643E6" w:rsidRPr="00C94754" w:rsidRDefault="00F643E6"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w:t>
            </w:r>
          </w:p>
        </w:tc>
        <w:tc>
          <w:tcPr>
            <w:tcW w:w="1769" w:type="dxa"/>
            <w:hideMark/>
          </w:tcPr>
          <w:p w14:paraId="685FF162" w14:textId="77777777" w:rsidR="00F643E6" w:rsidRPr="00C94754" w:rsidRDefault="00F643E6"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w:t>
            </w:r>
          </w:p>
        </w:tc>
        <w:tc>
          <w:tcPr>
            <w:tcW w:w="1523" w:type="dxa"/>
            <w:hideMark/>
          </w:tcPr>
          <w:p w14:paraId="43BC1DB5" w14:textId="77777777" w:rsidR="00F643E6" w:rsidRPr="00C94754" w:rsidRDefault="00F643E6" w:rsidP="009E34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xml:space="preserve">$22 261 910 </w:t>
            </w:r>
          </w:p>
        </w:tc>
      </w:tr>
      <w:tr w:rsidR="00F643E6" w:rsidRPr="00C94754" w14:paraId="35BB6938" w14:textId="77777777" w:rsidTr="00540C7D">
        <w:trPr>
          <w:trHeight w:val="300"/>
        </w:trPr>
        <w:tc>
          <w:tcPr>
            <w:cnfStyle w:val="001000000000" w:firstRow="0" w:lastRow="0" w:firstColumn="1" w:lastColumn="0" w:oddVBand="0" w:evenVBand="0" w:oddHBand="0" w:evenHBand="0" w:firstRowFirstColumn="0" w:firstRowLastColumn="0" w:lastRowFirstColumn="0" w:lastRowLastColumn="0"/>
            <w:tcW w:w="836" w:type="dxa"/>
            <w:gridSpan w:val="2"/>
            <w:hideMark/>
          </w:tcPr>
          <w:p w14:paraId="1D10B7FE" w14:textId="77777777" w:rsidR="00F643E6" w:rsidRPr="00C94754" w:rsidRDefault="00F643E6" w:rsidP="009E3469">
            <w:pPr>
              <w:jc w:val="right"/>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4.2</w:t>
            </w:r>
          </w:p>
        </w:tc>
        <w:tc>
          <w:tcPr>
            <w:tcW w:w="2945" w:type="dxa"/>
            <w:gridSpan w:val="2"/>
            <w:hideMark/>
          </w:tcPr>
          <w:p w14:paraId="256F577A" w14:textId="77777777" w:rsidR="00F643E6" w:rsidRPr="00C94754" w:rsidRDefault="00F643E6" w:rsidP="009E34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HIV MAL &amp; TB Z GRANT</w:t>
            </w:r>
          </w:p>
        </w:tc>
        <w:tc>
          <w:tcPr>
            <w:tcW w:w="2997" w:type="dxa"/>
            <w:gridSpan w:val="2"/>
            <w:hideMark/>
          </w:tcPr>
          <w:p w14:paraId="3B7BB2BF" w14:textId="77777777" w:rsidR="00F643E6" w:rsidRPr="00C94754" w:rsidRDefault="00F643E6"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w:t>
            </w:r>
          </w:p>
        </w:tc>
        <w:tc>
          <w:tcPr>
            <w:tcW w:w="1769" w:type="dxa"/>
            <w:hideMark/>
          </w:tcPr>
          <w:p w14:paraId="1385118C" w14:textId="77777777" w:rsidR="00F643E6" w:rsidRPr="00C94754" w:rsidRDefault="00F643E6"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w:t>
            </w:r>
          </w:p>
        </w:tc>
        <w:tc>
          <w:tcPr>
            <w:tcW w:w="1523" w:type="dxa"/>
            <w:hideMark/>
          </w:tcPr>
          <w:p w14:paraId="72FED843" w14:textId="77777777" w:rsidR="00F643E6" w:rsidRPr="00C94754" w:rsidRDefault="00F643E6" w:rsidP="009E34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xml:space="preserve">$19 457 327 </w:t>
            </w:r>
          </w:p>
        </w:tc>
      </w:tr>
      <w:tr w:rsidR="00F643E6" w:rsidRPr="00C94754" w14:paraId="10B1B06A" w14:textId="77777777" w:rsidTr="00540C7D">
        <w:trPr>
          <w:trHeight w:val="530"/>
        </w:trPr>
        <w:tc>
          <w:tcPr>
            <w:cnfStyle w:val="001000000000" w:firstRow="0" w:lastRow="0" w:firstColumn="1" w:lastColumn="0" w:oddVBand="0" w:evenVBand="0" w:oddHBand="0" w:evenHBand="0" w:firstRowFirstColumn="0" w:firstRowLastColumn="0" w:lastRowFirstColumn="0" w:lastRowLastColumn="0"/>
            <w:tcW w:w="836" w:type="dxa"/>
            <w:gridSpan w:val="2"/>
            <w:hideMark/>
          </w:tcPr>
          <w:p w14:paraId="71C04BF4" w14:textId="77777777" w:rsidR="00F643E6" w:rsidRPr="00C94754" w:rsidRDefault="00F643E6" w:rsidP="009E3469">
            <w:pPr>
              <w:jc w:val="right"/>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4.3</w:t>
            </w:r>
          </w:p>
        </w:tc>
        <w:tc>
          <w:tcPr>
            <w:tcW w:w="2945" w:type="dxa"/>
            <w:gridSpan w:val="2"/>
            <w:hideMark/>
          </w:tcPr>
          <w:p w14:paraId="792EBBD5" w14:textId="77777777" w:rsidR="00F643E6" w:rsidRPr="00C94754" w:rsidRDefault="00F643E6" w:rsidP="009E34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Strengthen the National Health procurement system of Angola</w:t>
            </w:r>
          </w:p>
        </w:tc>
        <w:tc>
          <w:tcPr>
            <w:tcW w:w="2997" w:type="dxa"/>
            <w:gridSpan w:val="2"/>
            <w:hideMark/>
          </w:tcPr>
          <w:p w14:paraId="10E8E5AC" w14:textId="77777777" w:rsidR="00F643E6" w:rsidRPr="00C94754" w:rsidRDefault="00F643E6"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w:t>
            </w:r>
          </w:p>
        </w:tc>
        <w:tc>
          <w:tcPr>
            <w:tcW w:w="1769" w:type="dxa"/>
            <w:hideMark/>
          </w:tcPr>
          <w:p w14:paraId="51BFC4BC" w14:textId="77777777" w:rsidR="00F643E6" w:rsidRPr="00C94754" w:rsidRDefault="00F643E6"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w:t>
            </w:r>
          </w:p>
        </w:tc>
        <w:tc>
          <w:tcPr>
            <w:tcW w:w="1523" w:type="dxa"/>
            <w:hideMark/>
          </w:tcPr>
          <w:p w14:paraId="44EB448D" w14:textId="77777777" w:rsidR="00F643E6" w:rsidRPr="00C94754" w:rsidRDefault="00F643E6" w:rsidP="009E34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xml:space="preserve">$0 </w:t>
            </w:r>
          </w:p>
        </w:tc>
      </w:tr>
      <w:tr w:rsidR="00F643E6" w:rsidRPr="00C94754" w14:paraId="062FA398" w14:textId="77777777" w:rsidTr="00540C7D">
        <w:trPr>
          <w:trHeight w:val="530"/>
        </w:trPr>
        <w:tc>
          <w:tcPr>
            <w:cnfStyle w:val="001000000000" w:firstRow="0" w:lastRow="0" w:firstColumn="1" w:lastColumn="0" w:oddVBand="0" w:evenVBand="0" w:oddHBand="0" w:evenHBand="0" w:firstRowFirstColumn="0" w:firstRowLastColumn="0" w:lastRowFirstColumn="0" w:lastRowLastColumn="0"/>
            <w:tcW w:w="836" w:type="dxa"/>
            <w:gridSpan w:val="2"/>
            <w:hideMark/>
          </w:tcPr>
          <w:p w14:paraId="0BC98829" w14:textId="77777777" w:rsidR="00F643E6" w:rsidRPr="00C94754" w:rsidRDefault="00F643E6" w:rsidP="009E3469">
            <w:pPr>
              <w:jc w:val="right"/>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4.4</w:t>
            </w:r>
          </w:p>
        </w:tc>
        <w:tc>
          <w:tcPr>
            <w:tcW w:w="2945" w:type="dxa"/>
            <w:gridSpan w:val="2"/>
            <w:hideMark/>
          </w:tcPr>
          <w:p w14:paraId="4D794278" w14:textId="0672B2E4" w:rsidR="00F643E6" w:rsidRPr="00C94754" w:rsidRDefault="00F643E6" w:rsidP="009E34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xml:space="preserve">Strengthening the national response to </w:t>
            </w:r>
            <w:r>
              <w:rPr>
                <w:rFonts w:ascii="Calibri" w:eastAsia="Times New Roman" w:hAnsi="Calibri" w:cs="Calibri"/>
                <w:color w:val="000000"/>
                <w:sz w:val="20"/>
                <w:szCs w:val="20"/>
                <w:lang w:eastAsia="pt-PT"/>
              </w:rPr>
              <w:t>HIV</w:t>
            </w:r>
            <w:r w:rsidRPr="00C94754">
              <w:rPr>
                <w:rFonts w:ascii="Calibri" w:eastAsia="Times New Roman" w:hAnsi="Calibri" w:cs="Calibri"/>
                <w:color w:val="000000"/>
                <w:sz w:val="20"/>
                <w:szCs w:val="20"/>
                <w:lang w:eastAsia="pt-PT"/>
              </w:rPr>
              <w:t xml:space="preserve"> in </w:t>
            </w:r>
            <w:r>
              <w:rPr>
                <w:rFonts w:ascii="Calibri" w:eastAsia="Times New Roman" w:hAnsi="Calibri" w:cs="Calibri"/>
                <w:color w:val="000000"/>
                <w:sz w:val="20"/>
                <w:szCs w:val="20"/>
                <w:lang w:eastAsia="pt-PT"/>
              </w:rPr>
              <w:t>A</w:t>
            </w:r>
            <w:r w:rsidRPr="00C94754">
              <w:rPr>
                <w:rFonts w:ascii="Calibri" w:eastAsia="Times New Roman" w:hAnsi="Calibri" w:cs="Calibri"/>
                <w:color w:val="000000"/>
                <w:sz w:val="20"/>
                <w:szCs w:val="20"/>
                <w:lang w:eastAsia="pt-PT"/>
              </w:rPr>
              <w:t>ngola</w:t>
            </w:r>
          </w:p>
        </w:tc>
        <w:tc>
          <w:tcPr>
            <w:tcW w:w="2997" w:type="dxa"/>
            <w:gridSpan w:val="2"/>
            <w:hideMark/>
          </w:tcPr>
          <w:p w14:paraId="3FF7CA90" w14:textId="77777777" w:rsidR="00F643E6" w:rsidRPr="00C94754" w:rsidRDefault="00F643E6"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w:t>
            </w:r>
          </w:p>
        </w:tc>
        <w:tc>
          <w:tcPr>
            <w:tcW w:w="1769" w:type="dxa"/>
            <w:hideMark/>
          </w:tcPr>
          <w:p w14:paraId="2022CF68" w14:textId="77777777" w:rsidR="00F643E6" w:rsidRPr="00C94754" w:rsidRDefault="00F643E6"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w:t>
            </w:r>
          </w:p>
        </w:tc>
        <w:tc>
          <w:tcPr>
            <w:tcW w:w="1523" w:type="dxa"/>
            <w:hideMark/>
          </w:tcPr>
          <w:p w14:paraId="727B7B21" w14:textId="77777777" w:rsidR="00F643E6" w:rsidRPr="00C94754" w:rsidRDefault="00F643E6" w:rsidP="009E34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xml:space="preserve">$2 354 597 </w:t>
            </w:r>
          </w:p>
        </w:tc>
      </w:tr>
      <w:tr w:rsidR="00F643E6" w:rsidRPr="00C94754" w14:paraId="757D7E48" w14:textId="77777777" w:rsidTr="00540C7D">
        <w:trPr>
          <w:trHeight w:val="300"/>
        </w:trPr>
        <w:tc>
          <w:tcPr>
            <w:cnfStyle w:val="001000000000" w:firstRow="0" w:lastRow="0" w:firstColumn="1" w:lastColumn="0" w:oddVBand="0" w:evenVBand="0" w:oddHBand="0" w:evenHBand="0" w:firstRowFirstColumn="0" w:firstRowLastColumn="0" w:lastRowFirstColumn="0" w:lastRowLastColumn="0"/>
            <w:tcW w:w="836" w:type="dxa"/>
            <w:gridSpan w:val="2"/>
            <w:hideMark/>
          </w:tcPr>
          <w:p w14:paraId="6CA3A268" w14:textId="77777777" w:rsidR="00F643E6" w:rsidRPr="00C94754" w:rsidRDefault="00F643E6" w:rsidP="009E3469">
            <w:pPr>
              <w:jc w:val="right"/>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w:t>
            </w:r>
          </w:p>
        </w:tc>
        <w:tc>
          <w:tcPr>
            <w:tcW w:w="2945" w:type="dxa"/>
            <w:gridSpan w:val="2"/>
            <w:hideMark/>
          </w:tcPr>
          <w:p w14:paraId="5C9A65B8" w14:textId="77777777" w:rsidR="00F643E6" w:rsidRPr="00C94754" w:rsidRDefault="00F643E6"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pt-PT"/>
              </w:rPr>
            </w:pPr>
            <w:r w:rsidRPr="00C94754">
              <w:rPr>
                <w:rFonts w:ascii="Calibri" w:eastAsia="Times New Roman" w:hAnsi="Calibri" w:cs="Calibri"/>
                <w:b/>
                <w:bCs/>
                <w:color w:val="000000"/>
                <w:sz w:val="20"/>
                <w:szCs w:val="20"/>
                <w:lang w:eastAsia="pt-PT"/>
              </w:rPr>
              <w:t>SUB-TOTAL</w:t>
            </w:r>
          </w:p>
        </w:tc>
        <w:tc>
          <w:tcPr>
            <w:tcW w:w="2997" w:type="dxa"/>
            <w:gridSpan w:val="2"/>
            <w:hideMark/>
          </w:tcPr>
          <w:p w14:paraId="2A3D1A16" w14:textId="77777777" w:rsidR="00F643E6" w:rsidRPr="00C94754" w:rsidRDefault="00F643E6"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w:t>
            </w:r>
          </w:p>
        </w:tc>
        <w:tc>
          <w:tcPr>
            <w:tcW w:w="1769" w:type="dxa"/>
            <w:hideMark/>
          </w:tcPr>
          <w:p w14:paraId="051E9A75" w14:textId="77777777" w:rsidR="00F643E6" w:rsidRPr="00C94754" w:rsidRDefault="00F643E6"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w:t>
            </w:r>
          </w:p>
        </w:tc>
        <w:tc>
          <w:tcPr>
            <w:tcW w:w="1523" w:type="dxa"/>
            <w:hideMark/>
          </w:tcPr>
          <w:p w14:paraId="02183387" w14:textId="77777777" w:rsidR="00F643E6" w:rsidRPr="00C94754" w:rsidRDefault="00F643E6" w:rsidP="009E34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pt-PT"/>
              </w:rPr>
            </w:pPr>
            <w:r w:rsidRPr="00C94754">
              <w:rPr>
                <w:rFonts w:ascii="Calibri" w:eastAsia="Times New Roman" w:hAnsi="Calibri" w:cs="Calibri"/>
                <w:b/>
                <w:bCs/>
                <w:color w:val="000000"/>
                <w:sz w:val="20"/>
                <w:szCs w:val="20"/>
                <w:lang w:eastAsia="pt-PT"/>
              </w:rPr>
              <w:t>$44 073 834</w:t>
            </w:r>
          </w:p>
        </w:tc>
      </w:tr>
      <w:tr w:rsidR="00540C7D" w:rsidRPr="00C94754" w14:paraId="62513162" w14:textId="77777777" w:rsidTr="00540C7D">
        <w:trPr>
          <w:trHeight w:val="300"/>
        </w:trPr>
        <w:tc>
          <w:tcPr>
            <w:cnfStyle w:val="001000000000" w:firstRow="0" w:lastRow="0" w:firstColumn="1" w:lastColumn="0" w:oddVBand="0" w:evenVBand="0" w:oddHBand="0" w:evenHBand="0" w:firstRowFirstColumn="0" w:firstRowLastColumn="0" w:lastRowFirstColumn="0" w:lastRowLastColumn="0"/>
            <w:tcW w:w="3781" w:type="dxa"/>
            <w:gridSpan w:val="4"/>
          </w:tcPr>
          <w:p w14:paraId="39B47BAD" w14:textId="2937E9F5" w:rsidR="00540C7D" w:rsidRPr="00C94754" w:rsidRDefault="00540C7D" w:rsidP="009E3469">
            <w:pPr>
              <w:jc w:val="both"/>
              <w:rPr>
                <w:rFonts w:ascii="Calibri" w:eastAsia="Times New Roman" w:hAnsi="Calibri" w:cs="Calibri"/>
                <w:b w:val="0"/>
                <w:bCs w:val="0"/>
                <w:color w:val="000000"/>
                <w:sz w:val="20"/>
                <w:szCs w:val="20"/>
                <w:lang w:eastAsia="pt-PT"/>
              </w:rPr>
            </w:pPr>
            <w:r>
              <w:rPr>
                <w:rFonts w:ascii="Calibri" w:eastAsia="Times New Roman" w:hAnsi="Calibri" w:cs="Calibri"/>
                <w:color w:val="000000"/>
                <w:sz w:val="20"/>
                <w:szCs w:val="20"/>
                <w:lang w:eastAsia="pt-PT"/>
              </w:rPr>
              <w:t>GRAND TOTAL</w:t>
            </w:r>
          </w:p>
        </w:tc>
        <w:tc>
          <w:tcPr>
            <w:tcW w:w="2997" w:type="dxa"/>
            <w:gridSpan w:val="2"/>
          </w:tcPr>
          <w:p w14:paraId="5BF97F0D" w14:textId="77777777" w:rsidR="00540C7D" w:rsidRPr="00C94754" w:rsidRDefault="00540C7D"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p>
        </w:tc>
        <w:tc>
          <w:tcPr>
            <w:tcW w:w="1769" w:type="dxa"/>
          </w:tcPr>
          <w:p w14:paraId="0D8C0272" w14:textId="77777777" w:rsidR="00540C7D" w:rsidRPr="00C94754" w:rsidRDefault="00540C7D"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p>
        </w:tc>
        <w:tc>
          <w:tcPr>
            <w:tcW w:w="1523" w:type="dxa"/>
          </w:tcPr>
          <w:p w14:paraId="4F469865" w14:textId="05D1E90D" w:rsidR="00540C7D" w:rsidRPr="00C94754" w:rsidRDefault="00540C7D" w:rsidP="009E34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pt-PT"/>
              </w:rPr>
            </w:pPr>
            <w:r>
              <w:rPr>
                <w:rFonts w:ascii="Calibri" w:eastAsia="Times New Roman" w:hAnsi="Calibri" w:cs="Calibri"/>
                <w:b/>
                <w:bCs/>
                <w:color w:val="000000"/>
                <w:sz w:val="20"/>
                <w:szCs w:val="20"/>
                <w:lang w:eastAsia="pt-PT"/>
              </w:rPr>
              <w:t>$46,033,782</w:t>
            </w:r>
          </w:p>
        </w:tc>
      </w:tr>
    </w:tbl>
    <w:p w14:paraId="2EFAC111" w14:textId="77777777" w:rsidR="00427E80" w:rsidRPr="00145430" w:rsidRDefault="00427E80" w:rsidP="008353FD">
      <w:pPr>
        <w:jc w:val="both"/>
      </w:pPr>
    </w:p>
    <w:p w14:paraId="058D7224" w14:textId="23A4FEC7" w:rsidR="00041AEB" w:rsidRPr="00041AEB" w:rsidRDefault="00BD3739" w:rsidP="00FB24C5">
      <w:pPr>
        <w:jc w:val="both"/>
        <w:rPr>
          <w:b/>
          <w:bCs/>
          <w:i/>
          <w:iCs/>
        </w:rPr>
      </w:pPr>
      <w:r w:rsidRPr="00165BCC">
        <w:rPr>
          <w:b/>
          <w:bCs/>
        </w:rPr>
        <w:t xml:space="preserve">Finding 2: UNDP is making </w:t>
      </w:r>
      <w:r w:rsidR="00770CA5" w:rsidRPr="00165BCC">
        <w:rPr>
          <w:b/>
          <w:bCs/>
        </w:rPr>
        <w:t>appreciable</w:t>
      </w:r>
      <w:r w:rsidRPr="00165BCC">
        <w:rPr>
          <w:b/>
          <w:bCs/>
        </w:rPr>
        <w:t xml:space="preserve"> contributions to s</w:t>
      </w:r>
      <w:r w:rsidR="00041AEB" w:rsidRPr="00165BCC">
        <w:rPr>
          <w:b/>
          <w:bCs/>
        </w:rPr>
        <w:t>trengthening national capacities to develop, implement and monitor strategies and programmes to end poverty</w:t>
      </w:r>
      <w:r w:rsidRPr="00165BCC">
        <w:rPr>
          <w:b/>
          <w:bCs/>
        </w:rPr>
        <w:t>, and foster integration of the SDGs into national policies and promot</w:t>
      </w:r>
      <w:r w:rsidR="006D730E" w:rsidRPr="00165BCC">
        <w:rPr>
          <w:b/>
          <w:bCs/>
        </w:rPr>
        <w:t>e</w:t>
      </w:r>
      <w:r w:rsidRPr="00165BCC">
        <w:rPr>
          <w:b/>
          <w:bCs/>
        </w:rPr>
        <w:t xml:space="preserve"> dialogue</w:t>
      </w:r>
      <w:r w:rsidR="00041AEB" w:rsidRPr="00041AEB">
        <w:rPr>
          <w:b/>
          <w:bCs/>
          <w:i/>
          <w:iCs/>
        </w:rPr>
        <w:t>.</w:t>
      </w:r>
    </w:p>
    <w:p w14:paraId="460C0541" w14:textId="77777777" w:rsidR="008D5793" w:rsidRPr="008D5793" w:rsidRDefault="008D5793" w:rsidP="00790AD5">
      <w:pPr>
        <w:pStyle w:val="ListParagraph"/>
        <w:numPr>
          <w:ilvl w:val="0"/>
          <w:numId w:val="55"/>
        </w:numPr>
        <w:spacing w:line="240" w:lineRule="auto"/>
        <w:jc w:val="both"/>
        <w:rPr>
          <w:i/>
          <w:iCs/>
        </w:rPr>
      </w:pPr>
      <w:r w:rsidRPr="008D5793">
        <w:rPr>
          <w:i/>
          <w:iCs/>
        </w:rPr>
        <w:t>Output 1.1. National and subnational institutions have strengthened technical capacities to develop, implement and monitor strategies and programmes to end extreme poverty</w:t>
      </w:r>
    </w:p>
    <w:p w14:paraId="4F5BA844" w14:textId="7D50E671" w:rsidR="00854F92" w:rsidRDefault="00041AEB" w:rsidP="006146A2">
      <w:pPr>
        <w:spacing w:line="240" w:lineRule="auto"/>
        <w:jc w:val="both"/>
      </w:pPr>
      <w:r>
        <w:t xml:space="preserve">UNDP has made progress with respect to </w:t>
      </w:r>
      <w:r w:rsidR="0056187D">
        <w:t xml:space="preserve">building national capacities for </w:t>
      </w:r>
      <w:r w:rsidR="00832CA5">
        <w:t xml:space="preserve">the </w:t>
      </w:r>
      <w:r w:rsidR="0056187D">
        <w:t>design of polic</w:t>
      </w:r>
      <w:r w:rsidR="00832CA5">
        <w:t>ies</w:t>
      </w:r>
      <w:r w:rsidR="0056187D">
        <w:t>, strateg</w:t>
      </w:r>
      <w:r w:rsidR="00832CA5">
        <w:t>ies</w:t>
      </w:r>
      <w:r w:rsidR="0056187D">
        <w:t xml:space="preserve"> and programmes to end poverty and develop tools to foster critical policy dialogue and action.</w:t>
      </w:r>
      <w:r w:rsidR="005E1696">
        <w:t xml:space="preserve"> Among the key achievements</w:t>
      </w:r>
      <w:r>
        <w:t xml:space="preserve"> </w:t>
      </w:r>
      <w:r w:rsidR="008353FD">
        <w:t xml:space="preserve">was </w:t>
      </w:r>
      <w:r w:rsidR="00854F92">
        <w:t xml:space="preserve">that UNDP in partnership with the Oxford Poverty and Human Development Initiative (OPHI), provided technical support to the National Bureau for Statistics to </w:t>
      </w:r>
      <w:r w:rsidR="00655904">
        <w:t>publish in 2020</w:t>
      </w:r>
      <w:r w:rsidR="00854F92">
        <w:t xml:space="preserve"> the </w:t>
      </w:r>
      <w:r w:rsidR="004C0329">
        <w:t xml:space="preserve">flagship report on the first </w:t>
      </w:r>
      <w:r w:rsidR="00854F92">
        <w:t>national Multidimensional Poverty Indicators</w:t>
      </w:r>
      <w:r w:rsidR="00422284">
        <w:t xml:space="preserve">; </w:t>
      </w:r>
      <w:r w:rsidR="00422284" w:rsidRPr="00422284">
        <w:rPr>
          <w:rFonts w:ascii="Calibri" w:hAnsi="Calibri" w:cs="Calibri"/>
          <w:color w:val="000000"/>
        </w:rPr>
        <w:t xml:space="preserve">two MPI reports based </w:t>
      </w:r>
      <w:r w:rsidR="004C0329">
        <w:rPr>
          <w:rFonts w:ascii="Calibri" w:hAnsi="Calibri" w:cs="Calibri"/>
          <w:color w:val="000000"/>
        </w:rPr>
        <w:t>o</w:t>
      </w:r>
      <w:r w:rsidR="00422284" w:rsidRPr="00422284">
        <w:rPr>
          <w:rFonts w:ascii="Calibri" w:hAnsi="Calibri" w:cs="Calibri"/>
          <w:color w:val="000000"/>
        </w:rPr>
        <w:t>n domestic statistics were also published</w:t>
      </w:r>
      <w:r w:rsidR="00854F92">
        <w:t xml:space="preserve">. </w:t>
      </w:r>
      <w:r w:rsidR="00422284" w:rsidRPr="00C05D70">
        <w:rPr>
          <w:rFonts w:ascii="Calibri" w:hAnsi="Calibri" w:cs="Calibri"/>
          <w:color w:val="000000"/>
        </w:rPr>
        <w:t xml:space="preserve">There is now growing interest from government on </w:t>
      </w:r>
      <w:r w:rsidR="00C05D70" w:rsidRPr="00C05D70">
        <w:rPr>
          <w:rFonts w:ascii="Calibri" w:hAnsi="Calibri" w:cs="Calibri"/>
          <w:color w:val="000000"/>
        </w:rPr>
        <w:t>evidence-based</w:t>
      </w:r>
      <w:r w:rsidR="00422284" w:rsidRPr="00C05D70">
        <w:rPr>
          <w:rFonts w:ascii="Calibri" w:hAnsi="Calibri" w:cs="Calibri"/>
          <w:color w:val="000000"/>
        </w:rPr>
        <w:t xml:space="preserve"> planning and budgeting</w:t>
      </w:r>
      <w:r w:rsidR="004C0329">
        <w:rPr>
          <w:rFonts w:ascii="Calibri" w:hAnsi="Calibri" w:cs="Calibri"/>
          <w:color w:val="000000"/>
        </w:rPr>
        <w:t xml:space="preserve"> </w:t>
      </w:r>
      <w:r w:rsidR="004C0329">
        <w:rPr>
          <w:sz w:val="24"/>
          <w:szCs w:val="24"/>
        </w:rPr>
        <w:t xml:space="preserve">and the IPM-A is serving </w:t>
      </w:r>
      <w:r w:rsidR="004C0329">
        <w:t>as a guide for more informed decisions on issues related to poverty eradication, budgeting and targeting</w:t>
      </w:r>
      <w:r w:rsidR="00422284" w:rsidRPr="00C05D70">
        <w:rPr>
          <w:rFonts w:ascii="Calibri" w:hAnsi="Calibri" w:cs="Calibri"/>
          <w:color w:val="000000"/>
        </w:rPr>
        <w:t xml:space="preserve">. </w:t>
      </w:r>
      <w:r w:rsidR="00E30817" w:rsidRPr="00C05D70">
        <w:t>The report was</w:t>
      </w:r>
      <w:r w:rsidR="00E30817">
        <w:t xml:space="preserve"> used by the Government to review the National </w:t>
      </w:r>
      <w:r w:rsidR="004C0329">
        <w:t>D</w:t>
      </w:r>
      <w:r w:rsidR="00E30817">
        <w:t>evelopment Plan</w:t>
      </w:r>
      <w:r w:rsidR="004C0329">
        <w:t xml:space="preserve"> (in the context of the serious economic downturn), a pro</w:t>
      </w:r>
      <w:r w:rsidR="0068629A">
        <w:t>cess that has resulted in</w:t>
      </w:r>
      <w:r w:rsidR="00E30817">
        <w:t xml:space="preserve"> the reduction of National Programmes from 84 to 7</w:t>
      </w:r>
      <w:r w:rsidR="0068629A">
        <w:t xml:space="preserve">0. </w:t>
      </w:r>
      <w:r w:rsidR="0049221D">
        <w:t xml:space="preserve">The </w:t>
      </w:r>
      <w:r w:rsidR="0068629A">
        <w:t>IMP-A assisted in the</w:t>
      </w:r>
      <w:r w:rsidR="00832CA5">
        <w:t xml:space="preserve"> </w:t>
      </w:r>
      <w:r w:rsidR="00E30817">
        <w:t>prioritization of national social and economic programmes and allocation of state budget in context of Covid 19.</w:t>
      </w:r>
      <w:r w:rsidR="00854F92">
        <w:t xml:space="preserve"> </w:t>
      </w:r>
      <w:r w:rsidR="0063296B">
        <w:t xml:space="preserve">The desegregation of data </w:t>
      </w:r>
      <w:r w:rsidR="008D5793">
        <w:t xml:space="preserve">made possible </w:t>
      </w:r>
      <w:r w:rsidR="0068629A">
        <w:t>by</w:t>
      </w:r>
      <w:r w:rsidR="008D5793">
        <w:t xml:space="preserve"> the </w:t>
      </w:r>
      <w:r w:rsidR="0063296B">
        <w:t>Multidimension Poverty</w:t>
      </w:r>
      <w:r w:rsidR="008D5793">
        <w:t xml:space="preserve"> Index</w:t>
      </w:r>
      <w:r w:rsidR="0063296B">
        <w:t xml:space="preserve"> has contributed to understand</w:t>
      </w:r>
      <w:r w:rsidR="001A0B4C">
        <w:t>ing</w:t>
      </w:r>
      <w:r w:rsidR="0063296B">
        <w:t xml:space="preserve"> the factors contributing to poverty among female householders in the country.</w:t>
      </w:r>
      <w:r w:rsidR="00832CA5">
        <w:t xml:space="preserve"> With UNDP support, Angola is among, if not the first, </w:t>
      </w:r>
      <w:r w:rsidR="00A358A3">
        <w:t>African</w:t>
      </w:r>
      <w:r w:rsidR="00832CA5">
        <w:t xml:space="preserve"> </w:t>
      </w:r>
      <w:r w:rsidR="00A358A3">
        <w:t>c</w:t>
      </w:r>
      <w:r w:rsidR="00832CA5">
        <w:t>ountr</w:t>
      </w:r>
      <w:r w:rsidR="00A358A3">
        <w:t>ies</w:t>
      </w:r>
      <w:r w:rsidR="00832CA5">
        <w:t xml:space="preserve"> to domesticate use of the MDPI as a </w:t>
      </w:r>
      <w:r w:rsidR="00A358A3">
        <w:t>policy</w:t>
      </w:r>
      <w:r w:rsidR="00832CA5">
        <w:t xml:space="preserve"> tool with great effectiveness.</w:t>
      </w:r>
      <w:r w:rsidR="00655904">
        <w:t xml:space="preserve"> </w:t>
      </w:r>
    </w:p>
    <w:p w14:paraId="7A35A7DA" w14:textId="77BFFAF4" w:rsidR="004C200E" w:rsidRPr="004C200E" w:rsidRDefault="004C200E" w:rsidP="006146A2">
      <w:pPr>
        <w:shd w:val="clear" w:color="auto" w:fill="FFFFFF"/>
        <w:spacing w:after="0" w:line="240" w:lineRule="auto"/>
        <w:jc w:val="both"/>
        <w:rPr>
          <w:rFonts w:ascii="Calibri" w:eastAsia="Times New Roman" w:hAnsi="Calibri" w:cs="Calibri"/>
          <w:color w:val="1D2228"/>
          <w:lang w:eastAsia="pt-PT"/>
        </w:rPr>
      </w:pPr>
      <w:r w:rsidRPr="00B9721E">
        <w:rPr>
          <w:rFonts w:ascii="Calibri" w:eastAsia="Times New Roman" w:hAnsi="Calibri" w:cs="Calibri"/>
          <w:color w:val="1D2228"/>
          <w:lang w:eastAsia="pt-PT"/>
        </w:rPr>
        <w:lastRenderedPageBreak/>
        <w:t xml:space="preserve">UNDP and the Ministry of State for Social Affairs partnered in 2019-2020 to conduct a comprehensive review of 36 key social programs, including the programme to combat poverty. </w:t>
      </w:r>
      <w:r w:rsidR="001A0B4C">
        <w:rPr>
          <w:rFonts w:ascii="Calibri" w:eastAsia="Times New Roman" w:hAnsi="Calibri" w:cs="Calibri"/>
          <w:color w:val="1D2228"/>
          <w:lang w:eastAsia="pt-PT"/>
        </w:rPr>
        <w:t>T</w:t>
      </w:r>
      <w:r w:rsidRPr="00B9721E">
        <w:rPr>
          <w:rFonts w:ascii="Calibri" w:eastAsia="Times New Roman" w:hAnsi="Calibri" w:cs="Calibri"/>
          <w:color w:val="1D2228"/>
          <w:lang w:eastAsia="pt-PT"/>
        </w:rPr>
        <w:t>he major challenges and bottlenecks</w:t>
      </w:r>
      <w:r w:rsidR="001A0B4C">
        <w:rPr>
          <w:rFonts w:ascii="Calibri" w:eastAsia="Times New Roman" w:hAnsi="Calibri" w:cs="Calibri"/>
          <w:color w:val="1D2228"/>
          <w:lang w:eastAsia="pt-PT"/>
        </w:rPr>
        <w:t xml:space="preserve"> with the programmes were assessed</w:t>
      </w:r>
      <w:r w:rsidRPr="00B9721E">
        <w:rPr>
          <w:rFonts w:ascii="Calibri" w:eastAsia="Times New Roman" w:hAnsi="Calibri" w:cs="Calibri"/>
          <w:color w:val="1D2228"/>
          <w:lang w:eastAsia="pt-PT"/>
        </w:rPr>
        <w:t xml:space="preserve"> and recommend</w:t>
      </w:r>
      <w:r w:rsidR="001A0B4C">
        <w:rPr>
          <w:rFonts w:ascii="Calibri" w:eastAsia="Times New Roman" w:hAnsi="Calibri" w:cs="Calibri"/>
          <w:color w:val="1D2228"/>
          <w:lang w:eastAsia="pt-PT"/>
        </w:rPr>
        <w:t>ations made</w:t>
      </w:r>
      <w:r w:rsidRPr="00B9721E">
        <w:rPr>
          <w:rFonts w:ascii="Calibri" w:eastAsia="Times New Roman" w:hAnsi="Calibri" w:cs="Calibri"/>
          <w:color w:val="1D2228"/>
          <w:lang w:eastAsia="pt-PT"/>
        </w:rPr>
        <w:t xml:space="preserve"> to the Ministry of State for Social Affairs</w:t>
      </w:r>
      <w:r>
        <w:rPr>
          <w:rFonts w:ascii="Calibri" w:eastAsia="Times New Roman" w:hAnsi="Calibri" w:cs="Calibri"/>
          <w:color w:val="1D2228"/>
          <w:lang w:eastAsia="pt-PT"/>
        </w:rPr>
        <w:t xml:space="preserve">. </w:t>
      </w:r>
      <w:r w:rsidRPr="00B9721E">
        <w:rPr>
          <w:rFonts w:ascii="Calibri" w:eastAsia="Times New Roman" w:hAnsi="Calibri" w:cs="Calibri"/>
          <w:color w:val="1D2228"/>
          <w:lang w:eastAsia="pt-PT"/>
        </w:rPr>
        <w:t xml:space="preserve">UNDP and the Casa Civil have </w:t>
      </w:r>
      <w:r>
        <w:rPr>
          <w:rFonts w:ascii="Calibri" w:eastAsia="Times New Roman" w:hAnsi="Calibri" w:cs="Calibri"/>
          <w:color w:val="1D2228"/>
          <w:lang w:eastAsia="pt-PT"/>
        </w:rPr>
        <w:t xml:space="preserve">also </w:t>
      </w:r>
      <w:r w:rsidRPr="00B9721E">
        <w:rPr>
          <w:rFonts w:ascii="Calibri" w:eastAsia="Times New Roman" w:hAnsi="Calibri" w:cs="Calibri"/>
          <w:color w:val="1D2228"/>
          <w:lang w:eastAsia="pt-PT"/>
        </w:rPr>
        <w:t xml:space="preserve">worked together to structure the first-ever national programme for the volunteering, which was approved by </w:t>
      </w:r>
      <w:r w:rsidR="0068629A">
        <w:rPr>
          <w:rFonts w:ascii="Calibri" w:eastAsia="Times New Roman" w:hAnsi="Calibri" w:cs="Calibri"/>
          <w:color w:val="1D2228"/>
          <w:lang w:eastAsia="pt-PT"/>
        </w:rPr>
        <w:t>P</w:t>
      </w:r>
      <w:r w:rsidRPr="00B9721E">
        <w:rPr>
          <w:rFonts w:ascii="Calibri" w:eastAsia="Times New Roman" w:hAnsi="Calibri" w:cs="Calibri"/>
          <w:color w:val="1D2228"/>
          <w:lang w:eastAsia="pt-PT"/>
        </w:rPr>
        <w:t xml:space="preserve">residential </w:t>
      </w:r>
      <w:r w:rsidR="0068629A">
        <w:rPr>
          <w:rFonts w:ascii="Calibri" w:eastAsia="Times New Roman" w:hAnsi="Calibri" w:cs="Calibri"/>
          <w:color w:val="1D2228"/>
          <w:lang w:eastAsia="pt-PT"/>
        </w:rPr>
        <w:t>D</w:t>
      </w:r>
      <w:r w:rsidRPr="00B9721E">
        <w:rPr>
          <w:rFonts w:ascii="Calibri" w:eastAsia="Times New Roman" w:hAnsi="Calibri" w:cs="Calibri"/>
          <w:color w:val="1D2228"/>
          <w:lang w:eastAsia="pt-PT"/>
        </w:rPr>
        <w:t>ecree</w:t>
      </w:r>
      <w:r w:rsidR="001222DA">
        <w:rPr>
          <w:rFonts w:ascii="Calibri" w:eastAsia="Times New Roman" w:hAnsi="Calibri" w:cs="Calibri"/>
          <w:color w:val="1D2228"/>
          <w:lang w:eastAsia="pt-PT"/>
        </w:rPr>
        <w:t>.</w:t>
      </w:r>
    </w:p>
    <w:p w14:paraId="164F7978" w14:textId="7A1F3D00" w:rsidR="00D04BF1" w:rsidRDefault="008C6AEF" w:rsidP="006146A2">
      <w:pPr>
        <w:shd w:val="clear" w:color="auto" w:fill="FFFFFF"/>
        <w:spacing w:before="100" w:beforeAutospacing="1" w:after="100" w:afterAutospacing="1" w:line="240" w:lineRule="auto"/>
        <w:jc w:val="both"/>
        <w:rPr>
          <w:rFonts w:eastAsia="Times New Roman" w:cstheme="minorHAnsi"/>
          <w:lang w:eastAsia="pt-PT"/>
        </w:rPr>
      </w:pPr>
      <w:r>
        <w:rPr>
          <w:rFonts w:ascii="Calibri" w:eastAsia="Times New Roman" w:hAnsi="Calibri" w:cs="Calibri"/>
          <w:color w:val="1D2228"/>
          <w:lang w:eastAsia="pt-PT"/>
        </w:rPr>
        <w:t>UNDP</w:t>
      </w:r>
      <w:r w:rsidR="00E84DAF">
        <w:rPr>
          <w:rFonts w:ascii="Calibri" w:eastAsia="Times New Roman" w:hAnsi="Calibri" w:cs="Calibri"/>
          <w:color w:val="1D2228"/>
          <w:lang w:eastAsia="pt-PT"/>
        </w:rPr>
        <w:t xml:space="preserve"> partnership </w:t>
      </w:r>
      <w:r>
        <w:rPr>
          <w:rFonts w:ascii="Calibri" w:eastAsia="Times New Roman" w:hAnsi="Calibri" w:cs="Calibri"/>
          <w:color w:val="1D2228"/>
          <w:lang w:eastAsia="pt-PT"/>
        </w:rPr>
        <w:t>with MEP</w:t>
      </w:r>
      <w:r w:rsidR="00456550" w:rsidRPr="00D401B9">
        <w:rPr>
          <w:rFonts w:ascii="Calibri" w:eastAsia="Times New Roman" w:hAnsi="Calibri" w:cs="Calibri"/>
          <w:color w:val="1D2228"/>
          <w:lang w:eastAsia="pt-PT"/>
        </w:rPr>
        <w:t xml:space="preserve"> </w:t>
      </w:r>
      <w:r w:rsidR="00E84DAF">
        <w:rPr>
          <w:rFonts w:ascii="Calibri" w:eastAsia="Times New Roman" w:hAnsi="Calibri" w:cs="Calibri"/>
          <w:color w:val="1D2228"/>
          <w:lang w:eastAsia="pt-PT"/>
        </w:rPr>
        <w:t xml:space="preserve">facilitated </w:t>
      </w:r>
      <w:r w:rsidR="00456550" w:rsidRPr="00D401B9">
        <w:rPr>
          <w:rFonts w:ascii="Calibri" w:eastAsia="Times New Roman" w:hAnsi="Calibri" w:cs="Calibri"/>
          <w:color w:val="1D2228"/>
          <w:lang w:eastAsia="pt-PT"/>
        </w:rPr>
        <w:t>the establishment, in 2020, of the </w:t>
      </w:r>
      <w:r w:rsidR="00456550" w:rsidRPr="00D401B9">
        <w:rPr>
          <w:rFonts w:ascii="Calibri" w:eastAsia="Times New Roman" w:hAnsi="Calibri" w:cs="Calibri"/>
          <w:b/>
          <w:bCs/>
          <w:color w:val="1D2228"/>
          <w:lang w:eastAsia="pt-PT"/>
        </w:rPr>
        <w:t>SDG Platform</w:t>
      </w:r>
      <w:r w:rsidR="00456550" w:rsidRPr="00D401B9">
        <w:rPr>
          <w:rFonts w:ascii="Calibri" w:eastAsia="Times New Roman" w:hAnsi="Calibri" w:cs="Calibri"/>
          <w:color w:val="1D2228"/>
          <w:lang w:eastAsia="pt-PT"/>
        </w:rPr>
        <w:t>, which is a national forum to promote dialogue on the SDGs that includes representatives from the government, the National Assembly, UN agencies, civil society organizations, private sector, academia, and development partners.</w:t>
      </w:r>
      <w:r w:rsidR="001A0B4C">
        <w:rPr>
          <w:rFonts w:eastAsia="Times New Roman" w:cstheme="minorHAnsi"/>
          <w:lang w:eastAsia="pt-PT"/>
        </w:rPr>
        <w:t xml:space="preserve"> </w:t>
      </w:r>
      <w:r w:rsidR="001A0B4C">
        <w:rPr>
          <w:rFonts w:ascii="Calibri" w:eastAsia="Times New Roman" w:hAnsi="Calibri" w:cs="Calibri"/>
          <w:color w:val="1D2228"/>
          <w:lang w:eastAsia="pt-PT"/>
        </w:rPr>
        <w:t>In</w:t>
      </w:r>
      <w:r w:rsidR="00456550" w:rsidRPr="00D401B9">
        <w:rPr>
          <w:rFonts w:ascii="Calibri" w:eastAsia="Times New Roman" w:hAnsi="Calibri" w:cs="Calibri"/>
          <w:color w:val="1D2228"/>
          <w:lang w:eastAsia="pt-PT"/>
        </w:rPr>
        <w:t xml:space="preserve"> the </w:t>
      </w:r>
      <w:r w:rsidR="001A0B4C">
        <w:rPr>
          <w:rFonts w:ascii="Calibri" w:eastAsia="Times New Roman" w:hAnsi="Calibri" w:cs="Calibri"/>
          <w:color w:val="1D2228"/>
          <w:lang w:eastAsia="pt-PT"/>
        </w:rPr>
        <w:t xml:space="preserve">context of the </w:t>
      </w:r>
      <w:r w:rsidR="00456550" w:rsidRPr="00D401B9">
        <w:rPr>
          <w:rFonts w:ascii="Calibri" w:eastAsia="Times New Roman" w:hAnsi="Calibri" w:cs="Calibri"/>
          <w:color w:val="1D2228"/>
          <w:lang w:eastAsia="pt-PT"/>
        </w:rPr>
        <w:t xml:space="preserve">SDG Platform, UNDP has </w:t>
      </w:r>
      <w:r w:rsidR="00D04BF1">
        <w:rPr>
          <w:rFonts w:ascii="Calibri" w:eastAsia="Times New Roman" w:hAnsi="Calibri" w:cs="Calibri"/>
          <w:color w:val="1D2228"/>
          <w:lang w:eastAsia="pt-PT"/>
        </w:rPr>
        <w:t xml:space="preserve">worked closely with </w:t>
      </w:r>
      <w:r w:rsidR="00456550" w:rsidRPr="00D401B9">
        <w:rPr>
          <w:rFonts w:ascii="Calibri" w:eastAsia="Times New Roman" w:hAnsi="Calibri" w:cs="Calibri"/>
          <w:color w:val="1D2228"/>
          <w:lang w:eastAsia="pt-PT"/>
        </w:rPr>
        <w:t>the MEP to coordinate the working groups that have elaborated the first-ever </w:t>
      </w:r>
      <w:r w:rsidR="00456550" w:rsidRPr="00D401B9">
        <w:rPr>
          <w:rFonts w:ascii="Calibri" w:eastAsia="Times New Roman" w:hAnsi="Calibri" w:cs="Calibri"/>
          <w:b/>
          <w:bCs/>
          <w:color w:val="1D2228"/>
          <w:lang w:eastAsia="pt-PT"/>
        </w:rPr>
        <w:t>Voluntary National Review (VNR) of the SDGs</w:t>
      </w:r>
      <w:r w:rsidR="00456550" w:rsidRPr="00D401B9">
        <w:rPr>
          <w:rFonts w:ascii="Calibri" w:eastAsia="Times New Roman" w:hAnsi="Calibri" w:cs="Calibri"/>
          <w:color w:val="1D2228"/>
          <w:lang w:eastAsia="pt-PT"/>
        </w:rPr>
        <w:t xml:space="preserve"> of Angola </w:t>
      </w:r>
      <w:r w:rsidR="001A0B4C">
        <w:rPr>
          <w:rFonts w:ascii="Calibri" w:eastAsia="Times New Roman" w:hAnsi="Calibri" w:cs="Calibri"/>
          <w:color w:val="1D2228"/>
          <w:lang w:eastAsia="pt-PT"/>
        </w:rPr>
        <w:t xml:space="preserve">which was </w:t>
      </w:r>
      <w:r w:rsidR="00456550" w:rsidRPr="00D401B9">
        <w:rPr>
          <w:rFonts w:ascii="Calibri" w:eastAsia="Times New Roman" w:hAnsi="Calibri" w:cs="Calibri"/>
          <w:color w:val="1D2228"/>
          <w:lang w:eastAsia="pt-PT"/>
        </w:rPr>
        <w:t xml:space="preserve">published in July 2021. This is a major achievement as it is the first-ever VNR in the country. The MEP </w:t>
      </w:r>
      <w:r w:rsidR="00D04BF1">
        <w:rPr>
          <w:rFonts w:ascii="Calibri" w:eastAsia="Times New Roman" w:hAnsi="Calibri" w:cs="Calibri"/>
          <w:color w:val="1D2228"/>
          <w:lang w:eastAsia="pt-PT"/>
        </w:rPr>
        <w:t xml:space="preserve">led the process with </w:t>
      </w:r>
      <w:r w:rsidR="00456550" w:rsidRPr="00D401B9">
        <w:rPr>
          <w:rFonts w:ascii="Calibri" w:eastAsia="Times New Roman" w:hAnsi="Calibri" w:cs="Calibri"/>
          <w:color w:val="1D2228"/>
          <w:lang w:eastAsia="pt-PT"/>
        </w:rPr>
        <w:t xml:space="preserve">UNDP </w:t>
      </w:r>
      <w:r w:rsidR="00D04BF1">
        <w:rPr>
          <w:rFonts w:ascii="Calibri" w:eastAsia="Times New Roman" w:hAnsi="Calibri" w:cs="Calibri"/>
          <w:color w:val="1D2228"/>
          <w:lang w:eastAsia="pt-PT"/>
        </w:rPr>
        <w:t>as</w:t>
      </w:r>
      <w:r w:rsidR="00456550" w:rsidRPr="00D401B9">
        <w:rPr>
          <w:rFonts w:ascii="Calibri" w:eastAsia="Times New Roman" w:hAnsi="Calibri" w:cs="Calibri"/>
          <w:color w:val="1D2228"/>
          <w:lang w:eastAsia="pt-PT"/>
        </w:rPr>
        <w:t xml:space="preserve"> a key partner </w:t>
      </w:r>
      <w:r w:rsidR="00D04BF1">
        <w:rPr>
          <w:rFonts w:ascii="Calibri" w:eastAsia="Times New Roman" w:hAnsi="Calibri" w:cs="Calibri"/>
          <w:color w:val="1D2228"/>
          <w:lang w:eastAsia="pt-PT"/>
        </w:rPr>
        <w:t>from</w:t>
      </w:r>
      <w:r w:rsidR="00456550" w:rsidRPr="00D401B9">
        <w:rPr>
          <w:rFonts w:ascii="Calibri" w:eastAsia="Times New Roman" w:hAnsi="Calibri" w:cs="Calibri"/>
          <w:color w:val="1D2228"/>
          <w:lang w:eastAsia="pt-PT"/>
        </w:rPr>
        <w:t xml:space="preserve"> inception </w:t>
      </w:r>
      <w:r w:rsidR="00D04BF1">
        <w:rPr>
          <w:rFonts w:ascii="Calibri" w:eastAsia="Times New Roman" w:hAnsi="Calibri" w:cs="Calibri"/>
          <w:color w:val="1D2228"/>
          <w:lang w:eastAsia="pt-PT"/>
        </w:rPr>
        <w:t>to</w:t>
      </w:r>
      <w:r w:rsidR="00456550" w:rsidRPr="00D401B9">
        <w:rPr>
          <w:rFonts w:ascii="Calibri" w:eastAsia="Times New Roman" w:hAnsi="Calibri" w:cs="Calibri"/>
          <w:color w:val="1D2228"/>
          <w:lang w:eastAsia="pt-PT"/>
        </w:rPr>
        <w:t xml:space="preserve"> the publication of the VNR, including workshops, technical meetings, and preparation of the official presentation </w:t>
      </w:r>
      <w:r w:rsidR="00D04BF1">
        <w:rPr>
          <w:rFonts w:ascii="Calibri" w:eastAsia="Times New Roman" w:hAnsi="Calibri" w:cs="Calibri"/>
          <w:color w:val="1D2228"/>
          <w:lang w:eastAsia="pt-PT"/>
        </w:rPr>
        <w:t xml:space="preserve">by the President </w:t>
      </w:r>
      <w:r w:rsidR="00456550" w:rsidRPr="00D401B9">
        <w:rPr>
          <w:rFonts w:ascii="Calibri" w:eastAsia="Times New Roman" w:hAnsi="Calibri" w:cs="Calibri"/>
          <w:color w:val="1D2228"/>
          <w:lang w:eastAsia="pt-PT"/>
        </w:rPr>
        <w:t xml:space="preserve">of Angola at the UN in July </w:t>
      </w:r>
      <w:r w:rsidR="00D04BF1">
        <w:rPr>
          <w:rFonts w:ascii="Calibri" w:eastAsia="Times New Roman" w:hAnsi="Calibri" w:cs="Calibri"/>
          <w:color w:val="1D2228"/>
          <w:lang w:eastAsia="pt-PT"/>
        </w:rPr>
        <w:t>2021.</w:t>
      </w:r>
    </w:p>
    <w:p w14:paraId="6E9CADF3" w14:textId="05C8216D" w:rsidR="00854F92" w:rsidRPr="00D04BF1" w:rsidRDefault="00165BCC" w:rsidP="006146A2">
      <w:pPr>
        <w:shd w:val="clear" w:color="auto" w:fill="FFFFFF"/>
        <w:spacing w:before="100" w:beforeAutospacing="1" w:after="100" w:afterAutospacing="1" w:line="240" w:lineRule="auto"/>
        <w:jc w:val="both"/>
        <w:rPr>
          <w:rFonts w:eastAsia="Times New Roman" w:cstheme="minorHAnsi"/>
          <w:lang w:eastAsia="pt-PT"/>
        </w:rPr>
      </w:pPr>
      <w:r>
        <w:t>In addition to the above, t</w:t>
      </w:r>
      <w:r w:rsidR="00854F92">
        <w:t xml:space="preserve">hree socioeconomic assessments of the impacts of COVID-19 in Angola were led by UNDP within the UNCT and with the World Bank. Used as advocacy tools, the assessments led the Government to accelerate the implementation of coronavirus relief measures. </w:t>
      </w:r>
      <w:r w:rsidR="0063296B">
        <w:t>In addition</w:t>
      </w:r>
      <w:r w:rsidR="006D730E">
        <w:t>,</w:t>
      </w:r>
      <w:r w:rsidR="0063296B">
        <w:t xml:space="preserve"> a</w:t>
      </w:r>
      <w:r w:rsidR="006D730E">
        <w:t>nd</w:t>
      </w:r>
      <w:r w:rsidR="0063296B">
        <w:t xml:space="preserve"> jointly with the provincial governments of Huila, Namibe and Cunene, and the National Civil Protection Commission of the Ministry of Interior of Angola, UNDP and the EU are developing a Covid-19 Monitor using technologies such as Power BI and GIS maps. The Covid-19 Monitor will be integrated in a wider information platform with dashboards correlating different </w:t>
      </w:r>
      <w:r w:rsidR="0068629A">
        <w:t xml:space="preserve">dimension such as </w:t>
      </w:r>
      <w:r w:rsidR="0063296B">
        <w:t>demographic, health, water, socio-economic and infrastructure variables to identify vulnerable groups, higher risk areas in the Southern part of the country where 1.1 million people are severely affected by climate change. UNDP is also collaborating with Government and private sector for the registration of vendors in 24 informal markets to contribute to the Registry for Social Protection.</w:t>
      </w:r>
    </w:p>
    <w:p w14:paraId="6E68DE47" w14:textId="02A5F653" w:rsidR="00145430" w:rsidRPr="0068629A" w:rsidRDefault="0056187D" w:rsidP="00854F92">
      <w:pPr>
        <w:spacing w:line="240" w:lineRule="auto"/>
        <w:jc w:val="both"/>
        <w:rPr>
          <w:b/>
          <w:bCs/>
        </w:rPr>
      </w:pPr>
      <w:r w:rsidRPr="0068629A">
        <w:rPr>
          <w:b/>
          <w:bCs/>
        </w:rPr>
        <w:t>Finding 3: UNDP</w:t>
      </w:r>
      <w:r w:rsidR="0049221D">
        <w:rPr>
          <w:b/>
          <w:bCs/>
        </w:rPr>
        <w:t>’s</w:t>
      </w:r>
      <w:r w:rsidRPr="0068629A">
        <w:rPr>
          <w:b/>
          <w:bCs/>
        </w:rPr>
        <w:t xml:space="preserve"> </w:t>
      </w:r>
      <w:r w:rsidR="00770CA5" w:rsidRPr="0068629A">
        <w:rPr>
          <w:b/>
          <w:bCs/>
        </w:rPr>
        <w:t xml:space="preserve">catalytic </w:t>
      </w:r>
      <w:r w:rsidRPr="0068629A">
        <w:rPr>
          <w:b/>
          <w:bCs/>
        </w:rPr>
        <w:t>role in assisting the Government of Angola translate polic</w:t>
      </w:r>
      <w:r w:rsidR="00E51EC8" w:rsidRPr="0068629A">
        <w:rPr>
          <w:b/>
          <w:bCs/>
        </w:rPr>
        <w:t>ies</w:t>
      </w:r>
      <w:r w:rsidRPr="0068629A">
        <w:rPr>
          <w:b/>
          <w:bCs/>
        </w:rPr>
        <w:t xml:space="preserve"> into concrete action </w:t>
      </w:r>
      <w:r w:rsidR="00E51EC8" w:rsidRPr="0068629A">
        <w:rPr>
          <w:b/>
          <w:bCs/>
        </w:rPr>
        <w:t>in</w:t>
      </w:r>
      <w:r w:rsidRPr="0068629A">
        <w:rPr>
          <w:b/>
          <w:bCs/>
        </w:rPr>
        <w:t xml:space="preserve"> s</w:t>
      </w:r>
      <w:r w:rsidR="00145430" w:rsidRPr="0068629A">
        <w:rPr>
          <w:b/>
          <w:bCs/>
        </w:rPr>
        <w:t xml:space="preserve">upport </w:t>
      </w:r>
      <w:r w:rsidR="00E51EC8" w:rsidRPr="0068629A">
        <w:rPr>
          <w:b/>
          <w:bCs/>
        </w:rPr>
        <w:t xml:space="preserve">of </w:t>
      </w:r>
      <w:r w:rsidR="00145430" w:rsidRPr="0068629A">
        <w:rPr>
          <w:b/>
          <w:bCs/>
        </w:rPr>
        <w:t xml:space="preserve">job creation and inclusive growth </w:t>
      </w:r>
      <w:r w:rsidR="006D730E" w:rsidRPr="0068629A">
        <w:rPr>
          <w:b/>
          <w:bCs/>
        </w:rPr>
        <w:t xml:space="preserve">by piloting innovative </w:t>
      </w:r>
      <w:r w:rsidR="009907B5" w:rsidRPr="0068629A">
        <w:rPr>
          <w:b/>
          <w:bCs/>
        </w:rPr>
        <w:t>approaches</w:t>
      </w:r>
      <w:r w:rsidR="006D730E" w:rsidRPr="0068629A">
        <w:rPr>
          <w:b/>
          <w:bCs/>
        </w:rPr>
        <w:t xml:space="preserve"> to </w:t>
      </w:r>
      <w:r w:rsidR="00145430" w:rsidRPr="0068629A">
        <w:rPr>
          <w:b/>
          <w:bCs/>
        </w:rPr>
        <w:t>the strengthening of micro, small and medium-size enterprises (MSMEs)</w:t>
      </w:r>
      <w:r w:rsidR="0049221D">
        <w:rPr>
          <w:b/>
          <w:bCs/>
        </w:rPr>
        <w:t xml:space="preserve"> is </w:t>
      </w:r>
      <w:r w:rsidR="001222DA">
        <w:rPr>
          <w:b/>
          <w:bCs/>
        </w:rPr>
        <w:t>significant</w:t>
      </w:r>
      <w:r w:rsidR="00D13FF4" w:rsidRPr="0068629A">
        <w:rPr>
          <w:b/>
          <w:bCs/>
        </w:rPr>
        <w:t>. UNDP support for</w:t>
      </w:r>
      <w:r w:rsidR="00145430" w:rsidRPr="0068629A">
        <w:rPr>
          <w:b/>
          <w:bCs/>
        </w:rPr>
        <w:t xml:space="preserve"> professional skills development, particularly for women and youth</w:t>
      </w:r>
      <w:r w:rsidR="006D730E" w:rsidRPr="0068629A">
        <w:rPr>
          <w:b/>
          <w:bCs/>
        </w:rPr>
        <w:t>, as well as facilitating the involvement of the private sector in SDG implementation</w:t>
      </w:r>
      <w:r w:rsidR="00D13FF4" w:rsidRPr="0068629A">
        <w:rPr>
          <w:b/>
          <w:bCs/>
        </w:rPr>
        <w:t xml:space="preserve"> are of strategic value.</w:t>
      </w:r>
    </w:p>
    <w:p w14:paraId="22E808A6" w14:textId="2B0B164B" w:rsidR="00165BCC" w:rsidRPr="00165BCC" w:rsidRDefault="00165BCC" w:rsidP="00790AD5">
      <w:pPr>
        <w:pStyle w:val="ListParagraph"/>
        <w:numPr>
          <w:ilvl w:val="0"/>
          <w:numId w:val="55"/>
        </w:numPr>
        <w:spacing w:line="240" w:lineRule="auto"/>
        <w:ind w:right="33"/>
        <w:jc w:val="both"/>
        <w:rPr>
          <w:i/>
          <w:iCs/>
        </w:rPr>
      </w:pPr>
      <w:r w:rsidRPr="00165BCC">
        <w:rPr>
          <w:i/>
          <w:iCs/>
        </w:rPr>
        <w:t>Output 1.2. National institutions and programmes support job creation and inclusive growth through the strengthening of micro, small and medium-size enterprises (MSMEs) and professional skills development, particularly for women and youth</w:t>
      </w:r>
    </w:p>
    <w:p w14:paraId="22936B2F" w14:textId="0F2469AD" w:rsidR="0021560F" w:rsidRDefault="004C200E" w:rsidP="006146A2">
      <w:pPr>
        <w:spacing w:line="240" w:lineRule="auto"/>
        <w:ind w:right="33"/>
        <w:jc w:val="both"/>
      </w:pPr>
      <w:r>
        <w:t xml:space="preserve">The </w:t>
      </w:r>
      <w:r w:rsidR="0056187D">
        <w:t>Government of Angola has crafted flagship policies</w:t>
      </w:r>
      <w:r w:rsidR="00D34849">
        <w:t xml:space="preserve"> to address the interlinked challenges of poverty, unemployment and informality in the economy</w:t>
      </w:r>
      <w:r w:rsidR="0056187D">
        <w:t xml:space="preserve">, </w:t>
      </w:r>
      <w:r w:rsidR="00D34849">
        <w:t xml:space="preserve">which have become more aggravated by the Covid-19 pandemic. </w:t>
      </w:r>
      <w:r w:rsidR="0021560F">
        <w:t xml:space="preserve">Angola has had relative success in producing policies and programmes as well as in establishing institutions to stimulate private sector development towards employment creation and entrepreneurship. </w:t>
      </w:r>
      <w:r w:rsidR="00FB5A1D">
        <w:t xml:space="preserve">Examples include: </w:t>
      </w:r>
      <w:r w:rsidR="0021560F">
        <w:t>the Programa Angola Investe (PAI) aim</w:t>
      </w:r>
      <w:r w:rsidR="00E84DAF">
        <w:t>ed</w:t>
      </w:r>
      <w:r w:rsidR="0021560F">
        <w:t xml:space="preserve"> at fostering the establishment of micro, small and medium-sized enterprises (MSMEs)</w:t>
      </w:r>
      <w:r w:rsidR="0021560F">
        <w:rPr>
          <w:vertAlign w:val="superscript"/>
        </w:rPr>
        <w:t xml:space="preserve">9 </w:t>
      </w:r>
      <w:r w:rsidR="0021560F">
        <w:t>through the provision of subsidized credit with public guarantee</w:t>
      </w:r>
      <w:r w:rsidR="00FB5A1D">
        <w:t xml:space="preserve">; </w:t>
      </w:r>
      <w:r w:rsidR="0021560F">
        <w:t xml:space="preserve">the Instituto Nacional de Apoio as Micros, Pequenas e Médias (INAPEM) that provides training and capacity building services to foster entrepreneurship, and provides technical assistance to MSMEs. However, the implementation of these policies and programmes and the functioning of the support institutions had limited results due to structural factors, </w:t>
      </w:r>
      <w:r w:rsidR="00D06006">
        <w:t>which were</w:t>
      </w:r>
      <w:r w:rsidR="0021560F">
        <w:t xml:space="preserve"> </w:t>
      </w:r>
      <w:r w:rsidR="0021560F">
        <w:lastRenderedPageBreak/>
        <w:t xml:space="preserve">aggravated by the economic downturn. </w:t>
      </w:r>
      <w:r w:rsidR="0049221D">
        <w:t>G</w:t>
      </w:r>
      <w:r w:rsidR="00D06006">
        <w:t>overnment budget constraints have</w:t>
      </w:r>
      <w:r w:rsidR="0021560F">
        <w:t xml:space="preserve"> hindered the full implementation of </w:t>
      </w:r>
      <w:r w:rsidR="00D06006">
        <w:t>these and other government</w:t>
      </w:r>
      <w:r w:rsidR="0021560F">
        <w:t xml:space="preserve"> initiatives, including efforts to mainstream youth into the broader employment and entrepreneurship programmes.</w:t>
      </w:r>
    </w:p>
    <w:p w14:paraId="339682A6" w14:textId="46F13ADE" w:rsidR="00E30817" w:rsidRDefault="0056187D" w:rsidP="00647C63">
      <w:pPr>
        <w:spacing w:line="240" w:lineRule="auto"/>
        <w:jc w:val="both"/>
      </w:pPr>
      <w:r>
        <w:t xml:space="preserve">UNDP in collaboration with partners, is piloting innovative approaches, which </w:t>
      </w:r>
      <w:r w:rsidR="008F755B">
        <w:t xml:space="preserve">potentially </w:t>
      </w:r>
      <w:r>
        <w:t>lend themselves to scaling up across the country.</w:t>
      </w:r>
      <w:r w:rsidR="00FB5A1D">
        <w:t xml:space="preserve"> </w:t>
      </w:r>
      <w:r w:rsidR="00E30817">
        <w:t xml:space="preserve">To support </w:t>
      </w:r>
      <w:r w:rsidR="00D06006">
        <w:t xml:space="preserve">the </w:t>
      </w:r>
      <w:r w:rsidR="00E30817">
        <w:t>government of Angola’s job creation and promotion of entrepreneurship initiatives, UNDP signed a Memorandum of Understanding with the Ministry Labour, employment and Social Insurance to strength the national vocational training system through implementation of Professional Internship Programs.</w:t>
      </w:r>
      <w:r w:rsidR="00F35DCC">
        <w:t xml:space="preserve"> </w:t>
      </w:r>
      <w:r w:rsidR="00E30817">
        <w:t xml:space="preserve">With financial support from </w:t>
      </w:r>
      <w:r w:rsidR="0049221D">
        <w:t xml:space="preserve">Norway and </w:t>
      </w:r>
      <w:r w:rsidR="00E30817">
        <w:t xml:space="preserve">Turkey-UNDP partnership young people in Huila province from local TVET benefited with scholarships to participate in industrial attachment related to mechanics, electricity, ICT, sewing welding, carpentry and decoration with local companies. Benefits of an internship include gaining hands-on experience and networking with professionals while consolidating their skills and prospects for the employability. Offering paid Internships has attracted 20 local companies and linkages with business associations. </w:t>
      </w:r>
    </w:p>
    <w:p w14:paraId="688061F4" w14:textId="6D738502" w:rsidR="00145430" w:rsidRDefault="00E30817" w:rsidP="00647C63">
      <w:pPr>
        <w:spacing w:line="240" w:lineRule="auto"/>
        <w:jc w:val="both"/>
      </w:pPr>
      <w:r>
        <w:t>In partnership with the National Institute for Development of Small and Medium 130 people in Lunda Norte Province were trained in business planning and grouped by business segment through incubation and development of small businesses. With UNDP technical support 18 MSME were constituted and start</w:t>
      </w:r>
      <w:r w:rsidR="00757D3E">
        <w:t xml:space="preserve"> up</w:t>
      </w:r>
      <w:r>
        <w:t xml:space="preserve"> business kits were distributed in sectors of sewing, food entrepreneurship, ICT and agribusiness. In Luanda, in collaboration the Ministry of Social Welfare 120 women were trained on how to form business association</w:t>
      </w:r>
      <w:r w:rsidR="00F35DCC">
        <w:t>s</w:t>
      </w:r>
      <w:r>
        <w:t xml:space="preserve"> and cooperative</w:t>
      </w:r>
      <w:r w:rsidR="00F35DCC">
        <w:t>s</w:t>
      </w:r>
      <w:r>
        <w:t xml:space="preserve"> and have access to legal and funding support. </w:t>
      </w:r>
    </w:p>
    <w:p w14:paraId="732C9852" w14:textId="42F70102" w:rsidR="00A558D6" w:rsidRPr="00A558D6" w:rsidRDefault="00E30817" w:rsidP="00A558D6">
      <w:pPr>
        <w:spacing w:after="0" w:line="240" w:lineRule="auto"/>
        <w:jc w:val="both"/>
        <w:rPr>
          <w:rFonts w:ascii="Calibri" w:hAnsi="Calibri" w:cs="Calibri"/>
          <w:color w:val="000000"/>
        </w:rPr>
      </w:pPr>
      <w:r>
        <w:t>The ratio of 60% of women and 40% for male has guided the intervention either in vocational training admissions and business development. An MoU between UNDP and MAPTSS was signed on October 2020 with the objective to reinforce collaboration areas of TVET and job creation. A group work was created with personnel of both institutions</w:t>
      </w:r>
      <w:r w:rsidR="00757D3E">
        <w:t xml:space="preserve"> and a</w:t>
      </w:r>
      <w:r w:rsidR="00C05D70" w:rsidRPr="00C05D70">
        <w:rPr>
          <w:rFonts w:ascii="Calibri" w:hAnsi="Calibri" w:cs="Calibri"/>
          <w:color w:val="000000"/>
        </w:rPr>
        <w:t xml:space="preserve"> study on skills supply and demand on labour market in Huila province</w:t>
      </w:r>
      <w:r w:rsidR="00757D3E">
        <w:rPr>
          <w:rFonts w:ascii="Calibri" w:hAnsi="Calibri" w:cs="Calibri"/>
          <w:color w:val="000000"/>
        </w:rPr>
        <w:t xml:space="preserve"> was undertaken</w:t>
      </w:r>
      <w:r w:rsidR="00C05D70" w:rsidRPr="00C05D70">
        <w:rPr>
          <w:rFonts w:ascii="Calibri" w:hAnsi="Calibri" w:cs="Calibri"/>
          <w:color w:val="000000"/>
        </w:rPr>
        <w:t xml:space="preserve">. </w:t>
      </w:r>
      <w:r w:rsidR="00757D3E">
        <w:rPr>
          <w:rFonts w:ascii="Calibri" w:hAnsi="Calibri" w:cs="Calibri"/>
          <w:color w:val="000000"/>
        </w:rPr>
        <w:t>Similarly,</w:t>
      </w:r>
      <w:r w:rsidR="00C05D70" w:rsidRPr="00C05D70">
        <w:rPr>
          <w:rFonts w:ascii="Calibri" w:hAnsi="Calibri" w:cs="Calibri"/>
          <w:color w:val="000000"/>
        </w:rPr>
        <w:t xml:space="preserve"> 600 scholarships </w:t>
      </w:r>
      <w:r w:rsidR="00757D3E">
        <w:rPr>
          <w:rFonts w:ascii="Calibri" w:hAnsi="Calibri" w:cs="Calibri"/>
          <w:color w:val="000000"/>
        </w:rPr>
        <w:t xml:space="preserve">were granted </w:t>
      </w:r>
      <w:r w:rsidR="00C05D70" w:rsidRPr="00C05D70">
        <w:rPr>
          <w:rFonts w:ascii="Calibri" w:hAnsi="Calibri" w:cs="Calibri"/>
          <w:color w:val="000000"/>
        </w:rPr>
        <w:t>for young people to attend vocational training courses and professional internships with private sector.</w:t>
      </w:r>
      <w:r w:rsidR="00A558D6">
        <w:rPr>
          <w:sz w:val="24"/>
          <w:szCs w:val="24"/>
        </w:rPr>
        <w:t xml:space="preserve"> </w:t>
      </w:r>
      <w:r w:rsidR="00A558D6" w:rsidRPr="00A558D6">
        <w:rPr>
          <w:rFonts w:ascii="Calibri" w:hAnsi="Calibri" w:cs="Calibri"/>
          <w:color w:val="000000"/>
        </w:rPr>
        <w:t>The assessment of level of implementation and impact of skills development has led to review the targets of the National Programme on Promotion of Youth employment and also the revision of the curricula of vocational training education.</w:t>
      </w:r>
    </w:p>
    <w:p w14:paraId="730146A5" w14:textId="77777777" w:rsidR="00A558D6" w:rsidRDefault="00A558D6" w:rsidP="00A558D6">
      <w:pPr>
        <w:spacing w:after="0" w:line="240" w:lineRule="auto"/>
        <w:jc w:val="both"/>
        <w:rPr>
          <w:rFonts w:ascii="Calibri" w:hAnsi="Calibri" w:cs="Calibri"/>
          <w:color w:val="000000"/>
          <w:sz w:val="20"/>
          <w:szCs w:val="20"/>
        </w:rPr>
      </w:pPr>
    </w:p>
    <w:p w14:paraId="7CF540AC" w14:textId="299796A2" w:rsidR="00D04BF1" w:rsidRDefault="00A558D6" w:rsidP="00A558D6">
      <w:pPr>
        <w:spacing w:after="0" w:line="240" w:lineRule="auto"/>
        <w:jc w:val="both"/>
        <w:rPr>
          <w:rFonts w:ascii="Calibri" w:eastAsia="Times New Roman" w:hAnsi="Calibri" w:cs="Calibri"/>
          <w:color w:val="1D2228"/>
          <w:lang w:eastAsia="pt-PT"/>
        </w:rPr>
      </w:pPr>
      <w:r>
        <w:t>In a</w:t>
      </w:r>
      <w:r w:rsidR="00E30817">
        <w:t xml:space="preserve"> pilot </w:t>
      </w:r>
      <w:r>
        <w:t>in</w:t>
      </w:r>
      <w:r w:rsidR="00E30817">
        <w:t xml:space="preserve"> Huila Province,</w:t>
      </w:r>
      <w:r>
        <w:t xml:space="preserve"> </w:t>
      </w:r>
      <w:r w:rsidR="00E30817">
        <w:t xml:space="preserve">100 TVETs </w:t>
      </w:r>
      <w:r>
        <w:t>-</w:t>
      </w:r>
      <w:r w:rsidR="00E30817">
        <w:t xml:space="preserve"> young girls and boys, </w:t>
      </w:r>
      <w:r>
        <w:t>were</w:t>
      </w:r>
      <w:r w:rsidR="00E30817">
        <w:t xml:space="preserve"> match</w:t>
      </w:r>
      <w:r>
        <w:t>ed</w:t>
      </w:r>
      <w:r w:rsidR="00E30817">
        <w:t xml:space="preserve"> </w:t>
      </w:r>
      <w:r>
        <w:t>with</w:t>
      </w:r>
      <w:r w:rsidR="00E30817">
        <w:t xml:space="preserve"> private and public companies in order to create jobs, and replicate it in other provinces of the country.</w:t>
      </w:r>
      <w:r w:rsidR="00F35DCC">
        <w:t xml:space="preserve"> </w:t>
      </w:r>
      <w:r w:rsidR="00D04BF1" w:rsidRPr="00D401B9">
        <w:rPr>
          <w:rFonts w:ascii="Calibri" w:eastAsia="Times New Roman" w:hAnsi="Calibri" w:cs="Calibri"/>
          <w:color w:val="1D2228"/>
          <w:lang w:eastAsia="pt-PT"/>
        </w:rPr>
        <w:t>UNDP and MEP have worked together to design a new project to promote the implementation of the PREI programme on the informal economy</w:t>
      </w:r>
      <w:r w:rsidR="00757D3E">
        <w:rPr>
          <w:rFonts w:ascii="Calibri" w:eastAsia="Times New Roman" w:hAnsi="Calibri" w:cs="Calibri"/>
          <w:color w:val="1D2228"/>
          <w:lang w:eastAsia="pt-PT"/>
        </w:rPr>
        <w:t xml:space="preserve">. The start of the </w:t>
      </w:r>
      <w:r w:rsidR="00FC72A4">
        <w:rPr>
          <w:rFonts w:ascii="Calibri" w:eastAsia="Times New Roman" w:hAnsi="Calibri" w:cs="Calibri"/>
          <w:color w:val="1D2228"/>
          <w:lang w:eastAsia="pt-PT"/>
        </w:rPr>
        <w:t>project</w:t>
      </w:r>
      <w:r w:rsidR="00757D3E">
        <w:rPr>
          <w:rFonts w:ascii="Calibri" w:eastAsia="Times New Roman" w:hAnsi="Calibri" w:cs="Calibri"/>
          <w:color w:val="1D2228"/>
          <w:lang w:eastAsia="pt-PT"/>
        </w:rPr>
        <w:t xml:space="preserve"> a</w:t>
      </w:r>
      <w:r w:rsidR="00D04BF1" w:rsidRPr="00D401B9">
        <w:rPr>
          <w:rFonts w:ascii="Calibri" w:eastAsia="Times New Roman" w:hAnsi="Calibri" w:cs="Calibri"/>
          <w:color w:val="1D2228"/>
          <w:lang w:eastAsia="pt-PT"/>
        </w:rPr>
        <w:t>wait</w:t>
      </w:r>
      <w:r w:rsidR="00FC72A4">
        <w:rPr>
          <w:rFonts w:ascii="Calibri" w:eastAsia="Times New Roman" w:hAnsi="Calibri" w:cs="Calibri"/>
          <w:color w:val="1D2228"/>
          <w:lang w:eastAsia="pt-PT"/>
        </w:rPr>
        <w:t>s</w:t>
      </w:r>
      <w:r w:rsidR="00D04BF1" w:rsidRPr="00D401B9">
        <w:rPr>
          <w:rFonts w:ascii="Calibri" w:eastAsia="Times New Roman" w:hAnsi="Calibri" w:cs="Calibri"/>
          <w:color w:val="1D2228"/>
          <w:lang w:eastAsia="pt-PT"/>
        </w:rPr>
        <w:t xml:space="preserve"> the signature</w:t>
      </w:r>
      <w:r w:rsidR="00FC72A4">
        <w:rPr>
          <w:rFonts w:ascii="Calibri" w:eastAsia="Times New Roman" w:hAnsi="Calibri" w:cs="Calibri"/>
          <w:color w:val="1D2228"/>
          <w:lang w:eastAsia="pt-PT"/>
        </w:rPr>
        <w:t xml:space="preserve"> by government</w:t>
      </w:r>
      <w:r>
        <w:rPr>
          <w:rFonts w:ascii="Calibri" w:eastAsia="Times New Roman" w:hAnsi="Calibri" w:cs="Calibri"/>
          <w:color w:val="1D2228"/>
          <w:lang w:eastAsia="pt-PT"/>
        </w:rPr>
        <w:t>.</w:t>
      </w:r>
    </w:p>
    <w:p w14:paraId="377A8D3C" w14:textId="7388FC1A" w:rsidR="0061786B" w:rsidRDefault="0061786B" w:rsidP="00A558D6">
      <w:pPr>
        <w:spacing w:after="0" w:line="240" w:lineRule="auto"/>
        <w:jc w:val="both"/>
        <w:rPr>
          <w:rFonts w:ascii="Calibri" w:eastAsia="Times New Roman" w:hAnsi="Calibri" w:cs="Calibri"/>
          <w:color w:val="1D2228"/>
          <w:lang w:eastAsia="pt-PT"/>
        </w:rPr>
      </w:pPr>
    </w:p>
    <w:p w14:paraId="693C7252" w14:textId="47878B98" w:rsidR="0061786B" w:rsidRDefault="006F3865" w:rsidP="00A558D6">
      <w:pPr>
        <w:spacing w:after="0" w:line="240" w:lineRule="auto"/>
        <w:jc w:val="both"/>
        <w:rPr>
          <w:rFonts w:ascii="Calibri" w:eastAsia="Times New Roman" w:hAnsi="Calibri" w:cs="Calibri"/>
          <w:color w:val="1D2228"/>
          <w:lang w:eastAsia="pt-PT"/>
        </w:rPr>
      </w:pPr>
      <w:r>
        <w:rPr>
          <w:rFonts w:ascii="Calibri" w:eastAsia="Times New Roman" w:hAnsi="Calibri" w:cs="Calibri"/>
          <w:color w:val="1D2228"/>
          <w:lang w:eastAsia="pt-PT"/>
        </w:rPr>
        <w:t>Overall</w:t>
      </w:r>
      <w:r w:rsidR="0061786B">
        <w:rPr>
          <w:rFonts w:ascii="Calibri" w:eastAsia="Times New Roman" w:hAnsi="Calibri" w:cs="Calibri"/>
          <w:color w:val="1D2228"/>
          <w:lang w:eastAsia="pt-PT"/>
        </w:rPr>
        <w:t xml:space="preserve">, UNDP’s work on </w:t>
      </w:r>
      <w:r>
        <w:rPr>
          <w:rFonts w:ascii="Calibri" w:eastAsia="Times New Roman" w:hAnsi="Calibri" w:cs="Calibri"/>
          <w:color w:val="1D2228"/>
          <w:lang w:eastAsia="pt-PT"/>
        </w:rPr>
        <w:t>employment</w:t>
      </w:r>
      <w:r w:rsidR="0061786B">
        <w:rPr>
          <w:rFonts w:ascii="Calibri" w:eastAsia="Times New Roman" w:hAnsi="Calibri" w:cs="Calibri"/>
          <w:color w:val="1D2228"/>
          <w:lang w:eastAsia="pt-PT"/>
        </w:rPr>
        <w:t xml:space="preserve"> </w:t>
      </w:r>
      <w:r>
        <w:rPr>
          <w:rFonts w:ascii="Calibri" w:eastAsia="Times New Roman" w:hAnsi="Calibri" w:cs="Calibri"/>
          <w:color w:val="1D2228"/>
          <w:lang w:eastAsia="pt-PT"/>
        </w:rPr>
        <w:t>creation</w:t>
      </w:r>
      <w:r w:rsidR="0061786B">
        <w:rPr>
          <w:rFonts w:ascii="Calibri" w:eastAsia="Times New Roman" w:hAnsi="Calibri" w:cs="Calibri"/>
          <w:color w:val="1D2228"/>
          <w:lang w:eastAsia="pt-PT"/>
        </w:rPr>
        <w:t xml:space="preserve"> and entrepreneurship is on the right </w:t>
      </w:r>
      <w:r>
        <w:rPr>
          <w:rFonts w:ascii="Calibri" w:eastAsia="Times New Roman" w:hAnsi="Calibri" w:cs="Calibri"/>
          <w:color w:val="1D2228"/>
          <w:lang w:eastAsia="pt-PT"/>
        </w:rPr>
        <w:t>track</w:t>
      </w:r>
      <w:r w:rsidR="0061786B">
        <w:rPr>
          <w:rFonts w:ascii="Calibri" w:eastAsia="Times New Roman" w:hAnsi="Calibri" w:cs="Calibri"/>
          <w:color w:val="1D2228"/>
          <w:lang w:eastAsia="pt-PT"/>
        </w:rPr>
        <w:t xml:space="preserve"> but needs to be </w:t>
      </w:r>
      <w:r>
        <w:rPr>
          <w:rFonts w:ascii="Calibri" w:eastAsia="Times New Roman" w:hAnsi="Calibri" w:cs="Calibri"/>
          <w:color w:val="1D2228"/>
          <w:lang w:eastAsia="pt-PT"/>
        </w:rPr>
        <w:t>improved</w:t>
      </w:r>
      <w:r w:rsidR="0061786B">
        <w:rPr>
          <w:rFonts w:ascii="Calibri" w:eastAsia="Times New Roman" w:hAnsi="Calibri" w:cs="Calibri"/>
          <w:color w:val="1D2228"/>
          <w:lang w:eastAsia="pt-PT"/>
        </w:rPr>
        <w:t xml:space="preserve">: (i) </w:t>
      </w:r>
      <w:r>
        <w:rPr>
          <w:rFonts w:ascii="Calibri" w:eastAsia="Times New Roman" w:hAnsi="Calibri" w:cs="Calibri"/>
          <w:color w:val="1D2228"/>
          <w:lang w:eastAsia="pt-PT"/>
        </w:rPr>
        <w:t>currently</w:t>
      </w:r>
      <w:r w:rsidR="0061786B">
        <w:rPr>
          <w:rFonts w:ascii="Calibri" w:eastAsia="Times New Roman" w:hAnsi="Calibri" w:cs="Calibri"/>
          <w:color w:val="1D2228"/>
          <w:lang w:eastAsia="pt-PT"/>
        </w:rPr>
        <w:t xml:space="preserve">, the efforts are being supported in a </w:t>
      </w:r>
      <w:r>
        <w:rPr>
          <w:rFonts w:ascii="Calibri" w:eastAsia="Times New Roman" w:hAnsi="Calibri" w:cs="Calibri"/>
          <w:color w:val="1D2228"/>
          <w:lang w:eastAsia="pt-PT"/>
        </w:rPr>
        <w:t>fragmented</w:t>
      </w:r>
      <w:r w:rsidR="0061786B">
        <w:rPr>
          <w:rFonts w:ascii="Calibri" w:eastAsia="Times New Roman" w:hAnsi="Calibri" w:cs="Calibri"/>
          <w:color w:val="1D2228"/>
          <w:lang w:eastAsia="pt-PT"/>
        </w:rPr>
        <w:t xml:space="preserve"> way (UNDP </w:t>
      </w:r>
      <w:r w:rsidR="00EB2E7A">
        <w:rPr>
          <w:rFonts w:ascii="Calibri" w:eastAsia="Times New Roman" w:hAnsi="Calibri" w:cs="Calibri"/>
          <w:color w:val="1D2228"/>
          <w:lang w:eastAsia="pt-PT"/>
        </w:rPr>
        <w:t>c</w:t>
      </w:r>
      <w:r w:rsidR="0061786B">
        <w:rPr>
          <w:rFonts w:ascii="Calibri" w:eastAsia="Times New Roman" w:hAnsi="Calibri" w:cs="Calibri"/>
          <w:color w:val="1D2228"/>
          <w:lang w:eastAsia="pt-PT"/>
        </w:rPr>
        <w:t xml:space="preserve">ore funds of </w:t>
      </w:r>
      <w:r>
        <w:rPr>
          <w:rFonts w:ascii="Calibri" w:eastAsia="Times New Roman" w:hAnsi="Calibri" w:cs="Calibri"/>
          <w:color w:val="1D2228"/>
          <w:lang w:eastAsia="pt-PT"/>
        </w:rPr>
        <w:t xml:space="preserve">US$ 1 million; Norway US$ 500,000; and Turkey US$ 100,000) instead of one consolidated programme; (ii) due to differences in institutional mandates, </w:t>
      </w:r>
      <w:r w:rsidR="00313DBC">
        <w:rPr>
          <w:rFonts w:ascii="Calibri" w:eastAsia="Times New Roman" w:hAnsi="Calibri" w:cs="Calibri"/>
          <w:color w:val="1D2228"/>
          <w:lang w:eastAsia="pt-PT"/>
        </w:rPr>
        <w:t>employment</w:t>
      </w:r>
      <w:r>
        <w:rPr>
          <w:rFonts w:ascii="Calibri" w:eastAsia="Times New Roman" w:hAnsi="Calibri" w:cs="Calibri"/>
          <w:color w:val="1D2228"/>
          <w:lang w:eastAsia="pt-PT"/>
        </w:rPr>
        <w:t xml:space="preserve"> and entrepreneurship are being handled by separate </w:t>
      </w:r>
      <w:r w:rsidR="00313DBC">
        <w:rPr>
          <w:rFonts w:ascii="Calibri" w:eastAsia="Times New Roman" w:hAnsi="Calibri" w:cs="Calibri"/>
          <w:color w:val="1D2228"/>
          <w:lang w:eastAsia="pt-PT"/>
        </w:rPr>
        <w:t>ministries</w:t>
      </w:r>
      <w:r>
        <w:rPr>
          <w:rFonts w:ascii="Calibri" w:eastAsia="Times New Roman" w:hAnsi="Calibri" w:cs="Calibri"/>
          <w:color w:val="1D2228"/>
          <w:lang w:eastAsia="pt-PT"/>
        </w:rPr>
        <w:t xml:space="preserve"> of the Angolan </w:t>
      </w:r>
      <w:r w:rsidR="00313DBC">
        <w:rPr>
          <w:rFonts w:ascii="Calibri" w:eastAsia="Times New Roman" w:hAnsi="Calibri" w:cs="Calibri"/>
          <w:color w:val="1D2228"/>
          <w:lang w:eastAsia="pt-PT"/>
        </w:rPr>
        <w:t>government</w:t>
      </w:r>
      <w:r>
        <w:rPr>
          <w:rFonts w:ascii="Calibri" w:eastAsia="Times New Roman" w:hAnsi="Calibri" w:cs="Calibri"/>
          <w:color w:val="1D2228"/>
          <w:lang w:eastAsia="pt-PT"/>
        </w:rPr>
        <w:t xml:space="preserve">. This fragmentation in both </w:t>
      </w:r>
      <w:r w:rsidR="00313DBC">
        <w:rPr>
          <w:rFonts w:ascii="Calibri" w:eastAsia="Times New Roman" w:hAnsi="Calibri" w:cs="Calibri"/>
          <w:color w:val="1D2228"/>
          <w:lang w:eastAsia="pt-PT"/>
        </w:rPr>
        <w:t>project delivery mode</w:t>
      </w:r>
      <w:r>
        <w:rPr>
          <w:rFonts w:ascii="Calibri" w:eastAsia="Times New Roman" w:hAnsi="Calibri" w:cs="Calibri"/>
          <w:color w:val="1D2228"/>
          <w:lang w:eastAsia="pt-PT"/>
        </w:rPr>
        <w:t xml:space="preserve"> and institutions is not helpful and needs to</w:t>
      </w:r>
      <w:r w:rsidR="00313DBC">
        <w:rPr>
          <w:rFonts w:ascii="Calibri" w:eastAsia="Times New Roman" w:hAnsi="Calibri" w:cs="Calibri"/>
          <w:color w:val="1D2228"/>
          <w:lang w:eastAsia="pt-PT"/>
        </w:rPr>
        <w:t xml:space="preserve"> </w:t>
      </w:r>
      <w:r>
        <w:rPr>
          <w:rFonts w:ascii="Calibri" w:eastAsia="Times New Roman" w:hAnsi="Calibri" w:cs="Calibri"/>
          <w:color w:val="1D2228"/>
          <w:lang w:eastAsia="pt-PT"/>
        </w:rPr>
        <w:t>be</w:t>
      </w:r>
      <w:r w:rsidR="00313DBC">
        <w:rPr>
          <w:rFonts w:ascii="Calibri" w:eastAsia="Times New Roman" w:hAnsi="Calibri" w:cs="Calibri"/>
          <w:color w:val="1D2228"/>
          <w:lang w:eastAsia="pt-PT"/>
        </w:rPr>
        <w:t xml:space="preserve"> c</w:t>
      </w:r>
      <w:r>
        <w:rPr>
          <w:rFonts w:ascii="Calibri" w:eastAsia="Times New Roman" w:hAnsi="Calibri" w:cs="Calibri"/>
          <w:color w:val="1D2228"/>
          <w:lang w:eastAsia="pt-PT"/>
        </w:rPr>
        <w:t>orre</w:t>
      </w:r>
      <w:r w:rsidR="00313DBC">
        <w:rPr>
          <w:rFonts w:ascii="Calibri" w:eastAsia="Times New Roman" w:hAnsi="Calibri" w:cs="Calibri"/>
          <w:color w:val="1D2228"/>
          <w:lang w:eastAsia="pt-PT"/>
        </w:rPr>
        <w:t>c</w:t>
      </w:r>
      <w:r>
        <w:rPr>
          <w:rFonts w:ascii="Calibri" w:eastAsia="Times New Roman" w:hAnsi="Calibri" w:cs="Calibri"/>
          <w:color w:val="1D2228"/>
          <w:lang w:eastAsia="pt-PT"/>
        </w:rPr>
        <w:t xml:space="preserve">ted.  </w:t>
      </w:r>
    </w:p>
    <w:p w14:paraId="7E998895" w14:textId="77777777" w:rsidR="00A558D6" w:rsidRPr="00A558D6" w:rsidRDefault="00A558D6" w:rsidP="00A558D6">
      <w:pPr>
        <w:spacing w:after="0" w:line="240" w:lineRule="auto"/>
        <w:jc w:val="both"/>
        <w:rPr>
          <w:rFonts w:ascii="Calibri" w:hAnsi="Calibri" w:cs="Calibri"/>
          <w:color w:val="000000"/>
          <w:sz w:val="20"/>
          <w:szCs w:val="20"/>
        </w:rPr>
      </w:pPr>
    </w:p>
    <w:p w14:paraId="042C1B97" w14:textId="5FFB5E99" w:rsidR="00813BFD" w:rsidRPr="006146A2" w:rsidRDefault="00813BFD" w:rsidP="00790AD5">
      <w:pPr>
        <w:pStyle w:val="ListParagraph"/>
        <w:numPr>
          <w:ilvl w:val="0"/>
          <w:numId w:val="55"/>
        </w:numPr>
        <w:spacing w:line="240" w:lineRule="auto"/>
        <w:jc w:val="both"/>
        <w:rPr>
          <w:i/>
          <w:iCs/>
        </w:rPr>
      </w:pPr>
      <w:r w:rsidRPr="006146A2">
        <w:rPr>
          <w:i/>
          <w:iCs/>
        </w:rPr>
        <w:t>Output 1.3. Private sector platforms enabled to participate in the achievement of the Goals.</w:t>
      </w:r>
    </w:p>
    <w:p w14:paraId="7B703AD1" w14:textId="3801318C" w:rsidR="00A119F0" w:rsidRDefault="00A119F0" w:rsidP="00A119F0">
      <w:pPr>
        <w:spacing w:after="0" w:line="240" w:lineRule="auto"/>
        <w:jc w:val="both"/>
        <w:rPr>
          <w:rFonts w:ascii="Calibri" w:hAnsi="Calibri" w:cs="Calibri"/>
          <w:color w:val="000000"/>
        </w:rPr>
      </w:pPr>
      <w:r>
        <w:t xml:space="preserve">Work has been started with respect to this output with </w:t>
      </w:r>
      <w:r w:rsidR="00085DDB" w:rsidRPr="00085DDB">
        <w:t xml:space="preserve">UNDP </w:t>
      </w:r>
      <w:r>
        <w:rPr>
          <w:rFonts w:ascii="Calibri" w:hAnsi="Calibri" w:cs="Calibri"/>
          <w:color w:val="000000"/>
        </w:rPr>
        <w:t>s</w:t>
      </w:r>
      <w:r w:rsidRPr="00085DDB">
        <w:rPr>
          <w:rFonts w:ascii="Calibri" w:hAnsi="Calibri" w:cs="Calibri"/>
          <w:color w:val="000000"/>
        </w:rPr>
        <w:t>upport</w:t>
      </w:r>
      <w:r>
        <w:rPr>
          <w:rFonts w:ascii="Calibri" w:hAnsi="Calibri" w:cs="Calibri"/>
          <w:color w:val="000000"/>
        </w:rPr>
        <w:t xml:space="preserve">ing </w:t>
      </w:r>
      <w:r w:rsidRPr="00085DDB">
        <w:rPr>
          <w:rFonts w:ascii="Calibri" w:hAnsi="Calibri" w:cs="Calibri"/>
          <w:color w:val="000000"/>
        </w:rPr>
        <w:t>the</w:t>
      </w:r>
      <w:r w:rsidR="00085DDB" w:rsidRPr="00085DDB">
        <w:rPr>
          <w:rFonts w:ascii="Calibri" w:hAnsi="Calibri" w:cs="Calibri"/>
          <w:color w:val="000000"/>
        </w:rPr>
        <w:t xml:space="preserve"> establishment of the Angolan Network for </w:t>
      </w:r>
      <w:r w:rsidRPr="00085DDB">
        <w:rPr>
          <w:rFonts w:ascii="Calibri" w:hAnsi="Calibri" w:cs="Calibri"/>
          <w:color w:val="000000"/>
        </w:rPr>
        <w:t xml:space="preserve">corporate </w:t>
      </w:r>
      <w:r w:rsidR="00FC72A4">
        <w:rPr>
          <w:rFonts w:ascii="Calibri" w:hAnsi="Calibri" w:cs="Calibri"/>
          <w:color w:val="000000"/>
        </w:rPr>
        <w:t xml:space="preserve">social </w:t>
      </w:r>
      <w:r w:rsidRPr="00085DDB">
        <w:rPr>
          <w:rFonts w:ascii="Calibri" w:hAnsi="Calibri" w:cs="Calibri"/>
          <w:color w:val="000000"/>
        </w:rPr>
        <w:t>responsibility</w:t>
      </w:r>
      <w:r>
        <w:rPr>
          <w:rFonts w:ascii="Calibri" w:hAnsi="Calibri" w:cs="Calibri"/>
          <w:color w:val="000000"/>
        </w:rPr>
        <w:t xml:space="preserve"> and a study was done on </w:t>
      </w:r>
      <w:r w:rsidRPr="00A119F0">
        <w:rPr>
          <w:rFonts w:ascii="Calibri" w:hAnsi="Calibri" w:cs="Calibri"/>
          <w:color w:val="000000"/>
        </w:rPr>
        <w:t>perception and mainstreaming of SDG</w:t>
      </w:r>
      <w:r w:rsidR="00FC72A4">
        <w:rPr>
          <w:rFonts w:ascii="Calibri" w:hAnsi="Calibri" w:cs="Calibri"/>
          <w:color w:val="000000"/>
        </w:rPr>
        <w:t>s</w:t>
      </w:r>
      <w:r w:rsidRPr="00A119F0">
        <w:rPr>
          <w:rFonts w:ascii="Calibri" w:hAnsi="Calibri" w:cs="Calibri"/>
          <w:color w:val="000000"/>
        </w:rPr>
        <w:t xml:space="preserve"> in corporate planning, investment and reporting.</w:t>
      </w:r>
      <w:r>
        <w:rPr>
          <w:rFonts w:ascii="Calibri" w:hAnsi="Calibri" w:cs="Calibri"/>
          <w:color w:val="000000"/>
        </w:rPr>
        <w:t xml:space="preserve"> </w:t>
      </w:r>
      <w:r w:rsidR="00B37433" w:rsidRPr="00B37433">
        <w:rPr>
          <w:rFonts w:ascii="Calibri" w:hAnsi="Calibri" w:cs="Calibri"/>
          <w:color w:val="000000"/>
        </w:rPr>
        <w:t xml:space="preserve">The new law on Public-Private Partnership was approved </w:t>
      </w:r>
      <w:r w:rsidR="00FC72A4">
        <w:rPr>
          <w:rFonts w:ascii="Calibri" w:hAnsi="Calibri" w:cs="Calibri"/>
          <w:color w:val="000000"/>
        </w:rPr>
        <w:t>which provides</w:t>
      </w:r>
      <w:r w:rsidR="00B37433" w:rsidRPr="00B37433">
        <w:rPr>
          <w:rFonts w:ascii="Calibri" w:hAnsi="Calibri" w:cs="Calibri"/>
          <w:color w:val="000000"/>
        </w:rPr>
        <w:t xml:space="preserve"> clear incentive</w:t>
      </w:r>
      <w:r w:rsidR="00FC72A4">
        <w:rPr>
          <w:rFonts w:ascii="Calibri" w:hAnsi="Calibri" w:cs="Calibri"/>
          <w:color w:val="000000"/>
        </w:rPr>
        <w:t>s</w:t>
      </w:r>
      <w:r w:rsidR="00B37433" w:rsidRPr="00B37433">
        <w:rPr>
          <w:rFonts w:ascii="Calibri" w:hAnsi="Calibri" w:cs="Calibri"/>
          <w:color w:val="000000"/>
        </w:rPr>
        <w:t xml:space="preserve"> for corporate investment in social areas. </w:t>
      </w:r>
      <w:r w:rsidRPr="00B37433">
        <w:rPr>
          <w:rFonts w:ascii="Calibri" w:hAnsi="Calibri" w:cs="Calibri"/>
          <w:color w:val="000000"/>
        </w:rPr>
        <w:t xml:space="preserve">However, there is no </w:t>
      </w:r>
      <w:r w:rsidRPr="00B37433">
        <w:rPr>
          <w:rFonts w:ascii="Calibri" w:hAnsi="Calibri" w:cs="Calibri"/>
          <w:color w:val="000000"/>
        </w:rPr>
        <w:lastRenderedPageBreak/>
        <w:t>evidence so far whether these efforts have yielded results in terms of investments</w:t>
      </w:r>
      <w:r>
        <w:rPr>
          <w:rFonts w:ascii="Calibri" w:hAnsi="Calibri" w:cs="Calibri"/>
          <w:color w:val="000000"/>
        </w:rPr>
        <w:t xml:space="preserve"> by the private sector. UNDP needs to put in place </w:t>
      </w:r>
      <w:r w:rsidR="00FC72A4">
        <w:rPr>
          <w:rFonts w:ascii="Calibri" w:hAnsi="Calibri" w:cs="Calibri"/>
          <w:color w:val="000000"/>
        </w:rPr>
        <w:t>a mechanism</w:t>
      </w:r>
      <w:r>
        <w:rPr>
          <w:rFonts w:ascii="Calibri" w:hAnsi="Calibri" w:cs="Calibri"/>
          <w:color w:val="000000"/>
        </w:rPr>
        <w:t xml:space="preserve"> to </w:t>
      </w:r>
      <w:r w:rsidR="008E5384">
        <w:rPr>
          <w:rFonts w:ascii="Calibri" w:hAnsi="Calibri" w:cs="Calibri"/>
          <w:color w:val="000000"/>
        </w:rPr>
        <w:t xml:space="preserve">be able to </w:t>
      </w:r>
      <w:r>
        <w:rPr>
          <w:rFonts w:ascii="Calibri" w:hAnsi="Calibri" w:cs="Calibri"/>
          <w:color w:val="000000"/>
        </w:rPr>
        <w:t xml:space="preserve">track </w:t>
      </w:r>
      <w:r w:rsidR="00FC72A4">
        <w:rPr>
          <w:rFonts w:ascii="Calibri" w:hAnsi="Calibri" w:cs="Calibri"/>
          <w:color w:val="000000"/>
        </w:rPr>
        <w:t>such</w:t>
      </w:r>
      <w:r>
        <w:rPr>
          <w:rFonts w:ascii="Calibri" w:hAnsi="Calibri" w:cs="Calibri"/>
          <w:color w:val="000000"/>
        </w:rPr>
        <w:t xml:space="preserve"> investments.</w:t>
      </w:r>
    </w:p>
    <w:p w14:paraId="68A8A60E" w14:textId="2ED73200" w:rsidR="00B37433" w:rsidRDefault="00B37433" w:rsidP="00A119F0">
      <w:pPr>
        <w:spacing w:after="0" w:line="240" w:lineRule="auto"/>
        <w:jc w:val="both"/>
        <w:rPr>
          <w:rFonts w:ascii="Calibri" w:hAnsi="Calibri" w:cs="Calibri"/>
          <w:color w:val="000000"/>
        </w:rPr>
      </w:pPr>
    </w:p>
    <w:p w14:paraId="7500E150" w14:textId="6C7AE05C" w:rsidR="00B332FA" w:rsidRPr="00B332FA" w:rsidRDefault="00B332FA" w:rsidP="00E30817">
      <w:pPr>
        <w:spacing w:line="240" w:lineRule="auto"/>
        <w:jc w:val="both"/>
        <w:rPr>
          <w:b/>
          <w:bCs/>
          <w:i/>
          <w:iCs/>
        </w:rPr>
      </w:pPr>
      <w:r w:rsidRPr="00813BFD">
        <w:rPr>
          <w:b/>
          <w:bCs/>
        </w:rPr>
        <w:t>Finding 4: Despite UNDP</w:t>
      </w:r>
      <w:r w:rsidR="00D7307E">
        <w:rPr>
          <w:b/>
          <w:bCs/>
        </w:rPr>
        <w:t>’ work</w:t>
      </w:r>
      <w:r w:rsidR="00FC72A4">
        <w:rPr>
          <w:b/>
          <w:bCs/>
        </w:rPr>
        <w:t xml:space="preserve"> </w:t>
      </w:r>
      <w:r w:rsidR="008E5384">
        <w:rPr>
          <w:b/>
          <w:bCs/>
        </w:rPr>
        <w:t>on</w:t>
      </w:r>
      <w:r w:rsidRPr="00813BFD">
        <w:rPr>
          <w:b/>
          <w:bCs/>
        </w:rPr>
        <w:t xml:space="preserve"> employment, especially for the youth</w:t>
      </w:r>
      <w:r w:rsidR="00A86AF3" w:rsidRPr="00813BFD">
        <w:rPr>
          <w:b/>
          <w:bCs/>
        </w:rPr>
        <w:t xml:space="preserve"> and</w:t>
      </w:r>
      <w:r w:rsidR="00E51EC8" w:rsidRPr="00813BFD">
        <w:rPr>
          <w:b/>
          <w:bCs/>
        </w:rPr>
        <w:t xml:space="preserve"> </w:t>
      </w:r>
      <w:r w:rsidRPr="00813BFD">
        <w:rPr>
          <w:b/>
          <w:bCs/>
        </w:rPr>
        <w:t>informality</w:t>
      </w:r>
      <w:r w:rsidR="00E51EC8" w:rsidRPr="00813BFD">
        <w:rPr>
          <w:b/>
          <w:bCs/>
        </w:rPr>
        <w:t xml:space="preserve"> in the Angolan economy</w:t>
      </w:r>
      <w:r w:rsidRPr="00813BFD">
        <w:rPr>
          <w:b/>
          <w:bCs/>
        </w:rPr>
        <w:t xml:space="preserve">, </w:t>
      </w:r>
      <w:r w:rsidR="009108CF" w:rsidRPr="00813BFD">
        <w:rPr>
          <w:b/>
          <w:bCs/>
        </w:rPr>
        <w:t xml:space="preserve">scaling up these initiatives </w:t>
      </w:r>
      <w:r w:rsidR="008E5384">
        <w:rPr>
          <w:b/>
          <w:bCs/>
        </w:rPr>
        <w:t>remains</w:t>
      </w:r>
      <w:r w:rsidR="009108CF" w:rsidRPr="00813BFD">
        <w:rPr>
          <w:b/>
          <w:bCs/>
        </w:rPr>
        <w:t xml:space="preserve"> a daunting challenge, and UNDP </w:t>
      </w:r>
      <w:r w:rsidR="00FC72A4">
        <w:rPr>
          <w:b/>
          <w:bCs/>
        </w:rPr>
        <w:t xml:space="preserve">has not yet made sufficient progress and </w:t>
      </w:r>
      <w:r w:rsidR="009108CF" w:rsidRPr="00813BFD">
        <w:rPr>
          <w:b/>
          <w:bCs/>
        </w:rPr>
        <w:t xml:space="preserve">needs to </w:t>
      </w:r>
      <w:r w:rsidR="00B531A1" w:rsidRPr="00813BFD">
        <w:rPr>
          <w:b/>
          <w:bCs/>
        </w:rPr>
        <w:t>reflect</w:t>
      </w:r>
      <w:r w:rsidR="009108CF" w:rsidRPr="00813BFD">
        <w:rPr>
          <w:b/>
          <w:bCs/>
        </w:rPr>
        <w:t xml:space="preserve"> </w:t>
      </w:r>
      <w:r w:rsidR="008E5384">
        <w:rPr>
          <w:b/>
          <w:bCs/>
        </w:rPr>
        <w:t xml:space="preserve">further </w:t>
      </w:r>
      <w:r w:rsidR="00B531A1" w:rsidRPr="00813BFD">
        <w:rPr>
          <w:b/>
          <w:bCs/>
        </w:rPr>
        <w:t>on how to creatively accomplish this</w:t>
      </w:r>
      <w:r w:rsidR="00B531A1">
        <w:rPr>
          <w:b/>
          <w:bCs/>
          <w:i/>
          <w:iCs/>
        </w:rPr>
        <w:t>.</w:t>
      </w:r>
      <w:r w:rsidRPr="00B332FA">
        <w:rPr>
          <w:b/>
          <w:bCs/>
          <w:i/>
          <w:iCs/>
        </w:rPr>
        <w:t xml:space="preserve"> </w:t>
      </w:r>
    </w:p>
    <w:p w14:paraId="6BB320BB" w14:textId="77777777" w:rsidR="00146905" w:rsidRDefault="00B332FA" w:rsidP="00E30817">
      <w:pPr>
        <w:spacing w:line="240" w:lineRule="auto"/>
        <w:jc w:val="both"/>
      </w:pPr>
      <w:r>
        <w:t>T</w:t>
      </w:r>
      <w:r w:rsidR="00FB5A1D">
        <w:t>he scale of the employment challenge faced by Angola dwarfs by far the pilot initiatives</w:t>
      </w:r>
      <w:r>
        <w:t xml:space="preserve"> being spearheaded by UNDP and partners</w:t>
      </w:r>
      <w:r w:rsidR="00FB5A1D">
        <w:t xml:space="preserve">. </w:t>
      </w:r>
      <w:r w:rsidR="00813BFD">
        <w:t>Going forward, a</w:t>
      </w:r>
      <w:r w:rsidR="00FB5A1D">
        <w:t xml:space="preserve"> key task therefore of </w:t>
      </w:r>
      <w:r w:rsidR="00FC72A4">
        <w:t xml:space="preserve">government, </w:t>
      </w:r>
      <w:r w:rsidR="00FB5A1D">
        <w:t xml:space="preserve">UNDP and partners will be to devise </w:t>
      </w:r>
      <w:r w:rsidR="008F755B">
        <w:t xml:space="preserve">effective </w:t>
      </w:r>
      <w:r w:rsidR="00FB5A1D">
        <w:t xml:space="preserve">scaling </w:t>
      </w:r>
      <w:r w:rsidR="00137577">
        <w:t xml:space="preserve">up </w:t>
      </w:r>
      <w:r w:rsidR="00FB5A1D">
        <w:t xml:space="preserve">strategies that </w:t>
      </w:r>
      <w:r w:rsidR="00E15AF6">
        <w:t>can</w:t>
      </w:r>
      <w:r w:rsidR="00955824">
        <w:t xml:space="preserve"> make substantial impact</w:t>
      </w:r>
      <w:r w:rsidR="00E51EC8">
        <w:t xml:space="preserve"> on the employment situation in Angola on a </w:t>
      </w:r>
      <w:r w:rsidR="00FB5A1D">
        <w:t>sustainable and cost-effective</w:t>
      </w:r>
      <w:r w:rsidR="00E51EC8">
        <w:t xml:space="preserve"> basis</w:t>
      </w:r>
      <w:r w:rsidR="00FB5A1D">
        <w:t xml:space="preserve">. </w:t>
      </w:r>
    </w:p>
    <w:p w14:paraId="24923EAB" w14:textId="227EFB23" w:rsidR="00FB5A1D" w:rsidRDefault="00146905" w:rsidP="00E30817">
      <w:pPr>
        <w:spacing w:line="240" w:lineRule="auto"/>
        <w:jc w:val="both"/>
      </w:pPr>
      <w:r>
        <w:t>UNDP is contributing US$ 5 million with government (US$ 500,000/per annum) and other partners (EU US$ 5.5 million</w:t>
      </w:r>
      <w:r w:rsidR="008E5384">
        <w:t>; Norway US$ 500,000; Turkey US$ 100,000</w:t>
      </w:r>
      <w:r>
        <w:t xml:space="preserve">) similarly making contributions. </w:t>
      </w:r>
      <w:r w:rsidR="00B531A1">
        <w:t>There are opportunities to do this as t</w:t>
      </w:r>
      <w:r w:rsidR="009108CF">
        <w:t xml:space="preserve">he Turkish-UNDP project is linked to the </w:t>
      </w:r>
      <w:r w:rsidR="003913C4">
        <w:t>P</w:t>
      </w:r>
      <w:r w:rsidR="009108CF">
        <w:t xml:space="preserve">residential initiative to expand apprenticeships, entrepreneurship and vocational training, close the skills gap and reduce regulatory burdens on workforce development programmes. The initiative with </w:t>
      </w:r>
      <w:r w:rsidR="00B531A1">
        <w:t xml:space="preserve">a </w:t>
      </w:r>
      <w:r w:rsidR="009108CF">
        <w:t>total</w:t>
      </w:r>
      <w:r w:rsidR="00B531A1">
        <w:t xml:space="preserve"> of</w:t>
      </w:r>
      <w:r w:rsidR="009108CF">
        <w:t xml:space="preserve"> USD120 million,</w:t>
      </w:r>
      <w:r w:rsidR="00B531A1">
        <w:t xml:space="preserve"> is</w:t>
      </w:r>
      <w:r w:rsidR="009108CF">
        <w:t xml:space="preserve"> financed fully from the national state budget, and 41,000 young Angolans will benefit for next two years</w:t>
      </w:r>
      <w:r w:rsidR="00B531A1">
        <w:t>.</w:t>
      </w:r>
      <w:r w:rsidR="009108CF">
        <w:t xml:space="preserve"> </w:t>
      </w:r>
      <w:r w:rsidR="00B531A1">
        <w:t>H</w:t>
      </w:r>
      <w:r w:rsidR="009108CF">
        <w:t xml:space="preserve">owever, </w:t>
      </w:r>
      <w:r w:rsidR="00FB5A1D">
        <w:t xml:space="preserve">the tight fiscal space faced by Government and the country’s graduation to MIC status and the </w:t>
      </w:r>
      <w:r w:rsidR="00137577">
        <w:t xml:space="preserve">implication of this on </w:t>
      </w:r>
      <w:r w:rsidR="003913C4">
        <w:t xml:space="preserve">the availability of </w:t>
      </w:r>
      <w:r w:rsidR="00FB5A1D">
        <w:t xml:space="preserve">ODA </w:t>
      </w:r>
      <w:r w:rsidR="00D7307E">
        <w:t>funding,</w:t>
      </w:r>
      <w:r w:rsidR="00137577">
        <w:t xml:space="preserve"> </w:t>
      </w:r>
      <w:r w:rsidR="009108CF">
        <w:t>makes the scaling up a daunting challenge</w:t>
      </w:r>
      <w:r w:rsidR="00FB5A1D">
        <w:t xml:space="preserve">. But the payoffs from a successful effort will have huge impacts on Angola’s development trajectory. </w:t>
      </w:r>
      <w:r w:rsidR="00B531A1">
        <w:t xml:space="preserve">There is a need </w:t>
      </w:r>
      <w:r w:rsidR="00E15AF6">
        <w:t>for</w:t>
      </w:r>
      <w:r w:rsidR="00B531A1">
        <w:t xml:space="preserve"> </w:t>
      </w:r>
      <w:r w:rsidR="00E15AF6">
        <w:t>reflection</w:t>
      </w:r>
      <w:r w:rsidR="00B531A1">
        <w:t xml:space="preserve"> on strategies of scaling up to make th</w:t>
      </w:r>
      <w:r w:rsidR="00E15AF6">
        <w:t>ese</w:t>
      </w:r>
      <w:r w:rsidR="00B531A1">
        <w:t xml:space="preserve"> initiative</w:t>
      </w:r>
      <w:r w:rsidR="00E15AF6">
        <w:t>s</w:t>
      </w:r>
      <w:r w:rsidR="00B531A1">
        <w:t xml:space="preserve"> i</w:t>
      </w:r>
      <w:r w:rsidR="00AB58EC">
        <w:t>m</w:t>
      </w:r>
      <w:r w:rsidR="00B531A1">
        <w:t>pa</w:t>
      </w:r>
      <w:r w:rsidR="00AB58EC">
        <w:t>c</w:t>
      </w:r>
      <w:r w:rsidR="00B531A1">
        <w:t>tful and sustainable.</w:t>
      </w:r>
    </w:p>
    <w:p w14:paraId="48A8A1DF" w14:textId="77777777" w:rsidR="0036587D" w:rsidRPr="00D13FF4" w:rsidRDefault="0036587D" w:rsidP="0036587D">
      <w:pPr>
        <w:jc w:val="both"/>
        <w:rPr>
          <w:b/>
          <w:bCs/>
          <w:i/>
          <w:iCs/>
        </w:rPr>
      </w:pPr>
      <w:r w:rsidRPr="00813BFD">
        <w:rPr>
          <w:b/>
          <w:bCs/>
        </w:rPr>
        <w:t>Finding 5: In its lead role as Principal Recipient of the Global Fund in Angola, UNDP has successfully mobilized and manages substantial resources to strengthen capacities at national and local levels to deliver HIV and related services, including for people living with HIV, adolescent girls and young women, and key populations</w:t>
      </w:r>
      <w:r w:rsidRPr="00145430">
        <w:rPr>
          <w:b/>
          <w:bCs/>
          <w:i/>
          <w:iCs/>
        </w:rPr>
        <w:t>.</w:t>
      </w:r>
    </w:p>
    <w:p w14:paraId="4E734A80" w14:textId="1E475A6B" w:rsidR="00770CA5" w:rsidRDefault="00770CA5" w:rsidP="00145430">
      <w:pPr>
        <w:jc w:val="both"/>
      </w:pPr>
      <w:r>
        <w:t xml:space="preserve">UNDP has a long history of engagement with the Global Fund in Angola whose activities were initiated soon after the war ended in 2002.The first phase was from 2005-2010 and UNDP was designated as </w:t>
      </w:r>
      <w:r w:rsidR="00A43BEB">
        <w:t xml:space="preserve">a </w:t>
      </w:r>
      <w:r>
        <w:t xml:space="preserve">Principal Recipient (PR). </w:t>
      </w:r>
      <w:r w:rsidR="002154ED">
        <w:t xml:space="preserve">In 2010, responsibility for TB/Malaria was transferred to </w:t>
      </w:r>
      <w:r w:rsidR="0036587D">
        <w:t xml:space="preserve">the </w:t>
      </w:r>
      <w:r w:rsidR="002154ED">
        <w:t xml:space="preserve">Ministry of Health and UNDP </w:t>
      </w:r>
      <w:r w:rsidR="0036587D">
        <w:t>continued</w:t>
      </w:r>
      <w:r w:rsidR="002154ED">
        <w:t xml:space="preserve"> to manage </w:t>
      </w:r>
      <w:r w:rsidR="0036587D">
        <w:t xml:space="preserve">the </w:t>
      </w:r>
      <w:r w:rsidR="002154ED">
        <w:t>HIV/AIDS</w:t>
      </w:r>
      <w:r w:rsidR="0036587D">
        <w:t xml:space="preserve"> component of the grant</w:t>
      </w:r>
      <w:r w:rsidR="002154ED">
        <w:t xml:space="preserve">. The GF portfolio in Angola was re-organised in 2016, </w:t>
      </w:r>
      <w:r w:rsidR="0036587D">
        <w:t>because of</w:t>
      </w:r>
      <w:r w:rsidR="002154ED">
        <w:t xml:space="preserve"> the serious problems that arose </w:t>
      </w:r>
      <w:r w:rsidR="0036587D">
        <w:t>during</w:t>
      </w:r>
      <w:r w:rsidR="002154ED">
        <w:t xml:space="preserve"> the period 2010-2015. Under the new arrangement three PRs were designated: HIV (UNDP); </w:t>
      </w:r>
      <w:r w:rsidR="004C0FB3">
        <w:t xml:space="preserve">Malaria/TB (MoH); and Malaria Community (World Vision). </w:t>
      </w:r>
      <w:r w:rsidR="00A43BEB">
        <w:t>Subsequently, a</w:t>
      </w:r>
      <w:r w:rsidR="004C0FB3">
        <w:t xml:space="preserve"> Global Fund audit in 2019 concluded that Angola had made very limited impact on the three diseases and a decision was taken to change the business model</w:t>
      </w:r>
      <w:r w:rsidR="0036587D">
        <w:t xml:space="preserve"> </w:t>
      </w:r>
      <w:r w:rsidR="00E15AF6">
        <w:t xml:space="preserve">and </w:t>
      </w:r>
      <w:r w:rsidR="0036587D">
        <w:t>a</w:t>
      </w:r>
      <w:r w:rsidR="004C0FB3">
        <w:t xml:space="preserve"> sub-national </w:t>
      </w:r>
      <w:r w:rsidR="00E15AF6">
        <w:t>approach, concentrating</w:t>
      </w:r>
      <w:r w:rsidR="004C0FB3">
        <w:t xml:space="preserve"> on two provinces (Benguela and Cu</w:t>
      </w:r>
      <w:r w:rsidR="00014647">
        <w:t>a</w:t>
      </w:r>
      <w:r w:rsidR="004C0FB3">
        <w:t>nza Sul)</w:t>
      </w:r>
      <w:r w:rsidR="00E15AF6">
        <w:t xml:space="preserve"> was adopted</w:t>
      </w:r>
      <w:r w:rsidR="0036587D">
        <w:t xml:space="preserve">. </w:t>
      </w:r>
      <w:r w:rsidR="004C0FB3">
        <w:t xml:space="preserve">UNDP </w:t>
      </w:r>
      <w:r w:rsidR="0036587D">
        <w:t xml:space="preserve">was designated </w:t>
      </w:r>
      <w:r w:rsidR="004C0FB3">
        <w:t xml:space="preserve">as </w:t>
      </w:r>
      <w:r w:rsidR="00E15AF6">
        <w:t xml:space="preserve">the </w:t>
      </w:r>
      <w:r w:rsidR="004C0FB3">
        <w:t>sole PR</w:t>
      </w:r>
      <w:r w:rsidR="00014647">
        <w:t xml:space="preserve"> (NFM3) based on its track record in managing the previous grants</w:t>
      </w:r>
      <w:r w:rsidR="00A43BEB">
        <w:t>.</w:t>
      </w:r>
      <w:r w:rsidR="0036587D">
        <w:t xml:space="preserve"> </w:t>
      </w:r>
      <w:r w:rsidR="00A43BEB">
        <w:t>B</w:t>
      </w:r>
      <w:r w:rsidR="004C0FB3">
        <w:t>etween No</w:t>
      </w:r>
      <w:r w:rsidR="00014647">
        <w:t>v</w:t>
      </w:r>
      <w:r w:rsidR="004C0FB3">
        <w:t>e</w:t>
      </w:r>
      <w:r w:rsidR="00014647">
        <w:t>m</w:t>
      </w:r>
      <w:r w:rsidR="004C0FB3">
        <w:t>ber 2020 to July 2021, GF assets, do</w:t>
      </w:r>
      <w:r w:rsidR="00014647">
        <w:t>c</w:t>
      </w:r>
      <w:r w:rsidR="004C0FB3">
        <w:t>u</w:t>
      </w:r>
      <w:r w:rsidR="00014647">
        <w:t>m</w:t>
      </w:r>
      <w:r w:rsidR="004C0FB3">
        <w:t>ents and the Progra</w:t>
      </w:r>
      <w:r w:rsidR="00014647">
        <w:t>mm</w:t>
      </w:r>
      <w:r w:rsidR="004C0FB3">
        <w:t xml:space="preserve">e </w:t>
      </w:r>
      <w:r w:rsidR="00014647">
        <w:t>M</w:t>
      </w:r>
      <w:r w:rsidR="004C0FB3">
        <w:t>anage</w:t>
      </w:r>
      <w:r w:rsidR="00014647">
        <w:t>m</w:t>
      </w:r>
      <w:r w:rsidR="004C0FB3">
        <w:t>ent Unit (P</w:t>
      </w:r>
      <w:r w:rsidR="00014647">
        <w:t>M</w:t>
      </w:r>
      <w:r w:rsidR="004C0FB3">
        <w:t>U) were transferred fro</w:t>
      </w:r>
      <w:r w:rsidR="00014647">
        <w:t>m</w:t>
      </w:r>
      <w:r w:rsidR="004C0FB3">
        <w:t xml:space="preserve"> </w:t>
      </w:r>
      <w:r w:rsidR="00014647">
        <w:t>M</w:t>
      </w:r>
      <w:r w:rsidR="004C0FB3">
        <w:t>oH to UNDP</w:t>
      </w:r>
      <w:r w:rsidR="00014647">
        <w:t>.</w:t>
      </w:r>
      <w:r w:rsidR="004C0FB3">
        <w:t xml:space="preserve">      </w:t>
      </w:r>
    </w:p>
    <w:p w14:paraId="6DD17E12" w14:textId="28F74773" w:rsidR="00106DB3" w:rsidRDefault="00014647" w:rsidP="00145430">
      <w:pPr>
        <w:jc w:val="both"/>
      </w:pPr>
      <w:r>
        <w:t xml:space="preserve">Since inception, Global Fund has funded three grants for Angola – NFM1, NFM2 and NFM3. </w:t>
      </w:r>
      <w:r w:rsidR="00CB6C8D">
        <w:t>During the period under review, UNDP implemented</w:t>
      </w:r>
      <w:r>
        <w:t>: (i)</w:t>
      </w:r>
      <w:r w:rsidR="00CB6C8D">
        <w:t xml:space="preserve"> the Z-grant of the Global Fund</w:t>
      </w:r>
      <w:r>
        <w:t xml:space="preserve"> which was a consolidation of NFM2 following changes with the PR status for the period 2020-2021; (ii) NFM3 for the period 2021-</w:t>
      </w:r>
      <w:r w:rsidR="00B62DA6">
        <w:t>2024;</w:t>
      </w:r>
      <w:r>
        <w:t xml:space="preserve"> and (iii) Covid-19 support. </w:t>
      </w:r>
      <w:r w:rsidR="00B62DA6">
        <w:t xml:space="preserve">In total, UNDP is managing US$103 million </w:t>
      </w:r>
      <w:r w:rsidR="00E15AF6">
        <w:t xml:space="preserve">of </w:t>
      </w:r>
      <w:r w:rsidR="00B62DA6">
        <w:t xml:space="preserve">Global Fund resources – US$ 84 million for NFM3 (US$ 34 </w:t>
      </w:r>
      <w:r w:rsidR="00E15AF6">
        <w:t xml:space="preserve">million </w:t>
      </w:r>
      <w:r w:rsidR="00B62DA6">
        <w:t xml:space="preserve">for HIV; US$ 31 </w:t>
      </w:r>
      <w:r w:rsidR="00E15AF6">
        <w:t xml:space="preserve">million </w:t>
      </w:r>
      <w:r w:rsidR="00B62DA6">
        <w:t>for malaria; and US$ 15 million for TB) and US$ 20 million for Covid-19 response</w:t>
      </w:r>
      <w:r w:rsidR="00D13FF4">
        <w:t>.</w:t>
      </w:r>
      <w:r w:rsidR="00A43BEB">
        <w:t xml:space="preserve"> </w:t>
      </w:r>
      <w:r w:rsidR="00106DB3">
        <w:t xml:space="preserve">UNDP also </w:t>
      </w:r>
      <w:r w:rsidR="00927A6D">
        <w:t>allocates</w:t>
      </w:r>
      <w:r w:rsidR="00106DB3">
        <w:t xml:space="preserve"> US$70-150,000 annually </w:t>
      </w:r>
      <w:r w:rsidR="00927A6D">
        <w:t>from</w:t>
      </w:r>
      <w:r w:rsidR="00106DB3">
        <w:t xml:space="preserve"> TRAC </w:t>
      </w:r>
      <w:r w:rsidR="00927A6D">
        <w:t>resources</w:t>
      </w:r>
      <w:r w:rsidR="00106DB3">
        <w:t xml:space="preserve"> and this is used </w:t>
      </w:r>
      <w:r w:rsidR="00927A6D">
        <w:t xml:space="preserve">in </w:t>
      </w:r>
      <w:r w:rsidR="00106DB3">
        <w:t>strategic</w:t>
      </w:r>
      <w:r w:rsidR="00927A6D">
        <w:t xml:space="preserve"> ways such as developing the National PMTCT </w:t>
      </w:r>
      <w:r w:rsidR="0005104F">
        <w:t xml:space="preserve">Elimination </w:t>
      </w:r>
      <w:r w:rsidR="00927A6D">
        <w:t xml:space="preserve">Plan and funding </w:t>
      </w:r>
      <w:r w:rsidR="00927A6D">
        <w:lastRenderedPageBreak/>
        <w:t>formulation of the Strategic Plan of ANASO</w:t>
      </w:r>
      <w:r w:rsidR="0056374F">
        <w:rPr>
          <w:rStyle w:val="FootnoteReference"/>
        </w:rPr>
        <w:footnoteReference w:id="34"/>
      </w:r>
      <w:r w:rsidR="00927A6D">
        <w:t xml:space="preserve">. Additional funds are also received from UBRAF </w:t>
      </w:r>
      <w:r w:rsidR="0005104F">
        <w:t xml:space="preserve">which were </w:t>
      </w:r>
      <w:r w:rsidR="00927A6D">
        <w:t>used for Treatment Adherence Support.</w:t>
      </w:r>
    </w:p>
    <w:p w14:paraId="1EFF608E" w14:textId="3B66E7FA" w:rsidR="00813BFD" w:rsidRPr="006146A2" w:rsidRDefault="006146A2" w:rsidP="00790AD5">
      <w:pPr>
        <w:pStyle w:val="ListParagraph"/>
        <w:numPr>
          <w:ilvl w:val="0"/>
          <w:numId w:val="55"/>
        </w:numPr>
        <w:jc w:val="both"/>
        <w:rPr>
          <w:i/>
          <w:iCs/>
        </w:rPr>
      </w:pPr>
      <w:r w:rsidRPr="006146A2">
        <w:rPr>
          <w:i/>
          <w:iCs/>
        </w:rPr>
        <w:t>Output 1.4. Capacities at national and local levels strengthened to deliver HIV and related services, including for people living with HIV, adolescent girls and young women, and key populations.</w:t>
      </w:r>
    </w:p>
    <w:p w14:paraId="7854FF46" w14:textId="77777777" w:rsidR="008A3321" w:rsidRDefault="001425BE" w:rsidP="001C5D47">
      <w:pPr>
        <w:jc w:val="both"/>
      </w:pPr>
      <w:r>
        <w:t xml:space="preserve">At the time of the evaluation, </w:t>
      </w:r>
      <w:r w:rsidR="0005104F">
        <w:t xml:space="preserve">the </w:t>
      </w:r>
      <w:r>
        <w:t xml:space="preserve">UNDP Global Fund Unit was engaged in the tedious and challenging task of closing off activities related to the Z-grant and putting in place arrangements for the implementation of the NFM3 grant. </w:t>
      </w:r>
    </w:p>
    <w:p w14:paraId="431349EF" w14:textId="3FECBE80" w:rsidR="007D0AD3" w:rsidRDefault="001425BE" w:rsidP="001C5D47">
      <w:pPr>
        <w:jc w:val="both"/>
      </w:pPr>
      <w:r>
        <w:t xml:space="preserve">With respect to the Z-grant, </w:t>
      </w:r>
      <w:r w:rsidR="001C5D47">
        <w:t xml:space="preserve">positive results were </w:t>
      </w:r>
      <w:r>
        <w:t>achieve</w:t>
      </w:r>
      <w:r w:rsidR="001C5D47">
        <w:t xml:space="preserve">d in </w:t>
      </w:r>
      <w:r w:rsidR="000C54C8">
        <w:t>c</w:t>
      </w:r>
      <w:r w:rsidRPr="00A43BEB">
        <w:t>onsolidati</w:t>
      </w:r>
      <w:r w:rsidR="000C54C8">
        <w:t>ng</w:t>
      </w:r>
      <w:r w:rsidRPr="00A43BEB">
        <w:t xml:space="preserve"> UNDP as a trusted partner for the Global Fund in Angola</w:t>
      </w:r>
      <w:r w:rsidR="001C5D47" w:rsidRPr="00A43BEB">
        <w:t xml:space="preserve"> in terms of both delivering on targets and competent management of the resources entrusted</w:t>
      </w:r>
      <w:r w:rsidR="000C54C8">
        <w:t>, b</w:t>
      </w:r>
      <w:r w:rsidR="00A43BEB">
        <w:t xml:space="preserve">uilding of </w:t>
      </w:r>
      <w:r w:rsidR="0005104F">
        <w:t>n</w:t>
      </w:r>
      <w:r w:rsidR="00A43BEB">
        <w:t>ational capacities</w:t>
      </w:r>
      <w:r w:rsidR="000C54C8">
        <w:t xml:space="preserve"> </w:t>
      </w:r>
      <w:r w:rsidR="0005104F">
        <w:t xml:space="preserve">and </w:t>
      </w:r>
      <w:r w:rsidR="000C54C8">
        <w:t>p</w:t>
      </w:r>
      <w:r w:rsidR="00BC15FF">
        <w:t>utting in place effective partnerships to address the scourge of the three diseases.</w:t>
      </w:r>
      <w:r w:rsidR="00A43BEB">
        <w:t xml:space="preserve"> </w:t>
      </w:r>
      <w:r w:rsidR="001C5D47" w:rsidRPr="00A43BEB">
        <w:t xml:space="preserve"> </w:t>
      </w:r>
      <w:r w:rsidR="000C54C8">
        <w:t xml:space="preserve">In the </w:t>
      </w:r>
      <w:r w:rsidR="007D0AD3">
        <w:t>context of the CPD, the following specific results were achieved:</w:t>
      </w:r>
    </w:p>
    <w:p w14:paraId="74964D22" w14:textId="40B90995" w:rsidR="007D0AD3" w:rsidRPr="00887F0E" w:rsidRDefault="007D0AD3" w:rsidP="00790AD5">
      <w:pPr>
        <w:pStyle w:val="ListParagraph"/>
        <w:numPr>
          <w:ilvl w:val="0"/>
          <w:numId w:val="60"/>
        </w:numPr>
        <w:jc w:val="both"/>
        <w:rPr>
          <w:rFonts w:ascii="Calibri" w:hAnsi="Calibri" w:cs="Calibri"/>
          <w:color w:val="000000"/>
        </w:rPr>
      </w:pPr>
      <w:r w:rsidRPr="00887F0E">
        <w:rPr>
          <w:rFonts w:ascii="Calibri" w:hAnsi="Calibri" w:cs="Calibri"/>
          <w:color w:val="000000"/>
        </w:rPr>
        <w:t xml:space="preserve">Number of people living with HIV currently receiving antiretroviral treatment, including adolescent girls and young women, and key populations. </w:t>
      </w:r>
    </w:p>
    <w:p w14:paraId="04693C66" w14:textId="6640F427" w:rsidR="007D0AD3" w:rsidRDefault="007D0AD3" w:rsidP="007D0AD3">
      <w:pPr>
        <w:spacing w:after="0" w:line="240" w:lineRule="auto"/>
        <w:jc w:val="both"/>
        <w:rPr>
          <w:rFonts w:ascii="Calibri" w:hAnsi="Calibri" w:cs="Calibri"/>
          <w:color w:val="000000"/>
        </w:rPr>
      </w:pPr>
      <w:r w:rsidRPr="007D0AD3">
        <w:rPr>
          <w:rFonts w:ascii="Calibri" w:hAnsi="Calibri" w:cs="Calibri"/>
          <w:bCs/>
          <w:color w:val="000000"/>
        </w:rPr>
        <w:t xml:space="preserve">The UNDP set out </w:t>
      </w:r>
      <w:r w:rsidR="008A3321">
        <w:rPr>
          <w:rFonts w:ascii="Calibri" w:hAnsi="Calibri" w:cs="Calibri"/>
          <w:bCs/>
          <w:color w:val="000000"/>
        </w:rPr>
        <w:t xml:space="preserve">in the CPD </w:t>
      </w:r>
      <w:r w:rsidRPr="007D0AD3">
        <w:rPr>
          <w:rFonts w:ascii="Calibri" w:hAnsi="Calibri" w:cs="Calibri"/>
          <w:bCs/>
          <w:color w:val="000000"/>
        </w:rPr>
        <w:t xml:space="preserve">to increase the number of PLHIV on treatment from 77.559 to 122,193. </w:t>
      </w:r>
      <w:r w:rsidRPr="007D0AD3">
        <w:rPr>
          <w:rFonts w:ascii="Calibri" w:hAnsi="Calibri" w:cs="Calibri"/>
          <w:color w:val="000000"/>
        </w:rPr>
        <w:t>The first half of 2021, despite the limitations imposed by the pandemic on the national response to HIV, reached encouraging results Compared to the first half of 2021, HIV testing increased by 13.72% (1,046,908 / 920,620). In the province of Benguela it increased by 23.96% (110.333 / 89.004). During the reporting period, 18,817 PLHIV started ART, with a higher incidence in females - 71.4% and (13426 /18,817). The gross cumulative number of 130.005 PLHIV on ART until June 2021, results from the definitive sum of patients in December 2020 (111,188), plus the total number of new patients (18,817) who started ART this semester in this report.</w:t>
      </w:r>
      <w:r>
        <w:rPr>
          <w:rFonts w:ascii="Calibri" w:hAnsi="Calibri" w:cs="Calibri"/>
          <w:color w:val="000000"/>
        </w:rPr>
        <w:t xml:space="preserve"> With gross cumulative PLHIV on treatment reaching 130,000, this target has been met and</w:t>
      </w:r>
      <w:r w:rsidR="00887F0E">
        <w:rPr>
          <w:rFonts w:ascii="Calibri" w:hAnsi="Calibri" w:cs="Calibri"/>
          <w:color w:val="000000"/>
        </w:rPr>
        <w:t xml:space="preserve"> </w:t>
      </w:r>
      <w:r>
        <w:rPr>
          <w:rFonts w:ascii="Calibri" w:hAnsi="Calibri" w:cs="Calibri"/>
          <w:color w:val="000000"/>
        </w:rPr>
        <w:t>fully</w:t>
      </w:r>
      <w:r w:rsidR="00887F0E">
        <w:rPr>
          <w:rFonts w:ascii="Calibri" w:hAnsi="Calibri" w:cs="Calibri"/>
          <w:color w:val="000000"/>
        </w:rPr>
        <w:t xml:space="preserve"> surpassed.</w:t>
      </w:r>
      <w:r>
        <w:rPr>
          <w:rFonts w:ascii="Calibri" w:hAnsi="Calibri" w:cs="Calibri"/>
          <w:color w:val="000000"/>
        </w:rPr>
        <w:t xml:space="preserve"> </w:t>
      </w:r>
    </w:p>
    <w:p w14:paraId="36CC3D28" w14:textId="77777777" w:rsidR="00887F0E" w:rsidRPr="007D0AD3" w:rsidRDefault="00887F0E" w:rsidP="007D0AD3">
      <w:pPr>
        <w:spacing w:after="0" w:line="240" w:lineRule="auto"/>
        <w:jc w:val="both"/>
        <w:rPr>
          <w:rFonts w:ascii="Calibri" w:hAnsi="Calibri" w:cs="Calibri"/>
          <w:color w:val="000000"/>
        </w:rPr>
      </w:pPr>
    </w:p>
    <w:p w14:paraId="424D3568" w14:textId="64BB6174" w:rsidR="00887F0E" w:rsidRPr="00487670" w:rsidRDefault="00887F0E" w:rsidP="00790AD5">
      <w:pPr>
        <w:pStyle w:val="ListParagraph"/>
        <w:numPr>
          <w:ilvl w:val="0"/>
          <w:numId w:val="60"/>
        </w:numPr>
        <w:spacing w:after="0" w:line="240" w:lineRule="auto"/>
        <w:jc w:val="both"/>
        <w:rPr>
          <w:rFonts w:ascii="Calibri" w:hAnsi="Calibri" w:cs="Calibri"/>
          <w:color w:val="000000"/>
        </w:rPr>
      </w:pPr>
      <w:r w:rsidRPr="00487670">
        <w:rPr>
          <w:rFonts w:ascii="Calibri" w:hAnsi="Calibri" w:cs="Calibri"/>
          <w:bCs/>
          <w:color w:val="000000"/>
          <w:sz w:val="24"/>
          <w:szCs w:val="24"/>
        </w:rPr>
        <w:t xml:space="preserve"> </w:t>
      </w:r>
      <w:r w:rsidRPr="00487670">
        <w:rPr>
          <w:rFonts w:ascii="Calibri" w:hAnsi="Calibri" w:cs="Calibri"/>
          <w:color w:val="000000"/>
        </w:rPr>
        <w:t xml:space="preserve">Number of HIV positive pregnant women who received antiretroviral treatment during pregnancy to reduce the risk of mother-to-child transmission of HIV. </w:t>
      </w:r>
    </w:p>
    <w:p w14:paraId="78F553D1" w14:textId="77777777" w:rsidR="00887F0E" w:rsidRPr="00887F0E" w:rsidRDefault="00887F0E" w:rsidP="00887F0E">
      <w:pPr>
        <w:spacing w:after="0" w:line="240" w:lineRule="auto"/>
        <w:ind w:left="360"/>
        <w:rPr>
          <w:rFonts w:ascii="Calibri" w:hAnsi="Calibri" w:cs="Calibri"/>
          <w:color w:val="000000"/>
          <w:sz w:val="20"/>
          <w:szCs w:val="20"/>
        </w:rPr>
      </w:pPr>
    </w:p>
    <w:p w14:paraId="2D3D5D3E" w14:textId="3B359EEA" w:rsidR="00487670" w:rsidRPr="00487670" w:rsidRDefault="00887F0E" w:rsidP="00487670">
      <w:pPr>
        <w:spacing w:after="0" w:line="240" w:lineRule="auto"/>
        <w:jc w:val="both"/>
        <w:rPr>
          <w:rFonts w:ascii="Calibri" w:hAnsi="Calibri" w:cs="Calibri"/>
          <w:color w:val="000000"/>
        </w:rPr>
      </w:pPr>
      <w:r w:rsidRPr="00487670">
        <w:rPr>
          <w:rFonts w:ascii="Calibri" w:hAnsi="Calibri" w:cs="Calibri"/>
          <w:color w:val="000000"/>
        </w:rPr>
        <w:t>The CPD planned to increase the number of women on ARV from</w:t>
      </w:r>
      <w:r w:rsidRPr="00487670">
        <w:rPr>
          <w:rFonts w:ascii="Calibri" w:hAnsi="Calibri" w:cs="Calibri"/>
          <w:b/>
          <w:color w:val="000000"/>
        </w:rPr>
        <w:t xml:space="preserve"> 7 008</w:t>
      </w:r>
      <w:r w:rsidRPr="00487670">
        <w:rPr>
          <w:rFonts w:ascii="Calibri" w:hAnsi="Calibri" w:cs="Calibri"/>
          <w:b/>
          <w:bCs/>
          <w:color w:val="000000"/>
        </w:rPr>
        <w:t xml:space="preserve"> to </w:t>
      </w:r>
      <w:r w:rsidRPr="00487670">
        <w:rPr>
          <w:rFonts w:ascii="Calibri" w:hAnsi="Calibri" w:cs="Calibri"/>
          <w:b/>
        </w:rPr>
        <w:t xml:space="preserve">15.537. </w:t>
      </w:r>
      <w:r w:rsidR="00487670" w:rsidRPr="00487670">
        <w:rPr>
          <w:rFonts w:ascii="Calibri" w:hAnsi="Calibri" w:cs="Calibri"/>
          <w:color w:val="000000"/>
        </w:rPr>
        <w:t xml:space="preserve">Definitive data from </w:t>
      </w:r>
      <w:r w:rsidR="008A3321" w:rsidRPr="00487670">
        <w:rPr>
          <w:rFonts w:ascii="Calibri" w:hAnsi="Calibri" w:cs="Calibri"/>
          <w:color w:val="000000"/>
        </w:rPr>
        <w:t>Spectrum</w:t>
      </w:r>
      <w:r w:rsidR="00487670" w:rsidRPr="00487670">
        <w:rPr>
          <w:rFonts w:ascii="Calibri" w:hAnsi="Calibri" w:cs="Calibri"/>
          <w:color w:val="000000"/>
        </w:rPr>
        <w:t xml:space="preserve"> 2020 estimated a vertical transmission rate of 19% (5,196/27,951) for Angola. Improving programmatic indicators for mother-to-child transmission stems from the national priority of ensuring an HIV/AIDS-free generation. In the reporting period, 40% (425,249/1.046,908) of pregnant women were tested, resulting in a positivity rate of 1.3% (5,545/425,249). The number of HIV+ pregnant women who received ART was 9,396 and 45% of these (4,226/9396) were HIV+ pregnant women who were already using ART before the current pregnancy. This result indicates that the country is in good track to achieve the set target.</w:t>
      </w:r>
    </w:p>
    <w:p w14:paraId="262EE2A7" w14:textId="77777777" w:rsidR="00487670" w:rsidRDefault="00487670" w:rsidP="00487670">
      <w:pPr>
        <w:spacing w:after="0" w:line="240" w:lineRule="auto"/>
        <w:rPr>
          <w:rFonts w:ascii="Calibri" w:hAnsi="Calibri" w:cs="Calibri"/>
          <w:color w:val="000000"/>
          <w:sz w:val="20"/>
          <w:szCs w:val="20"/>
        </w:rPr>
      </w:pPr>
    </w:p>
    <w:p w14:paraId="5D08CACE" w14:textId="1EDB00FF" w:rsidR="00631C9A" w:rsidRPr="00562956" w:rsidRDefault="00631C9A" w:rsidP="00790AD5">
      <w:pPr>
        <w:pStyle w:val="ListParagraph"/>
        <w:numPr>
          <w:ilvl w:val="0"/>
          <w:numId w:val="60"/>
        </w:numPr>
        <w:spacing w:after="0" w:line="240" w:lineRule="auto"/>
        <w:jc w:val="both"/>
        <w:rPr>
          <w:rFonts w:ascii="Calibri" w:hAnsi="Calibri" w:cs="Calibri"/>
          <w:b/>
          <w:bCs/>
          <w:color w:val="000000"/>
        </w:rPr>
      </w:pPr>
      <w:r w:rsidRPr="00562956">
        <w:rPr>
          <w:rFonts w:ascii="Calibri" w:hAnsi="Calibri" w:cs="Calibri"/>
          <w:color w:val="000000"/>
        </w:rPr>
        <w:t xml:space="preserve">Number of: (a) adolescent girls and young women; and (b) female sex workers reached with HIV prevention services. </w:t>
      </w:r>
    </w:p>
    <w:p w14:paraId="13127A43" w14:textId="77777777" w:rsidR="00631C9A" w:rsidRDefault="00631C9A" w:rsidP="00631C9A">
      <w:pPr>
        <w:spacing w:after="0" w:line="240" w:lineRule="auto"/>
        <w:jc w:val="both"/>
        <w:rPr>
          <w:rFonts w:ascii="Calibri" w:hAnsi="Calibri" w:cs="Calibri"/>
          <w:b/>
          <w:sz w:val="20"/>
          <w:szCs w:val="20"/>
        </w:rPr>
      </w:pPr>
    </w:p>
    <w:p w14:paraId="6CEE126C" w14:textId="0A1C9119" w:rsidR="00631C9A" w:rsidRDefault="00631C9A" w:rsidP="00631C9A">
      <w:pPr>
        <w:spacing w:after="0" w:line="240" w:lineRule="auto"/>
        <w:jc w:val="both"/>
        <w:rPr>
          <w:rFonts w:ascii="Calibri" w:hAnsi="Calibri" w:cs="Calibri"/>
          <w:color w:val="000000"/>
        </w:rPr>
      </w:pPr>
      <w:r w:rsidRPr="00631C9A">
        <w:rPr>
          <w:rFonts w:ascii="Calibri" w:hAnsi="Calibri" w:cs="Calibri"/>
          <w:bCs/>
        </w:rPr>
        <w:t xml:space="preserve">UNDP planned to increase HIV prevention services from </w:t>
      </w:r>
      <w:r w:rsidRPr="00631C9A">
        <w:rPr>
          <w:rFonts w:ascii="Calibri" w:hAnsi="Calibri" w:cs="Calibri"/>
        </w:rPr>
        <w:t xml:space="preserve">27,859 to 90,000 and from 2,499 to 16,584, respectively for AGYW and FSWs. </w:t>
      </w:r>
      <w:r w:rsidRPr="00631C9A">
        <w:rPr>
          <w:rFonts w:ascii="Calibri" w:hAnsi="Calibri" w:cs="Calibri"/>
          <w:color w:val="000000"/>
        </w:rPr>
        <w:t xml:space="preserve">(a) Adolescent girls and young women - 81.550 adolescent girls and young women were reached with a defined package since January 2020. Two SR's (ADPP and APDES) </w:t>
      </w:r>
      <w:r w:rsidRPr="00631C9A">
        <w:rPr>
          <w:rFonts w:ascii="Calibri" w:hAnsi="Calibri" w:cs="Calibri"/>
          <w:color w:val="000000"/>
        </w:rPr>
        <w:lastRenderedPageBreak/>
        <w:t>contributed to the performance of this indicator. The largest contributor to this component was ADPP, providing a defined package of HIV prevention services in five provinces (Huíla, Luanda, Benguela, Cunene and Cuando Cubango). This coverage is the result of actions taken at the “Bancadas Femininas” inside and outside the school, which consisted of offering adolescents and girls, on an ongoing basis, information on HIV prevention, comprehensive sexual education and empowerment. (b) female sex workers - a total of 14625 FSW were reached with a prevention package during the reporting period. In the first half of 2021, the SRs in the provinces of Bié (APDES), Cuanza Sul and Benguela (ADPP/OIC and ASCAM) made significant progress in providing the prevention service package to female sex workers. In addition, 78.6% (6,858/8,725) of the FSWs were tested for HIV resulting in a positivity rate of 4.4% (302/6,858). The highest number of positive tests were obtained in the provinces of Luanda, Benguela and Cuanza Sul. A total of 13,738 condoms and lubricants were distributed.</w:t>
      </w:r>
      <w:r w:rsidR="00052801">
        <w:rPr>
          <w:rFonts w:ascii="Calibri" w:hAnsi="Calibri" w:cs="Calibri"/>
          <w:color w:val="000000"/>
        </w:rPr>
        <w:t xml:space="preserve"> </w:t>
      </w:r>
    </w:p>
    <w:p w14:paraId="04F72329" w14:textId="180C7C6B" w:rsidR="00052801" w:rsidRDefault="00052801" w:rsidP="00631C9A">
      <w:pPr>
        <w:spacing w:after="0" w:line="240" w:lineRule="auto"/>
        <w:jc w:val="both"/>
        <w:rPr>
          <w:rFonts w:ascii="Calibri" w:hAnsi="Calibri" w:cs="Calibri"/>
          <w:color w:val="000000"/>
        </w:rPr>
      </w:pPr>
    </w:p>
    <w:p w14:paraId="4103DFEA" w14:textId="77777777" w:rsidR="00562956" w:rsidRPr="00562956" w:rsidRDefault="00052801" w:rsidP="00562956">
      <w:pPr>
        <w:spacing w:after="0" w:line="240" w:lineRule="auto"/>
        <w:jc w:val="both"/>
        <w:rPr>
          <w:rFonts w:ascii="Calibri" w:hAnsi="Calibri" w:cs="Calibri"/>
          <w:color w:val="000000"/>
          <w:sz w:val="20"/>
          <w:szCs w:val="20"/>
        </w:rPr>
      </w:pPr>
      <w:r>
        <w:rPr>
          <w:rFonts w:ascii="Calibri" w:hAnsi="Calibri" w:cs="Calibri"/>
          <w:color w:val="000000"/>
        </w:rPr>
        <w:t>As can been, UNDP is on track to meeting the targets or has actually surpassed all the targets with respect to the outputs and indicators of the CPD related to HIV and AIDs. Annex 7 highlights some of the contributory factors for this success.</w:t>
      </w:r>
      <w:r w:rsidR="00562956">
        <w:rPr>
          <w:rFonts w:ascii="Calibri" w:hAnsi="Calibri" w:cs="Calibri"/>
          <w:color w:val="000000"/>
        </w:rPr>
        <w:t xml:space="preserve"> </w:t>
      </w:r>
      <w:r w:rsidR="00562956">
        <w:t>The continued availability of funding at the level of UNDP and its implementers (Sub- Recipients) is the primary factor contributing to this positive performance. All SRs have received at least two disbursements, if not three, which has enabled them to execute their workplans in a timely manner. Other factors contributing to this positive performance is the continued commitment and experience of NGO implementers in community outreach approaches. In addition to that, UNDP and the National AIDS Programme's (INLS) efforts to ensure a continued supply of HIV tests and antiretroviral treatment also contributed to achieving the treatment targets.</w:t>
      </w:r>
    </w:p>
    <w:p w14:paraId="320DC1E7" w14:textId="4CB1DAF7" w:rsidR="00052801" w:rsidRPr="00631C9A" w:rsidRDefault="00052801" w:rsidP="00631C9A">
      <w:pPr>
        <w:spacing w:after="0" w:line="240" w:lineRule="auto"/>
        <w:jc w:val="both"/>
        <w:rPr>
          <w:rFonts w:ascii="Calibri" w:hAnsi="Calibri" w:cs="Calibri"/>
          <w:color w:val="000000"/>
        </w:rPr>
      </w:pPr>
    </w:p>
    <w:p w14:paraId="021B8D1C" w14:textId="1BD04042" w:rsidR="00631C9A" w:rsidRPr="00562956" w:rsidRDefault="00562956" w:rsidP="00631C9A">
      <w:pPr>
        <w:spacing w:after="0" w:line="240" w:lineRule="auto"/>
        <w:jc w:val="both"/>
        <w:rPr>
          <w:rFonts w:ascii="Calibri" w:hAnsi="Calibri" w:cs="Calibri"/>
          <w:color w:val="000000"/>
        </w:rPr>
      </w:pPr>
      <w:r w:rsidRPr="00562956">
        <w:rPr>
          <w:rFonts w:ascii="Calibri" w:hAnsi="Calibri" w:cs="Calibri"/>
          <w:color w:val="000000"/>
        </w:rPr>
        <w:t>Other achievements that can be cited include:</w:t>
      </w:r>
    </w:p>
    <w:p w14:paraId="01D43923" w14:textId="77777777" w:rsidR="00562956" w:rsidRDefault="00B92D99" w:rsidP="00790AD5">
      <w:pPr>
        <w:pStyle w:val="ListParagraph"/>
        <w:numPr>
          <w:ilvl w:val="0"/>
          <w:numId w:val="61"/>
        </w:numPr>
        <w:jc w:val="both"/>
      </w:pPr>
      <w:r>
        <w:t xml:space="preserve">The partnership between the Instituto Nacional de luta contra sida (INLS) and UNDP continued to be strengthened in 2020. By managing Government funds for the procurement of HIV products, UNDP helped create the conditions for the continuous delivery of quality assured products to the INLS-led National AIDS Programme. </w:t>
      </w:r>
      <w:r w:rsidR="0005104F">
        <w:t xml:space="preserve">This has also resulted in significant </w:t>
      </w:r>
      <w:r w:rsidR="00222EAD">
        <w:t>savings</w:t>
      </w:r>
      <w:r w:rsidR="0005104F">
        <w:t xml:space="preserve"> in foreign </w:t>
      </w:r>
      <w:r w:rsidR="00222EAD">
        <w:t>exchange</w:t>
      </w:r>
      <w:r w:rsidR="0005104F">
        <w:t xml:space="preserve"> for </w:t>
      </w:r>
      <w:r w:rsidR="00222EAD">
        <w:t>Government</w:t>
      </w:r>
      <w:r w:rsidR="0005104F">
        <w:t xml:space="preserve"> </w:t>
      </w:r>
      <w:r w:rsidR="00222EAD">
        <w:t xml:space="preserve">of Angola </w:t>
      </w:r>
      <w:r w:rsidR="0005104F">
        <w:t>as UNDP relied on</w:t>
      </w:r>
      <w:r w:rsidR="00222EAD">
        <w:t xml:space="preserve"> its international connections to purchase the ARV drugs at lower prices than private sector suppliers in Angola</w:t>
      </w:r>
      <w:r w:rsidR="00222EAD">
        <w:rPr>
          <w:rStyle w:val="FootnoteReference"/>
        </w:rPr>
        <w:footnoteReference w:id="35"/>
      </w:r>
      <w:r w:rsidR="00222EAD">
        <w:t xml:space="preserve">. </w:t>
      </w:r>
      <w:r w:rsidR="0005104F">
        <w:t xml:space="preserve"> </w:t>
      </w:r>
      <w:r>
        <w:t>Its success has since raised the Ministry of Health's interest to secure similar agreements with UNDP for non-HIV specific products (for malaria and Tuberculosis).</w:t>
      </w:r>
      <w:r w:rsidR="00A10D5B">
        <w:t xml:space="preserve"> UNDP assisted in b</w:t>
      </w:r>
      <w:r w:rsidR="00A10D5B" w:rsidRPr="00A10D5B">
        <w:t xml:space="preserve">uilding </w:t>
      </w:r>
      <w:r w:rsidR="00A10D5B">
        <w:t>the</w:t>
      </w:r>
      <w:r w:rsidR="00A10D5B" w:rsidRPr="00A10D5B">
        <w:t xml:space="preserve"> capacity</w:t>
      </w:r>
      <w:r w:rsidR="00A10D5B">
        <w:t xml:space="preserve"> of INLS </w:t>
      </w:r>
      <w:r w:rsidR="00B8132C">
        <w:t xml:space="preserve">(by placing a Capacity Development Adviser within INLS) </w:t>
      </w:r>
      <w:r w:rsidR="00A10D5B">
        <w:t xml:space="preserve">and other national </w:t>
      </w:r>
      <w:r w:rsidR="008621E7">
        <w:t>partners.</w:t>
      </w:r>
    </w:p>
    <w:p w14:paraId="62BD1AE9" w14:textId="0EB844CF" w:rsidR="00B92D99" w:rsidRDefault="00B92D99" w:rsidP="00790AD5">
      <w:pPr>
        <w:pStyle w:val="ListParagraph"/>
        <w:numPr>
          <w:ilvl w:val="0"/>
          <w:numId w:val="61"/>
        </w:numPr>
        <w:jc w:val="both"/>
      </w:pPr>
      <w:r>
        <w:t>During this period, civil society (key and vulnerable populations) training activities in tools and international mechanisms in human rights was carried out</w:t>
      </w:r>
      <w:r w:rsidR="00F40781">
        <w:t>.</w:t>
      </w:r>
      <w:r>
        <w:t xml:space="preserve"> </w:t>
      </w:r>
      <w:r w:rsidR="00F40781">
        <w:t>T</w:t>
      </w:r>
      <w:r>
        <w:t>he report of the evaluation of HIV legal environment was finalized, published and disseminated</w:t>
      </w:r>
      <w:r w:rsidR="00F40781">
        <w:t xml:space="preserve"> and a</w:t>
      </w:r>
      <w:r>
        <w:t xml:space="preserve"> technical group was created to revise the HIV law. </w:t>
      </w:r>
      <w:r w:rsidR="00F40781">
        <w:t>W</w:t>
      </w:r>
      <w:r>
        <w:t xml:space="preserve">hat has worked well is the combination of UNDP-led achievements and funding with UNAIDS access to strategic spaces and opportunities. Further opportunities for such combinations </w:t>
      </w:r>
      <w:r w:rsidR="00F40781">
        <w:t>are being</w:t>
      </w:r>
      <w:r>
        <w:t xml:space="preserve"> pursued in 2021.</w:t>
      </w:r>
    </w:p>
    <w:p w14:paraId="4E3475BE" w14:textId="52F05096" w:rsidR="00562956" w:rsidRDefault="00562956" w:rsidP="00790AD5">
      <w:pPr>
        <w:pStyle w:val="ListParagraph"/>
        <w:numPr>
          <w:ilvl w:val="0"/>
          <w:numId w:val="61"/>
        </w:numPr>
        <w:jc w:val="both"/>
      </w:pPr>
      <w:r w:rsidRPr="00155A4F">
        <w:t xml:space="preserve">Under the consolidated AGO-Z-UNDP Grant, the main change in relation to the HIV Programme </w:t>
      </w:r>
      <w:r>
        <w:t>was</w:t>
      </w:r>
      <w:r w:rsidRPr="00155A4F">
        <w:t xml:space="preserve"> the piloting of a sub-national approach in Benguela. Extensive consultations and work planning sessions were held with the provincial authorities and disease focal points in June and August 2020 to operationalise the approach. The approach w</w:t>
      </w:r>
      <w:r>
        <w:t>as</w:t>
      </w:r>
      <w:r w:rsidRPr="00155A4F">
        <w:t xml:space="preserve"> piloted over the July 2020 – June 2021 period and involve</w:t>
      </w:r>
      <w:r>
        <w:t>d</w:t>
      </w:r>
      <w:r w:rsidRPr="00155A4F">
        <w:t xml:space="preserve"> the recruitment of a Benguela based team by </w:t>
      </w:r>
      <w:r>
        <w:t>UNDP</w:t>
      </w:r>
      <w:r w:rsidRPr="00155A4F">
        <w:t>.</w:t>
      </w:r>
      <w:r>
        <w:t xml:space="preserve"> Grant performance during this period </w:t>
      </w:r>
      <w:r>
        <w:lastRenderedPageBreak/>
        <w:t>was characterised by high levels of programmatic target execution vs relatively low financial absorption, including the completion of the transition process from the Ministry of Health.</w:t>
      </w:r>
    </w:p>
    <w:p w14:paraId="1E3A356D" w14:textId="716E7876" w:rsidR="00B8132C" w:rsidRDefault="00F40781" w:rsidP="00B8132C">
      <w:pPr>
        <w:jc w:val="both"/>
      </w:pPr>
      <w:r>
        <w:t>However, a</w:t>
      </w:r>
      <w:r w:rsidR="00B8132C">
        <w:t xml:space="preserve"> series of adverse factors affected grant implementation during the reporting period. These include:</w:t>
      </w:r>
    </w:p>
    <w:p w14:paraId="3A2068A6" w14:textId="65AE75C5" w:rsidR="00B8132C" w:rsidRDefault="00F40781" w:rsidP="00790AD5">
      <w:pPr>
        <w:pStyle w:val="ListParagraph"/>
        <w:numPr>
          <w:ilvl w:val="0"/>
          <w:numId w:val="46"/>
        </w:numPr>
        <w:jc w:val="both"/>
      </w:pPr>
      <w:r>
        <w:t>A</w:t>
      </w:r>
      <w:r w:rsidR="00B8132C">
        <w:t xml:space="preserve"> three months delay in the reception of Grant funds at </w:t>
      </w:r>
      <w:r w:rsidR="005C5BEF">
        <w:t>the UNDP GF unit</w:t>
      </w:r>
      <w:r w:rsidR="00B8132C">
        <w:t xml:space="preserve"> despite timely conclusion of all Grant documents (June 2020)</w:t>
      </w:r>
    </w:p>
    <w:p w14:paraId="085B6ED1" w14:textId="35E057BF" w:rsidR="00B8132C" w:rsidRDefault="00B8132C" w:rsidP="00790AD5">
      <w:pPr>
        <w:pStyle w:val="ListParagraph"/>
        <w:numPr>
          <w:ilvl w:val="0"/>
          <w:numId w:val="46"/>
        </w:numPr>
        <w:jc w:val="both"/>
      </w:pPr>
      <w:r>
        <w:t xml:space="preserve">The COVID-19 </w:t>
      </w:r>
      <w:r w:rsidR="00F40781">
        <w:t>restrictions related to</w:t>
      </w:r>
      <w:r>
        <w:t xml:space="preserve"> travel and meeting which </w:t>
      </w:r>
      <w:r w:rsidR="00F40781">
        <w:t>resulted in</w:t>
      </w:r>
      <w:r>
        <w:t xml:space="preserve"> under absorption of related funds at SR level</w:t>
      </w:r>
    </w:p>
    <w:p w14:paraId="36B6F87B" w14:textId="19BF5556" w:rsidR="00B8132C" w:rsidRDefault="00B8132C" w:rsidP="00790AD5">
      <w:pPr>
        <w:pStyle w:val="ListParagraph"/>
        <w:numPr>
          <w:ilvl w:val="0"/>
          <w:numId w:val="46"/>
        </w:numPr>
        <w:jc w:val="both"/>
      </w:pPr>
      <w:r>
        <w:t>The discontinuation of two SRs i.e., MSH and ODP and resulting under absorption of funds</w:t>
      </w:r>
    </w:p>
    <w:p w14:paraId="24675523" w14:textId="14454F31" w:rsidR="00B8132C" w:rsidRDefault="00B8132C" w:rsidP="00790AD5">
      <w:pPr>
        <w:pStyle w:val="ListParagraph"/>
        <w:numPr>
          <w:ilvl w:val="0"/>
          <w:numId w:val="46"/>
        </w:numPr>
        <w:jc w:val="both"/>
      </w:pPr>
      <w:r>
        <w:t xml:space="preserve">Delays in recruitment processes at the level of </w:t>
      </w:r>
      <w:r w:rsidR="00F40781">
        <w:t>UNDP</w:t>
      </w:r>
      <w:r>
        <w:t xml:space="preserve"> resulting in overloading of existing staff</w:t>
      </w:r>
    </w:p>
    <w:p w14:paraId="2B39DA03" w14:textId="1AD2F521" w:rsidR="00B8132C" w:rsidRDefault="00B8132C" w:rsidP="00790AD5">
      <w:pPr>
        <w:pStyle w:val="ListParagraph"/>
        <w:numPr>
          <w:ilvl w:val="0"/>
          <w:numId w:val="46"/>
        </w:numPr>
        <w:jc w:val="both"/>
      </w:pPr>
      <w:r>
        <w:t xml:space="preserve">Absorption of </w:t>
      </w:r>
      <w:r w:rsidR="00F40781">
        <w:t>UNDP</w:t>
      </w:r>
      <w:r>
        <w:t xml:space="preserve"> </w:t>
      </w:r>
      <w:r w:rsidR="005C5BEF">
        <w:t xml:space="preserve">GF </w:t>
      </w:r>
      <w:r w:rsidR="00F40781">
        <w:t>staff</w:t>
      </w:r>
      <w:r>
        <w:t xml:space="preserve"> in the NFM 3 Funding Request development process due to staffing constraints, complexity of the Funding Request and tight timelines</w:t>
      </w:r>
    </w:p>
    <w:p w14:paraId="656D64B4" w14:textId="2084E168" w:rsidR="00B8132C" w:rsidRDefault="00B8132C" w:rsidP="00790AD5">
      <w:pPr>
        <w:pStyle w:val="ListParagraph"/>
        <w:numPr>
          <w:ilvl w:val="0"/>
          <w:numId w:val="46"/>
        </w:numPr>
        <w:jc w:val="both"/>
      </w:pPr>
      <w:r>
        <w:t xml:space="preserve">Absorption of </w:t>
      </w:r>
      <w:r w:rsidR="00F40781">
        <w:t>UNDP GF staff</w:t>
      </w:r>
      <w:r>
        <w:t xml:space="preserve"> in the OAI Audit process (September-November 2020)</w:t>
      </w:r>
    </w:p>
    <w:p w14:paraId="30BD2F66" w14:textId="4198D72F" w:rsidR="00B8132C" w:rsidRDefault="00B8132C" w:rsidP="00790AD5">
      <w:pPr>
        <w:pStyle w:val="ListParagraph"/>
        <w:numPr>
          <w:ilvl w:val="0"/>
          <w:numId w:val="46"/>
        </w:numPr>
        <w:jc w:val="both"/>
      </w:pPr>
      <w:r>
        <w:t xml:space="preserve">Low motivation of staff </w:t>
      </w:r>
      <w:r w:rsidR="00F40781">
        <w:t>in the</w:t>
      </w:r>
      <w:r>
        <w:t xml:space="preserve"> TB and Malaria Programmes due to delayed payment of salary incentives, as a result of the delayed grants disbursement</w:t>
      </w:r>
    </w:p>
    <w:p w14:paraId="64D02602" w14:textId="7045559E" w:rsidR="00B8132C" w:rsidRDefault="00B8132C" w:rsidP="00790AD5">
      <w:pPr>
        <w:pStyle w:val="ListParagraph"/>
        <w:numPr>
          <w:ilvl w:val="0"/>
          <w:numId w:val="46"/>
        </w:numPr>
        <w:jc w:val="both"/>
      </w:pPr>
      <w:r>
        <w:t>Limited experience of TB and Malaria Programmes, which, when combined with the suboptimal health information system for these two disease programmes, exacerbate reporting difficulties. This also explains the considerably lower target execution for the indicators related to the malaria and TB programmes during the reporting period.</w:t>
      </w:r>
    </w:p>
    <w:p w14:paraId="56845C50" w14:textId="76864095" w:rsidR="00562956" w:rsidRDefault="00562956" w:rsidP="00562956">
      <w:pPr>
        <w:jc w:val="both"/>
      </w:pPr>
      <w:r>
        <w:t xml:space="preserve">Overall, the evaluation concludes that UNDP has performed exceedingly well in discharging its responsibilities as PR, has worked diligently and achieved the targets set and is well positioned to implement the NFM3 grant successfully.  However, the evaluation did not see evidence of direct linkages between the Global Fund activities with the other components of the poverty cluster, nor with the remaining outcomes of the CPD. </w:t>
      </w:r>
      <w:r w:rsidR="008A3321">
        <w:t xml:space="preserve">This is regarded as a weakness arising </w:t>
      </w:r>
      <w:r w:rsidR="005F2D70">
        <w:t>from</w:t>
      </w:r>
      <w:r w:rsidR="008A3321">
        <w:t xml:space="preserve"> the vertical nature of how </w:t>
      </w:r>
      <w:r w:rsidR="005F2D70">
        <w:t>these</w:t>
      </w:r>
      <w:r w:rsidR="008A3321">
        <w:t xml:space="preserve"> funds are managed</w:t>
      </w:r>
      <w:r w:rsidR="005F2D70">
        <w:t xml:space="preserve">. </w:t>
      </w:r>
      <w:r>
        <w:t xml:space="preserve">While challenging </w:t>
      </w:r>
      <w:r w:rsidR="005F2D70">
        <w:t>given the</w:t>
      </w:r>
      <w:r>
        <w:t xml:space="preserve"> rigidity in the administration of </w:t>
      </w:r>
      <w:r w:rsidR="005F2D70">
        <w:t>Global Fund</w:t>
      </w:r>
      <w:r>
        <w:t xml:space="preserve"> resources, some attempts could have been made.</w:t>
      </w:r>
    </w:p>
    <w:p w14:paraId="182710DE" w14:textId="77777777" w:rsidR="00B0329A" w:rsidRDefault="005C5BEF" w:rsidP="00A93FC7">
      <w:pPr>
        <w:jc w:val="both"/>
      </w:pPr>
      <w:r>
        <w:t xml:space="preserve">The </w:t>
      </w:r>
      <w:r w:rsidR="00665734">
        <w:t xml:space="preserve">NFM3 </w:t>
      </w:r>
      <w:r>
        <w:t xml:space="preserve">grant </w:t>
      </w:r>
      <w:r w:rsidR="002B7E5C">
        <w:t>implementation was in the initial stages at the time of the evaluation. T</w:t>
      </w:r>
      <w:r w:rsidR="00665734" w:rsidRPr="00155A4F">
        <w:t xml:space="preserve">he subnational approach of the new grant defined by the Global Fund, which </w:t>
      </w:r>
      <w:r w:rsidR="002B7E5C">
        <w:t>is</w:t>
      </w:r>
      <w:r w:rsidR="00665734" w:rsidRPr="00155A4F">
        <w:t xml:space="preserve"> effective as from July 1st 2021, </w:t>
      </w:r>
      <w:r w:rsidR="002B7E5C">
        <w:t xml:space="preserve">will entail </w:t>
      </w:r>
      <w:r w:rsidR="00665734" w:rsidRPr="00155A4F">
        <w:t xml:space="preserve">extensive changes in order to operationalise the new approach in Benguela and Cuanza Sul. This new approach means that most </w:t>
      </w:r>
      <w:r w:rsidR="002B7E5C">
        <w:t>PMU</w:t>
      </w:r>
      <w:r w:rsidR="00665734" w:rsidRPr="00155A4F">
        <w:t xml:space="preserve"> staff will be based in Benguela and Cuanza Sul, with Luanda being a coordination and political hub. Staff mobility and the recruitment of new staff </w:t>
      </w:r>
      <w:r w:rsidR="00BD6FE5">
        <w:t>is underway</w:t>
      </w:r>
      <w:r w:rsidR="00665734" w:rsidRPr="00155A4F">
        <w:t xml:space="preserve"> to support this new approach.</w:t>
      </w:r>
      <w:r w:rsidR="002B7E5C">
        <w:t xml:space="preserve"> </w:t>
      </w:r>
    </w:p>
    <w:p w14:paraId="0DC50622" w14:textId="77777777" w:rsidR="00B0329A" w:rsidRDefault="002B7E5C" w:rsidP="00A93FC7">
      <w:pPr>
        <w:jc w:val="both"/>
      </w:pPr>
      <w:r>
        <w:t>Already UNDP has taken a number of steps including the following:</w:t>
      </w:r>
      <w:r w:rsidR="00CC1378">
        <w:t xml:space="preserve"> s</w:t>
      </w:r>
      <w:r>
        <w:t>igning of agreements with the five sub-Recipients (SRs) of the Grant</w:t>
      </w:r>
      <w:r w:rsidR="00BD6FE5">
        <w:t xml:space="preserve"> (</w:t>
      </w:r>
      <w:r>
        <w:t>World Vision; ADDP</w:t>
      </w:r>
      <w:r w:rsidR="00BD6FE5">
        <w:t>,</w:t>
      </w:r>
      <w:r>
        <w:t xml:space="preserve"> MoH</w:t>
      </w:r>
      <w:r w:rsidR="00BD6FE5">
        <w:t>,</w:t>
      </w:r>
      <w:r>
        <w:t xml:space="preserve"> and the two Provincial Administrations</w:t>
      </w:r>
      <w:r w:rsidR="00BD6FE5">
        <w:t>)</w:t>
      </w:r>
      <w:r w:rsidR="00CC1378">
        <w:t>; s</w:t>
      </w:r>
      <w:r>
        <w:t xml:space="preserve">etting up of sub-national </w:t>
      </w:r>
      <w:r w:rsidR="00A93FC7">
        <w:t>offices</w:t>
      </w:r>
      <w:r>
        <w:t xml:space="preserve"> in</w:t>
      </w:r>
      <w:r w:rsidR="005C5BEF">
        <w:t xml:space="preserve"> Benguela and</w:t>
      </w:r>
      <w:r>
        <w:t xml:space="preserve"> </w:t>
      </w:r>
      <w:r w:rsidR="00A93FC7">
        <w:t>C</w:t>
      </w:r>
      <w:r>
        <w:t>uan</w:t>
      </w:r>
      <w:r w:rsidR="00A93FC7">
        <w:t>za Sul and transfer of staff and equipment;</w:t>
      </w:r>
      <w:r w:rsidR="00CC1378">
        <w:t xml:space="preserve"> and s</w:t>
      </w:r>
      <w:r w:rsidR="00A93FC7">
        <w:t xml:space="preserve">trengthening of the </w:t>
      </w:r>
      <w:r w:rsidR="005C5BEF">
        <w:t xml:space="preserve">UNDP GF </w:t>
      </w:r>
      <w:r w:rsidR="00A93FC7">
        <w:t>PMU through new recruitments, etc</w:t>
      </w:r>
      <w:r w:rsidR="00CC1378">
        <w:t>.</w:t>
      </w:r>
      <w:r w:rsidR="00B0329A">
        <w:t xml:space="preserve"> </w:t>
      </w:r>
    </w:p>
    <w:p w14:paraId="1742C091" w14:textId="2DBEDA2F" w:rsidR="00A93FC7" w:rsidRDefault="00A93FC7" w:rsidP="00A93FC7">
      <w:pPr>
        <w:jc w:val="both"/>
      </w:pPr>
      <w:r>
        <w:t>In interviews with various stakeholders a number of issues were highlighted which were judged critical to the success of the new approach,</w:t>
      </w:r>
      <w:r w:rsidR="005C5BEF">
        <w:t xml:space="preserve"> and implementation of NFM3</w:t>
      </w:r>
      <w:r>
        <w:t xml:space="preserve"> such as: </w:t>
      </w:r>
    </w:p>
    <w:p w14:paraId="73A338B9" w14:textId="72D8D953" w:rsidR="00F66C3C" w:rsidRDefault="00CC1378" w:rsidP="00790AD5">
      <w:pPr>
        <w:pStyle w:val="ListParagraph"/>
        <w:numPr>
          <w:ilvl w:val="0"/>
          <w:numId w:val="47"/>
        </w:numPr>
        <w:jc w:val="both"/>
      </w:pPr>
      <w:r>
        <w:t xml:space="preserve">Implementation capacity needs to be substantially </w:t>
      </w:r>
      <w:r w:rsidR="00BC5A32">
        <w:t>strengthened</w:t>
      </w:r>
      <w:r>
        <w:t xml:space="preserve"> both at the central level and in the provinces. </w:t>
      </w:r>
      <w:r w:rsidR="00650382">
        <w:t xml:space="preserve">Most stakeholders met described the UNDP team as competent but small and </w:t>
      </w:r>
      <w:r w:rsidR="00650382">
        <w:lastRenderedPageBreak/>
        <w:t xml:space="preserve">needed substantial strengthening for the new approach to work.   </w:t>
      </w:r>
      <w:r>
        <w:t>The</w:t>
      </w:r>
      <w:r w:rsidR="00650382">
        <w:t>y</w:t>
      </w:r>
      <w:r>
        <w:t xml:space="preserve"> </w:t>
      </w:r>
      <w:r w:rsidR="00650382">
        <w:t xml:space="preserve">recommend that the </w:t>
      </w:r>
      <w:r>
        <w:t xml:space="preserve">PMU should be </w:t>
      </w:r>
      <w:r w:rsidR="00BC5A32">
        <w:t>strengthened</w:t>
      </w:r>
      <w:r>
        <w:t xml:space="preserve"> with increased staff</w:t>
      </w:r>
      <w:r w:rsidR="005C5BEF">
        <w:t xml:space="preserve"> with</w:t>
      </w:r>
      <w:r w:rsidR="00BC5A32">
        <w:t xml:space="preserve"> broaden</w:t>
      </w:r>
      <w:r w:rsidR="00650382">
        <w:t>ed</w:t>
      </w:r>
      <w:r w:rsidR="00BC5A32">
        <w:t xml:space="preserve"> expertise, in particular M&amp;E and programme management</w:t>
      </w:r>
      <w:r w:rsidR="00650382">
        <w:rPr>
          <w:rStyle w:val="FootnoteReference"/>
        </w:rPr>
        <w:footnoteReference w:id="36"/>
      </w:r>
      <w:r w:rsidR="00F66C3C">
        <w:t>.</w:t>
      </w:r>
      <w:r w:rsidR="000A7A3D">
        <w:t xml:space="preserve"> Negotiations </w:t>
      </w:r>
      <w:r w:rsidR="005C5BEF">
        <w:t>between</w:t>
      </w:r>
      <w:r w:rsidR="000A7A3D">
        <w:t xml:space="preserve"> UNDP and GF </w:t>
      </w:r>
      <w:r w:rsidR="00BD6FE5">
        <w:t>should be</w:t>
      </w:r>
      <w:r w:rsidR="000A7A3D">
        <w:t xml:space="preserve"> accelerate</w:t>
      </w:r>
      <w:r w:rsidR="00BD6FE5">
        <w:t>d to ensure timely</w:t>
      </w:r>
      <w:r w:rsidR="000A7A3D">
        <w:t xml:space="preserve"> recruitments to avoid gaps;</w:t>
      </w:r>
    </w:p>
    <w:p w14:paraId="670B107E" w14:textId="5AB03F96" w:rsidR="00E34246" w:rsidRDefault="00F66C3C" w:rsidP="00790AD5">
      <w:pPr>
        <w:pStyle w:val="ListParagraph"/>
        <w:numPr>
          <w:ilvl w:val="0"/>
          <w:numId w:val="47"/>
        </w:numPr>
        <w:jc w:val="both"/>
      </w:pPr>
      <w:r>
        <w:t>Given UNDP’s operational challenges</w:t>
      </w:r>
      <w:r w:rsidR="00E34246">
        <w:t xml:space="preserve">, mechanisms for accelerating delivery </w:t>
      </w:r>
      <w:r w:rsidR="00BD6FE5">
        <w:t>should be</w:t>
      </w:r>
      <w:r w:rsidR="00E34246">
        <w:t xml:space="preserve"> put in place otherwise there would be adverse consequences on grant implementation</w:t>
      </w:r>
      <w:r w:rsidR="005C5BEF">
        <w:t>;</w:t>
      </w:r>
    </w:p>
    <w:p w14:paraId="47D6C5E6" w14:textId="7CB75216" w:rsidR="00F66C3C" w:rsidRDefault="00E34246" w:rsidP="00790AD5">
      <w:pPr>
        <w:pStyle w:val="ListParagraph"/>
        <w:numPr>
          <w:ilvl w:val="0"/>
          <w:numId w:val="47"/>
        </w:numPr>
        <w:jc w:val="both"/>
      </w:pPr>
      <w:r>
        <w:t xml:space="preserve">UNDP </w:t>
      </w:r>
      <w:r w:rsidR="005C5BEF">
        <w:t>should</w:t>
      </w:r>
      <w:r>
        <w:t xml:space="preserve"> strengthen expertise in TB and Malaria given its lack of experience in th</w:t>
      </w:r>
      <w:r w:rsidR="00BD6FE5">
        <w:t>ese</w:t>
      </w:r>
      <w:r>
        <w:t xml:space="preserve"> area</w:t>
      </w:r>
      <w:r w:rsidR="00BD6FE5">
        <w:t>s</w:t>
      </w:r>
      <w:r>
        <w:t xml:space="preserve">. </w:t>
      </w:r>
      <w:r w:rsidR="00F66C3C">
        <w:t xml:space="preserve"> </w:t>
      </w:r>
      <w:r w:rsidR="00BD6FE5">
        <w:t xml:space="preserve">It was further </w:t>
      </w:r>
      <w:r>
        <w:t>suggest</w:t>
      </w:r>
      <w:r w:rsidR="00BD6FE5">
        <w:t>e</w:t>
      </w:r>
      <w:r w:rsidR="00CE2FAE">
        <w:t>d</w:t>
      </w:r>
      <w:r>
        <w:t xml:space="preserve"> that such expertise would be </w:t>
      </w:r>
      <w:r w:rsidR="00D40829">
        <w:t>m</w:t>
      </w:r>
      <w:r>
        <w:t>ore appropriately pla</w:t>
      </w:r>
      <w:r w:rsidR="00D40829">
        <w:t>c</w:t>
      </w:r>
      <w:r>
        <w:t xml:space="preserve">ed with the two </w:t>
      </w:r>
      <w:r w:rsidR="00D40829">
        <w:t>respective</w:t>
      </w:r>
      <w:r>
        <w:t xml:space="preserve"> national progra</w:t>
      </w:r>
      <w:r w:rsidR="00D40829">
        <w:t>mm</w:t>
      </w:r>
      <w:r>
        <w:t>es</w:t>
      </w:r>
      <w:r w:rsidR="00CE2FAE">
        <w:t>,</w:t>
      </w:r>
      <w:r>
        <w:t xml:space="preserve"> rather than within the PMU</w:t>
      </w:r>
      <w:r w:rsidR="00963AA5">
        <w:t>;</w:t>
      </w:r>
    </w:p>
    <w:p w14:paraId="09376444" w14:textId="56F4A86A" w:rsidR="00D40829" w:rsidRDefault="00D40829" w:rsidP="00790AD5">
      <w:pPr>
        <w:pStyle w:val="ListParagraph"/>
        <w:numPr>
          <w:ilvl w:val="0"/>
          <w:numId w:val="47"/>
        </w:numPr>
        <w:jc w:val="both"/>
      </w:pPr>
      <w:r>
        <w:t xml:space="preserve">Systemic challenges related to Health Information Systems, timeliness of reporting and supply management at municipal </w:t>
      </w:r>
      <w:r w:rsidR="005F2D70">
        <w:t xml:space="preserve">and </w:t>
      </w:r>
      <w:r>
        <w:t>provincial levels need urgent attention</w:t>
      </w:r>
      <w:r w:rsidR="00927A6D">
        <w:t>;</w:t>
      </w:r>
    </w:p>
    <w:p w14:paraId="45D20232" w14:textId="20A854BB" w:rsidR="00927A6D" w:rsidRDefault="00963AA5" w:rsidP="00790AD5">
      <w:pPr>
        <w:pStyle w:val="ListParagraph"/>
        <w:numPr>
          <w:ilvl w:val="0"/>
          <w:numId w:val="47"/>
        </w:numPr>
        <w:jc w:val="both"/>
      </w:pPr>
      <w:r>
        <w:t>UNDP should redouble efforts and w</w:t>
      </w:r>
      <w:r w:rsidR="002D4A46">
        <w:t>ork in partnership to build capacities of local NGOs, particularly in the following areas: governance; technical and management support; and resources</w:t>
      </w:r>
      <w:r w:rsidR="005F2D70">
        <w:t>, in order to strengthen their role in the selected provinces</w:t>
      </w:r>
      <w:r w:rsidR="002D4A46">
        <w:t>;</w:t>
      </w:r>
    </w:p>
    <w:p w14:paraId="7931D668" w14:textId="74C75648" w:rsidR="000A7A3D" w:rsidRDefault="00650382" w:rsidP="00790AD5">
      <w:pPr>
        <w:pStyle w:val="ListParagraph"/>
        <w:numPr>
          <w:ilvl w:val="0"/>
          <w:numId w:val="47"/>
        </w:numPr>
        <w:jc w:val="both"/>
      </w:pPr>
      <w:r>
        <w:t xml:space="preserve">Coordination mechanisms should be strengthened between the </w:t>
      </w:r>
      <w:r w:rsidR="000A7A3D">
        <w:t>centre</w:t>
      </w:r>
      <w:r>
        <w:t xml:space="preserve"> and the </w:t>
      </w:r>
      <w:r w:rsidR="000A7A3D">
        <w:t>provinces</w:t>
      </w:r>
      <w:r w:rsidR="005F2D70">
        <w:t>,</w:t>
      </w:r>
      <w:r>
        <w:t xml:space="preserve"> and </w:t>
      </w:r>
      <w:r w:rsidR="00CE2FAE">
        <w:t xml:space="preserve">at </w:t>
      </w:r>
      <w:r w:rsidR="000A7A3D">
        <w:t>provinc</w:t>
      </w:r>
      <w:r w:rsidR="00CE2FAE">
        <w:t>ial level as well to ensure smooth implementation as there</w:t>
      </w:r>
      <w:r>
        <w:t xml:space="preserve"> </w:t>
      </w:r>
      <w:r w:rsidR="00CE2FAE">
        <w:t>are</w:t>
      </w:r>
      <w:r>
        <w:t xml:space="preserve"> </w:t>
      </w:r>
      <w:r w:rsidR="00CE2FAE">
        <w:t>m</w:t>
      </w:r>
      <w:r>
        <w:t>any a</w:t>
      </w:r>
      <w:r w:rsidR="000A7A3D">
        <w:t>c</w:t>
      </w:r>
      <w:r>
        <w:t>tors in pla</w:t>
      </w:r>
      <w:r w:rsidR="000A7A3D">
        <w:t>c</w:t>
      </w:r>
      <w:r>
        <w:t>e</w:t>
      </w:r>
      <w:r w:rsidR="000A7A3D">
        <w:t>. In particular, it was recommended that UNDP institute regular meetings with the five SRs.</w:t>
      </w:r>
    </w:p>
    <w:p w14:paraId="56211091" w14:textId="5F94B7E1" w:rsidR="00201087" w:rsidRPr="00201087" w:rsidRDefault="009907B5" w:rsidP="00201087">
      <w:pPr>
        <w:pStyle w:val="Heading3"/>
        <w:rPr>
          <w:rFonts w:asciiTheme="minorHAnsi" w:hAnsiTheme="minorHAnsi" w:cstheme="minorHAnsi"/>
          <w:sz w:val="22"/>
          <w:szCs w:val="22"/>
        </w:rPr>
      </w:pPr>
      <w:bookmarkStart w:id="42" w:name="_Toc88741790"/>
      <w:r>
        <w:rPr>
          <w:rFonts w:asciiTheme="minorHAnsi" w:hAnsiTheme="minorHAnsi" w:cstheme="minorHAnsi"/>
          <w:sz w:val="22"/>
          <w:szCs w:val="22"/>
        </w:rPr>
        <w:t>4</w:t>
      </w:r>
      <w:r w:rsidR="00201087" w:rsidRPr="00201087">
        <w:rPr>
          <w:rFonts w:asciiTheme="minorHAnsi" w:hAnsiTheme="minorHAnsi" w:cstheme="minorHAnsi"/>
          <w:sz w:val="22"/>
          <w:szCs w:val="22"/>
        </w:rPr>
        <w:t>.1.3 Efficiency</w:t>
      </w:r>
      <w:bookmarkEnd w:id="42"/>
    </w:p>
    <w:p w14:paraId="41E82F14" w14:textId="0091724F" w:rsidR="00326AD2" w:rsidRDefault="00776F90" w:rsidP="00326AD2">
      <w:pPr>
        <w:jc w:val="both"/>
        <w:rPr>
          <w:rFonts w:ascii="Calibri" w:eastAsia="Times New Roman" w:hAnsi="Calibri" w:cs="Calibri"/>
          <w:color w:val="1D2228"/>
          <w:lang w:eastAsia="pt-PT"/>
        </w:rPr>
      </w:pPr>
      <w:r>
        <w:t xml:space="preserve">Programme expenditures for the </w:t>
      </w:r>
      <w:r w:rsidR="007C3AFA">
        <w:t xml:space="preserve">non-Global Fund </w:t>
      </w:r>
      <w:r>
        <w:t xml:space="preserve">poverty cluster </w:t>
      </w:r>
      <w:r w:rsidR="007C3AFA">
        <w:t xml:space="preserve">activities </w:t>
      </w:r>
      <w:r>
        <w:t xml:space="preserve">in 2020 and 2021 is shown in </w:t>
      </w:r>
      <w:r w:rsidR="003F017B">
        <w:t xml:space="preserve">Figure </w:t>
      </w:r>
      <w:r w:rsidR="00150146">
        <w:t>4 below.</w:t>
      </w:r>
      <w:r>
        <w:t xml:space="preserve"> </w:t>
      </w:r>
      <w:r w:rsidR="009344C3">
        <w:t xml:space="preserve">Average delivery over the two years was 44.5% </w:t>
      </w:r>
      <w:r w:rsidR="00D13FF4">
        <w:t>and, in both years,</w:t>
      </w:r>
      <w:r>
        <w:t xml:space="preserve"> expenditures are below budget but significantly </w:t>
      </w:r>
      <w:r w:rsidR="009A4E81">
        <w:t>lower</w:t>
      </w:r>
      <w:r>
        <w:t xml:space="preserve"> in 2021. Thus, while delivery was 75% in 2020, so far delivery </w:t>
      </w:r>
      <w:r w:rsidR="00326AD2">
        <w:t xml:space="preserve">for 2021 </w:t>
      </w:r>
      <w:r>
        <w:t xml:space="preserve">stands at 30% due to </w:t>
      </w:r>
      <w:r w:rsidR="009A4E81">
        <w:t xml:space="preserve">the </w:t>
      </w:r>
      <w:r>
        <w:t xml:space="preserve">impact of Covid-19 and other factors.  </w:t>
      </w:r>
      <w:r w:rsidR="00326AD2">
        <w:t xml:space="preserve">Delivery has also been affected by the fact that two key projects </w:t>
      </w:r>
      <w:r w:rsidR="009A4E81">
        <w:t xml:space="preserve">that </w:t>
      </w:r>
      <w:r w:rsidR="00326AD2">
        <w:t>came on stream during 2021 (</w:t>
      </w:r>
      <w:r w:rsidR="00326AD2" w:rsidRPr="00CB6EC6">
        <w:rPr>
          <w:rFonts w:ascii="Calibri" w:eastAsia="Times New Roman" w:hAnsi="Calibri" w:cs="Calibri"/>
          <w:color w:val="000000"/>
          <w:lang w:eastAsia="pt-PT"/>
        </w:rPr>
        <w:t>AGO COVID-19 Econ. Social Impact</w:t>
      </w:r>
      <w:r w:rsidR="00326AD2">
        <w:rPr>
          <w:rFonts w:ascii="Calibri" w:eastAsia="Times New Roman" w:hAnsi="Calibri" w:cs="Calibri"/>
          <w:color w:val="000000"/>
          <w:lang w:eastAsia="pt-PT"/>
        </w:rPr>
        <w:t xml:space="preserve">; and </w:t>
      </w:r>
      <w:r w:rsidR="00326AD2" w:rsidRPr="00CB6EC6">
        <w:rPr>
          <w:rFonts w:ascii="Calibri" w:eastAsia="Times New Roman" w:hAnsi="Calibri" w:cs="Calibri"/>
          <w:color w:val="1D2228"/>
          <w:lang w:eastAsia="pt-PT"/>
        </w:rPr>
        <w:t>Integrated Sustainable Development Goals</w:t>
      </w:r>
      <w:r w:rsidR="00326AD2">
        <w:rPr>
          <w:rFonts w:ascii="Calibri" w:eastAsia="Times New Roman" w:hAnsi="Calibri" w:cs="Calibri"/>
          <w:color w:val="1D2228"/>
          <w:lang w:eastAsia="pt-PT"/>
        </w:rPr>
        <w:t>) were yet to take-off at the time of the evaluation.</w:t>
      </w:r>
    </w:p>
    <w:p w14:paraId="046E5CBB" w14:textId="5851C43E" w:rsidR="00150146" w:rsidRDefault="00150146" w:rsidP="006671D3">
      <w:pPr>
        <w:jc w:val="both"/>
      </w:pPr>
      <w:r>
        <w:rPr>
          <w:noProof/>
          <w:lang w:eastAsia="pt-PT"/>
        </w:rPr>
        <w:drawing>
          <wp:inline distT="0" distB="0" distL="0" distR="0" wp14:anchorId="1BD08BC0" wp14:editId="150857C7">
            <wp:extent cx="4572000" cy="2743200"/>
            <wp:effectExtent l="0" t="0" r="0" b="0"/>
            <wp:docPr id="4"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884711E" w14:textId="64904831" w:rsidR="00326AD2" w:rsidRDefault="00326AD2" w:rsidP="006671D3">
      <w:pPr>
        <w:jc w:val="both"/>
        <w:rPr>
          <w:rFonts w:ascii="Calibri" w:eastAsia="Times New Roman" w:hAnsi="Calibri" w:cs="Calibri"/>
          <w:color w:val="1D2228"/>
          <w:lang w:eastAsia="pt-PT"/>
        </w:rPr>
      </w:pPr>
      <w:r>
        <w:rPr>
          <w:rFonts w:ascii="Calibri" w:eastAsia="Times New Roman" w:hAnsi="Calibri" w:cs="Calibri"/>
          <w:color w:val="1D2228"/>
          <w:lang w:eastAsia="pt-PT"/>
        </w:rPr>
        <w:lastRenderedPageBreak/>
        <w:t xml:space="preserve">Figure 5 shows budget and expenditures with respect to the health </w:t>
      </w:r>
      <w:r w:rsidR="007C3AFA">
        <w:rPr>
          <w:rFonts w:ascii="Calibri" w:eastAsia="Times New Roman" w:hAnsi="Calibri" w:cs="Calibri"/>
          <w:color w:val="1D2228"/>
          <w:lang w:eastAsia="pt-PT"/>
        </w:rPr>
        <w:t>outcome supported by the Global Fund</w:t>
      </w:r>
      <w:r>
        <w:rPr>
          <w:rFonts w:ascii="Calibri" w:eastAsia="Times New Roman" w:hAnsi="Calibri" w:cs="Calibri"/>
          <w:color w:val="1D2228"/>
          <w:lang w:eastAsia="pt-PT"/>
        </w:rPr>
        <w:t>, in particular HIV, TB and Malaria plus heath system strengthening</w:t>
      </w:r>
      <w:r>
        <w:t xml:space="preserve">. In both years, expenditures are below budget but significantly so in 2021. Thus, while delivery was </w:t>
      </w:r>
      <w:r w:rsidR="00283468">
        <w:t>68.5</w:t>
      </w:r>
      <w:r>
        <w:t xml:space="preserve">% in 2020, so far delivery for 2021 stands at </w:t>
      </w:r>
      <w:r w:rsidR="00283468">
        <w:t>21.5</w:t>
      </w:r>
      <w:r>
        <w:t>% due to impact of Covid-19</w:t>
      </w:r>
      <w:r w:rsidR="007C3AFA">
        <w:t>. Performance is also affected by the fat that</w:t>
      </w:r>
      <w:r w:rsidR="00283468">
        <w:t xml:space="preserve"> NFM3 is just coming on stream with activities focussed on putting in place </w:t>
      </w:r>
      <w:r w:rsidR="00A86AF3">
        <w:t xml:space="preserve">arrangements </w:t>
      </w:r>
      <w:r w:rsidR="00283468">
        <w:t xml:space="preserve">for programme implementation. </w:t>
      </w:r>
      <w:r>
        <w:t xml:space="preserve"> </w:t>
      </w:r>
    </w:p>
    <w:p w14:paraId="460A3297" w14:textId="63400681" w:rsidR="00776F90" w:rsidRDefault="00326AD2" w:rsidP="006671D3">
      <w:pPr>
        <w:jc w:val="both"/>
        <w:rPr>
          <w:rFonts w:ascii="Calibri" w:eastAsia="Times New Roman" w:hAnsi="Calibri" w:cs="Calibri"/>
          <w:color w:val="1D2228"/>
          <w:lang w:eastAsia="pt-PT"/>
        </w:rPr>
      </w:pPr>
      <w:r>
        <w:rPr>
          <w:noProof/>
          <w:lang w:eastAsia="pt-PT"/>
        </w:rPr>
        <w:drawing>
          <wp:inline distT="0" distB="0" distL="0" distR="0" wp14:anchorId="2A466B2A" wp14:editId="6D529AC5">
            <wp:extent cx="4572000" cy="27432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0097943" w14:textId="0927B6C8" w:rsidR="00326AD2" w:rsidRDefault="00A86AF3" w:rsidP="00326AD2">
      <w:pPr>
        <w:jc w:val="both"/>
      </w:pPr>
      <w:r>
        <w:t>Apart from considerations of delivery of programme resources,</w:t>
      </w:r>
      <w:r w:rsidR="00326AD2">
        <w:t xml:space="preserve"> efficiency with respect to th</w:t>
      </w:r>
      <w:r w:rsidR="007C3AFA">
        <w:t>e poverty</w:t>
      </w:r>
      <w:r w:rsidR="00326AD2">
        <w:t xml:space="preserve"> outcome</w:t>
      </w:r>
      <w:r w:rsidR="007C3AFA">
        <w:t xml:space="preserve"> of the CPD</w:t>
      </w:r>
      <w:r w:rsidR="00326AD2">
        <w:t xml:space="preserve"> is </w:t>
      </w:r>
      <w:r w:rsidR="007850C2">
        <w:t>adversely impacted</w:t>
      </w:r>
      <w:r w:rsidR="00374102">
        <w:t xml:space="preserve"> by</w:t>
      </w:r>
      <w:r w:rsidR="00326AD2">
        <w:t xml:space="preserve"> the very high proportion of Global Fund resources relative to resources for the rest of the components under this outcome</w:t>
      </w:r>
      <w:r w:rsidR="007850C2">
        <w:t xml:space="preserve">. This situation appears to </w:t>
      </w:r>
      <w:r w:rsidR="009A4E81">
        <w:t>represent, on the surface, a</w:t>
      </w:r>
      <w:r w:rsidR="00326AD2">
        <w:t xml:space="preserve"> mis-match </w:t>
      </w:r>
      <w:r>
        <w:t>with</w:t>
      </w:r>
      <w:r w:rsidR="00326AD2">
        <w:t xml:space="preserve"> national priorities</w:t>
      </w:r>
      <w:r w:rsidR="007850C2">
        <w:t xml:space="preserve">, and </w:t>
      </w:r>
      <w:r>
        <w:t xml:space="preserve">UNDP should redress this in the short-term by linking </w:t>
      </w:r>
      <w:r w:rsidR="00326AD2">
        <w:t xml:space="preserve">Global Fund activities </w:t>
      </w:r>
      <w:r>
        <w:t>more closely to</w:t>
      </w:r>
      <w:r w:rsidR="00326AD2">
        <w:t xml:space="preserve"> poverty reduction efforts</w:t>
      </w:r>
      <w:r w:rsidR="009A4E81">
        <w:t xml:space="preserve"> -</w:t>
      </w:r>
      <w:r w:rsidR="007C3AFA">
        <w:t xml:space="preserve"> </w:t>
      </w:r>
      <w:r w:rsidR="009A4E81">
        <w:t>a challenging proposition given the peculiarity of the Global Fund</w:t>
      </w:r>
      <w:r w:rsidR="00326AD2">
        <w:t xml:space="preserve">. </w:t>
      </w:r>
    </w:p>
    <w:p w14:paraId="37035095" w14:textId="44165F93" w:rsidR="00201087" w:rsidRPr="00201087" w:rsidRDefault="009907B5" w:rsidP="00201087">
      <w:pPr>
        <w:pStyle w:val="Heading3"/>
        <w:rPr>
          <w:rFonts w:asciiTheme="minorHAnsi" w:hAnsiTheme="minorHAnsi" w:cstheme="minorHAnsi"/>
          <w:sz w:val="22"/>
          <w:szCs w:val="22"/>
        </w:rPr>
      </w:pPr>
      <w:bookmarkStart w:id="43" w:name="_Toc88741791"/>
      <w:r>
        <w:rPr>
          <w:rFonts w:asciiTheme="minorHAnsi" w:hAnsiTheme="minorHAnsi" w:cstheme="minorHAnsi"/>
          <w:sz w:val="22"/>
          <w:szCs w:val="22"/>
        </w:rPr>
        <w:t>4</w:t>
      </w:r>
      <w:r w:rsidR="00201087" w:rsidRPr="00201087">
        <w:rPr>
          <w:rFonts w:asciiTheme="minorHAnsi" w:hAnsiTheme="minorHAnsi" w:cstheme="minorHAnsi"/>
          <w:sz w:val="22"/>
          <w:szCs w:val="22"/>
        </w:rPr>
        <w:t>.1.4 Sustainability</w:t>
      </w:r>
      <w:bookmarkEnd w:id="43"/>
    </w:p>
    <w:p w14:paraId="6DDE694A" w14:textId="1593EADC" w:rsidR="00201087" w:rsidRDefault="007939A2" w:rsidP="007939A2">
      <w:pPr>
        <w:jc w:val="both"/>
      </w:pPr>
      <w:r>
        <w:t xml:space="preserve">Given the commitment at the highest level within government to economic diversification and tackling poverty, UNDP interventions are judged to be </w:t>
      </w:r>
      <w:r w:rsidR="002E20F6">
        <w:t>potentially</w:t>
      </w:r>
      <w:r>
        <w:t xml:space="preserve"> sustainable</w:t>
      </w:r>
      <w:r w:rsidR="002E20F6">
        <w:t xml:space="preserve"> provided that the government</w:t>
      </w:r>
      <w:r w:rsidR="009A4E81">
        <w:t xml:space="preserve"> of Angola</w:t>
      </w:r>
      <w:r w:rsidR="002E20F6">
        <w:t xml:space="preserve"> stays the course on reforms</w:t>
      </w:r>
      <w:r>
        <w:t xml:space="preserve">. However, the recent graduation of Angola into a MIC, and the fact that grant resources will become increasingly </w:t>
      </w:r>
      <w:r w:rsidR="007850C2">
        <w:t>difficult to mobilize,</w:t>
      </w:r>
      <w:r>
        <w:t xml:space="preserve"> UNDP </w:t>
      </w:r>
      <w:r w:rsidR="002E20F6">
        <w:t>should</w:t>
      </w:r>
      <w:r>
        <w:t xml:space="preserve"> devise new strategies to carry on this important work</w:t>
      </w:r>
      <w:r w:rsidR="002E20F6">
        <w:t xml:space="preserve"> by diversifying sources of funding</w:t>
      </w:r>
      <w:r w:rsidR="009A4E81">
        <w:t xml:space="preserve">, </w:t>
      </w:r>
      <w:r>
        <w:t>for example, by working more closely with the government to ensure the state budget prioritizes these areas.</w:t>
      </w:r>
    </w:p>
    <w:p w14:paraId="08EDAC7B" w14:textId="4D10350B" w:rsidR="00232C30" w:rsidRDefault="007939A2" w:rsidP="007939A2">
      <w:pPr>
        <w:jc w:val="both"/>
      </w:pPr>
      <w:r>
        <w:t xml:space="preserve">With respect to the Global Fund, </w:t>
      </w:r>
      <w:r w:rsidR="007850C2">
        <w:t xml:space="preserve">it is highly </w:t>
      </w:r>
      <w:r>
        <w:t>likely that UNDP’s role as PR will</w:t>
      </w:r>
      <w:r w:rsidR="007850C2">
        <w:t>,</w:t>
      </w:r>
      <w:r>
        <w:t xml:space="preserve"> after sometime shift </w:t>
      </w:r>
      <w:r w:rsidR="007850C2">
        <w:t xml:space="preserve">back </w:t>
      </w:r>
      <w:r>
        <w:t xml:space="preserve">to government. In such a case, UNDP will need to </w:t>
      </w:r>
      <w:r w:rsidR="007850C2">
        <w:t>find</w:t>
      </w:r>
      <w:r>
        <w:t xml:space="preserve"> another </w:t>
      </w:r>
      <w:r w:rsidR="007850C2">
        <w:t xml:space="preserve">way of </w:t>
      </w:r>
      <w:r>
        <w:t>supporting Angola</w:t>
      </w:r>
      <w:r w:rsidR="007850C2">
        <w:t>’s</w:t>
      </w:r>
      <w:r>
        <w:t xml:space="preserve"> fight </w:t>
      </w:r>
      <w:r w:rsidR="007850C2">
        <w:t xml:space="preserve">against the three diseases of </w:t>
      </w:r>
      <w:r>
        <w:t xml:space="preserve">HIV/AIDs, Malaria and TB.  </w:t>
      </w:r>
      <w:r w:rsidR="008F5658">
        <w:t xml:space="preserve">Thus, </w:t>
      </w:r>
      <w:r w:rsidR="007850C2">
        <w:t xml:space="preserve">in the long run </w:t>
      </w:r>
      <w:r w:rsidR="008F5658">
        <w:t xml:space="preserve">the current status quo is </w:t>
      </w:r>
      <w:r w:rsidR="002E20F6">
        <w:t xml:space="preserve">judged as </w:t>
      </w:r>
      <w:r w:rsidR="008F5658">
        <w:t>not sustainable</w:t>
      </w:r>
      <w:r w:rsidR="009A4E81">
        <w:t>. T</w:t>
      </w:r>
      <w:r w:rsidR="007850C2">
        <w:t xml:space="preserve">his </w:t>
      </w:r>
      <w:r w:rsidR="008F5658">
        <w:t xml:space="preserve">will have </w:t>
      </w:r>
      <w:r w:rsidR="00232C30">
        <w:t xml:space="preserve">serious </w:t>
      </w:r>
      <w:r w:rsidR="008F5658">
        <w:t xml:space="preserve">implications for the Country Office in the </w:t>
      </w:r>
      <w:r w:rsidR="007850C2">
        <w:t xml:space="preserve">near </w:t>
      </w:r>
      <w:r w:rsidR="008F5658">
        <w:t>future.</w:t>
      </w:r>
      <w:r w:rsidR="007850C2">
        <w:t xml:space="preserve"> UNDP should</w:t>
      </w:r>
      <w:r w:rsidR="002E20F6">
        <w:t xml:space="preserve"> therefore</w:t>
      </w:r>
      <w:r w:rsidR="007850C2">
        <w:t xml:space="preserve"> initiate the process of devising an exit strategy while at the same time ensuring that it is </w:t>
      </w:r>
      <w:r w:rsidR="00232C30">
        <w:t xml:space="preserve">fully </w:t>
      </w:r>
      <w:r w:rsidR="007850C2">
        <w:t xml:space="preserve">carrying out its </w:t>
      </w:r>
      <w:r w:rsidR="002E20F6">
        <w:t xml:space="preserve">current </w:t>
      </w:r>
      <w:r w:rsidR="007850C2">
        <w:t>commitments and responsibilities</w:t>
      </w:r>
      <w:r w:rsidR="00B0329A">
        <w:t xml:space="preserve">, as well as building the capacity of MoH for </w:t>
      </w:r>
      <w:r w:rsidR="008339E2">
        <w:t>a possible handover in the future</w:t>
      </w:r>
      <w:r w:rsidR="007850C2">
        <w:t xml:space="preserve">.  </w:t>
      </w:r>
    </w:p>
    <w:p w14:paraId="01CFC58F" w14:textId="77777777" w:rsidR="007E370B" w:rsidRDefault="007E370B" w:rsidP="007939A2">
      <w:pPr>
        <w:jc w:val="both"/>
      </w:pPr>
    </w:p>
    <w:p w14:paraId="4E2FE800" w14:textId="7D34A612" w:rsidR="007E370B" w:rsidRPr="007E370B" w:rsidRDefault="007E370B" w:rsidP="007E370B">
      <w:pPr>
        <w:pStyle w:val="Heading3"/>
        <w:rPr>
          <w:rFonts w:asciiTheme="minorHAnsi" w:hAnsiTheme="minorHAnsi" w:cstheme="minorHAnsi"/>
          <w:sz w:val="22"/>
          <w:szCs w:val="22"/>
        </w:rPr>
      </w:pPr>
      <w:bookmarkStart w:id="44" w:name="_Toc88741792"/>
      <w:r w:rsidRPr="007E370B">
        <w:rPr>
          <w:rFonts w:asciiTheme="minorHAnsi" w:hAnsiTheme="minorHAnsi" w:cstheme="minorHAnsi"/>
          <w:sz w:val="22"/>
          <w:szCs w:val="22"/>
        </w:rPr>
        <w:lastRenderedPageBreak/>
        <w:t>4.1.5 Overall conclusions on UNDP’s work on the Poverty cluster</w:t>
      </w:r>
      <w:bookmarkEnd w:id="44"/>
    </w:p>
    <w:p w14:paraId="27842729" w14:textId="1075726E" w:rsidR="007E370B" w:rsidRDefault="007E370B" w:rsidP="007E370B">
      <w:pPr>
        <w:jc w:val="both"/>
      </w:pPr>
      <w:r>
        <w:t>In assessing UNDP’s work under the poverty cluster, the evaluation noted largely positive outcomes in the following ways:</w:t>
      </w:r>
    </w:p>
    <w:p w14:paraId="13DF1EA6" w14:textId="77777777" w:rsidR="007E370B" w:rsidRDefault="007E370B" w:rsidP="00790AD5">
      <w:pPr>
        <w:pStyle w:val="ListParagraph"/>
        <w:numPr>
          <w:ilvl w:val="0"/>
          <w:numId w:val="62"/>
        </w:numPr>
        <w:jc w:val="both"/>
      </w:pPr>
      <w:r>
        <w:t xml:space="preserve"> By focusing on poor, illiterate women working in the informal markets and sectors of the economy, youth, people living with HIV and AIDs, LBGT, sex workers and MSMs, UNDP has firmly and successfully embedded the philosophy of “Leave no one Behind” in its work. UNDP’s work in this area contributing to the advancement of the economic and social rights of its beneficiaries and/or ensuring that their human rights are protected. </w:t>
      </w:r>
    </w:p>
    <w:p w14:paraId="71A7761B" w14:textId="77777777" w:rsidR="007E370B" w:rsidRDefault="007E370B" w:rsidP="00790AD5">
      <w:pPr>
        <w:pStyle w:val="ListParagraph"/>
        <w:numPr>
          <w:ilvl w:val="0"/>
          <w:numId w:val="62"/>
        </w:numPr>
        <w:jc w:val="both"/>
      </w:pPr>
      <w:r>
        <w:t xml:space="preserve">UNDP’s work on Multidimensional Poverty Index is deemed very valuable as: (i) it advanced evidence-based policy making in Angola; (ii) raised the awareness and improved the ways local governments looked at poverty; and (iii) improved data availability on a key issue that opens up opportunities for cross-programme integration, which is a weakness in the way the current CPD is being implemented; </w:t>
      </w:r>
    </w:p>
    <w:p w14:paraId="406AE5AA" w14:textId="77777777" w:rsidR="007E370B" w:rsidRDefault="007E370B" w:rsidP="00790AD5">
      <w:pPr>
        <w:pStyle w:val="ListParagraph"/>
        <w:numPr>
          <w:ilvl w:val="0"/>
          <w:numId w:val="62"/>
        </w:numPr>
        <w:jc w:val="both"/>
      </w:pPr>
      <w:r>
        <w:t>Spearheading new ways through which youth employment, entrepreneurship and addressing informality in the economy is addressed, a key priority of government of Angola. Although the numbers directly affected are small, the whole approach will have an important demonstration value for the bigger government initiative – PAPE;</w:t>
      </w:r>
    </w:p>
    <w:p w14:paraId="5FF98E56" w14:textId="46D7BFB6" w:rsidR="007E370B" w:rsidRDefault="007E370B" w:rsidP="00790AD5">
      <w:pPr>
        <w:pStyle w:val="ListParagraph"/>
        <w:numPr>
          <w:ilvl w:val="0"/>
          <w:numId w:val="62"/>
        </w:numPr>
        <w:jc w:val="both"/>
      </w:pPr>
      <w:r>
        <w:t>Consolidating UNDP’s reputation and capacity to mobilize resources through its competent handling of its role as PR for the Global Fund of many long years of standing</w:t>
      </w:r>
      <w:r w:rsidR="00AE4F41">
        <w:t xml:space="preserve"> and playing a strong role in assisting Angola battle the triple diseases of HIV, Malaria and TB</w:t>
      </w:r>
      <w:r>
        <w:t>.</w:t>
      </w:r>
    </w:p>
    <w:p w14:paraId="03D66272" w14:textId="7B554349" w:rsidR="007E370B" w:rsidRDefault="007E370B" w:rsidP="007E370B">
      <w:pPr>
        <w:jc w:val="both"/>
      </w:pPr>
      <w:r>
        <w:t>The fact that (in particular</w:t>
      </w:r>
      <w:r w:rsidR="007E29A8">
        <w:t xml:space="preserve"> a to</w:t>
      </w:r>
      <w:r>
        <w:t xml:space="preserve"> c above) has been achieved with a rather limited budget is to be commended. UNDP however, needs to significantly scale its efforts if it is to have lasting impact</w:t>
      </w:r>
      <w:r w:rsidR="00AE4F41">
        <w:t>, and take steps to consolidate its fragmented portfolio</w:t>
      </w:r>
      <w:r>
        <w:t>.</w:t>
      </w:r>
      <w:r w:rsidR="00DB36A1">
        <w:t xml:space="preserve"> </w:t>
      </w:r>
      <w:r w:rsidR="007E29A8">
        <w:t>Given</w:t>
      </w:r>
      <w:r w:rsidR="00DB36A1">
        <w:t xml:space="preserve"> the newness of </w:t>
      </w:r>
      <w:r w:rsidR="007E29A8">
        <w:t xml:space="preserve">its </w:t>
      </w:r>
      <w:r w:rsidR="00DB36A1">
        <w:t>work in th</w:t>
      </w:r>
      <w:r w:rsidR="007E29A8">
        <w:t>e</w:t>
      </w:r>
      <w:r w:rsidR="00DB36A1">
        <w:t xml:space="preserve"> area </w:t>
      </w:r>
      <w:r w:rsidR="007E29A8">
        <w:t xml:space="preserve">of employment </w:t>
      </w:r>
      <w:r w:rsidR="00DB36A1">
        <w:t>and taking into a</w:t>
      </w:r>
      <w:r w:rsidR="007E29A8">
        <w:t>cc</w:t>
      </w:r>
      <w:r w:rsidR="00DB36A1">
        <w:t xml:space="preserve">ount its </w:t>
      </w:r>
      <w:r w:rsidR="007E29A8">
        <w:t>c</w:t>
      </w:r>
      <w:r w:rsidR="00DB36A1">
        <w:t xml:space="preserve">ore </w:t>
      </w:r>
      <w:r w:rsidR="007E29A8">
        <w:t>m</w:t>
      </w:r>
      <w:r w:rsidR="00DB36A1">
        <w:t>andate</w:t>
      </w:r>
      <w:r w:rsidR="007E29A8">
        <w:t>, UNDP should adopt a partnership approach with major donors such as the IFIs (e.g., World Bank, ADB, etc), rather than go it alone.</w:t>
      </w:r>
    </w:p>
    <w:p w14:paraId="1527E335" w14:textId="014E1402" w:rsidR="00B20628" w:rsidRPr="008F627E" w:rsidRDefault="009907B5" w:rsidP="008F627E">
      <w:pPr>
        <w:pStyle w:val="Heading2"/>
        <w:rPr>
          <w:rFonts w:asciiTheme="minorHAnsi" w:hAnsiTheme="minorHAnsi" w:cstheme="minorHAnsi"/>
          <w:sz w:val="22"/>
          <w:szCs w:val="22"/>
        </w:rPr>
      </w:pPr>
      <w:bookmarkStart w:id="45" w:name="_Toc88741793"/>
      <w:r>
        <w:rPr>
          <w:rFonts w:asciiTheme="minorHAnsi" w:hAnsiTheme="minorHAnsi" w:cstheme="minorHAnsi"/>
          <w:sz w:val="22"/>
          <w:szCs w:val="22"/>
        </w:rPr>
        <w:t>4</w:t>
      </w:r>
      <w:r w:rsidR="00B20628" w:rsidRPr="008F627E">
        <w:rPr>
          <w:rFonts w:asciiTheme="minorHAnsi" w:hAnsiTheme="minorHAnsi" w:cstheme="minorHAnsi"/>
          <w:sz w:val="22"/>
          <w:szCs w:val="22"/>
        </w:rPr>
        <w:t xml:space="preserve">.2 </w:t>
      </w:r>
      <w:r w:rsidR="003A6CB4" w:rsidRPr="003A6CB4">
        <w:rPr>
          <w:rFonts w:asciiTheme="minorHAnsi" w:hAnsiTheme="minorHAnsi" w:cstheme="minorHAnsi"/>
          <w:sz w:val="22"/>
          <w:szCs w:val="22"/>
        </w:rPr>
        <w:t>Increasing resilience to shocks and crises and enhancing management of natural resources for conservation and economic development</w:t>
      </w:r>
      <w:bookmarkEnd w:id="45"/>
    </w:p>
    <w:p w14:paraId="70A334A7" w14:textId="7166ED03" w:rsidR="00201087" w:rsidRPr="00201087" w:rsidRDefault="009907B5" w:rsidP="00201087">
      <w:pPr>
        <w:pStyle w:val="Heading3"/>
        <w:rPr>
          <w:rFonts w:asciiTheme="minorHAnsi" w:hAnsiTheme="minorHAnsi" w:cstheme="minorHAnsi"/>
          <w:sz w:val="22"/>
          <w:szCs w:val="22"/>
        </w:rPr>
      </w:pPr>
      <w:bookmarkStart w:id="46" w:name="_Toc88741794"/>
      <w:r>
        <w:rPr>
          <w:rFonts w:asciiTheme="minorHAnsi" w:hAnsiTheme="minorHAnsi" w:cstheme="minorHAnsi"/>
          <w:sz w:val="22"/>
          <w:szCs w:val="22"/>
        </w:rPr>
        <w:t>4</w:t>
      </w:r>
      <w:r w:rsidR="00201087" w:rsidRPr="00201087">
        <w:rPr>
          <w:rFonts w:asciiTheme="minorHAnsi" w:hAnsiTheme="minorHAnsi" w:cstheme="minorHAnsi"/>
          <w:sz w:val="22"/>
          <w:szCs w:val="22"/>
        </w:rPr>
        <w:t>.</w:t>
      </w:r>
      <w:r w:rsidR="00201087">
        <w:rPr>
          <w:rFonts w:asciiTheme="minorHAnsi" w:hAnsiTheme="minorHAnsi" w:cstheme="minorHAnsi"/>
          <w:sz w:val="22"/>
          <w:szCs w:val="22"/>
        </w:rPr>
        <w:t>2</w:t>
      </w:r>
      <w:r w:rsidR="00201087" w:rsidRPr="00201087">
        <w:rPr>
          <w:rFonts w:asciiTheme="minorHAnsi" w:hAnsiTheme="minorHAnsi" w:cstheme="minorHAnsi"/>
          <w:sz w:val="22"/>
          <w:szCs w:val="22"/>
        </w:rPr>
        <w:t>.1 Relevance</w:t>
      </w:r>
      <w:bookmarkEnd w:id="46"/>
    </w:p>
    <w:p w14:paraId="461B4F0D" w14:textId="3BEA1460" w:rsidR="0038401E" w:rsidRPr="00D7307E" w:rsidRDefault="0038401E" w:rsidP="0038401E">
      <w:pPr>
        <w:jc w:val="both"/>
        <w:rPr>
          <w:b/>
          <w:bCs/>
        </w:rPr>
      </w:pPr>
      <w:r w:rsidRPr="00D7307E">
        <w:rPr>
          <w:b/>
          <w:bCs/>
        </w:rPr>
        <w:t xml:space="preserve">Finding </w:t>
      </w:r>
      <w:r w:rsidR="008D5A80" w:rsidRPr="00D7307E">
        <w:rPr>
          <w:b/>
          <w:bCs/>
        </w:rPr>
        <w:t>6</w:t>
      </w:r>
      <w:r w:rsidRPr="00D7307E">
        <w:rPr>
          <w:b/>
          <w:bCs/>
        </w:rPr>
        <w:t xml:space="preserve">: UNDP’s </w:t>
      </w:r>
      <w:r w:rsidR="002E20F6" w:rsidRPr="00D7307E">
        <w:rPr>
          <w:b/>
          <w:bCs/>
        </w:rPr>
        <w:t>work on</w:t>
      </w:r>
      <w:r w:rsidRPr="00D7307E">
        <w:rPr>
          <w:b/>
          <w:bCs/>
        </w:rPr>
        <w:t xml:space="preserve"> environment, climate change, disaster risk reduction and building resilience </w:t>
      </w:r>
      <w:r w:rsidR="00F06D11" w:rsidRPr="00D7307E">
        <w:rPr>
          <w:b/>
          <w:bCs/>
        </w:rPr>
        <w:t>is judged</w:t>
      </w:r>
      <w:r w:rsidRPr="00D7307E">
        <w:rPr>
          <w:b/>
          <w:bCs/>
        </w:rPr>
        <w:t xml:space="preserve"> </w:t>
      </w:r>
      <w:r w:rsidR="00017062" w:rsidRPr="00D7307E">
        <w:rPr>
          <w:b/>
          <w:bCs/>
        </w:rPr>
        <w:t xml:space="preserve">highly </w:t>
      </w:r>
      <w:r w:rsidRPr="00D7307E">
        <w:rPr>
          <w:b/>
          <w:bCs/>
        </w:rPr>
        <w:t>relevant</w:t>
      </w:r>
      <w:r w:rsidR="008339E2">
        <w:rPr>
          <w:b/>
          <w:bCs/>
        </w:rPr>
        <w:t>. These are</w:t>
      </w:r>
      <w:r w:rsidR="002E20F6" w:rsidRPr="00D7307E">
        <w:rPr>
          <w:b/>
          <w:bCs/>
        </w:rPr>
        <w:t xml:space="preserve"> important </w:t>
      </w:r>
      <w:r w:rsidR="003B6333" w:rsidRPr="00D7307E">
        <w:rPr>
          <w:b/>
          <w:bCs/>
        </w:rPr>
        <w:t>priorit</w:t>
      </w:r>
      <w:r w:rsidR="008339E2">
        <w:rPr>
          <w:b/>
          <w:bCs/>
        </w:rPr>
        <w:t>ies</w:t>
      </w:r>
      <w:r w:rsidR="003B6333" w:rsidRPr="00D7307E">
        <w:rPr>
          <w:b/>
          <w:bCs/>
        </w:rPr>
        <w:t xml:space="preserve"> for </w:t>
      </w:r>
      <w:r w:rsidRPr="00D7307E">
        <w:rPr>
          <w:b/>
          <w:bCs/>
        </w:rPr>
        <w:t>Angola</w:t>
      </w:r>
      <w:r w:rsidR="003B6333" w:rsidRPr="00D7307E">
        <w:rPr>
          <w:b/>
          <w:bCs/>
        </w:rPr>
        <w:t xml:space="preserve">, as reflected in the </w:t>
      </w:r>
      <w:r w:rsidRPr="00D7307E">
        <w:rPr>
          <w:b/>
          <w:bCs/>
        </w:rPr>
        <w:t>NDP</w:t>
      </w:r>
      <w:r w:rsidR="002E20F6" w:rsidRPr="00D7307E">
        <w:rPr>
          <w:b/>
          <w:bCs/>
        </w:rPr>
        <w:t xml:space="preserve">. The interventions </w:t>
      </w:r>
      <w:r w:rsidR="003B6333" w:rsidRPr="00D7307E">
        <w:rPr>
          <w:b/>
          <w:bCs/>
        </w:rPr>
        <w:t xml:space="preserve">are </w:t>
      </w:r>
      <w:r w:rsidR="002E20F6" w:rsidRPr="00D7307E">
        <w:rPr>
          <w:b/>
          <w:bCs/>
        </w:rPr>
        <w:t xml:space="preserve">also well </w:t>
      </w:r>
      <w:r w:rsidR="003B6333" w:rsidRPr="00D7307E">
        <w:rPr>
          <w:b/>
          <w:bCs/>
        </w:rPr>
        <w:t xml:space="preserve">aligned with </w:t>
      </w:r>
      <w:r w:rsidRPr="00D7307E">
        <w:rPr>
          <w:b/>
          <w:bCs/>
        </w:rPr>
        <w:t>the UNSDF (2018-2022)</w:t>
      </w:r>
      <w:r w:rsidR="003B6333" w:rsidRPr="00D7307E">
        <w:rPr>
          <w:b/>
          <w:bCs/>
        </w:rPr>
        <w:t>, the UNDP Strategic Plan and the SDGs</w:t>
      </w:r>
      <w:r w:rsidRPr="00D7307E">
        <w:rPr>
          <w:b/>
          <w:bCs/>
        </w:rPr>
        <w:t>.</w:t>
      </w:r>
    </w:p>
    <w:p w14:paraId="4027D31E" w14:textId="2C5E8C8F" w:rsidR="00201087" w:rsidRDefault="003133EB" w:rsidP="003133EB">
      <w:pPr>
        <w:jc w:val="both"/>
      </w:pPr>
      <w:r>
        <w:t>Angola is endowed with a huge natural resources’ potential in terms of forests, land, water and biodiversity</w:t>
      </w:r>
      <w:r w:rsidR="00C249DE">
        <w:t>,</w:t>
      </w:r>
      <w:r>
        <w:t xml:space="preserve"> the sustainable exploitation of which could provide livelihoods, food security, jobs, as well as spur economic growth and diversification. However, unsustainable use of these resources coupled with climate change has set in motion a process of environmental degradation, loss of biodiversity, increased frequency of drought</w:t>
      </w:r>
      <w:r w:rsidR="00C249DE">
        <w:t>s</w:t>
      </w:r>
      <w:r>
        <w:t xml:space="preserve"> which is affecting the lives and livelihoods of millions of Angolans and hindering economic growth. </w:t>
      </w:r>
      <w:r w:rsidR="005D253E">
        <w:t>Angola’s natural resources are also not been adequately used to spur economic diversification.</w:t>
      </w:r>
    </w:p>
    <w:p w14:paraId="75B33166" w14:textId="3FC81A3B" w:rsidR="007640CB" w:rsidRDefault="003133EB" w:rsidP="003133EB">
      <w:pPr>
        <w:jc w:val="both"/>
      </w:pPr>
      <w:r>
        <w:t>Within the context of its Country Programme, UNDP seeks to address these interrelated challenges</w:t>
      </w:r>
      <w:r w:rsidR="007640CB">
        <w:t xml:space="preserve"> through several interventions.</w:t>
      </w:r>
      <w:r w:rsidR="00017062">
        <w:t xml:space="preserve"> </w:t>
      </w:r>
      <w:r w:rsidR="007640CB">
        <w:t xml:space="preserve">UNDP commits to support low-carbon development. Through policy advice and implementation of GEF projects, UNDP plans to support the Government in the conservation of forest </w:t>
      </w:r>
      <w:r w:rsidR="007640CB">
        <w:lastRenderedPageBreak/>
        <w:t xml:space="preserve">and protected areas by rehabilitating infrastructure, training, equipment, preparation of management plans, surveys of flora and fauna, engagement with communities, combatting illegal wildlife trade, and establishing the first marine protected areas. </w:t>
      </w:r>
    </w:p>
    <w:p w14:paraId="4223A054" w14:textId="7F3DF282" w:rsidR="003133EB" w:rsidRDefault="007640CB" w:rsidP="003133EB">
      <w:pPr>
        <w:jc w:val="both"/>
      </w:pPr>
      <w:r>
        <w:t xml:space="preserve">UNDP </w:t>
      </w:r>
      <w:r w:rsidR="00017062">
        <w:t>intends to</w:t>
      </w:r>
      <w:r>
        <w:t xml:space="preserve"> scale up gender responsive disaster and climate risk management support, building on its demonstrated results, adopting an integrated approach to resilience</w:t>
      </w:r>
      <w:r w:rsidR="00017062">
        <w:t>.</w:t>
      </w:r>
      <w:r>
        <w:t xml:space="preserve"> UNDP </w:t>
      </w:r>
      <w:r w:rsidR="00017062">
        <w:t xml:space="preserve">also </w:t>
      </w:r>
      <w:r w:rsidR="000A5E87">
        <w:t xml:space="preserve">aims to </w:t>
      </w:r>
      <w:r>
        <w:t>help strengthen water management practices at the community level and adopt flood warning systems</w:t>
      </w:r>
      <w:r w:rsidR="00017062">
        <w:t xml:space="preserve"> and </w:t>
      </w:r>
      <w:r>
        <w:t xml:space="preserve">provide training to strengthen capacities to cope with shocks and crises. UNDP </w:t>
      </w:r>
      <w:r w:rsidR="00017062">
        <w:t>plans to</w:t>
      </w:r>
      <w:r>
        <w:t xml:space="preserve"> help to boost investments in building the resilience of the 1.2 million drought-affected people in the south, within the innovative common framework established</w:t>
      </w:r>
      <w:r w:rsidR="00017062">
        <w:t>.</w:t>
      </w:r>
    </w:p>
    <w:p w14:paraId="5C80FE07" w14:textId="6A1234D3" w:rsidR="00F92E94" w:rsidRDefault="00017062" w:rsidP="00F92E94">
      <w:pPr>
        <w:jc w:val="both"/>
      </w:pPr>
      <w:r>
        <w:t xml:space="preserve">Addressing climate change, environment and natural resources’ degradation and building resilience through disaster risk reduction are key priorities enshrined in the NDP of Angola. </w:t>
      </w:r>
      <w:r w:rsidR="00F92E94">
        <w:t>Axis</w:t>
      </w:r>
      <w:r>
        <w:t xml:space="preserve"> 2, in </w:t>
      </w:r>
      <w:r w:rsidR="00F92E94">
        <w:t>particular, Policy</w:t>
      </w:r>
      <w:r w:rsidR="00F92E94" w:rsidRPr="00F85EF7">
        <w:rPr>
          <w:b/>
        </w:rPr>
        <w:t xml:space="preserve"> </w:t>
      </w:r>
      <w:r w:rsidR="00F92E94" w:rsidRPr="00F92E94">
        <w:rPr>
          <w:bCs/>
        </w:rPr>
        <w:t xml:space="preserve">11 (Promotion of Production, Substitution of Imports and Diversification of Exports) and Policy 12 (Environmental Sustainability), Policy 15 (Electric Energy) and Policy 16 (Water and Sanitation) all speak to these issues and underline the importance attached by the Government of Angola </w:t>
      </w:r>
      <w:r w:rsidR="000A5E87">
        <w:rPr>
          <w:bCs/>
        </w:rPr>
        <w:t xml:space="preserve">to these </w:t>
      </w:r>
      <w:r w:rsidR="00F92E94" w:rsidRPr="00F92E94">
        <w:rPr>
          <w:bCs/>
        </w:rPr>
        <w:t>national priorities</w:t>
      </w:r>
      <w:r w:rsidR="00F92E94">
        <w:rPr>
          <w:b/>
        </w:rPr>
        <w:t xml:space="preserve">. </w:t>
      </w:r>
      <w:r w:rsidR="00F92E94" w:rsidRPr="00F92E94">
        <w:rPr>
          <w:bCs/>
        </w:rPr>
        <w:t>Of core importance is Policy 12 which seeks to address</w:t>
      </w:r>
      <w:r w:rsidR="00F92E94">
        <w:rPr>
          <w:b/>
        </w:rPr>
        <w:t xml:space="preserve"> </w:t>
      </w:r>
      <w:r w:rsidR="00F92E94" w:rsidRPr="00F85EF7">
        <w:t>Climate Change</w:t>
      </w:r>
      <w:r w:rsidR="00F92E94">
        <w:t xml:space="preserve">, </w:t>
      </w:r>
      <w:r w:rsidR="00F92E94" w:rsidRPr="00F85EF7">
        <w:t>Biodiversity and Conservation Areas</w:t>
      </w:r>
      <w:r w:rsidR="00F92E94">
        <w:t xml:space="preserve">, </w:t>
      </w:r>
      <w:r w:rsidR="00F92E94" w:rsidRPr="00F85EF7">
        <w:t>Marine Spatial Planning and Ecosystem Health</w:t>
      </w:r>
      <w:r w:rsidR="00F92E94">
        <w:t xml:space="preserve"> and </w:t>
      </w:r>
      <w:r w:rsidR="00F92E94" w:rsidRPr="00F85EF7">
        <w:t>Risk Prevention and Environmental Protection</w:t>
      </w:r>
      <w:r w:rsidR="00F92E94">
        <w:t xml:space="preserve">, all </w:t>
      </w:r>
      <w:r w:rsidR="005D253E">
        <w:t xml:space="preserve">of which </w:t>
      </w:r>
      <w:r w:rsidR="00F92E94">
        <w:t>feature very well in the UNDP Country Programme.</w:t>
      </w:r>
    </w:p>
    <w:p w14:paraId="4A557CA8" w14:textId="3AD57A10" w:rsidR="00F92E94" w:rsidRDefault="009D6633" w:rsidP="00F92E94">
      <w:pPr>
        <w:jc w:val="both"/>
      </w:pPr>
      <w:r>
        <w:t xml:space="preserve">UNDP’s planned interventions are also well aligned with the UNSDF (2018-2022). In particular, Outcome </w:t>
      </w:r>
      <w:r w:rsidRPr="002660C3">
        <w:rPr>
          <w:i/>
          <w:iCs/>
          <w:sz w:val="20"/>
          <w:szCs w:val="20"/>
        </w:rPr>
        <w:t>3</w:t>
      </w:r>
      <w:r w:rsidRPr="009D6633">
        <w:rPr>
          <w:i/>
          <w:iCs/>
        </w:rPr>
        <w:t>: “By 2022, vulnerable population is resilient to climate change and the risk of disasters, having an inclusive and sustainable production; with planning and management of the territory, cities, natural resources and the environment.”</w:t>
      </w:r>
      <w:r w:rsidRPr="009D6633">
        <w:t xml:space="preserve"> </w:t>
      </w:r>
      <w:r>
        <w:t>UNDP action is envisaged in all the planned outputs of this outcome, contributing 44% of the projected UNSDF resources for this area</w:t>
      </w:r>
      <w:r w:rsidR="00C249DE">
        <w:t>. UNDP will</w:t>
      </w:r>
      <w:r>
        <w:t xml:space="preserve"> work with UN and national partners by providing t</w:t>
      </w:r>
      <w:r w:rsidRPr="00E56ACC">
        <w:t>echnical assistance</w:t>
      </w:r>
      <w:r>
        <w:t>,</w:t>
      </w:r>
      <w:r w:rsidRPr="00E56ACC">
        <w:t xml:space="preserve"> advocacy</w:t>
      </w:r>
      <w:r>
        <w:t>,</w:t>
      </w:r>
      <w:r w:rsidRPr="00E56ACC">
        <w:t xml:space="preserve"> service delivery</w:t>
      </w:r>
      <w:r>
        <w:t xml:space="preserve"> and</w:t>
      </w:r>
      <w:r w:rsidRPr="00E56ACC">
        <w:t xml:space="preserve"> capacity building</w:t>
      </w:r>
      <w:r>
        <w:t>.</w:t>
      </w:r>
    </w:p>
    <w:p w14:paraId="7AE84AE9" w14:textId="0E391E95" w:rsidR="00A22933" w:rsidRPr="009D6633" w:rsidRDefault="00A22933" w:rsidP="00F92E94">
      <w:pPr>
        <w:jc w:val="both"/>
        <w:rPr>
          <w:sz w:val="20"/>
          <w:szCs w:val="20"/>
        </w:rPr>
      </w:pPr>
      <w:r>
        <w:t xml:space="preserve">UNDP country programme interventions are closely aligned with the UNDP Strategic Plan, which in priority areas 2 and 3 focus on accelerating structural transformations for sustainable development and building resilience to shocks and crises. Similarly, </w:t>
      </w:r>
      <w:r w:rsidR="000A5E87">
        <w:t>UNDP</w:t>
      </w:r>
      <w:r w:rsidR="005D253E">
        <w:t xml:space="preserve"> Angola</w:t>
      </w:r>
      <w:r w:rsidR="000A5E87">
        <w:t xml:space="preserve">’s planned interventions are in line with </w:t>
      </w:r>
      <w:r w:rsidR="00C249DE">
        <w:t xml:space="preserve">SDG </w:t>
      </w:r>
      <w:r w:rsidR="00CE0161">
        <w:t xml:space="preserve">goals 6 (Clean Water and Sanitation); goal 7 (Affordable clean Energy); goal 12 (Responsible production and consumption); goal 13 (Climate Action); goal 14 (Life below water); and goal 15 (Life on land). </w:t>
      </w:r>
    </w:p>
    <w:p w14:paraId="52DB07D4" w14:textId="15023D71" w:rsidR="00201087" w:rsidRPr="00201087" w:rsidRDefault="00201087" w:rsidP="00790AD5">
      <w:pPr>
        <w:pStyle w:val="Heading3"/>
        <w:numPr>
          <w:ilvl w:val="2"/>
          <w:numId w:val="51"/>
        </w:numPr>
        <w:rPr>
          <w:rFonts w:asciiTheme="minorHAnsi" w:hAnsiTheme="minorHAnsi" w:cstheme="minorHAnsi"/>
          <w:sz w:val="22"/>
          <w:szCs w:val="22"/>
        </w:rPr>
      </w:pPr>
      <w:bookmarkStart w:id="47" w:name="_Toc88741795"/>
      <w:r w:rsidRPr="00201087">
        <w:rPr>
          <w:rFonts w:asciiTheme="minorHAnsi" w:hAnsiTheme="minorHAnsi" w:cstheme="minorHAnsi"/>
          <w:sz w:val="22"/>
          <w:szCs w:val="22"/>
        </w:rPr>
        <w:t>Effectiveness</w:t>
      </w:r>
      <w:bookmarkEnd w:id="47"/>
    </w:p>
    <w:p w14:paraId="1178D60E" w14:textId="77777777" w:rsidR="004C5F3A" w:rsidRDefault="00CE3A09" w:rsidP="00FB24C5">
      <w:pPr>
        <w:jc w:val="both"/>
      </w:pPr>
      <w:r>
        <w:t xml:space="preserve">Under the Country programme, UNDP intended to </w:t>
      </w:r>
      <w:r w:rsidR="003174C3">
        <w:t>support government</w:t>
      </w:r>
      <w:r w:rsidRPr="00CE3A09">
        <w:t xml:space="preserve"> </w:t>
      </w:r>
      <w:r w:rsidR="003174C3">
        <w:t xml:space="preserve">in </w:t>
      </w:r>
      <w:r w:rsidR="002D4A23">
        <w:t>this</w:t>
      </w:r>
      <w:r w:rsidR="008339E2">
        <w:t xml:space="preserve"> outcome</w:t>
      </w:r>
      <w:r w:rsidR="002D4A23">
        <w:t xml:space="preserve"> in a variety of ways</w:t>
      </w:r>
      <w:r w:rsidR="000A5E87">
        <w:t>:</w:t>
      </w:r>
      <w:r w:rsidR="002D4A23">
        <w:t xml:space="preserve"> it </w:t>
      </w:r>
      <w:r w:rsidR="005D253E">
        <w:t>sought to</w:t>
      </w:r>
      <w:r w:rsidR="002D4A23">
        <w:t xml:space="preserve"> support government to i</w:t>
      </w:r>
      <w:r w:rsidRPr="00CE3A09">
        <w:t>mplement low-carbon development pathways and promote renewable energy access</w:t>
      </w:r>
      <w:r>
        <w:t>, including promoting</w:t>
      </w:r>
      <w:r w:rsidRPr="00CE3A09">
        <w:t xml:space="preserve"> low emission and/or climate-resilient development in development plans and strategies</w:t>
      </w:r>
      <w:r w:rsidR="000A5E87">
        <w:t>;</w:t>
      </w:r>
      <w:r w:rsidR="002D4A23">
        <w:t xml:space="preserve"> </w:t>
      </w:r>
      <w:r w:rsidR="00477C0A">
        <w:t xml:space="preserve">and </w:t>
      </w:r>
      <w:r w:rsidR="002D4A23">
        <w:t>s</w:t>
      </w:r>
      <w:r>
        <w:t>cale up s</w:t>
      </w:r>
      <w:r w:rsidRPr="00CE3A09">
        <w:t xml:space="preserve">olutions for sustainable management of natural resources, including sustainable commodities and green and inclusive value chains. Natural resources that </w:t>
      </w:r>
      <w:r>
        <w:t>will be</w:t>
      </w:r>
      <w:r w:rsidRPr="00CE3A09">
        <w:t xml:space="preserve"> managed under a sustainable use, conservation, </w:t>
      </w:r>
      <w:r>
        <w:t xml:space="preserve">with </w:t>
      </w:r>
      <w:r w:rsidRPr="00CE3A09">
        <w:t>access and benefit -sharing regime</w:t>
      </w:r>
      <w:r>
        <w:t xml:space="preserve"> include</w:t>
      </w:r>
      <w:r w:rsidRPr="00CE3A09">
        <w:t>: (a) marine habitat; (b) protected area</w:t>
      </w:r>
      <w:r w:rsidR="003174C3">
        <w:t>s</w:t>
      </w:r>
      <w:r w:rsidRPr="00CE3A09">
        <w:t xml:space="preserve">; (c) shared water ecosystems (fresh or marine; (d) </w:t>
      </w:r>
      <w:r>
        <w:t xml:space="preserve">reduction of </w:t>
      </w:r>
      <w:r w:rsidRPr="00CE3A09">
        <w:t xml:space="preserve">harmful chemicals </w:t>
      </w:r>
      <w:r>
        <w:t>and their</w:t>
      </w:r>
      <w:r w:rsidRPr="00CE3A09">
        <w:t xml:space="preserve"> dispos</w:t>
      </w:r>
      <w:r>
        <w:t>al</w:t>
      </w:r>
      <w:r w:rsidRPr="00CE3A09">
        <w:t>;</w:t>
      </w:r>
      <w:r w:rsidR="003174C3">
        <w:t xml:space="preserve"> and</w:t>
      </w:r>
      <w:r w:rsidRPr="00CE3A09">
        <w:t xml:space="preserve"> (e) solid waste recycling. </w:t>
      </w:r>
    </w:p>
    <w:p w14:paraId="3B325644" w14:textId="77777777" w:rsidR="004C5F3A" w:rsidRDefault="002D4A23" w:rsidP="00FB24C5">
      <w:pPr>
        <w:jc w:val="both"/>
      </w:pPr>
      <w:r>
        <w:t>UNDP plans to s</w:t>
      </w:r>
      <w:r w:rsidR="003174C3">
        <w:t xml:space="preserve">trengthen capacities of </w:t>
      </w:r>
      <w:r w:rsidR="00CE3A09" w:rsidRPr="00CE3A09">
        <w:t xml:space="preserve">vulnerable communities to respond to natural and human-induced risks and disasters and adapt to climate change. </w:t>
      </w:r>
      <w:r w:rsidR="003174C3">
        <w:t xml:space="preserve">This will include, setting up </w:t>
      </w:r>
      <w:r w:rsidR="00CE3A09" w:rsidRPr="00CE3A09">
        <w:t xml:space="preserve">operational agrometeorological monitoring and early warning systems to limit the gender-differentiated impact of natural hazards. </w:t>
      </w:r>
      <w:r w:rsidR="001601AD">
        <w:t>Finally,</w:t>
      </w:r>
      <w:r>
        <w:t xml:space="preserve"> UNDP plans to e</w:t>
      </w:r>
      <w:r w:rsidR="003174C3">
        <w:t xml:space="preserve">nhance </w:t>
      </w:r>
      <w:r w:rsidR="00CE3A09" w:rsidRPr="00CE3A09">
        <w:t xml:space="preserve">technical and financial capacities </w:t>
      </w:r>
      <w:r w:rsidR="003174C3">
        <w:t xml:space="preserve">of government </w:t>
      </w:r>
      <w:r w:rsidR="00CE3A09" w:rsidRPr="00CE3A09">
        <w:t xml:space="preserve">to </w:t>
      </w:r>
      <w:r w:rsidR="00CE3A09" w:rsidRPr="00CE3A09">
        <w:lastRenderedPageBreak/>
        <w:t xml:space="preserve">support drought recovery and resilience building in the southern provinces. </w:t>
      </w:r>
      <w:r w:rsidR="003174C3">
        <w:t xml:space="preserve">This will be done through designing, budgeting, implementing and monitoring of </w:t>
      </w:r>
      <w:r w:rsidR="00CE3A09" w:rsidRPr="00CE3A09">
        <w:t>gender-responsive disaster risk reduction plans/strategies</w:t>
      </w:r>
      <w:r w:rsidR="003174C3">
        <w:t>,</w:t>
      </w:r>
      <w:r w:rsidR="00CE3A09" w:rsidRPr="00CE3A09">
        <w:t xml:space="preserve"> in accordance with the drought recovery framework, the Sendai Framework for Disaster Risk reduction, and the NDP, 2018- 2022. </w:t>
      </w:r>
    </w:p>
    <w:p w14:paraId="5BC913F1" w14:textId="318FCA80" w:rsidR="00FB24C5" w:rsidRDefault="001601AD" w:rsidP="00FB24C5">
      <w:pPr>
        <w:jc w:val="both"/>
      </w:pPr>
      <w:r>
        <w:t>I</w:t>
      </w:r>
      <w:r w:rsidR="00FB24C5">
        <w:t xml:space="preserve">n connection with the above, UNDP is implementing seven projects as shown in Table </w:t>
      </w:r>
      <w:r w:rsidR="00D13FF4">
        <w:t>10</w:t>
      </w:r>
      <w:r w:rsidR="00FB24C5">
        <w:t xml:space="preserve"> below.</w:t>
      </w:r>
      <w:r w:rsidR="00CE0161">
        <w:t xml:space="preserve"> </w:t>
      </w:r>
      <w:r w:rsidR="00B234E8">
        <w:t xml:space="preserve">The total resources committed to this outcome amounts to US$ 13.9 million, or 21% of CPD budget. </w:t>
      </w:r>
      <w:r w:rsidR="00CE0161">
        <w:t>Annex 8 presents a su</w:t>
      </w:r>
      <w:r w:rsidR="00430A03">
        <w:t>mm</w:t>
      </w:r>
      <w:r w:rsidR="00CE0161">
        <w:t>ary of the key results a</w:t>
      </w:r>
      <w:r w:rsidR="00430A03">
        <w:t>c</w:t>
      </w:r>
      <w:r w:rsidR="00CE0161">
        <w:t>hie</w:t>
      </w:r>
      <w:r w:rsidR="00430A03">
        <w:t>v</w:t>
      </w:r>
      <w:r w:rsidR="00CE0161">
        <w:t>ed relati</w:t>
      </w:r>
      <w:r w:rsidR="00430A03">
        <w:t>v</w:t>
      </w:r>
      <w:r w:rsidR="00CE0161">
        <w:t>e to the indi</w:t>
      </w:r>
      <w:r w:rsidR="00430A03">
        <w:t>c</w:t>
      </w:r>
      <w:r w:rsidR="00CE0161">
        <w:t xml:space="preserve">ators of the results </w:t>
      </w:r>
      <w:r w:rsidR="00430A03">
        <w:t>matrix and these are further elaborated below.</w:t>
      </w:r>
    </w:p>
    <w:p w14:paraId="377FC2DD" w14:textId="36324945" w:rsidR="00FB24C5" w:rsidRPr="00FB24C5" w:rsidRDefault="00FB24C5" w:rsidP="00FB24C5">
      <w:pPr>
        <w:jc w:val="both"/>
        <w:rPr>
          <w:b/>
          <w:bCs/>
        </w:rPr>
      </w:pPr>
      <w:r w:rsidRPr="00FB24C5">
        <w:rPr>
          <w:b/>
          <w:bCs/>
        </w:rPr>
        <w:t xml:space="preserve">Table </w:t>
      </w:r>
      <w:r w:rsidR="00D13FF4">
        <w:rPr>
          <w:b/>
          <w:bCs/>
        </w:rPr>
        <w:t>10</w:t>
      </w:r>
      <w:r w:rsidRPr="00FB24C5">
        <w:rPr>
          <w:b/>
          <w:bCs/>
        </w:rPr>
        <w:t xml:space="preserve">: </w:t>
      </w:r>
      <w:r>
        <w:rPr>
          <w:b/>
          <w:bCs/>
        </w:rPr>
        <w:t>UNDP</w:t>
      </w:r>
      <w:r w:rsidRPr="00FB24C5">
        <w:rPr>
          <w:b/>
          <w:bCs/>
        </w:rPr>
        <w:t xml:space="preserve"> Projects </w:t>
      </w:r>
      <w:r w:rsidR="005D4572">
        <w:rPr>
          <w:b/>
          <w:bCs/>
        </w:rPr>
        <w:t>in</w:t>
      </w:r>
      <w:r w:rsidRPr="00FB24C5">
        <w:rPr>
          <w:b/>
          <w:bCs/>
        </w:rPr>
        <w:t xml:space="preserve"> the Environment, Climate Change and Disaster Risk Reduction Cluster</w:t>
      </w:r>
    </w:p>
    <w:tbl>
      <w:tblPr>
        <w:tblStyle w:val="GridTable1Light"/>
        <w:tblW w:w="10070" w:type="dxa"/>
        <w:tblLook w:val="04A0" w:firstRow="1" w:lastRow="0" w:firstColumn="1" w:lastColumn="0" w:noHBand="0" w:noVBand="1"/>
      </w:tblPr>
      <w:tblGrid>
        <w:gridCol w:w="704"/>
        <w:gridCol w:w="2976"/>
        <w:gridCol w:w="3060"/>
        <w:gridCol w:w="1800"/>
        <w:gridCol w:w="1530"/>
      </w:tblGrid>
      <w:tr w:rsidR="00FB24C5" w14:paraId="74A18436" w14:textId="77777777" w:rsidTr="00FB24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FED7987" w14:textId="07C714E9" w:rsidR="00FB24C5" w:rsidRPr="00C94754" w:rsidRDefault="00FB24C5" w:rsidP="009E3469">
            <w:pPr>
              <w:jc w:val="right"/>
              <w:rPr>
                <w:rFonts w:ascii="Calibri" w:eastAsia="Times New Roman" w:hAnsi="Calibri" w:cs="Calibri"/>
                <w:color w:val="000000"/>
                <w:sz w:val="20"/>
                <w:szCs w:val="20"/>
                <w:lang w:eastAsia="pt-PT"/>
              </w:rPr>
            </w:pPr>
            <w:r>
              <w:rPr>
                <w:rFonts w:ascii="Calibri" w:eastAsia="Times New Roman" w:hAnsi="Calibri" w:cs="Calibri"/>
                <w:color w:val="000000"/>
                <w:sz w:val="20"/>
                <w:szCs w:val="20"/>
                <w:lang w:eastAsia="pt-PT"/>
              </w:rPr>
              <w:t>No.</w:t>
            </w:r>
          </w:p>
        </w:tc>
        <w:tc>
          <w:tcPr>
            <w:tcW w:w="2976" w:type="dxa"/>
          </w:tcPr>
          <w:p w14:paraId="045C34E5" w14:textId="4A0A1B64" w:rsidR="00FB24C5" w:rsidRPr="00C94754" w:rsidRDefault="00FB24C5" w:rsidP="009E346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Pr>
                <w:rFonts w:ascii="Calibri" w:eastAsia="Times New Roman" w:hAnsi="Calibri" w:cs="Calibri"/>
                <w:color w:val="000000"/>
                <w:sz w:val="20"/>
                <w:szCs w:val="20"/>
                <w:lang w:eastAsia="pt-PT"/>
              </w:rPr>
              <w:t>Project Title</w:t>
            </w:r>
          </w:p>
        </w:tc>
        <w:tc>
          <w:tcPr>
            <w:tcW w:w="3060" w:type="dxa"/>
          </w:tcPr>
          <w:p w14:paraId="6065EA9D" w14:textId="0A11F4EA" w:rsidR="00FB24C5" w:rsidRPr="00C94754" w:rsidRDefault="00FB24C5" w:rsidP="009E346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Pr>
                <w:rFonts w:ascii="Calibri" w:eastAsia="Times New Roman" w:hAnsi="Calibri" w:cs="Calibri"/>
                <w:color w:val="000000"/>
                <w:sz w:val="20"/>
                <w:szCs w:val="20"/>
                <w:lang w:eastAsia="pt-PT"/>
              </w:rPr>
              <w:t>Government Partner</w:t>
            </w:r>
          </w:p>
        </w:tc>
        <w:tc>
          <w:tcPr>
            <w:tcW w:w="1800" w:type="dxa"/>
          </w:tcPr>
          <w:p w14:paraId="40E6766E" w14:textId="490A061B" w:rsidR="00FB24C5" w:rsidRPr="00C94754" w:rsidRDefault="00FB24C5" w:rsidP="009E3469">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Pr>
                <w:rFonts w:ascii="Calibri" w:eastAsia="Times New Roman" w:hAnsi="Calibri" w:cs="Calibri"/>
                <w:color w:val="000000"/>
                <w:sz w:val="20"/>
                <w:szCs w:val="20"/>
                <w:lang w:eastAsia="pt-PT"/>
              </w:rPr>
              <w:t>Private Sector Partner</w:t>
            </w:r>
          </w:p>
        </w:tc>
        <w:tc>
          <w:tcPr>
            <w:tcW w:w="1530" w:type="dxa"/>
          </w:tcPr>
          <w:p w14:paraId="645A3B4A" w14:textId="0261881C" w:rsidR="00FB24C5" w:rsidRPr="00C94754" w:rsidRDefault="00FB24C5" w:rsidP="009E3469">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Pr>
                <w:rFonts w:ascii="Calibri" w:eastAsia="Times New Roman" w:hAnsi="Calibri" w:cs="Calibri"/>
                <w:color w:val="000000"/>
                <w:sz w:val="20"/>
                <w:szCs w:val="20"/>
                <w:lang w:eastAsia="pt-PT"/>
              </w:rPr>
              <w:t>Budget</w:t>
            </w:r>
          </w:p>
        </w:tc>
      </w:tr>
      <w:tr w:rsidR="00FB24C5" w14:paraId="2AF5D92C" w14:textId="77777777" w:rsidTr="00FB24C5">
        <w:tc>
          <w:tcPr>
            <w:cnfStyle w:val="001000000000" w:firstRow="0" w:lastRow="0" w:firstColumn="1" w:lastColumn="0" w:oddVBand="0" w:evenVBand="0" w:oddHBand="0" w:evenHBand="0" w:firstRowFirstColumn="0" w:firstRowLastColumn="0" w:lastRowFirstColumn="0" w:lastRowLastColumn="0"/>
            <w:tcW w:w="704" w:type="dxa"/>
          </w:tcPr>
          <w:p w14:paraId="1FC861B6" w14:textId="77777777" w:rsidR="00FB24C5" w:rsidRPr="00C94754" w:rsidRDefault="00FB24C5" w:rsidP="009E3469">
            <w:pPr>
              <w:jc w:val="right"/>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2.1</w:t>
            </w:r>
          </w:p>
        </w:tc>
        <w:tc>
          <w:tcPr>
            <w:tcW w:w="2976" w:type="dxa"/>
          </w:tcPr>
          <w:p w14:paraId="65594C65" w14:textId="77777777" w:rsidR="00FB24C5" w:rsidRPr="00C94754" w:rsidRDefault="00FB24C5" w:rsidP="009E34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Strengthening Disaster Risk Management (DRM) institutional frameworks and capacities</w:t>
            </w:r>
          </w:p>
        </w:tc>
        <w:tc>
          <w:tcPr>
            <w:tcW w:w="3060" w:type="dxa"/>
          </w:tcPr>
          <w:p w14:paraId="2DD4B142" w14:textId="77777777" w:rsidR="00FB24C5" w:rsidRPr="00C94754" w:rsidRDefault="00FB24C5" w:rsidP="009E34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Ministry of Interior - Civil Protection National Commission</w:t>
            </w:r>
          </w:p>
        </w:tc>
        <w:tc>
          <w:tcPr>
            <w:tcW w:w="1800" w:type="dxa"/>
          </w:tcPr>
          <w:p w14:paraId="53A10066" w14:textId="77777777" w:rsidR="00FB24C5" w:rsidRPr="00C94754" w:rsidRDefault="00FB24C5"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w:t>
            </w:r>
          </w:p>
        </w:tc>
        <w:tc>
          <w:tcPr>
            <w:tcW w:w="1530" w:type="dxa"/>
          </w:tcPr>
          <w:p w14:paraId="62993792" w14:textId="77777777" w:rsidR="00FB24C5" w:rsidRPr="00C94754" w:rsidRDefault="00FB24C5" w:rsidP="009E34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$3 004 359</w:t>
            </w:r>
          </w:p>
        </w:tc>
      </w:tr>
      <w:tr w:rsidR="00FB24C5" w14:paraId="2CF18DDC" w14:textId="77777777" w:rsidTr="00FB24C5">
        <w:tc>
          <w:tcPr>
            <w:cnfStyle w:val="001000000000" w:firstRow="0" w:lastRow="0" w:firstColumn="1" w:lastColumn="0" w:oddVBand="0" w:evenVBand="0" w:oddHBand="0" w:evenHBand="0" w:firstRowFirstColumn="0" w:firstRowLastColumn="0" w:lastRowFirstColumn="0" w:lastRowLastColumn="0"/>
            <w:tcW w:w="704" w:type="dxa"/>
          </w:tcPr>
          <w:p w14:paraId="34992D80" w14:textId="77777777" w:rsidR="00FB24C5" w:rsidRPr="00C94754" w:rsidRDefault="00FB24C5" w:rsidP="009E3469">
            <w:pPr>
              <w:jc w:val="right"/>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2.2</w:t>
            </w:r>
          </w:p>
        </w:tc>
        <w:tc>
          <w:tcPr>
            <w:tcW w:w="2976" w:type="dxa"/>
          </w:tcPr>
          <w:p w14:paraId="73734A09" w14:textId="77777777" w:rsidR="00FB24C5" w:rsidRPr="00C94754" w:rsidRDefault="00FB24C5" w:rsidP="009E34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Promoting climate-resilient development and enhanced adaptive capacity to withstand disaster risks in Angolan’s Cuvelai River Basin</w:t>
            </w:r>
          </w:p>
        </w:tc>
        <w:tc>
          <w:tcPr>
            <w:tcW w:w="3060" w:type="dxa"/>
          </w:tcPr>
          <w:p w14:paraId="28EC2080" w14:textId="77777777" w:rsidR="00FB24C5" w:rsidRPr="00C94754" w:rsidRDefault="00FB24C5" w:rsidP="009E34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Ministry of Culture, Tourism and Environment - National Directorate of Environment and Climate Action</w:t>
            </w:r>
          </w:p>
        </w:tc>
        <w:tc>
          <w:tcPr>
            <w:tcW w:w="1800" w:type="dxa"/>
          </w:tcPr>
          <w:p w14:paraId="05A79144" w14:textId="77777777" w:rsidR="00FB24C5" w:rsidRPr="00C94754" w:rsidRDefault="00FB24C5"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w:t>
            </w:r>
          </w:p>
        </w:tc>
        <w:tc>
          <w:tcPr>
            <w:tcW w:w="1530" w:type="dxa"/>
          </w:tcPr>
          <w:p w14:paraId="087C8B1D" w14:textId="77777777" w:rsidR="00FB24C5" w:rsidRPr="00C94754" w:rsidRDefault="00FB24C5" w:rsidP="009E34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$7 492 446</w:t>
            </w:r>
          </w:p>
        </w:tc>
      </w:tr>
      <w:tr w:rsidR="00FB24C5" w14:paraId="31FF9169" w14:textId="77777777" w:rsidTr="00FB24C5">
        <w:tc>
          <w:tcPr>
            <w:cnfStyle w:val="001000000000" w:firstRow="0" w:lastRow="0" w:firstColumn="1" w:lastColumn="0" w:oddVBand="0" w:evenVBand="0" w:oddHBand="0" w:evenHBand="0" w:firstRowFirstColumn="0" w:firstRowLastColumn="0" w:lastRowFirstColumn="0" w:lastRowLastColumn="0"/>
            <w:tcW w:w="704" w:type="dxa"/>
          </w:tcPr>
          <w:p w14:paraId="49DBFED9" w14:textId="77777777" w:rsidR="00FB24C5" w:rsidRPr="00C94754" w:rsidRDefault="00FB24C5" w:rsidP="009E3469">
            <w:pPr>
              <w:jc w:val="right"/>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2.3</w:t>
            </w:r>
          </w:p>
        </w:tc>
        <w:tc>
          <w:tcPr>
            <w:tcW w:w="2976" w:type="dxa"/>
          </w:tcPr>
          <w:p w14:paraId="17CCA114" w14:textId="77777777" w:rsidR="00FB24C5" w:rsidRPr="00C94754" w:rsidRDefault="00FB24C5" w:rsidP="009E34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Addressing urgent coastal adaptation needs and capacity gaps in Angola</w:t>
            </w:r>
          </w:p>
        </w:tc>
        <w:tc>
          <w:tcPr>
            <w:tcW w:w="3060" w:type="dxa"/>
          </w:tcPr>
          <w:p w14:paraId="204C325E" w14:textId="77777777" w:rsidR="00FB24C5" w:rsidRPr="00C94754" w:rsidRDefault="00FB24C5" w:rsidP="009E34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Ministry of Culture, Tourism and Environment - National Directorate of Environment and Climate Action</w:t>
            </w:r>
          </w:p>
        </w:tc>
        <w:tc>
          <w:tcPr>
            <w:tcW w:w="1800" w:type="dxa"/>
          </w:tcPr>
          <w:p w14:paraId="2634F92C" w14:textId="77777777" w:rsidR="00FB24C5" w:rsidRPr="00C94754" w:rsidRDefault="00FB24C5"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w:t>
            </w:r>
          </w:p>
        </w:tc>
        <w:tc>
          <w:tcPr>
            <w:tcW w:w="1530" w:type="dxa"/>
          </w:tcPr>
          <w:p w14:paraId="5947C93A" w14:textId="77777777" w:rsidR="00FB24C5" w:rsidRPr="00C94754" w:rsidRDefault="00FB24C5" w:rsidP="009E34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$459 358</w:t>
            </w:r>
          </w:p>
        </w:tc>
      </w:tr>
      <w:tr w:rsidR="00FB24C5" w14:paraId="40616917" w14:textId="77777777" w:rsidTr="00FB24C5">
        <w:tc>
          <w:tcPr>
            <w:cnfStyle w:val="001000000000" w:firstRow="0" w:lastRow="0" w:firstColumn="1" w:lastColumn="0" w:oddVBand="0" w:evenVBand="0" w:oddHBand="0" w:evenHBand="0" w:firstRowFirstColumn="0" w:firstRowLastColumn="0" w:lastRowFirstColumn="0" w:lastRowLastColumn="0"/>
            <w:tcW w:w="704" w:type="dxa"/>
          </w:tcPr>
          <w:p w14:paraId="347A2CBB" w14:textId="77777777" w:rsidR="00FB24C5" w:rsidRPr="00C94754" w:rsidRDefault="00FB24C5" w:rsidP="009E3469">
            <w:pPr>
              <w:jc w:val="right"/>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2.4</w:t>
            </w:r>
          </w:p>
        </w:tc>
        <w:tc>
          <w:tcPr>
            <w:tcW w:w="2976" w:type="dxa"/>
          </w:tcPr>
          <w:p w14:paraId="4E12D5A1" w14:textId="77777777" w:rsidR="00FB24C5" w:rsidRPr="00C94754" w:rsidRDefault="00FB24C5" w:rsidP="009E34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Promotion of Sustainable Charcoal in Angola through a Value Chain Approach</w:t>
            </w:r>
          </w:p>
        </w:tc>
        <w:tc>
          <w:tcPr>
            <w:tcW w:w="3060" w:type="dxa"/>
          </w:tcPr>
          <w:p w14:paraId="439A5735" w14:textId="77777777" w:rsidR="00FB24C5" w:rsidRPr="00C94754" w:rsidRDefault="00FB24C5" w:rsidP="009E34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Ministry of Culture, Tourism and Environment - National Directorate of Environment and Climate Action</w:t>
            </w:r>
          </w:p>
        </w:tc>
        <w:tc>
          <w:tcPr>
            <w:tcW w:w="1800" w:type="dxa"/>
          </w:tcPr>
          <w:p w14:paraId="13105E4E" w14:textId="77777777" w:rsidR="00FB24C5" w:rsidRPr="00C94754" w:rsidRDefault="00FB24C5"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w:t>
            </w:r>
          </w:p>
        </w:tc>
        <w:tc>
          <w:tcPr>
            <w:tcW w:w="1530" w:type="dxa"/>
          </w:tcPr>
          <w:p w14:paraId="75FE85D6" w14:textId="77777777" w:rsidR="00FB24C5" w:rsidRPr="00C94754" w:rsidRDefault="00FB24C5" w:rsidP="009E34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$905 001</w:t>
            </w:r>
          </w:p>
        </w:tc>
      </w:tr>
      <w:tr w:rsidR="00FB24C5" w14:paraId="0A802174" w14:textId="77777777" w:rsidTr="00FB24C5">
        <w:tc>
          <w:tcPr>
            <w:cnfStyle w:val="001000000000" w:firstRow="0" w:lastRow="0" w:firstColumn="1" w:lastColumn="0" w:oddVBand="0" w:evenVBand="0" w:oddHBand="0" w:evenHBand="0" w:firstRowFirstColumn="0" w:firstRowLastColumn="0" w:lastRowFirstColumn="0" w:lastRowLastColumn="0"/>
            <w:tcW w:w="704" w:type="dxa"/>
          </w:tcPr>
          <w:p w14:paraId="7409650E" w14:textId="77777777" w:rsidR="00FB24C5" w:rsidRPr="00C94754" w:rsidRDefault="00FB24C5" w:rsidP="009E3469">
            <w:pPr>
              <w:jc w:val="right"/>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2.5</w:t>
            </w:r>
          </w:p>
        </w:tc>
        <w:tc>
          <w:tcPr>
            <w:tcW w:w="2976" w:type="dxa"/>
          </w:tcPr>
          <w:p w14:paraId="2776B1CA" w14:textId="1979ED25" w:rsidR="00FB24C5" w:rsidRPr="00C94754" w:rsidRDefault="00FB24C5" w:rsidP="009E34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Expansion and strengthening of Angola’s Protected Area system</w:t>
            </w:r>
          </w:p>
        </w:tc>
        <w:tc>
          <w:tcPr>
            <w:tcW w:w="3060" w:type="dxa"/>
          </w:tcPr>
          <w:p w14:paraId="0F8F54D9" w14:textId="77777777" w:rsidR="00FB24C5" w:rsidRPr="00C94754" w:rsidRDefault="00FB24C5" w:rsidP="009E34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Ministry of Culture, Tourism and Environment - National Biodiversity and Conservation Institute</w:t>
            </w:r>
          </w:p>
        </w:tc>
        <w:tc>
          <w:tcPr>
            <w:tcW w:w="1800" w:type="dxa"/>
          </w:tcPr>
          <w:p w14:paraId="08B6C0BB" w14:textId="77777777" w:rsidR="00FB24C5" w:rsidRPr="00C94754" w:rsidRDefault="00FB24C5"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w:t>
            </w:r>
          </w:p>
        </w:tc>
        <w:tc>
          <w:tcPr>
            <w:tcW w:w="1530" w:type="dxa"/>
          </w:tcPr>
          <w:p w14:paraId="660C8CBD" w14:textId="77777777" w:rsidR="00FB24C5" w:rsidRPr="00C94754" w:rsidRDefault="00FB24C5" w:rsidP="009E34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$0</w:t>
            </w:r>
          </w:p>
        </w:tc>
      </w:tr>
      <w:tr w:rsidR="00FB24C5" w14:paraId="44527096" w14:textId="77777777" w:rsidTr="00FB24C5">
        <w:tc>
          <w:tcPr>
            <w:cnfStyle w:val="001000000000" w:firstRow="0" w:lastRow="0" w:firstColumn="1" w:lastColumn="0" w:oddVBand="0" w:evenVBand="0" w:oddHBand="0" w:evenHBand="0" w:firstRowFirstColumn="0" w:firstRowLastColumn="0" w:lastRowFirstColumn="0" w:lastRowLastColumn="0"/>
            <w:tcW w:w="704" w:type="dxa"/>
          </w:tcPr>
          <w:p w14:paraId="70901D1B" w14:textId="77777777" w:rsidR="00FB24C5" w:rsidRPr="00C94754" w:rsidRDefault="00FB24C5" w:rsidP="009E3469">
            <w:pPr>
              <w:jc w:val="right"/>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2.6</w:t>
            </w:r>
          </w:p>
        </w:tc>
        <w:tc>
          <w:tcPr>
            <w:tcW w:w="2976" w:type="dxa"/>
          </w:tcPr>
          <w:p w14:paraId="63B976F6" w14:textId="77777777" w:rsidR="00FB24C5" w:rsidRPr="00C94754" w:rsidRDefault="00FB24C5" w:rsidP="009E34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Creation of Marine Protected Areas in Angola</w:t>
            </w:r>
          </w:p>
        </w:tc>
        <w:tc>
          <w:tcPr>
            <w:tcW w:w="3060" w:type="dxa"/>
          </w:tcPr>
          <w:p w14:paraId="5D15B9C5" w14:textId="77777777" w:rsidR="00FB24C5" w:rsidRPr="00C94754" w:rsidRDefault="00FB24C5" w:rsidP="009E34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Ministry of Culture, Tourism and Environment - National Biodiversity and Conservation Institute</w:t>
            </w:r>
          </w:p>
        </w:tc>
        <w:tc>
          <w:tcPr>
            <w:tcW w:w="1800" w:type="dxa"/>
          </w:tcPr>
          <w:p w14:paraId="2584A4D1" w14:textId="77777777" w:rsidR="00FB24C5" w:rsidRPr="00C94754" w:rsidRDefault="00FB24C5"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w:t>
            </w:r>
          </w:p>
        </w:tc>
        <w:tc>
          <w:tcPr>
            <w:tcW w:w="1530" w:type="dxa"/>
          </w:tcPr>
          <w:p w14:paraId="6CB3AF21" w14:textId="77777777" w:rsidR="00FB24C5" w:rsidRPr="00C94754" w:rsidRDefault="00FB24C5" w:rsidP="009E34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$1 008 500</w:t>
            </w:r>
          </w:p>
        </w:tc>
      </w:tr>
      <w:tr w:rsidR="00FB24C5" w14:paraId="6B446F8D" w14:textId="77777777" w:rsidTr="00FB24C5">
        <w:tc>
          <w:tcPr>
            <w:cnfStyle w:val="001000000000" w:firstRow="0" w:lastRow="0" w:firstColumn="1" w:lastColumn="0" w:oddVBand="0" w:evenVBand="0" w:oddHBand="0" w:evenHBand="0" w:firstRowFirstColumn="0" w:firstRowLastColumn="0" w:lastRowFirstColumn="0" w:lastRowLastColumn="0"/>
            <w:tcW w:w="704" w:type="dxa"/>
          </w:tcPr>
          <w:p w14:paraId="29B5FE0A" w14:textId="77777777" w:rsidR="00FB24C5" w:rsidRPr="00C94754" w:rsidRDefault="00FB24C5" w:rsidP="009E3469">
            <w:pPr>
              <w:jc w:val="right"/>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2.7</w:t>
            </w:r>
          </w:p>
        </w:tc>
        <w:tc>
          <w:tcPr>
            <w:tcW w:w="2976" w:type="dxa"/>
          </w:tcPr>
          <w:p w14:paraId="45DF8D6A" w14:textId="77777777" w:rsidR="00FB24C5" w:rsidRPr="00C94754" w:rsidRDefault="00FB24C5" w:rsidP="009E34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Combating Illegal Wildlife Trade and Human Wildlife Conflict in Angola</w:t>
            </w:r>
          </w:p>
        </w:tc>
        <w:tc>
          <w:tcPr>
            <w:tcW w:w="3060" w:type="dxa"/>
          </w:tcPr>
          <w:p w14:paraId="2C40F5CC" w14:textId="77777777" w:rsidR="00FB24C5" w:rsidRPr="00C94754" w:rsidRDefault="00FB24C5" w:rsidP="009E34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Ministry of Culture, Tourism and Environment - National Biodiversity and Conservation Institute</w:t>
            </w:r>
          </w:p>
        </w:tc>
        <w:tc>
          <w:tcPr>
            <w:tcW w:w="1800" w:type="dxa"/>
          </w:tcPr>
          <w:p w14:paraId="5322683A" w14:textId="77777777" w:rsidR="00FB24C5" w:rsidRPr="00C94754" w:rsidRDefault="00FB24C5"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w:t>
            </w:r>
          </w:p>
        </w:tc>
        <w:tc>
          <w:tcPr>
            <w:tcW w:w="1530" w:type="dxa"/>
          </w:tcPr>
          <w:p w14:paraId="6A056018" w14:textId="77777777" w:rsidR="00FB24C5" w:rsidRPr="00C94754" w:rsidRDefault="00FB24C5" w:rsidP="009E34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$986 265</w:t>
            </w:r>
          </w:p>
        </w:tc>
      </w:tr>
      <w:tr w:rsidR="00FB24C5" w14:paraId="17DD9B5B" w14:textId="77777777" w:rsidTr="00FB24C5">
        <w:tc>
          <w:tcPr>
            <w:cnfStyle w:val="001000000000" w:firstRow="0" w:lastRow="0" w:firstColumn="1" w:lastColumn="0" w:oddVBand="0" w:evenVBand="0" w:oddHBand="0" w:evenHBand="0" w:firstRowFirstColumn="0" w:firstRowLastColumn="0" w:lastRowFirstColumn="0" w:lastRowLastColumn="0"/>
            <w:tcW w:w="704" w:type="dxa"/>
          </w:tcPr>
          <w:p w14:paraId="3B787793" w14:textId="77777777" w:rsidR="00FB24C5" w:rsidRPr="00C94754" w:rsidRDefault="00FB24C5" w:rsidP="009E3469">
            <w:pPr>
              <w:jc w:val="right"/>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w:t>
            </w:r>
          </w:p>
        </w:tc>
        <w:tc>
          <w:tcPr>
            <w:tcW w:w="2976" w:type="dxa"/>
          </w:tcPr>
          <w:p w14:paraId="179005EA" w14:textId="77777777" w:rsidR="00FB24C5" w:rsidRPr="00C94754" w:rsidRDefault="00FB24C5"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pt-PT"/>
              </w:rPr>
            </w:pPr>
            <w:r w:rsidRPr="00C94754">
              <w:rPr>
                <w:rFonts w:ascii="Calibri" w:eastAsia="Times New Roman" w:hAnsi="Calibri" w:cs="Calibri"/>
                <w:b/>
                <w:bCs/>
                <w:color w:val="000000"/>
                <w:sz w:val="20"/>
                <w:szCs w:val="20"/>
                <w:lang w:eastAsia="pt-PT"/>
              </w:rPr>
              <w:t>SUB-TOTAL</w:t>
            </w:r>
          </w:p>
        </w:tc>
        <w:tc>
          <w:tcPr>
            <w:tcW w:w="3060" w:type="dxa"/>
          </w:tcPr>
          <w:p w14:paraId="0B3FAEBD" w14:textId="77777777" w:rsidR="00FB24C5" w:rsidRPr="00C94754" w:rsidRDefault="00FB24C5"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w:t>
            </w:r>
          </w:p>
        </w:tc>
        <w:tc>
          <w:tcPr>
            <w:tcW w:w="1800" w:type="dxa"/>
          </w:tcPr>
          <w:p w14:paraId="251F3C23" w14:textId="77777777" w:rsidR="00FB24C5" w:rsidRPr="00C94754" w:rsidRDefault="00FB24C5"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w:t>
            </w:r>
          </w:p>
        </w:tc>
        <w:tc>
          <w:tcPr>
            <w:tcW w:w="1530" w:type="dxa"/>
          </w:tcPr>
          <w:p w14:paraId="3A52DC63" w14:textId="77777777" w:rsidR="00FB24C5" w:rsidRPr="00C94754" w:rsidRDefault="00FB24C5" w:rsidP="009E34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pt-PT"/>
              </w:rPr>
            </w:pPr>
            <w:r w:rsidRPr="00C94754">
              <w:rPr>
                <w:rFonts w:ascii="Calibri" w:eastAsia="Times New Roman" w:hAnsi="Calibri" w:cs="Calibri"/>
                <w:b/>
                <w:bCs/>
                <w:color w:val="000000"/>
                <w:sz w:val="20"/>
                <w:szCs w:val="20"/>
                <w:lang w:eastAsia="pt-PT"/>
              </w:rPr>
              <w:t>$13 855 928</w:t>
            </w:r>
          </w:p>
        </w:tc>
      </w:tr>
    </w:tbl>
    <w:p w14:paraId="416A22DD" w14:textId="502E61EE" w:rsidR="00FB24C5" w:rsidRDefault="00FB24C5" w:rsidP="00FB24C5">
      <w:pPr>
        <w:jc w:val="both"/>
      </w:pPr>
    </w:p>
    <w:p w14:paraId="7E3C658D" w14:textId="77777777" w:rsidR="004C5F3A" w:rsidRDefault="004C5F3A" w:rsidP="00F55ECB">
      <w:pPr>
        <w:jc w:val="both"/>
        <w:rPr>
          <w:b/>
          <w:bCs/>
        </w:rPr>
      </w:pPr>
    </w:p>
    <w:p w14:paraId="15A1FA24" w14:textId="77777777" w:rsidR="004C5F3A" w:rsidRDefault="004C5F3A" w:rsidP="00F55ECB">
      <w:pPr>
        <w:jc w:val="both"/>
        <w:rPr>
          <w:b/>
          <w:bCs/>
        </w:rPr>
      </w:pPr>
    </w:p>
    <w:p w14:paraId="3AC17BB4" w14:textId="77777777" w:rsidR="004C5F3A" w:rsidRDefault="004C5F3A" w:rsidP="00F55ECB">
      <w:pPr>
        <w:jc w:val="both"/>
        <w:rPr>
          <w:b/>
          <w:bCs/>
        </w:rPr>
      </w:pPr>
    </w:p>
    <w:p w14:paraId="027F5653" w14:textId="0205FCD7" w:rsidR="00CE3A09" w:rsidRPr="008339E2" w:rsidRDefault="00E84DC1" w:rsidP="00F55ECB">
      <w:pPr>
        <w:jc w:val="both"/>
        <w:rPr>
          <w:b/>
          <w:bCs/>
        </w:rPr>
      </w:pPr>
      <w:r w:rsidRPr="008339E2">
        <w:rPr>
          <w:b/>
          <w:bCs/>
        </w:rPr>
        <w:lastRenderedPageBreak/>
        <w:t xml:space="preserve">Finding </w:t>
      </w:r>
      <w:r w:rsidR="008D5A80" w:rsidRPr="008339E2">
        <w:rPr>
          <w:b/>
          <w:bCs/>
        </w:rPr>
        <w:t>7</w:t>
      </w:r>
      <w:r w:rsidRPr="008339E2">
        <w:rPr>
          <w:b/>
          <w:bCs/>
        </w:rPr>
        <w:t xml:space="preserve">: UNDP </w:t>
      </w:r>
      <w:r w:rsidR="001601AD" w:rsidRPr="008339E2">
        <w:rPr>
          <w:b/>
          <w:bCs/>
        </w:rPr>
        <w:t>in</w:t>
      </w:r>
      <w:r w:rsidRPr="008339E2">
        <w:rPr>
          <w:b/>
          <w:bCs/>
        </w:rPr>
        <w:t xml:space="preserve"> partnership with GEF, has mobilized substantial resources </w:t>
      </w:r>
      <w:r w:rsidR="001601AD" w:rsidRPr="008339E2">
        <w:rPr>
          <w:b/>
          <w:bCs/>
        </w:rPr>
        <w:t xml:space="preserve">and is making a strong contribution </w:t>
      </w:r>
      <w:r w:rsidRPr="008339E2">
        <w:rPr>
          <w:b/>
          <w:bCs/>
        </w:rPr>
        <w:t>to government of Angola</w:t>
      </w:r>
      <w:r w:rsidR="001601AD" w:rsidRPr="008339E2">
        <w:rPr>
          <w:b/>
          <w:bCs/>
        </w:rPr>
        <w:t>’s quest to</w:t>
      </w:r>
      <w:r w:rsidRPr="008339E2">
        <w:rPr>
          <w:b/>
          <w:bCs/>
        </w:rPr>
        <w:t xml:space="preserve"> </w:t>
      </w:r>
      <w:r w:rsidR="008339E2">
        <w:rPr>
          <w:b/>
          <w:bCs/>
        </w:rPr>
        <w:t xml:space="preserve">address Climate Change, environment and </w:t>
      </w:r>
      <w:r w:rsidRPr="008339E2">
        <w:rPr>
          <w:b/>
          <w:bCs/>
        </w:rPr>
        <w:t xml:space="preserve">manage the country’s natural </w:t>
      </w:r>
      <w:r w:rsidR="00533D97">
        <w:rPr>
          <w:b/>
          <w:bCs/>
        </w:rPr>
        <w:t xml:space="preserve">as well as transboundary </w:t>
      </w:r>
      <w:r w:rsidRPr="008339E2">
        <w:rPr>
          <w:b/>
          <w:bCs/>
        </w:rPr>
        <w:t>resources on a sustainable basis</w:t>
      </w:r>
    </w:p>
    <w:p w14:paraId="0272990F" w14:textId="67D32010" w:rsidR="00E65DC3" w:rsidRPr="00E65DC3" w:rsidRDefault="00E65DC3" w:rsidP="00F55ECB">
      <w:pPr>
        <w:jc w:val="both"/>
        <w:rPr>
          <w:i/>
          <w:iCs/>
        </w:rPr>
      </w:pPr>
      <w:r w:rsidRPr="00E65DC3">
        <w:rPr>
          <w:i/>
          <w:iCs/>
        </w:rPr>
        <w:t>Output 2.1. Government institutions and local communities have enhanced technical capacity to implement low-carbon development pathways and promote renewable energy access</w:t>
      </w:r>
    </w:p>
    <w:p w14:paraId="3703F764" w14:textId="6C9E1199" w:rsidR="00D225AF" w:rsidRPr="00864843" w:rsidRDefault="00E65DC3" w:rsidP="00864843">
      <w:pPr>
        <w:spacing w:after="0" w:line="240" w:lineRule="auto"/>
        <w:jc w:val="both"/>
        <w:rPr>
          <w:rFonts w:ascii="Calibri" w:hAnsi="Calibri" w:cs="Calibri"/>
        </w:rPr>
      </w:pPr>
      <w:r>
        <w:t>In November</w:t>
      </w:r>
      <w:r w:rsidR="00994BBE">
        <w:t xml:space="preserve"> 2020, Angola ratified the Paris Agreement, with UNDP support</w:t>
      </w:r>
      <w:r>
        <w:t>.</w:t>
      </w:r>
      <w:r w:rsidR="00994BBE">
        <w:t xml:space="preserve"> </w:t>
      </w:r>
      <w:r w:rsidRPr="00E65DC3">
        <w:rPr>
          <w:rFonts w:ascii="Calibri" w:hAnsi="Calibri" w:cs="Calibri"/>
        </w:rPr>
        <w:t xml:space="preserve">Following ratification of the Paris Agreement the Government of Angola initiated the development of a Nationally Determined Contributions (NDC), a draft </w:t>
      </w:r>
      <w:r w:rsidR="004C5F3A">
        <w:rPr>
          <w:rFonts w:ascii="Calibri" w:hAnsi="Calibri" w:cs="Calibri"/>
        </w:rPr>
        <w:t xml:space="preserve">of which </w:t>
      </w:r>
      <w:r w:rsidRPr="00E65DC3">
        <w:rPr>
          <w:rFonts w:ascii="Calibri" w:hAnsi="Calibri" w:cs="Calibri"/>
        </w:rPr>
        <w:t>has been submitted to UNFCCC in May 2021. The NDC sets out Angola´s ambitions in adaption and mitigation actions, both with clear unconditional and conditional contributions.</w:t>
      </w:r>
      <w:r w:rsidR="00864843">
        <w:rPr>
          <w:rFonts w:ascii="Calibri" w:hAnsi="Calibri" w:cs="Calibri"/>
        </w:rPr>
        <w:t xml:space="preserve"> </w:t>
      </w:r>
      <w:r w:rsidR="00994BBE">
        <w:t>These international commitments are mirrored by a stronger institutional presence of climate change within the structure of the newly created Ministry of Culture, Tourism and the Environment (MCTA), with a National Directorate of the Environment and Climate Action replacing the former Climate Change Cabinet. These changes reflect an increasing awareness of climate change in the country which was clearly visible at the 3rd UNDP supported climate change round table meeting in September 2020, chaired by the MCTA with attendance by the Minister of Foreign Affairs and representatives of UN Agencies, IFIs, EU and foreign Embassies.</w:t>
      </w:r>
    </w:p>
    <w:p w14:paraId="5787E193" w14:textId="1F231310" w:rsidR="000546B4" w:rsidRDefault="000546B4" w:rsidP="000546B4">
      <w:pPr>
        <w:spacing w:after="0" w:line="240" w:lineRule="auto"/>
        <w:jc w:val="both"/>
      </w:pPr>
      <w:r>
        <w:t xml:space="preserve">In terms of </w:t>
      </w:r>
      <w:r w:rsidR="004C5F3A">
        <w:t xml:space="preserve">the indicator, </w:t>
      </w:r>
      <w:r>
        <w:t>setting up renewable energy supply chains improved, with involvement of national institutions during the first months of 2020, the Dom Bosco professional school in Luanda with technical support from the University of Córdoba, Spain, and funding from the UNDP-GEF Sustainable Charcoal project, designed a cookstove model with reduced carbon emissions and significantly lower particle (PO2.5) and carbon monoxide (CO) emissions from locally available materials that can be produced at a competitive price compared to locally available cookstoves. Metal workers being trained at the Dom Bosco school and the ADPP professional school in Luanda took part in the design process and learned to fabricate the cookstoves from local materials, with the simple tools available at the training schools. The design and testing of the cookstove model are the first step towards its production and distribution through local markets, with expected benefits for carbon emissions from cooking and the health especially of women and children.</w:t>
      </w:r>
      <w:r w:rsidR="004C5F3A">
        <w:t xml:space="preserve"> The certification of Charcoal was also successfully supported.</w:t>
      </w:r>
    </w:p>
    <w:p w14:paraId="12E5981A" w14:textId="77777777" w:rsidR="000546B4" w:rsidRDefault="000546B4" w:rsidP="000546B4">
      <w:pPr>
        <w:spacing w:after="0" w:line="240" w:lineRule="auto"/>
        <w:jc w:val="both"/>
      </w:pPr>
    </w:p>
    <w:p w14:paraId="69D9E372" w14:textId="12612FF1" w:rsidR="00533D97" w:rsidRDefault="000546B4" w:rsidP="000546B4">
      <w:pPr>
        <w:spacing w:after="0" w:line="240" w:lineRule="auto"/>
        <w:jc w:val="both"/>
        <w:rPr>
          <w:rFonts w:ascii="Calibri" w:hAnsi="Calibri" w:cs="Calibri"/>
        </w:rPr>
      </w:pPr>
      <w:r w:rsidRPr="002B6EF0">
        <w:rPr>
          <w:rFonts w:ascii="Calibri" w:hAnsi="Calibri" w:cs="Calibri"/>
        </w:rPr>
        <w:t>In addition, with the support of UNDP, the government of Angola through a Public-Private Partnership (PPP) embarked on a large program aimed at revolutionizing energy access in Angola and taking it to deprived geographical locations (in terms of supply and access to the grid). Photovoltaic panels are being installed and built, totalling 370 megawatts (MWp) as targeted by 2022 in six provinces. UNDP has recently approved a sustainable energy access project, aiming at contributing to off-grid energy supply to rural communities in Moxico province.</w:t>
      </w:r>
      <w:r>
        <w:rPr>
          <w:rFonts w:ascii="Calibri" w:hAnsi="Calibri" w:cs="Calibri"/>
        </w:rPr>
        <w:t xml:space="preserve"> </w:t>
      </w:r>
    </w:p>
    <w:p w14:paraId="3578E706" w14:textId="7A43AD0A" w:rsidR="004F1E19" w:rsidRDefault="004F1E19" w:rsidP="000546B4">
      <w:pPr>
        <w:spacing w:after="0" w:line="240" w:lineRule="auto"/>
        <w:jc w:val="both"/>
        <w:rPr>
          <w:rFonts w:ascii="Calibri" w:hAnsi="Calibri" w:cs="Calibri"/>
        </w:rPr>
      </w:pPr>
    </w:p>
    <w:p w14:paraId="11524D00" w14:textId="60D37D6F" w:rsidR="004F1E19" w:rsidRPr="004F1E19" w:rsidRDefault="004F1E19" w:rsidP="004F1E19">
      <w:pPr>
        <w:jc w:val="both"/>
      </w:pPr>
      <w:r>
        <w:t>The Oil and Gas sector is predominant in Angola’s economy, with deep and entrenched interests, which will make the transition to a low carbon growth pathway a critical but extremely challenging endeavour. Support currently provided by UNDP for the National Climate Change Strategy and the updating of the NDC are significant contributions</w:t>
      </w:r>
      <w:r w:rsidR="00303B73">
        <w:t xml:space="preserve"> in this regard but not sufficient</w:t>
      </w:r>
      <w:r>
        <w:t>. UNDP should deploy greater efforts to assist Angola’s transition to a low carbon growth strategy. This will require financing, and top class technical and policy advisory capacities within UNDP Angola or through its global networks. Beyond the examples cited above, there is little evidence of such a strategic shift in UNDP’s work. How Angola can mobilize and commit significant domestic resources for such a transition, and UNDP’s assistance in this regard, will be vital to success.</w:t>
      </w:r>
    </w:p>
    <w:p w14:paraId="5AC8800B" w14:textId="6C9BA6B7" w:rsidR="00DA6E85" w:rsidRPr="009A663F" w:rsidRDefault="009A663F" w:rsidP="00F55ECB">
      <w:pPr>
        <w:jc w:val="both"/>
        <w:rPr>
          <w:bCs/>
          <w:i/>
          <w:iCs/>
          <w:sz w:val="28"/>
          <w:szCs w:val="28"/>
        </w:rPr>
      </w:pPr>
      <w:r w:rsidRPr="009A663F">
        <w:rPr>
          <w:rFonts w:ascii="Calibri" w:hAnsi="Calibri" w:cs="Calibri"/>
          <w:bCs/>
          <w:i/>
          <w:iCs/>
        </w:rPr>
        <w:lastRenderedPageBreak/>
        <w:t>Output 2.2. Solutions scaled up for sustainable management of natural resources, including sustainable commodities and green and inclusive value chains.</w:t>
      </w:r>
    </w:p>
    <w:p w14:paraId="4E2DAA99" w14:textId="269C4E7F" w:rsidR="00994BBE" w:rsidRDefault="001D138D" w:rsidP="00F55ECB">
      <w:pPr>
        <w:jc w:val="both"/>
      </w:pPr>
      <w:r>
        <w:t xml:space="preserve">UNDP through the CPD sought to improve the management of Angola’s Natural Resources in particular strengthening the management of the country’s Protected Area system. UNDP’s interventions sought to improve ecosystem representation in the PA system and strengthen PA management operations at key sites. </w:t>
      </w:r>
      <w:r w:rsidR="009A663F">
        <w:t>Important progress was made in April 2020</w:t>
      </w:r>
      <w:r w:rsidR="00994BBE">
        <w:t xml:space="preserve"> </w:t>
      </w:r>
      <w:r w:rsidR="009A663F">
        <w:t xml:space="preserve">when </w:t>
      </w:r>
      <w:r w:rsidR="00994BBE">
        <w:t xml:space="preserve">Parliament </w:t>
      </w:r>
      <w:r w:rsidR="009A663F">
        <w:t xml:space="preserve">approved </w:t>
      </w:r>
      <w:r w:rsidR="00994BBE">
        <w:t xml:space="preserve">the new </w:t>
      </w:r>
      <w:r w:rsidR="00303B73">
        <w:t>P</w:t>
      </w:r>
      <w:r w:rsidR="00994BBE">
        <w:t xml:space="preserve">rotected </w:t>
      </w:r>
      <w:r w:rsidR="00303B73">
        <w:t>A</w:t>
      </w:r>
      <w:r w:rsidR="00994BBE">
        <w:t xml:space="preserve">reas law that is modelled on IUCN protected areas categories. It replaced colonial-era protected areas legislation and created a much stronger link between conservation, sustainable natural resource management, and local communities than was previously the case. First steps were taken to adjust the protected areas system to the new legislation, although this will be a long and complex process. In 2020, the </w:t>
      </w:r>
      <w:r w:rsidR="00303B73">
        <w:t>Government</w:t>
      </w:r>
      <w:r w:rsidR="00994BBE">
        <w:t xml:space="preserve"> took the first concrete steps towards creating its first marine protected area with support from a UNDP/GEF project</w:t>
      </w:r>
      <w:r w:rsidR="00303B73">
        <w:t>.</w:t>
      </w:r>
    </w:p>
    <w:p w14:paraId="3DCD32FC" w14:textId="2F31B8A2" w:rsidR="009A663F" w:rsidRDefault="009A663F" w:rsidP="009A663F">
      <w:pPr>
        <w:spacing w:after="0" w:line="240" w:lineRule="auto"/>
        <w:jc w:val="both"/>
        <w:rPr>
          <w:rFonts w:ascii="Calibri" w:hAnsi="Calibri" w:cs="Calibri"/>
        </w:rPr>
      </w:pPr>
      <w:r w:rsidRPr="009A663F">
        <w:rPr>
          <w:rFonts w:ascii="Calibri" w:hAnsi="Calibri" w:cs="Calibri"/>
        </w:rPr>
        <w:t xml:space="preserve">Under the Expansion and Rehabilitation of Protected Areas project, </w:t>
      </w:r>
      <w:r w:rsidR="001D138D">
        <w:rPr>
          <w:rFonts w:ascii="Calibri" w:hAnsi="Calibri" w:cs="Calibri"/>
        </w:rPr>
        <w:t>three</w:t>
      </w:r>
      <w:r w:rsidRPr="009A663F">
        <w:rPr>
          <w:rFonts w:ascii="Calibri" w:hAnsi="Calibri" w:cs="Calibri"/>
        </w:rPr>
        <w:t xml:space="preserve"> planned new protected areas (Kumbira Forest with 127,737 ha, Pingano Mountain range with 206,818 ha, and Moco Hill with 107,464 ha) are at advanced stage on mandatory studies and management plans, which are currently under final stakeholders’ consultation processes at local and national levels. This will be followed by a submission of the package to the National Assembly for gazett</w:t>
      </w:r>
      <w:r w:rsidR="001D138D">
        <w:rPr>
          <w:rFonts w:ascii="Calibri" w:hAnsi="Calibri" w:cs="Calibri"/>
        </w:rPr>
        <w:t>ing</w:t>
      </w:r>
      <w:r w:rsidRPr="009A663F">
        <w:rPr>
          <w:rFonts w:ascii="Calibri" w:hAnsi="Calibri" w:cs="Calibri"/>
        </w:rPr>
        <w:t xml:space="preserve"> as </w:t>
      </w:r>
      <w:r w:rsidR="001C12DB">
        <w:rPr>
          <w:rFonts w:ascii="Calibri" w:hAnsi="Calibri" w:cs="Calibri"/>
        </w:rPr>
        <w:t>n</w:t>
      </w:r>
      <w:r w:rsidRPr="009A663F">
        <w:rPr>
          <w:rFonts w:ascii="Calibri" w:hAnsi="Calibri" w:cs="Calibri"/>
        </w:rPr>
        <w:t xml:space="preserve">ew Protected Areas in Angola. </w:t>
      </w:r>
    </w:p>
    <w:p w14:paraId="4E9717E2" w14:textId="77777777" w:rsidR="009A663F" w:rsidRDefault="009A663F" w:rsidP="009A663F">
      <w:pPr>
        <w:spacing w:after="0" w:line="240" w:lineRule="auto"/>
        <w:jc w:val="both"/>
        <w:rPr>
          <w:rFonts w:ascii="Calibri" w:hAnsi="Calibri" w:cs="Calibri"/>
        </w:rPr>
      </w:pPr>
    </w:p>
    <w:p w14:paraId="670B50AF" w14:textId="62F3B5AD" w:rsidR="00DC5B9C" w:rsidRDefault="009A663F" w:rsidP="009A663F">
      <w:pPr>
        <w:spacing w:after="0" w:line="240" w:lineRule="auto"/>
        <w:jc w:val="both"/>
        <w:rPr>
          <w:rFonts w:ascii="Calibri" w:hAnsi="Calibri" w:cs="Calibri"/>
        </w:rPr>
      </w:pPr>
      <w:r w:rsidRPr="009A663F">
        <w:rPr>
          <w:rFonts w:ascii="Calibri" w:hAnsi="Calibri" w:cs="Calibri"/>
        </w:rPr>
        <w:t>In addition, another new Protected Area (Carumbo Lagoon with 228,034 ha) is at advanced stage for its gazett</w:t>
      </w:r>
      <w:r w:rsidR="001C12DB">
        <w:rPr>
          <w:rFonts w:ascii="Calibri" w:hAnsi="Calibri" w:cs="Calibri"/>
        </w:rPr>
        <w:t>ing</w:t>
      </w:r>
      <w:r w:rsidRPr="009A663F">
        <w:rPr>
          <w:rFonts w:ascii="Calibri" w:hAnsi="Calibri" w:cs="Calibri"/>
        </w:rPr>
        <w:t xml:space="preserve"> by the national assembly. These will </w:t>
      </w:r>
      <w:r>
        <w:rPr>
          <w:rFonts w:ascii="Calibri" w:hAnsi="Calibri" w:cs="Calibri"/>
        </w:rPr>
        <w:t>extend</w:t>
      </w:r>
      <w:r w:rsidRPr="009A663F">
        <w:rPr>
          <w:rFonts w:ascii="Calibri" w:hAnsi="Calibri" w:cs="Calibri"/>
        </w:rPr>
        <w:t xml:space="preserve"> the network of Angola´s PA system by </w:t>
      </w:r>
      <w:r w:rsidR="001C12DB">
        <w:rPr>
          <w:rFonts w:ascii="Calibri" w:hAnsi="Calibri" w:cs="Calibri"/>
        </w:rPr>
        <w:t xml:space="preserve">an </w:t>
      </w:r>
      <w:r w:rsidRPr="009A663F">
        <w:rPr>
          <w:rFonts w:ascii="Calibri" w:hAnsi="Calibri" w:cs="Calibri"/>
        </w:rPr>
        <w:t xml:space="preserve">additional 442,019 hectares of land under protection, as well as under improved management; and 228,034 ha of new fresh water ecosystems. Additionally, 150,000 ha are being considered </w:t>
      </w:r>
      <w:r w:rsidR="00DC5B9C">
        <w:rPr>
          <w:rFonts w:ascii="Calibri" w:hAnsi="Calibri" w:cs="Calibri"/>
        </w:rPr>
        <w:t xml:space="preserve">to </w:t>
      </w:r>
      <w:r w:rsidRPr="009A663F">
        <w:rPr>
          <w:rFonts w:ascii="Calibri" w:hAnsi="Calibri" w:cs="Calibri"/>
        </w:rPr>
        <w:t xml:space="preserve">form the first Marine Protected Area in Angola, with studies and zonation process currently at advanced stages. </w:t>
      </w:r>
    </w:p>
    <w:p w14:paraId="3CE37F31" w14:textId="77777777" w:rsidR="00DC5B9C" w:rsidRDefault="00DC5B9C" w:rsidP="009A663F">
      <w:pPr>
        <w:spacing w:after="0" w:line="240" w:lineRule="auto"/>
        <w:jc w:val="both"/>
        <w:rPr>
          <w:rFonts w:ascii="Calibri" w:hAnsi="Calibri" w:cs="Calibri"/>
        </w:rPr>
      </w:pPr>
    </w:p>
    <w:p w14:paraId="41D17FC8" w14:textId="77777777" w:rsidR="009E0298" w:rsidRDefault="009E0298" w:rsidP="009A663F">
      <w:pPr>
        <w:spacing w:after="0" w:line="240" w:lineRule="auto"/>
        <w:jc w:val="both"/>
        <w:rPr>
          <w:rFonts w:ascii="Calibri" w:hAnsi="Calibri" w:cs="Calibri"/>
        </w:rPr>
      </w:pPr>
      <w:r>
        <w:rPr>
          <w:rFonts w:ascii="Calibri" w:hAnsi="Calibri" w:cs="Calibri"/>
        </w:rPr>
        <w:t>With regards to the reduction and/or disposal of</w:t>
      </w:r>
      <w:r>
        <w:t xml:space="preserve"> harmful chemicals, </w:t>
      </w:r>
      <w:r>
        <w:rPr>
          <w:rFonts w:ascii="Calibri" w:hAnsi="Calibri" w:cs="Calibri"/>
        </w:rPr>
        <w:t>t</w:t>
      </w:r>
      <w:r w:rsidR="009A663F" w:rsidRPr="009A663F">
        <w:rPr>
          <w:rFonts w:ascii="Calibri" w:hAnsi="Calibri" w:cs="Calibri"/>
        </w:rPr>
        <w:t>he HCFC-22 (Chlorodifluoromethane or difluoromonochloromethane) consumption has been decreasing over the past 5 years due to the implementation of the activities under the Hydrofluorocarbons Phase Out Management Plan (HPMP) - Montreal Protocol, particularly the enforcement of the licensing and quota system, training of customs officers, improved servicing practices and containment strategies in the refrigeration servicing sector. In addition, old HCFC-based equipment has been replaced by HFC-based equipment, mainly based on R-410A and R-404A refrigerants. Angola has been able to reduce the consumption of HCFC-22 by 11.50 metric tonnes between 2019 and 2020.</w:t>
      </w:r>
    </w:p>
    <w:p w14:paraId="6ED1D287" w14:textId="77777777" w:rsidR="009E0298" w:rsidRDefault="009E0298" w:rsidP="009A663F">
      <w:pPr>
        <w:spacing w:after="0" w:line="240" w:lineRule="auto"/>
        <w:jc w:val="both"/>
        <w:rPr>
          <w:rFonts w:ascii="Calibri" w:hAnsi="Calibri" w:cs="Calibri"/>
        </w:rPr>
      </w:pPr>
    </w:p>
    <w:p w14:paraId="42CA8BDF" w14:textId="43035264" w:rsidR="009E0298" w:rsidRDefault="009E0298" w:rsidP="009E0298">
      <w:pPr>
        <w:spacing w:after="0" w:line="240" w:lineRule="auto"/>
        <w:jc w:val="both"/>
      </w:pPr>
      <w:r>
        <w:rPr>
          <w:rFonts w:ascii="Calibri" w:hAnsi="Calibri" w:cs="Calibri"/>
        </w:rPr>
        <w:t xml:space="preserve">However, </w:t>
      </w:r>
      <w:r w:rsidR="00303B73">
        <w:rPr>
          <w:rFonts w:ascii="Calibri" w:hAnsi="Calibri" w:cs="Calibri"/>
        </w:rPr>
        <w:t xml:space="preserve">the evaluation noted that </w:t>
      </w:r>
      <w:r>
        <w:rPr>
          <w:rFonts w:ascii="Calibri" w:hAnsi="Calibri" w:cs="Calibri"/>
        </w:rPr>
        <w:t>work is yet to start and no progress has been made with respect to soli</w:t>
      </w:r>
      <w:r>
        <w:t>d waste recycling. This is an area of increasing concern given the rapid urbanisation Angola is going through with Luanda now inhabited by over a third of the country’s population of ten million.</w:t>
      </w:r>
    </w:p>
    <w:p w14:paraId="2F217EBA" w14:textId="33077E23" w:rsidR="00963423" w:rsidRDefault="00963423" w:rsidP="009E0298">
      <w:pPr>
        <w:spacing w:after="0" w:line="240" w:lineRule="auto"/>
        <w:jc w:val="both"/>
      </w:pPr>
    </w:p>
    <w:p w14:paraId="3972132D" w14:textId="0D17A018" w:rsidR="00963423" w:rsidRDefault="00963423" w:rsidP="00963423">
      <w:pPr>
        <w:spacing w:after="0" w:line="240" w:lineRule="auto"/>
        <w:jc w:val="both"/>
      </w:pPr>
      <w:r>
        <w:rPr>
          <w:rFonts w:ascii="Calibri" w:hAnsi="Calibri" w:cs="Calibri"/>
        </w:rPr>
        <w:t>Under the current CPD</w:t>
      </w:r>
      <w:r w:rsidR="00303B73">
        <w:rPr>
          <w:rFonts w:ascii="Calibri" w:hAnsi="Calibri" w:cs="Calibri"/>
        </w:rPr>
        <w:t>,</w:t>
      </w:r>
      <w:r>
        <w:rPr>
          <w:rFonts w:ascii="Calibri" w:hAnsi="Calibri" w:cs="Calibri"/>
        </w:rPr>
        <w:t xml:space="preserve"> UNDP is implementing through GEF support  several important long-term regional projects that address the management of transboundary resources in partnership with neighbouring countries: (i) </w:t>
      </w:r>
      <w:r>
        <w:t>(the Cubango-Okavango River basin shared by Angola, Botswana and Namibia - PIF signed in November 2013; project document signed in February 2018 and expected closing date July 2022; (ii) Improving Ocean Governance and Integrated Management in the Benguela Current Large Marine Ecosystem (BCLME) extending from Angola's Cabinda Province in the north, to just east of Port Elizabeth in South Africa (covering Namibia, Angola, Namibia, South Africa, Regional – Africa) – PIF signed ay 2014; Project signed December 2016; and project end date March 2022. These are important but complex project</w:t>
      </w:r>
      <w:r w:rsidR="000D0642">
        <w:t xml:space="preserve">s and </w:t>
      </w:r>
      <w:r>
        <w:t xml:space="preserve">UNDP Angola has to work in collaboration with regional bodies (e.g., the Permanent </w:t>
      </w:r>
      <w:r>
        <w:lastRenderedPageBreak/>
        <w:t xml:space="preserve">Okavango Commission and Benguela Current Commission), national authorities, </w:t>
      </w:r>
      <w:r w:rsidR="000D0642">
        <w:t xml:space="preserve">other </w:t>
      </w:r>
      <w:r>
        <w:t xml:space="preserve">UNDP </w:t>
      </w:r>
      <w:r w:rsidR="000D0642">
        <w:t xml:space="preserve">Country </w:t>
      </w:r>
      <w:r>
        <w:t>offices</w:t>
      </w:r>
      <w:r w:rsidR="000D0642">
        <w:t>,</w:t>
      </w:r>
      <w:r>
        <w:t xml:space="preserve"> UNDP RBA and GEF. Overall, there has </w:t>
      </w:r>
      <w:r w:rsidR="000D0642">
        <w:t xml:space="preserve">been </w:t>
      </w:r>
      <w:r>
        <w:t xml:space="preserve">progress and the projects are </w:t>
      </w:r>
      <w:r w:rsidR="000D0642">
        <w:t xml:space="preserve">largely </w:t>
      </w:r>
      <w:r>
        <w:t>on track, although with understandable delays due to Covid-19. However, UNDP Angola needs to ensure that it is on top of the monitoring and reporting of these projects as the evaluation had challenges to access documents from UNDP Angola that had to in turn request the reports from other UNDP offices.</w:t>
      </w:r>
    </w:p>
    <w:p w14:paraId="417ED304" w14:textId="77777777" w:rsidR="00963423" w:rsidRDefault="00963423" w:rsidP="009E0298">
      <w:pPr>
        <w:spacing w:after="0" w:line="240" w:lineRule="auto"/>
        <w:jc w:val="both"/>
      </w:pPr>
    </w:p>
    <w:p w14:paraId="167977DB" w14:textId="74170A48" w:rsidR="004F1E19" w:rsidRDefault="00F55ECB" w:rsidP="000D0642">
      <w:pPr>
        <w:spacing w:after="0" w:line="240" w:lineRule="auto"/>
        <w:jc w:val="both"/>
        <w:rPr>
          <w:b/>
          <w:bCs/>
        </w:rPr>
      </w:pPr>
      <w:r w:rsidRPr="004121D9">
        <w:rPr>
          <w:b/>
          <w:bCs/>
        </w:rPr>
        <w:t xml:space="preserve">Finding </w:t>
      </w:r>
      <w:r w:rsidR="004F1E19">
        <w:rPr>
          <w:b/>
          <w:bCs/>
        </w:rPr>
        <w:t>8</w:t>
      </w:r>
      <w:r w:rsidR="00F50968">
        <w:rPr>
          <w:b/>
          <w:bCs/>
        </w:rPr>
        <w:t>:</w:t>
      </w:r>
      <w:r w:rsidRPr="004121D9">
        <w:rPr>
          <w:b/>
          <w:bCs/>
        </w:rPr>
        <w:t xml:space="preserve"> Through the support of UNDP, the Government of Angola has improved capacities at national and provincial levels to address natural and human induced risk and adapt to climate change, through enhanced early warning capacities and putting in place appropriate disaster risk management plans and strategies.</w:t>
      </w:r>
    </w:p>
    <w:p w14:paraId="32F260D2" w14:textId="77777777" w:rsidR="000D0642" w:rsidRPr="000D0642" w:rsidRDefault="000D0642" w:rsidP="000D0642">
      <w:pPr>
        <w:spacing w:after="0" w:line="240" w:lineRule="auto"/>
        <w:jc w:val="both"/>
        <w:rPr>
          <w:b/>
          <w:bCs/>
        </w:rPr>
      </w:pPr>
    </w:p>
    <w:p w14:paraId="0F56FB83" w14:textId="5BE90BE0" w:rsidR="004121D9" w:rsidRPr="004121D9" w:rsidRDefault="004121D9" w:rsidP="00F55ECB">
      <w:pPr>
        <w:jc w:val="both"/>
        <w:rPr>
          <w:b/>
          <w:bCs/>
          <w:i/>
          <w:iCs/>
        </w:rPr>
      </w:pPr>
      <w:r w:rsidRPr="004121D9">
        <w:rPr>
          <w:i/>
          <w:iCs/>
        </w:rPr>
        <w:t>Output 2.3. Most vulnerable communities have strengthened technical capacities to respond to natural and human-induced risks and disasters and adapt to climate change.</w:t>
      </w:r>
    </w:p>
    <w:p w14:paraId="4B1E534C" w14:textId="0FA80C36" w:rsidR="00563987" w:rsidRDefault="004121D9" w:rsidP="00563987">
      <w:pPr>
        <w:spacing w:after="0" w:line="240" w:lineRule="auto"/>
        <w:jc w:val="both"/>
        <w:rPr>
          <w:rFonts w:ascii="Calibri" w:eastAsia="Times New Roman" w:hAnsi="Calibri" w:cs="Calibri"/>
          <w:color w:val="000000"/>
          <w:lang w:eastAsia="pt-PT"/>
        </w:rPr>
      </w:pPr>
      <w:r w:rsidRPr="00563987">
        <w:t xml:space="preserve">The establishment and operationalization </w:t>
      </w:r>
      <w:r w:rsidR="002B6EF0" w:rsidRPr="00563987">
        <w:t>of agrometeorological</w:t>
      </w:r>
      <w:r w:rsidRPr="00563987">
        <w:t xml:space="preserve"> monitoring and early warning systems is extremely important in order to limit the gender-differentiated impact of natural hazards.  </w:t>
      </w:r>
      <w:r w:rsidR="002B6EF0" w:rsidRPr="00563987">
        <w:rPr>
          <w:rFonts w:ascii="Calibri" w:eastAsia="Times New Roman" w:hAnsi="Calibri" w:cs="Calibri"/>
          <w:color w:val="000000"/>
          <w:lang w:eastAsia="pt-PT"/>
        </w:rPr>
        <w:t xml:space="preserve">Through the GEF adaption project in the Cuvelai river basin project, 10 Automated Weather Stations (AWS) and 2 calibration stations were installed across to basin (project target area) and handed over to the responsible entity (INAMET). Currently there is ongoing installations of 3 Telemetric-type hydro-climatological stations and 4 </w:t>
      </w:r>
      <w:r w:rsidR="00563987" w:rsidRPr="00563987">
        <w:rPr>
          <w:rFonts w:ascii="Calibri" w:eastAsia="Times New Roman" w:hAnsi="Calibri" w:cs="Calibri"/>
          <w:color w:val="000000"/>
          <w:lang w:eastAsia="pt-PT"/>
        </w:rPr>
        <w:t>limnometric</w:t>
      </w:r>
      <w:r w:rsidR="002B6EF0" w:rsidRPr="00563987">
        <w:rPr>
          <w:rFonts w:ascii="Calibri" w:eastAsia="Times New Roman" w:hAnsi="Calibri" w:cs="Calibri"/>
          <w:color w:val="000000"/>
          <w:lang w:eastAsia="pt-PT"/>
        </w:rPr>
        <w:t xml:space="preserve"> scales under the leadership of GABHIC, </w:t>
      </w:r>
      <w:r w:rsidR="00563987" w:rsidRPr="00563987">
        <w:rPr>
          <w:rFonts w:ascii="Calibri" w:eastAsia="Times New Roman" w:hAnsi="Calibri" w:cs="Calibri"/>
          <w:color w:val="000000"/>
          <w:lang w:eastAsia="pt-PT"/>
        </w:rPr>
        <w:t xml:space="preserve">the </w:t>
      </w:r>
      <w:r w:rsidR="002B6EF0" w:rsidRPr="00563987">
        <w:rPr>
          <w:rFonts w:ascii="Calibri" w:eastAsia="Times New Roman" w:hAnsi="Calibri" w:cs="Calibri"/>
          <w:color w:val="000000"/>
          <w:lang w:eastAsia="pt-PT"/>
        </w:rPr>
        <w:t xml:space="preserve">entity responsible for the management of the basin, who will be responsible in the use of such equipment, collect and analyse data generated. The </w:t>
      </w:r>
      <w:r w:rsidR="00563987" w:rsidRPr="00563987">
        <w:rPr>
          <w:rFonts w:ascii="Calibri" w:eastAsia="Times New Roman" w:hAnsi="Calibri" w:cs="Calibri"/>
          <w:color w:val="000000"/>
          <w:lang w:eastAsia="pt-PT"/>
        </w:rPr>
        <w:t>equipment</w:t>
      </w:r>
      <w:r w:rsidR="002B6EF0" w:rsidRPr="00563987">
        <w:rPr>
          <w:rFonts w:ascii="Calibri" w:eastAsia="Times New Roman" w:hAnsi="Calibri" w:cs="Calibri"/>
          <w:color w:val="000000"/>
          <w:lang w:eastAsia="pt-PT"/>
        </w:rPr>
        <w:t xml:space="preserve"> </w:t>
      </w:r>
      <w:r w:rsidR="00563987" w:rsidRPr="00563987">
        <w:rPr>
          <w:rFonts w:ascii="Calibri" w:eastAsia="Times New Roman" w:hAnsi="Calibri" w:cs="Calibri"/>
          <w:color w:val="000000"/>
          <w:lang w:eastAsia="pt-PT"/>
        </w:rPr>
        <w:t>is</w:t>
      </w:r>
      <w:r w:rsidR="002B6EF0" w:rsidRPr="00563987">
        <w:rPr>
          <w:rFonts w:ascii="Calibri" w:eastAsia="Times New Roman" w:hAnsi="Calibri" w:cs="Calibri"/>
          <w:color w:val="000000"/>
          <w:lang w:eastAsia="pt-PT"/>
        </w:rPr>
        <w:t xml:space="preserve"> complemented with Satellite phone and mobile radios to ensure efficient transmission and dissemination of information in the advent of extreme weather events to relevant stakeholders, with emphasis to the local communities.</w:t>
      </w:r>
      <w:r w:rsidR="000D0642">
        <w:rPr>
          <w:rFonts w:ascii="Calibri" w:eastAsia="Times New Roman" w:hAnsi="Calibri" w:cs="Calibri"/>
          <w:color w:val="000000"/>
          <w:lang w:eastAsia="pt-PT"/>
        </w:rPr>
        <w:t xml:space="preserve"> When fully operational </w:t>
      </w:r>
      <w:r w:rsidR="00864843">
        <w:rPr>
          <w:rFonts w:ascii="Calibri" w:eastAsia="Times New Roman" w:hAnsi="Calibri" w:cs="Calibri"/>
          <w:color w:val="000000"/>
          <w:lang w:eastAsia="pt-PT"/>
        </w:rPr>
        <w:t>the various equipment</w:t>
      </w:r>
      <w:r w:rsidR="000D0642">
        <w:rPr>
          <w:rFonts w:ascii="Calibri" w:eastAsia="Times New Roman" w:hAnsi="Calibri" w:cs="Calibri"/>
          <w:color w:val="000000"/>
          <w:lang w:eastAsia="pt-PT"/>
        </w:rPr>
        <w:t xml:space="preserve"> and the training and capacity building will make </w:t>
      </w:r>
      <w:r w:rsidR="00864843">
        <w:rPr>
          <w:rFonts w:ascii="Calibri" w:eastAsia="Times New Roman" w:hAnsi="Calibri" w:cs="Calibri"/>
          <w:color w:val="000000"/>
          <w:lang w:eastAsia="pt-PT"/>
        </w:rPr>
        <w:t xml:space="preserve">a </w:t>
      </w:r>
      <w:r w:rsidR="000D0642">
        <w:rPr>
          <w:rFonts w:ascii="Calibri" w:eastAsia="Times New Roman" w:hAnsi="Calibri" w:cs="Calibri"/>
          <w:color w:val="000000"/>
          <w:lang w:eastAsia="pt-PT"/>
        </w:rPr>
        <w:t xml:space="preserve">good </w:t>
      </w:r>
      <w:r w:rsidR="00864843">
        <w:rPr>
          <w:rFonts w:ascii="Calibri" w:eastAsia="Times New Roman" w:hAnsi="Calibri" w:cs="Calibri"/>
          <w:color w:val="000000"/>
          <w:lang w:eastAsia="pt-PT"/>
        </w:rPr>
        <w:t>contribution</w:t>
      </w:r>
      <w:r w:rsidR="000D0642">
        <w:rPr>
          <w:rFonts w:ascii="Calibri" w:eastAsia="Times New Roman" w:hAnsi="Calibri" w:cs="Calibri"/>
          <w:color w:val="000000"/>
          <w:lang w:eastAsia="pt-PT"/>
        </w:rPr>
        <w:t xml:space="preserve"> to building effective EWS. </w:t>
      </w:r>
      <w:r w:rsidR="00864843">
        <w:rPr>
          <w:rFonts w:ascii="Calibri" w:eastAsia="Times New Roman" w:hAnsi="Calibri" w:cs="Calibri"/>
          <w:color w:val="000000"/>
          <w:lang w:eastAsia="pt-PT"/>
        </w:rPr>
        <w:t>However, much</w:t>
      </w:r>
      <w:r w:rsidR="000D0642">
        <w:rPr>
          <w:rFonts w:ascii="Calibri" w:eastAsia="Times New Roman" w:hAnsi="Calibri" w:cs="Calibri"/>
          <w:color w:val="000000"/>
          <w:lang w:eastAsia="pt-PT"/>
        </w:rPr>
        <w:t xml:space="preserve"> will depend on the </w:t>
      </w:r>
      <w:r w:rsidR="00864843">
        <w:rPr>
          <w:rFonts w:ascii="Calibri" w:eastAsia="Times New Roman" w:hAnsi="Calibri" w:cs="Calibri"/>
          <w:color w:val="000000"/>
          <w:lang w:eastAsia="pt-PT"/>
        </w:rPr>
        <w:t>capacity</w:t>
      </w:r>
      <w:r w:rsidR="000D0642">
        <w:rPr>
          <w:rFonts w:ascii="Calibri" w:eastAsia="Times New Roman" w:hAnsi="Calibri" w:cs="Calibri"/>
          <w:color w:val="000000"/>
          <w:lang w:eastAsia="pt-PT"/>
        </w:rPr>
        <w:t xml:space="preserve"> of Angolan central and Provincial </w:t>
      </w:r>
      <w:r w:rsidR="00864843">
        <w:rPr>
          <w:rFonts w:ascii="Calibri" w:eastAsia="Times New Roman" w:hAnsi="Calibri" w:cs="Calibri"/>
          <w:color w:val="000000"/>
          <w:lang w:eastAsia="pt-PT"/>
        </w:rPr>
        <w:t>administrations</w:t>
      </w:r>
      <w:r w:rsidR="000D0642">
        <w:rPr>
          <w:rFonts w:ascii="Calibri" w:eastAsia="Times New Roman" w:hAnsi="Calibri" w:cs="Calibri"/>
          <w:color w:val="000000"/>
          <w:lang w:eastAsia="pt-PT"/>
        </w:rPr>
        <w:t xml:space="preserve"> to </w:t>
      </w:r>
      <w:r w:rsidR="00864843">
        <w:rPr>
          <w:rFonts w:ascii="Calibri" w:eastAsia="Times New Roman" w:hAnsi="Calibri" w:cs="Calibri"/>
          <w:color w:val="000000"/>
          <w:lang w:eastAsia="pt-PT"/>
        </w:rPr>
        <w:t>maintain</w:t>
      </w:r>
      <w:r w:rsidR="000D0642">
        <w:rPr>
          <w:rFonts w:ascii="Calibri" w:eastAsia="Times New Roman" w:hAnsi="Calibri" w:cs="Calibri"/>
          <w:color w:val="000000"/>
          <w:lang w:eastAsia="pt-PT"/>
        </w:rPr>
        <w:t xml:space="preserve"> and put to good use these important assets.</w:t>
      </w:r>
    </w:p>
    <w:p w14:paraId="5675286F" w14:textId="77777777" w:rsidR="00563987" w:rsidRDefault="00563987" w:rsidP="00563987">
      <w:pPr>
        <w:spacing w:after="0" w:line="240" w:lineRule="auto"/>
        <w:jc w:val="both"/>
        <w:rPr>
          <w:rFonts w:ascii="Calibri" w:eastAsia="Times New Roman" w:hAnsi="Calibri" w:cs="Calibri"/>
          <w:color w:val="000000"/>
          <w:lang w:eastAsia="pt-PT"/>
        </w:rPr>
      </w:pPr>
    </w:p>
    <w:p w14:paraId="0FD53A58" w14:textId="656E6066" w:rsidR="002B6EF0" w:rsidRPr="00563987" w:rsidRDefault="00563987" w:rsidP="00563987">
      <w:pPr>
        <w:spacing w:after="0" w:line="240" w:lineRule="auto"/>
        <w:jc w:val="both"/>
        <w:rPr>
          <w:rFonts w:ascii="Calibri" w:eastAsia="Times New Roman" w:hAnsi="Calibri" w:cs="Calibri"/>
          <w:bCs/>
          <w:i/>
          <w:iCs/>
          <w:color w:val="000000"/>
          <w:sz w:val="24"/>
          <w:szCs w:val="24"/>
          <w:lang w:eastAsia="pt-PT"/>
        </w:rPr>
      </w:pPr>
      <w:r w:rsidRPr="00563987">
        <w:rPr>
          <w:rFonts w:ascii="Calibri" w:hAnsi="Calibri" w:cs="Calibri"/>
          <w:bCs/>
          <w:i/>
          <w:iCs/>
        </w:rPr>
        <w:t>Output 2.4. The Government has increased technical and financial capacities to support drought recovery and resilience building in the southern provinces.</w:t>
      </w:r>
    </w:p>
    <w:p w14:paraId="3C9F3815" w14:textId="77777777" w:rsidR="00F34A62" w:rsidRDefault="00F34A62" w:rsidP="00FA5120">
      <w:pPr>
        <w:spacing w:after="0" w:line="240" w:lineRule="auto"/>
        <w:jc w:val="both"/>
      </w:pPr>
    </w:p>
    <w:p w14:paraId="4969B8F3" w14:textId="3CE91A35" w:rsidR="00365978" w:rsidRDefault="00563987" w:rsidP="00FA5120">
      <w:pPr>
        <w:spacing w:after="0" w:line="240" w:lineRule="auto"/>
        <w:jc w:val="both"/>
        <w:rPr>
          <w:rFonts w:ascii="Calibri" w:eastAsia="Times New Roman" w:hAnsi="Calibri" w:cs="Calibri"/>
          <w:color w:val="000000"/>
          <w:lang w:eastAsia="pt-PT"/>
        </w:rPr>
      </w:pPr>
      <w:r>
        <w:t xml:space="preserve">Given that when disaster strikes, women children and the elderly often suffer the </w:t>
      </w:r>
      <w:r w:rsidR="00FA5120">
        <w:t>m</w:t>
      </w:r>
      <w:r>
        <w:t>ost</w:t>
      </w:r>
      <w:r w:rsidR="00FA5120">
        <w:t xml:space="preserve">, UNDP planned </w:t>
      </w:r>
      <w:r w:rsidR="00FA5120" w:rsidRPr="00FA5120">
        <w:t xml:space="preserve">to design and implement </w:t>
      </w:r>
      <w:r w:rsidR="00FA5120" w:rsidRPr="00FA5120">
        <w:rPr>
          <w:rFonts w:ascii="Calibri" w:eastAsia="Times New Roman" w:hAnsi="Calibri" w:cs="Calibri"/>
          <w:color w:val="000000"/>
          <w:lang w:eastAsia="pt-PT"/>
        </w:rPr>
        <w:t>gender-responsive disaster risk reduction plans/strategies budgeted, implemented and monitored in accordance with the drought recovery framework, the Sendai Framework for Disaster Risk reduction, and the NDP, 2018- 2022.</w:t>
      </w:r>
      <w:r w:rsidR="00FA5120">
        <w:rPr>
          <w:rFonts w:ascii="Calibri" w:eastAsia="Times New Roman" w:hAnsi="Calibri" w:cs="Calibri"/>
          <w:color w:val="000000"/>
          <w:lang w:eastAsia="pt-PT"/>
        </w:rPr>
        <w:t xml:space="preserve"> </w:t>
      </w:r>
      <w:r w:rsidR="00FA5120" w:rsidRPr="00FA5120">
        <w:rPr>
          <w:rFonts w:ascii="Calibri" w:eastAsia="Times New Roman" w:hAnsi="Calibri" w:cs="Calibri"/>
          <w:color w:val="000000"/>
          <w:lang w:eastAsia="pt-PT"/>
        </w:rPr>
        <w:t>Towards this end</w:t>
      </w:r>
      <w:r w:rsidR="004F1E19">
        <w:rPr>
          <w:rFonts w:ascii="Calibri" w:eastAsia="Times New Roman" w:hAnsi="Calibri" w:cs="Calibri"/>
          <w:color w:val="000000"/>
          <w:lang w:eastAsia="pt-PT"/>
        </w:rPr>
        <w:t>, the main achievements are: (i</w:t>
      </w:r>
      <w:r w:rsidR="001C3364">
        <w:rPr>
          <w:rFonts w:ascii="Calibri" w:eastAsia="Times New Roman" w:hAnsi="Calibri" w:cs="Calibri"/>
          <w:color w:val="000000"/>
          <w:lang w:eastAsia="pt-PT"/>
        </w:rPr>
        <w:t xml:space="preserve">) </w:t>
      </w:r>
      <w:r w:rsidR="001C3364" w:rsidRPr="00FA5120">
        <w:rPr>
          <w:rFonts w:ascii="Calibri" w:eastAsia="Times New Roman" w:hAnsi="Calibri" w:cs="Calibri"/>
          <w:color w:val="000000"/>
          <w:lang w:eastAsia="pt-PT"/>
        </w:rPr>
        <w:t>six</w:t>
      </w:r>
      <w:r w:rsidR="005A6635">
        <w:rPr>
          <w:rFonts w:ascii="Calibri" w:eastAsia="Times New Roman" w:hAnsi="Calibri" w:cs="Calibri"/>
          <w:color w:val="000000"/>
          <w:lang w:eastAsia="pt-PT"/>
        </w:rPr>
        <w:t xml:space="preserve"> contingency Plans were developed at the</w:t>
      </w:r>
      <w:r w:rsidR="00FA5120" w:rsidRPr="00FA5120">
        <w:rPr>
          <w:rFonts w:ascii="Calibri" w:eastAsia="Times New Roman" w:hAnsi="Calibri" w:cs="Calibri"/>
          <w:color w:val="000000"/>
          <w:lang w:eastAsia="pt-PT"/>
        </w:rPr>
        <w:t xml:space="preserve"> Provincial </w:t>
      </w:r>
      <w:r w:rsidR="005A6635">
        <w:rPr>
          <w:rFonts w:ascii="Calibri" w:eastAsia="Times New Roman" w:hAnsi="Calibri" w:cs="Calibri"/>
          <w:color w:val="000000"/>
          <w:lang w:eastAsia="pt-PT"/>
        </w:rPr>
        <w:t xml:space="preserve">level (3 </w:t>
      </w:r>
      <w:r w:rsidR="00FA5120" w:rsidRPr="00FA5120">
        <w:rPr>
          <w:rFonts w:ascii="Calibri" w:eastAsia="Times New Roman" w:hAnsi="Calibri" w:cs="Calibri"/>
          <w:color w:val="000000"/>
          <w:lang w:eastAsia="pt-PT"/>
        </w:rPr>
        <w:t>Flood Contingency and Response Plans in Cunene, Huila and Namibe provinces</w:t>
      </w:r>
      <w:r w:rsidR="005A6635">
        <w:rPr>
          <w:rFonts w:ascii="Calibri" w:eastAsia="Times New Roman" w:hAnsi="Calibri" w:cs="Calibri"/>
          <w:color w:val="000000"/>
          <w:lang w:eastAsia="pt-PT"/>
        </w:rPr>
        <w:t xml:space="preserve"> and 3 Covid-19 plans</w:t>
      </w:r>
      <w:r w:rsidR="00FA5120" w:rsidRPr="00FA5120">
        <w:rPr>
          <w:rFonts w:ascii="Calibri" w:eastAsia="Times New Roman" w:hAnsi="Calibri" w:cs="Calibri"/>
          <w:color w:val="000000"/>
          <w:lang w:eastAsia="pt-PT"/>
        </w:rPr>
        <w:t xml:space="preserve">) under the framework of the FRESAN project. </w:t>
      </w:r>
      <w:r w:rsidR="005A6635">
        <w:rPr>
          <w:rFonts w:ascii="Calibri" w:eastAsia="Times New Roman" w:hAnsi="Calibri" w:cs="Calibri"/>
          <w:color w:val="000000"/>
          <w:lang w:eastAsia="pt-PT"/>
        </w:rPr>
        <w:t xml:space="preserve">The </w:t>
      </w:r>
      <w:r w:rsidR="00FA5120" w:rsidRPr="00FA5120">
        <w:rPr>
          <w:rFonts w:ascii="Calibri" w:eastAsia="Times New Roman" w:hAnsi="Calibri" w:cs="Calibri"/>
          <w:color w:val="000000"/>
          <w:lang w:eastAsia="pt-PT"/>
        </w:rPr>
        <w:t>provincial contingency plans for Covid-19 in the three target provinces were approved in 2020, followed by immediate implementation by the Provincial Governments</w:t>
      </w:r>
      <w:r w:rsidR="005A6635">
        <w:rPr>
          <w:rFonts w:ascii="Calibri" w:eastAsia="Times New Roman" w:hAnsi="Calibri" w:cs="Calibri"/>
          <w:color w:val="000000"/>
          <w:lang w:eastAsia="pt-PT"/>
        </w:rPr>
        <w:t>; (ii) training and capacity building of civil protection staff</w:t>
      </w:r>
      <w:r w:rsidR="001C3364">
        <w:rPr>
          <w:rFonts w:ascii="Calibri" w:eastAsia="Times New Roman" w:hAnsi="Calibri" w:cs="Calibri"/>
          <w:color w:val="000000"/>
          <w:lang w:eastAsia="pt-PT"/>
        </w:rPr>
        <w:t xml:space="preserve">, </w:t>
      </w:r>
      <w:r w:rsidR="005A6635">
        <w:rPr>
          <w:rFonts w:ascii="Calibri" w:eastAsia="Times New Roman" w:hAnsi="Calibri" w:cs="Calibri"/>
          <w:color w:val="000000"/>
          <w:lang w:eastAsia="pt-PT"/>
        </w:rPr>
        <w:t xml:space="preserve"> GIS set up as well as an </w:t>
      </w:r>
      <w:r w:rsidR="001C3364">
        <w:rPr>
          <w:rFonts w:ascii="Calibri" w:eastAsia="Times New Roman" w:hAnsi="Calibri" w:cs="Calibri"/>
          <w:color w:val="000000"/>
          <w:lang w:eastAsia="pt-PT"/>
        </w:rPr>
        <w:t>O</w:t>
      </w:r>
      <w:r w:rsidR="005A6635">
        <w:rPr>
          <w:rFonts w:ascii="Calibri" w:eastAsia="Times New Roman" w:hAnsi="Calibri" w:cs="Calibri"/>
          <w:color w:val="000000"/>
          <w:lang w:eastAsia="pt-PT"/>
        </w:rPr>
        <w:t xml:space="preserve">perational </w:t>
      </w:r>
      <w:r w:rsidR="001C3364">
        <w:rPr>
          <w:rFonts w:ascii="Calibri" w:eastAsia="Times New Roman" w:hAnsi="Calibri" w:cs="Calibri"/>
          <w:color w:val="000000"/>
          <w:lang w:eastAsia="pt-PT"/>
        </w:rPr>
        <w:t>C</w:t>
      </w:r>
      <w:r w:rsidR="005A6635">
        <w:rPr>
          <w:rFonts w:ascii="Calibri" w:eastAsia="Times New Roman" w:hAnsi="Calibri" w:cs="Calibri"/>
          <w:color w:val="000000"/>
          <w:lang w:eastAsia="pt-PT"/>
        </w:rPr>
        <w:t>o</w:t>
      </w:r>
      <w:r w:rsidR="001C3364">
        <w:rPr>
          <w:rFonts w:ascii="Calibri" w:eastAsia="Times New Roman" w:hAnsi="Calibri" w:cs="Calibri"/>
          <w:color w:val="000000"/>
          <w:lang w:eastAsia="pt-PT"/>
        </w:rPr>
        <w:t>mm</w:t>
      </w:r>
      <w:r w:rsidR="005A6635">
        <w:rPr>
          <w:rFonts w:ascii="Calibri" w:eastAsia="Times New Roman" w:hAnsi="Calibri" w:cs="Calibri"/>
          <w:color w:val="000000"/>
          <w:lang w:eastAsia="pt-PT"/>
        </w:rPr>
        <w:t xml:space="preserve">and </w:t>
      </w:r>
      <w:r w:rsidR="001C3364">
        <w:rPr>
          <w:rFonts w:ascii="Calibri" w:eastAsia="Times New Roman" w:hAnsi="Calibri" w:cs="Calibri"/>
          <w:color w:val="000000"/>
          <w:lang w:eastAsia="pt-PT"/>
        </w:rPr>
        <w:t>C</w:t>
      </w:r>
      <w:r w:rsidR="005A6635">
        <w:rPr>
          <w:rFonts w:ascii="Calibri" w:eastAsia="Times New Roman" w:hAnsi="Calibri" w:cs="Calibri"/>
          <w:color w:val="000000"/>
          <w:lang w:eastAsia="pt-PT"/>
        </w:rPr>
        <w:t xml:space="preserve">entre </w:t>
      </w:r>
      <w:r w:rsidR="001C3364">
        <w:rPr>
          <w:rFonts w:ascii="Calibri" w:eastAsia="Times New Roman" w:hAnsi="Calibri" w:cs="Calibri"/>
          <w:color w:val="000000"/>
          <w:lang w:eastAsia="pt-PT"/>
        </w:rPr>
        <w:t xml:space="preserve">within </w:t>
      </w:r>
      <w:r w:rsidR="005A6635">
        <w:rPr>
          <w:rFonts w:ascii="Calibri" w:eastAsia="Times New Roman" w:hAnsi="Calibri" w:cs="Calibri"/>
          <w:color w:val="000000"/>
          <w:lang w:eastAsia="pt-PT"/>
        </w:rPr>
        <w:t>whi</w:t>
      </w:r>
      <w:r w:rsidR="001C3364">
        <w:rPr>
          <w:rFonts w:ascii="Calibri" w:eastAsia="Times New Roman" w:hAnsi="Calibri" w:cs="Calibri"/>
          <w:color w:val="000000"/>
          <w:lang w:eastAsia="pt-PT"/>
        </w:rPr>
        <w:t>c</w:t>
      </w:r>
      <w:r w:rsidR="005A6635">
        <w:rPr>
          <w:rFonts w:ascii="Calibri" w:eastAsia="Times New Roman" w:hAnsi="Calibri" w:cs="Calibri"/>
          <w:color w:val="000000"/>
          <w:lang w:eastAsia="pt-PT"/>
        </w:rPr>
        <w:t xml:space="preserve">h the UNDP </w:t>
      </w:r>
      <w:r w:rsidR="001C3364">
        <w:rPr>
          <w:rFonts w:ascii="Calibri" w:eastAsia="Times New Roman" w:hAnsi="Calibri" w:cs="Calibri"/>
          <w:color w:val="000000"/>
          <w:lang w:eastAsia="pt-PT"/>
        </w:rPr>
        <w:t xml:space="preserve">provincial </w:t>
      </w:r>
      <w:r w:rsidR="005A6635">
        <w:rPr>
          <w:rFonts w:ascii="Calibri" w:eastAsia="Times New Roman" w:hAnsi="Calibri" w:cs="Calibri"/>
          <w:color w:val="000000"/>
          <w:lang w:eastAsia="pt-PT"/>
        </w:rPr>
        <w:t>tea</w:t>
      </w:r>
      <w:r w:rsidR="001C3364">
        <w:rPr>
          <w:rFonts w:ascii="Calibri" w:eastAsia="Times New Roman" w:hAnsi="Calibri" w:cs="Calibri"/>
          <w:color w:val="000000"/>
          <w:lang w:eastAsia="pt-PT"/>
        </w:rPr>
        <w:t>m</w:t>
      </w:r>
      <w:r w:rsidR="005A6635">
        <w:rPr>
          <w:rFonts w:ascii="Calibri" w:eastAsia="Times New Roman" w:hAnsi="Calibri" w:cs="Calibri"/>
          <w:color w:val="000000"/>
          <w:lang w:eastAsia="pt-PT"/>
        </w:rPr>
        <w:t xml:space="preserve"> is </w:t>
      </w:r>
      <w:r w:rsidR="001C3364">
        <w:rPr>
          <w:rFonts w:ascii="Calibri" w:eastAsia="Times New Roman" w:hAnsi="Calibri" w:cs="Calibri"/>
          <w:color w:val="000000"/>
          <w:lang w:eastAsia="pt-PT"/>
        </w:rPr>
        <w:t>embedded</w:t>
      </w:r>
      <w:r w:rsidR="005A6635">
        <w:rPr>
          <w:rFonts w:ascii="Calibri" w:eastAsia="Times New Roman" w:hAnsi="Calibri" w:cs="Calibri"/>
          <w:color w:val="000000"/>
          <w:lang w:eastAsia="pt-PT"/>
        </w:rPr>
        <w:t xml:space="preserve">; (iii) </w:t>
      </w:r>
      <w:r w:rsidR="001C3364">
        <w:rPr>
          <w:rFonts w:ascii="Calibri" w:eastAsia="Times New Roman" w:hAnsi="Calibri" w:cs="Calibri"/>
          <w:color w:val="000000"/>
          <w:lang w:eastAsia="pt-PT"/>
        </w:rPr>
        <w:t>improved</w:t>
      </w:r>
      <w:r w:rsidR="005A6635">
        <w:rPr>
          <w:rFonts w:ascii="Calibri" w:eastAsia="Times New Roman" w:hAnsi="Calibri" w:cs="Calibri"/>
          <w:color w:val="000000"/>
          <w:lang w:eastAsia="pt-PT"/>
        </w:rPr>
        <w:t xml:space="preserve"> </w:t>
      </w:r>
      <w:r w:rsidR="001C3364">
        <w:rPr>
          <w:rFonts w:ascii="Calibri" w:eastAsia="Times New Roman" w:hAnsi="Calibri" w:cs="Calibri"/>
          <w:color w:val="000000"/>
          <w:lang w:eastAsia="pt-PT"/>
        </w:rPr>
        <w:t>coordination</w:t>
      </w:r>
      <w:r w:rsidR="005A6635">
        <w:rPr>
          <w:rFonts w:ascii="Calibri" w:eastAsia="Times New Roman" w:hAnsi="Calibri" w:cs="Calibri"/>
          <w:color w:val="000000"/>
          <w:lang w:eastAsia="pt-PT"/>
        </w:rPr>
        <w:t xml:space="preserve"> </w:t>
      </w:r>
      <w:r w:rsidR="001C3364">
        <w:rPr>
          <w:rFonts w:ascii="Calibri" w:eastAsia="Times New Roman" w:hAnsi="Calibri" w:cs="Calibri"/>
          <w:color w:val="000000"/>
          <w:lang w:eastAsia="pt-PT"/>
        </w:rPr>
        <w:t>which</w:t>
      </w:r>
      <w:r w:rsidR="005A6635">
        <w:rPr>
          <w:rFonts w:ascii="Calibri" w:eastAsia="Times New Roman" w:hAnsi="Calibri" w:cs="Calibri"/>
          <w:color w:val="000000"/>
          <w:lang w:eastAsia="pt-PT"/>
        </w:rPr>
        <w:t xml:space="preserve"> is setting up </w:t>
      </w:r>
      <w:r w:rsidR="001C3364">
        <w:rPr>
          <w:rFonts w:ascii="Calibri" w:eastAsia="Times New Roman" w:hAnsi="Calibri" w:cs="Calibri"/>
          <w:color w:val="000000"/>
          <w:lang w:eastAsia="pt-PT"/>
        </w:rPr>
        <w:t>conditions</w:t>
      </w:r>
      <w:r w:rsidR="005A6635">
        <w:rPr>
          <w:rFonts w:ascii="Calibri" w:eastAsia="Times New Roman" w:hAnsi="Calibri" w:cs="Calibri"/>
          <w:color w:val="000000"/>
          <w:lang w:eastAsia="pt-PT"/>
        </w:rPr>
        <w:t xml:space="preserve"> for </w:t>
      </w:r>
      <w:r w:rsidR="001C3364">
        <w:rPr>
          <w:rFonts w:ascii="Calibri" w:eastAsia="Times New Roman" w:hAnsi="Calibri" w:cs="Calibri"/>
          <w:color w:val="000000"/>
          <w:lang w:eastAsia="pt-PT"/>
        </w:rPr>
        <w:t xml:space="preserve">consolidation; (iv) 14 EWS plans out of 20 have been developed in the provinces; and (v)  </w:t>
      </w:r>
      <w:r w:rsidR="00365978">
        <w:rPr>
          <w:rFonts w:ascii="Calibri" w:eastAsia="Times New Roman" w:hAnsi="Calibri" w:cs="Calibri"/>
          <w:color w:val="000000"/>
          <w:lang w:eastAsia="pt-PT"/>
        </w:rPr>
        <w:t>efforts being made to secure funds for the DR</w:t>
      </w:r>
      <w:r w:rsidR="00864843">
        <w:rPr>
          <w:rFonts w:ascii="Calibri" w:eastAsia="Times New Roman" w:hAnsi="Calibri" w:cs="Calibri"/>
          <w:color w:val="000000"/>
          <w:lang w:eastAsia="pt-PT"/>
        </w:rPr>
        <w:t>M</w:t>
      </w:r>
      <w:r w:rsidR="00365978">
        <w:rPr>
          <w:rFonts w:ascii="Calibri" w:eastAsia="Times New Roman" w:hAnsi="Calibri" w:cs="Calibri"/>
          <w:color w:val="000000"/>
          <w:lang w:eastAsia="pt-PT"/>
        </w:rPr>
        <w:t xml:space="preserve">  from the government budget, rather than donor funds.</w:t>
      </w:r>
    </w:p>
    <w:p w14:paraId="471BE339" w14:textId="77777777" w:rsidR="00365978" w:rsidRDefault="00365978" w:rsidP="00FA5120">
      <w:pPr>
        <w:spacing w:after="0" w:line="240" w:lineRule="auto"/>
        <w:jc w:val="both"/>
        <w:rPr>
          <w:rFonts w:ascii="Calibri" w:eastAsia="Times New Roman" w:hAnsi="Calibri" w:cs="Calibri"/>
          <w:color w:val="000000"/>
          <w:lang w:eastAsia="pt-PT"/>
        </w:rPr>
      </w:pPr>
    </w:p>
    <w:p w14:paraId="3A1DB2B7" w14:textId="7E439F86" w:rsidR="00FA5120" w:rsidRPr="00EE0D92" w:rsidRDefault="00365978" w:rsidP="00FA5120">
      <w:pPr>
        <w:spacing w:after="0" w:line="240" w:lineRule="auto"/>
        <w:jc w:val="both"/>
        <w:rPr>
          <w:rFonts w:ascii="Calibri" w:eastAsia="Times New Roman" w:hAnsi="Calibri" w:cs="Calibri"/>
          <w:color w:val="000000"/>
          <w:lang w:eastAsia="pt-PT"/>
        </w:rPr>
      </w:pPr>
      <w:r w:rsidRPr="00EE0D92">
        <w:rPr>
          <w:rFonts w:ascii="Calibri" w:eastAsia="Times New Roman" w:hAnsi="Calibri" w:cs="Calibri"/>
          <w:color w:val="000000"/>
          <w:lang w:eastAsia="pt-PT"/>
        </w:rPr>
        <w:t>Challenges faced include</w:t>
      </w:r>
      <w:r w:rsidR="00EE0D92" w:rsidRPr="00EE0D92">
        <w:rPr>
          <w:rFonts w:ascii="Calibri" w:eastAsia="Times New Roman" w:hAnsi="Calibri" w:cs="Calibri"/>
          <w:color w:val="000000"/>
          <w:lang w:eastAsia="pt-PT"/>
        </w:rPr>
        <w:t>: (</w:t>
      </w:r>
      <w:r w:rsidRPr="00EE0D92">
        <w:rPr>
          <w:rFonts w:ascii="Calibri" w:eastAsia="Times New Roman" w:hAnsi="Calibri" w:cs="Calibri"/>
          <w:color w:val="000000"/>
          <w:lang w:eastAsia="pt-PT"/>
        </w:rPr>
        <w:t xml:space="preserve">i) </w:t>
      </w:r>
      <w:r w:rsidR="00FA5120" w:rsidRPr="00EE0D92">
        <w:rPr>
          <w:rFonts w:ascii="Calibri" w:hAnsi="Calibri" w:cs="Calibri"/>
        </w:rPr>
        <w:t>COVID-19 pandemic and associated lockdowns impacted negatively the delivery of most of the expected results under this output</w:t>
      </w:r>
      <w:r w:rsidRPr="00EE0D92">
        <w:rPr>
          <w:rFonts w:ascii="Calibri" w:hAnsi="Calibri" w:cs="Calibri"/>
        </w:rPr>
        <w:t xml:space="preserve">; (ii) a </w:t>
      </w:r>
      <w:r w:rsidR="00864843">
        <w:rPr>
          <w:rFonts w:ascii="Calibri" w:hAnsi="Calibri" w:cs="Calibri"/>
        </w:rPr>
        <w:t xml:space="preserve">UNDP </w:t>
      </w:r>
      <w:r w:rsidR="00EE0D92" w:rsidRPr="00EE0D92">
        <w:rPr>
          <w:rFonts w:ascii="Calibri" w:hAnsi="Calibri" w:cs="Calibri"/>
        </w:rPr>
        <w:t>small</w:t>
      </w:r>
      <w:r w:rsidRPr="00EE0D92">
        <w:rPr>
          <w:rFonts w:ascii="Calibri" w:hAnsi="Calibri" w:cs="Calibri"/>
        </w:rPr>
        <w:t xml:space="preserve"> tea</w:t>
      </w:r>
      <w:r w:rsidR="00EE0D92" w:rsidRPr="00EE0D92">
        <w:rPr>
          <w:rFonts w:ascii="Calibri" w:hAnsi="Calibri" w:cs="Calibri"/>
        </w:rPr>
        <w:t>m</w:t>
      </w:r>
      <w:r w:rsidRPr="00EE0D92">
        <w:rPr>
          <w:rFonts w:ascii="Calibri" w:hAnsi="Calibri" w:cs="Calibri"/>
        </w:rPr>
        <w:t xml:space="preserve"> </w:t>
      </w:r>
      <w:r w:rsidR="00864843">
        <w:rPr>
          <w:rFonts w:ascii="Calibri" w:hAnsi="Calibri" w:cs="Calibri"/>
        </w:rPr>
        <w:t xml:space="preserve">is </w:t>
      </w:r>
      <w:r w:rsidRPr="00EE0D92">
        <w:rPr>
          <w:rFonts w:ascii="Calibri" w:hAnsi="Calibri" w:cs="Calibri"/>
        </w:rPr>
        <w:t xml:space="preserve">deployed </w:t>
      </w:r>
      <w:r w:rsidR="00864843">
        <w:rPr>
          <w:rFonts w:ascii="Calibri" w:hAnsi="Calibri" w:cs="Calibri"/>
        </w:rPr>
        <w:t>to c</w:t>
      </w:r>
      <w:r w:rsidR="00EE0D92" w:rsidRPr="00EE0D92">
        <w:rPr>
          <w:rFonts w:ascii="Calibri" w:hAnsi="Calibri" w:cs="Calibri"/>
        </w:rPr>
        <w:t>over</w:t>
      </w:r>
      <w:r w:rsidRPr="00EE0D92">
        <w:rPr>
          <w:rFonts w:ascii="Calibri" w:hAnsi="Calibri" w:cs="Calibri"/>
        </w:rPr>
        <w:t xml:space="preserve"> a large area, but the strategy to </w:t>
      </w:r>
      <w:r w:rsidR="00EE0D92" w:rsidRPr="00EE0D92">
        <w:rPr>
          <w:rFonts w:ascii="Calibri" w:hAnsi="Calibri" w:cs="Calibri"/>
        </w:rPr>
        <w:t>embed</w:t>
      </w:r>
      <w:r w:rsidRPr="00EE0D92">
        <w:rPr>
          <w:rFonts w:ascii="Calibri" w:hAnsi="Calibri" w:cs="Calibri"/>
        </w:rPr>
        <w:t xml:space="preserve"> the tea</w:t>
      </w:r>
      <w:r w:rsidR="00864843">
        <w:rPr>
          <w:rFonts w:ascii="Calibri" w:hAnsi="Calibri" w:cs="Calibri"/>
        </w:rPr>
        <w:t>m</w:t>
      </w:r>
      <w:r w:rsidRPr="00EE0D92">
        <w:rPr>
          <w:rFonts w:ascii="Calibri" w:hAnsi="Calibri" w:cs="Calibri"/>
        </w:rPr>
        <w:t xml:space="preserve"> within </w:t>
      </w:r>
      <w:r w:rsidR="00EE0D92" w:rsidRPr="00EE0D92">
        <w:rPr>
          <w:rFonts w:ascii="Calibri" w:hAnsi="Calibri" w:cs="Calibri"/>
        </w:rPr>
        <w:t>c</w:t>
      </w:r>
      <w:r w:rsidRPr="00EE0D92">
        <w:rPr>
          <w:rFonts w:ascii="Calibri" w:hAnsi="Calibri" w:cs="Calibri"/>
        </w:rPr>
        <w:t>i</w:t>
      </w:r>
      <w:r w:rsidR="00EE0D92" w:rsidRPr="00EE0D92">
        <w:rPr>
          <w:rFonts w:ascii="Calibri" w:hAnsi="Calibri" w:cs="Calibri"/>
        </w:rPr>
        <w:t>v</w:t>
      </w:r>
      <w:r w:rsidRPr="00EE0D92">
        <w:rPr>
          <w:rFonts w:ascii="Calibri" w:hAnsi="Calibri" w:cs="Calibri"/>
        </w:rPr>
        <w:t xml:space="preserve">il protection appears to be working well; (iii) </w:t>
      </w:r>
      <w:r w:rsidR="00EE0D92" w:rsidRPr="00EE0D92">
        <w:rPr>
          <w:rFonts w:ascii="Calibri" w:hAnsi="Calibri" w:cs="Calibri"/>
        </w:rPr>
        <w:t>frequent changes within provincial governments; (i) low budgets; (v) UNDP</w:t>
      </w:r>
      <w:r w:rsidR="00EE0D92">
        <w:rPr>
          <w:rFonts w:ascii="Calibri" w:hAnsi="Calibri" w:cs="Calibri"/>
        </w:rPr>
        <w:t xml:space="preserve"> operations support (finance, </w:t>
      </w:r>
      <w:r w:rsidR="00EE0D92">
        <w:rPr>
          <w:rFonts w:ascii="Calibri" w:hAnsi="Calibri" w:cs="Calibri"/>
        </w:rPr>
        <w:lastRenderedPageBreak/>
        <w:t>procurement and administration) is not efficient. UNDP needs to significantly improve on its operations support, if its regional presence and decentralisation into the pro</w:t>
      </w:r>
      <w:r w:rsidR="00BF0B2D">
        <w:rPr>
          <w:rFonts w:ascii="Calibri" w:hAnsi="Calibri" w:cs="Calibri"/>
        </w:rPr>
        <w:t>v</w:t>
      </w:r>
      <w:r w:rsidR="00EE0D92">
        <w:rPr>
          <w:rFonts w:ascii="Calibri" w:hAnsi="Calibri" w:cs="Calibri"/>
        </w:rPr>
        <w:t>in</w:t>
      </w:r>
      <w:r w:rsidR="00BF0B2D">
        <w:rPr>
          <w:rFonts w:ascii="Calibri" w:hAnsi="Calibri" w:cs="Calibri"/>
        </w:rPr>
        <w:t>c</w:t>
      </w:r>
      <w:r w:rsidR="00EE0D92">
        <w:rPr>
          <w:rFonts w:ascii="Calibri" w:hAnsi="Calibri" w:cs="Calibri"/>
        </w:rPr>
        <w:t>es is to work.</w:t>
      </w:r>
    </w:p>
    <w:p w14:paraId="4B38D53C" w14:textId="77777777" w:rsidR="00FA5120" w:rsidRDefault="00FA5120" w:rsidP="00FA5120">
      <w:pPr>
        <w:spacing w:after="0" w:line="240" w:lineRule="auto"/>
        <w:jc w:val="both"/>
        <w:rPr>
          <w:rFonts w:ascii="Calibri" w:eastAsia="Times New Roman" w:hAnsi="Calibri" w:cs="Calibri"/>
          <w:color w:val="000000"/>
          <w:lang w:eastAsia="pt-PT"/>
        </w:rPr>
      </w:pPr>
    </w:p>
    <w:p w14:paraId="313FD02E" w14:textId="205DD81F" w:rsidR="00994BBE" w:rsidRPr="00FA5120" w:rsidRDefault="00994BBE" w:rsidP="00FA5120">
      <w:pPr>
        <w:spacing w:after="0" w:line="240" w:lineRule="auto"/>
        <w:jc w:val="both"/>
        <w:rPr>
          <w:rFonts w:ascii="Calibri" w:eastAsia="Times New Roman" w:hAnsi="Calibri" w:cs="Calibri"/>
          <w:color w:val="000000"/>
          <w:lang w:eastAsia="pt-PT"/>
        </w:rPr>
      </w:pPr>
      <w:r>
        <w:t xml:space="preserve">During 2020, with support from the GEF/LDCF Cuvelai project, eight community level disaster management groups were set up and trained by the Civil Protection of Cunene Province, resulting in increased disaster preparedness for over 55,000 people in this most vulnerable province of Angola. 20,632 people of which 11,106 women in the same province benefited from improved sanitation with construction of 1,128 latrines and 1,027 hand washing devices in their communities, of which 6 were certified "open air defecation free" and 5 are awaiting certification. Under the same project, over 300,000 rural people in the province were reached through a radio program in two local languages (Otchivambo and Nhaneca-Humbe) on topics related to vulnerability to drought and flooding, climate change, sustainable agriculture, and covering Covid related issues, with three weekly transmissions by Radio Cunene. Under the GEF Sustainable Charcoal project, over 95,000 rural people in the provinces of Huambo and Cuanza Sul received training in sustainable forest management, including Covid related topics such as handwashing and distancing with installation of simple hand-washing equipment in the communities </w:t>
      </w:r>
    </w:p>
    <w:p w14:paraId="038617DF" w14:textId="550A2177" w:rsidR="00994BBE" w:rsidRDefault="00994BBE" w:rsidP="00F55ECB">
      <w:pPr>
        <w:jc w:val="both"/>
      </w:pPr>
      <w:r>
        <w:t>Under FRESAN Project and in coordination with UNDP’s Cuvelai project in Cunene province ensuring 10 community groups were created and trained in DRR/DRM and a radio communication system was establish between SPCB Cunene (municipal headquarters and 11 vehicles were procured) and 12 isolated communities to improve internal communications and with target communities.</w:t>
      </w:r>
    </w:p>
    <w:p w14:paraId="00B2BB5C" w14:textId="54096841" w:rsidR="00994BBE" w:rsidRDefault="00994BBE" w:rsidP="00F55ECB">
      <w:pPr>
        <w:jc w:val="both"/>
      </w:pPr>
      <w:r>
        <w:t>A strong gender element was included in the training program on community-based sanitation in Cunene Province under the GEF/LDCF Cuvelai project, where 54% of the 20,632 beneficiaries of basic sanitation training were women. In the same project, 225 women from 15 communities were trained in the fabrication of soap to supply the 1,027 hand washing installations. The Cuvelai project also continued to employ 22 community extension workers, of which 10 (45%) were female, to train communities in climate change resilient agriculture and horticulture. Of the members of the community disaster response committees set up and trained by Civil Protection, 40% were women which is remarkable since the members of those committees are chosen by the traditionally very male dominated communities themselves. In the team preparing the radio program on climate change resilience emitted in two local languages by Radio Cunene, 4 out of 10 team members (40%) were female, including 3 students of theatre and one translator, while 6 out of the 17 members (35%) of the advisory committee selecting the topics for the radio program were female, ensuring that gender aspects are taken into account in the selection of topics and that female voices play a prominent role in the communication of climate resilience topics.</w:t>
      </w:r>
    </w:p>
    <w:p w14:paraId="07F16CA5" w14:textId="392FEC71" w:rsidR="0003792C" w:rsidRDefault="0003792C" w:rsidP="00F55ECB">
      <w:pPr>
        <w:jc w:val="both"/>
      </w:pPr>
      <w:r>
        <w:t xml:space="preserve">With UNDP support, in collaboration with the International Training </w:t>
      </w:r>
      <w:r w:rsidR="00FE41A9">
        <w:t>Centre</w:t>
      </w:r>
      <w:r>
        <w:t xml:space="preserve"> of the International </w:t>
      </w:r>
      <w:r w:rsidR="00864843">
        <w:t>Labour</w:t>
      </w:r>
      <w:r>
        <w:t xml:space="preserve"> Organization, Gender Sensitive Disaster Risk Management (DRM) and Sustainable Local Development Program was developed for the 3 provinces in southern Angola most affected by the drought (namely: Huíla, Namibe and Cunene). With UNDP support, in Cunene province, 10 community groups were created and trained on DRR/DRM and a radio communication system was established between Angola's Civil Protection and Fire Services (SPCB) isolated communities to improve internal communications on disaster occurrence and action.</w:t>
      </w:r>
    </w:p>
    <w:p w14:paraId="174D8D76" w14:textId="4D957DC0" w:rsidR="00201087" w:rsidRPr="00201087" w:rsidRDefault="009907B5" w:rsidP="00201087">
      <w:pPr>
        <w:pStyle w:val="Heading3"/>
        <w:rPr>
          <w:rFonts w:asciiTheme="minorHAnsi" w:hAnsiTheme="minorHAnsi" w:cstheme="minorHAnsi"/>
          <w:sz w:val="22"/>
          <w:szCs w:val="22"/>
        </w:rPr>
      </w:pPr>
      <w:bookmarkStart w:id="48" w:name="_Toc88741796"/>
      <w:r>
        <w:rPr>
          <w:rFonts w:asciiTheme="minorHAnsi" w:hAnsiTheme="minorHAnsi" w:cstheme="minorHAnsi"/>
          <w:sz w:val="22"/>
          <w:szCs w:val="22"/>
        </w:rPr>
        <w:t>4</w:t>
      </w:r>
      <w:r w:rsidR="00201087" w:rsidRPr="00201087">
        <w:rPr>
          <w:rFonts w:asciiTheme="minorHAnsi" w:hAnsiTheme="minorHAnsi" w:cstheme="minorHAnsi"/>
          <w:sz w:val="22"/>
          <w:szCs w:val="22"/>
        </w:rPr>
        <w:t>.</w:t>
      </w:r>
      <w:r w:rsidR="00201087">
        <w:rPr>
          <w:rFonts w:asciiTheme="minorHAnsi" w:hAnsiTheme="minorHAnsi" w:cstheme="minorHAnsi"/>
          <w:sz w:val="22"/>
          <w:szCs w:val="22"/>
        </w:rPr>
        <w:t>2</w:t>
      </w:r>
      <w:r w:rsidR="00201087" w:rsidRPr="00201087">
        <w:rPr>
          <w:rFonts w:asciiTheme="minorHAnsi" w:hAnsiTheme="minorHAnsi" w:cstheme="minorHAnsi"/>
          <w:sz w:val="22"/>
          <w:szCs w:val="22"/>
        </w:rPr>
        <w:t>.3 Efficiency</w:t>
      </w:r>
      <w:bookmarkEnd w:id="48"/>
    </w:p>
    <w:p w14:paraId="2EEF87D9" w14:textId="791765A0" w:rsidR="008735D7" w:rsidRDefault="008735D7" w:rsidP="008735D7">
      <w:pPr>
        <w:jc w:val="both"/>
        <w:rPr>
          <w:rFonts w:ascii="Calibri" w:eastAsia="Times New Roman" w:hAnsi="Calibri" w:cs="Calibri"/>
          <w:color w:val="1D2228"/>
          <w:lang w:eastAsia="pt-PT"/>
        </w:rPr>
      </w:pPr>
      <w:r>
        <w:t>Programme expenditures for the environment and climate change cluster in 2020 and 2021 is shown in Figure 6 below. Average</w:t>
      </w:r>
      <w:r w:rsidR="006C4C0D">
        <w:t>d</w:t>
      </w:r>
      <w:r>
        <w:t xml:space="preserve"> over the two years</w:t>
      </w:r>
      <w:r w:rsidR="006C4C0D">
        <w:t>, the implementation rate</w:t>
      </w:r>
      <w:r>
        <w:t xml:space="preserve"> </w:t>
      </w:r>
      <w:r w:rsidR="009344C3">
        <w:t>was 42.1% and, in both years,</w:t>
      </w:r>
      <w:r>
        <w:t xml:space="preserve"> expenditures are below budget </w:t>
      </w:r>
      <w:r w:rsidR="009344C3">
        <w:t xml:space="preserve">and at about the same level - </w:t>
      </w:r>
      <w:r>
        <w:t>delivery was 40% in 2020</w:t>
      </w:r>
      <w:r w:rsidR="009344C3">
        <w:t xml:space="preserve"> and so far, 44% </w:t>
      </w:r>
      <w:r>
        <w:t xml:space="preserve">for 2021.  </w:t>
      </w:r>
      <w:r w:rsidR="009344C3">
        <w:t xml:space="preserve">There is a strong likelihood that the performance </w:t>
      </w:r>
      <w:r w:rsidR="006C4C0D">
        <w:t>by end of</w:t>
      </w:r>
      <w:r w:rsidR="009344C3">
        <w:t xml:space="preserve"> 2021 will be significantly better than </w:t>
      </w:r>
      <w:r w:rsidR="000A4CC7">
        <w:lastRenderedPageBreak/>
        <w:t xml:space="preserve">in </w:t>
      </w:r>
      <w:r w:rsidR="009344C3">
        <w:t>2020. Enhanced d</w:t>
      </w:r>
      <w:r>
        <w:t xml:space="preserve">elivery </w:t>
      </w:r>
      <w:r w:rsidR="009344C3">
        <w:t xml:space="preserve">in 2021 </w:t>
      </w:r>
      <w:r w:rsidR="006C4C0D">
        <w:t>i</w:t>
      </w:r>
      <w:r w:rsidR="009344C3">
        <w:t>s in part due to two projects that came onstream (</w:t>
      </w:r>
      <w:r w:rsidR="009344C3" w:rsidRPr="00CB6EC6">
        <w:rPr>
          <w:rFonts w:ascii="Calibri" w:eastAsia="Times New Roman" w:hAnsi="Calibri" w:cs="Calibri"/>
          <w:color w:val="000000"/>
          <w:lang w:eastAsia="pt-PT"/>
        </w:rPr>
        <w:t>Addressing urgent coastal adaptation needs and capacity gaps in Angola</w:t>
      </w:r>
      <w:r w:rsidR="009344C3">
        <w:t xml:space="preserve">; and </w:t>
      </w:r>
      <w:r w:rsidR="00FE41A9" w:rsidRPr="00CB6EC6">
        <w:rPr>
          <w:rFonts w:ascii="Calibri" w:eastAsia="Times New Roman" w:hAnsi="Calibri" w:cs="Calibri"/>
          <w:color w:val="000000"/>
          <w:lang w:eastAsia="pt-PT"/>
        </w:rPr>
        <w:t>Promotion of Sustainable Charcoal in Angola through a Value Chain Approach</w:t>
      </w:r>
      <w:r w:rsidR="00FE41A9">
        <w:t>)</w:t>
      </w:r>
      <w:r>
        <w:rPr>
          <w:rFonts w:ascii="Calibri" w:eastAsia="Times New Roman" w:hAnsi="Calibri" w:cs="Calibri"/>
          <w:color w:val="1D2228"/>
          <w:lang w:eastAsia="pt-PT"/>
        </w:rPr>
        <w:t>.</w:t>
      </w:r>
    </w:p>
    <w:p w14:paraId="64950429" w14:textId="1DAB2A34" w:rsidR="008735D7" w:rsidRDefault="008735D7" w:rsidP="008735D7">
      <w:pPr>
        <w:jc w:val="both"/>
      </w:pPr>
      <w:r>
        <w:rPr>
          <w:noProof/>
          <w:lang w:eastAsia="pt-PT"/>
        </w:rPr>
        <w:drawing>
          <wp:inline distT="0" distB="0" distL="0" distR="0" wp14:anchorId="4F016A95" wp14:editId="08D0B8A6">
            <wp:extent cx="4572000" cy="2743200"/>
            <wp:effectExtent l="0" t="0" r="0" b="0"/>
            <wp:docPr id="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BFEFEDA" w14:textId="33DFFF5F" w:rsidR="00201087" w:rsidRPr="00201087" w:rsidRDefault="009907B5" w:rsidP="00201087">
      <w:pPr>
        <w:pStyle w:val="Heading3"/>
        <w:rPr>
          <w:rFonts w:asciiTheme="minorHAnsi" w:hAnsiTheme="minorHAnsi" w:cstheme="minorHAnsi"/>
          <w:sz w:val="22"/>
          <w:szCs w:val="22"/>
        </w:rPr>
      </w:pPr>
      <w:bookmarkStart w:id="49" w:name="_Toc88741797"/>
      <w:r>
        <w:rPr>
          <w:rFonts w:asciiTheme="minorHAnsi" w:hAnsiTheme="minorHAnsi" w:cstheme="minorHAnsi"/>
          <w:sz w:val="22"/>
          <w:szCs w:val="22"/>
        </w:rPr>
        <w:t>4</w:t>
      </w:r>
      <w:r w:rsidR="00201087" w:rsidRPr="00201087">
        <w:rPr>
          <w:rFonts w:asciiTheme="minorHAnsi" w:hAnsiTheme="minorHAnsi" w:cstheme="minorHAnsi"/>
          <w:sz w:val="22"/>
          <w:szCs w:val="22"/>
        </w:rPr>
        <w:t>.</w:t>
      </w:r>
      <w:r w:rsidR="00201087">
        <w:rPr>
          <w:rFonts w:asciiTheme="minorHAnsi" w:hAnsiTheme="minorHAnsi" w:cstheme="minorHAnsi"/>
          <w:sz w:val="22"/>
          <w:szCs w:val="22"/>
        </w:rPr>
        <w:t>2</w:t>
      </w:r>
      <w:r w:rsidR="00201087" w:rsidRPr="00201087">
        <w:rPr>
          <w:rFonts w:asciiTheme="minorHAnsi" w:hAnsiTheme="minorHAnsi" w:cstheme="minorHAnsi"/>
          <w:sz w:val="22"/>
          <w:szCs w:val="22"/>
        </w:rPr>
        <w:t>.4 Sustainability</w:t>
      </w:r>
      <w:bookmarkEnd w:id="49"/>
    </w:p>
    <w:p w14:paraId="6D5BCCF1" w14:textId="071606EF" w:rsidR="00B20628" w:rsidRDefault="00FE41A9" w:rsidP="00FE41A9">
      <w:pPr>
        <w:jc w:val="both"/>
      </w:pPr>
      <w:r>
        <w:t xml:space="preserve">Sustainability is judged to be good as with UNDP assistance a sound policy framework on environment and climate change is in place, and there appears to be strong commitment at highest government level. However, vested interests in the Oil and Gas sector and other factor could act as bottlenecks, although these are not insurmountable.  The fact that several initiatives in this area are of a transboundary nature involving other countries in the sub-region, enhances the chances for sustainability. </w:t>
      </w:r>
      <w:r w:rsidR="006C4C0D">
        <w:t>However, there is need for reflection on putting in place a sustainable national financing mechanism to address</w:t>
      </w:r>
      <w:r w:rsidR="000A4CC7">
        <w:t xml:space="preserve"> </w:t>
      </w:r>
      <w:r w:rsidR="00647F7E">
        <w:t>natural resources</w:t>
      </w:r>
      <w:r w:rsidR="000A4CC7">
        <w:t xml:space="preserve"> </w:t>
      </w:r>
      <w:r w:rsidR="00647F7E">
        <w:t>management, climate</w:t>
      </w:r>
      <w:r w:rsidR="006C4C0D">
        <w:t xml:space="preserve"> change and environment issues in Angola.</w:t>
      </w:r>
    </w:p>
    <w:p w14:paraId="7314A51C" w14:textId="5F6C0C9D" w:rsidR="00864843" w:rsidRPr="00096F94" w:rsidRDefault="005506FB" w:rsidP="00096F94">
      <w:pPr>
        <w:pStyle w:val="Heading3"/>
        <w:rPr>
          <w:rFonts w:asciiTheme="minorHAnsi" w:hAnsiTheme="minorHAnsi" w:cstheme="minorHAnsi"/>
          <w:sz w:val="22"/>
          <w:szCs w:val="22"/>
        </w:rPr>
      </w:pPr>
      <w:bookmarkStart w:id="50" w:name="_Toc88741798"/>
      <w:r>
        <w:rPr>
          <w:rFonts w:asciiTheme="minorHAnsi" w:hAnsiTheme="minorHAnsi" w:cstheme="minorHAnsi"/>
          <w:sz w:val="22"/>
          <w:szCs w:val="22"/>
        </w:rPr>
        <w:t xml:space="preserve">4.2.5 </w:t>
      </w:r>
      <w:r w:rsidR="00096F94" w:rsidRPr="00096F94">
        <w:rPr>
          <w:rFonts w:asciiTheme="minorHAnsi" w:hAnsiTheme="minorHAnsi" w:cstheme="minorHAnsi"/>
          <w:sz w:val="22"/>
          <w:szCs w:val="22"/>
        </w:rPr>
        <w:t>Overall</w:t>
      </w:r>
      <w:r w:rsidR="00864843" w:rsidRPr="00096F94">
        <w:rPr>
          <w:rFonts w:asciiTheme="minorHAnsi" w:hAnsiTheme="minorHAnsi" w:cstheme="minorHAnsi"/>
          <w:sz w:val="22"/>
          <w:szCs w:val="22"/>
        </w:rPr>
        <w:t xml:space="preserve"> </w:t>
      </w:r>
      <w:r w:rsidR="00096F94" w:rsidRPr="00096F94">
        <w:rPr>
          <w:rFonts w:asciiTheme="minorHAnsi" w:hAnsiTheme="minorHAnsi" w:cstheme="minorHAnsi"/>
          <w:sz w:val="22"/>
          <w:szCs w:val="22"/>
        </w:rPr>
        <w:t>conclusions</w:t>
      </w:r>
      <w:r w:rsidR="00864843" w:rsidRPr="00096F94">
        <w:rPr>
          <w:rFonts w:asciiTheme="minorHAnsi" w:hAnsiTheme="minorHAnsi" w:cstheme="minorHAnsi"/>
          <w:sz w:val="22"/>
          <w:szCs w:val="22"/>
        </w:rPr>
        <w:t xml:space="preserve"> on UNDP’s work on </w:t>
      </w:r>
      <w:r w:rsidR="00096F94" w:rsidRPr="00096F94">
        <w:rPr>
          <w:rFonts w:asciiTheme="minorHAnsi" w:hAnsiTheme="minorHAnsi" w:cstheme="minorHAnsi"/>
          <w:sz w:val="22"/>
          <w:szCs w:val="22"/>
        </w:rPr>
        <w:t>Environment, Climate Change and Resilience Cluster</w:t>
      </w:r>
      <w:bookmarkEnd w:id="50"/>
    </w:p>
    <w:p w14:paraId="6549BC32" w14:textId="24303C62" w:rsidR="00096F94" w:rsidRDefault="00096F94" w:rsidP="00096F94">
      <w:pPr>
        <w:jc w:val="both"/>
      </w:pPr>
      <w:r>
        <w:t>UNDP’s intervention</w:t>
      </w:r>
      <w:r w:rsidR="005506FB">
        <w:t>s</w:t>
      </w:r>
      <w:r>
        <w:t xml:space="preserve"> under this outcome address the needs of very vulnerable segments of society in addition to assisting Angola </w:t>
      </w:r>
      <w:r w:rsidR="005506FB">
        <w:t>tackle</w:t>
      </w:r>
      <w:r>
        <w:t xml:space="preserve"> pressing Climate and natural resources degradation challenges. For example, the Cubango-Okavango River Basin where UNDP is intervening, is situated in remote areas with predominantly rural communities, who are dependent on natural resources, subsistence rain-fed agriculture and flood-recession agriculture. As a result, the people of the basin are poorer, less healthy, and less well educated than national averages in their respective countries. Similarly, under the FRESAN project, the victims of recurrent drought are mostly poor, rural women, children and the elderly. </w:t>
      </w:r>
      <w:r w:rsidR="005506FB">
        <w:t xml:space="preserve">Thus, as with poverty cluster UNDP has prioritized and its programmes are reaching many of the poor, marginalized and deprived communities, which is really at the core of its mandate. </w:t>
      </w:r>
    </w:p>
    <w:p w14:paraId="613E1ABD" w14:textId="23A16D4C" w:rsidR="00096F94" w:rsidRDefault="001222DA" w:rsidP="00096F94">
      <w:pPr>
        <w:jc w:val="both"/>
      </w:pPr>
      <w:r>
        <w:t>The evaluation</w:t>
      </w:r>
      <w:r w:rsidR="005506FB">
        <w:t xml:space="preserve"> further notes that the </w:t>
      </w:r>
      <w:r w:rsidR="00096F94">
        <w:t>strategy inherent in UNDP’s interventions</w:t>
      </w:r>
      <w:r w:rsidR="005506FB">
        <w:t xml:space="preserve"> under this out</w:t>
      </w:r>
      <w:r w:rsidR="00C67252">
        <w:t>c</w:t>
      </w:r>
      <w:r w:rsidR="005506FB">
        <w:t>o</w:t>
      </w:r>
      <w:r w:rsidR="00C67252">
        <w:t>m</w:t>
      </w:r>
      <w:r w:rsidR="005506FB">
        <w:t>e,</w:t>
      </w:r>
      <w:r w:rsidR="00096F94">
        <w:t xml:space="preserve"> to address simultaneously the needs of poor marginalized communities within the framework of attaining sustainable management of environmental and biodiversity resources is striking a right and judicious balance.</w:t>
      </w:r>
    </w:p>
    <w:p w14:paraId="3314764F" w14:textId="35A67576" w:rsidR="00096F94" w:rsidRDefault="00096F94" w:rsidP="00096F94">
      <w:pPr>
        <w:jc w:val="both"/>
      </w:pPr>
      <w:r>
        <w:t xml:space="preserve">The evaluation </w:t>
      </w:r>
      <w:r w:rsidR="00283DA1">
        <w:t>judges</w:t>
      </w:r>
      <w:r>
        <w:t xml:space="preserve"> all the </w:t>
      </w:r>
      <w:r w:rsidR="00283DA1">
        <w:t>interventions</w:t>
      </w:r>
      <w:r>
        <w:t xml:space="preserve"> as </w:t>
      </w:r>
      <w:r w:rsidR="00283DA1">
        <w:t>relevant</w:t>
      </w:r>
      <w:r>
        <w:t xml:space="preserve"> largely on </w:t>
      </w:r>
      <w:r w:rsidR="00283DA1">
        <w:t>track</w:t>
      </w:r>
      <w:r>
        <w:t xml:space="preserve">. </w:t>
      </w:r>
      <w:r w:rsidR="00283DA1">
        <w:t>However</w:t>
      </w:r>
      <w:r>
        <w:t xml:space="preserve">, UNDP is yet to gear itself up to the task of assisting Angola seriously </w:t>
      </w:r>
      <w:r w:rsidR="00283DA1">
        <w:t>embark</w:t>
      </w:r>
      <w:r>
        <w:t xml:space="preserve"> on a low </w:t>
      </w:r>
      <w:r w:rsidR="00283DA1">
        <w:t>carbon</w:t>
      </w:r>
      <w:r>
        <w:t xml:space="preserve"> growth pathway. </w:t>
      </w:r>
      <w:r w:rsidR="00C67252">
        <w:t xml:space="preserve">Over and above its </w:t>
      </w:r>
      <w:r w:rsidR="00C67252">
        <w:lastRenderedPageBreak/>
        <w:t xml:space="preserve">current work Climate strategy and the NDC, UNDP should seek </w:t>
      </w:r>
      <w:r>
        <w:t xml:space="preserve">to </w:t>
      </w:r>
      <w:r w:rsidR="00283DA1">
        <w:t>deepen</w:t>
      </w:r>
      <w:r>
        <w:t xml:space="preserve"> national</w:t>
      </w:r>
      <w:r w:rsidR="00283DA1">
        <w:t xml:space="preserve"> </w:t>
      </w:r>
      <w:r>
        <w:t>dialogue on what the i</w:t>
      </w:r>
      <w:r w:rsidR="00283DA1">
        <w:t>m</w:t>
      </w:r>
      <w:r>
        <w:t>pli</w:t>
      </w:r>
      <w:r w:rsidR="00283DA1">
        <w:t>c</w:t>
      </w:r>
      <w:r>
        <w:t xml:space="preserve">ations </w:t>
      </w:r>
      <w:r w:rsidR="00C67252">
        <w:t>of a low carbon growth are</w:t>
      </w:r>
      <w:r w:rsidR="00283DA1">
        <w:t xml:space="preserve"> for an economy and state so dependent on hydrocarbons. </w:t>
      </w:r>
    </w:p>
    <w:p w14:paraId="3483645C" w14:textId="51102921" w:rsidR="003A6CB4" w:rsidRDefault="009907B5" w:rsidP="003A6CB4">
      <w:pPr>
        <w:pStyle w:val="Heading2"/>
        <w:rPr>
          <w:rFonts w:asciiTheme="minorHAnsi" w:hAnsiTheme="minorHAnsi" w:cstheme="minorHAnsi"/>
          <w:sz w:val="22"/>
          <w:szCs w:val="22"/>
        </w:rPr>
      </w:pPr>
      <w:bookmarkStart w:id="51" w:name="_Toc88741799"/>
      <w:r>
        <w:rPr>
          <w:rFonts w:asciiTheme="minorHAnsi" w:hAnsiTheme="minorHAnsi" w:cstheme="minorHAnsi"/>
          <w:sz w:val="22"/>
          <w:szCs w:val="22"/>
        </w:rPr>
        <w:t>4</w:t>
      </w:r>
      <w:r w:rsidR="00B20628" w:rsidRPr="003A6CB4">
        <w:rPr>
          <w:rFonts w:asciiTheme="minorHAnsi" w:hAnsiTheme="minorHAnsi" w:cstheme="minorHAnsi"/>
          <w:sz w:val="22"/>
          <w:szCs w:val="22"/>
        </w:rPr>
        <w:t xml:space="preserve">.3 </w:t>
      </w:r>
      <w:r w:rsidR="003A6CB4" w:rsidRPr="003A6CB4">
        <w:rPr>
          <w:rFonts w:asciiTheme="minorHAnsi" w:hAnsiTheme="minorHAnsi" w:cstheme="minorHAnsi"/>
          <w:sz w:val="22"/>
          <w:szCs w:val="22"/>
        </w:rPr>
        <w:t>Strengthening inclusive democracy, human rights, justice and rule of law</w:t>
      </w:r>
      <w:bookmarkEnd w:id="51"/>
      <w:r w:rsidR="003A6CB4" w:rsidRPr="003A6CB4">
        <w:rPr>
          <w:rFonts w:asciiTheme="minorHAnsi" w:hAnsiTheme="minorHAnsi" w:cstheme="minorHAnsi"/>
          <w:sz w:val="22"/>
          <w:szCs w:val="22"/>
        </w:rPr>
        <w:t xml:space="preserve"> </w:t>
      </w:r>
    </w:p>
    <w:p w14:paraId="77DA665D" w14:textId="41C5AF26" w:rsidR="00201087" w:rsidRPr="00201087" w:rsidRDefault="009907B5" w:rsidP="003A6CB4">
      <w:pPr>
        <w:pStyle w:val="Heading2"/>
        <w:rPr>
          <w:rFonts w:asciiTheme="minorHAnsi" w:hAnsiTheme="minorHAnsi" w:cstheme="minorHAnsi"/>
          <w:sz w:val="22"/>
          <w:szCs w:val="22"/>
        </w:rPr>
      </w:pPr>
      <w:bookmarkStart w:id="52" w:name="_Toc88741800"/>
      <w:r>
        <w:rPr>
          <w:rFonts w:asciiTheme="minorHAnsi" w:hAnsiTheme="minorHAnsi" w:cstheme="minorHAnsi"/>
          <w:sz w:val="22"/>
          <w:szCs w:val="22"/>
        </w:rPr>
        <w:t>4</w:t>
      </w:r>
      <w:r w:rsidR="00201087" w:rsidRPr="003A6CB4">
        <w:rPr>
          <w:rFonts w:asciiTheme="minorHAnsi" w:hAnsiTheme="minorHAnsi" w:cstheme="minorHAnsi"/>
          <w:sz w:val="22"/>
          <w:szCs w:val="22"/>
        </w:rPr>
        <w:t>.3.1</w:t>
      </w:r>
      <w:r w:rsidR="00201087" w:rsidRPr="00201087">
        <w:rPr>
          <w:rFonts w:asciiTheme="minorHAnsi" w:hAnsiTheme="minorHAnsi" w:cstheme="minorHAnsi"/>
          <w:sz w:val="22"/>
          <w:szCs w:val="22"/>
        </w:rPr>
        <w:t xml:space="preserve"> Relevance</w:t>
      </w:r>
      <w:bookmarkEnd w:id="52"/>
    </w:p>
    <w:p w14:paraId="22041D25" w14:textId="0ACC7CF6" w:rsidR="00D21348" w:rsidRPr="00D7307E" w:rsidRDefault="00D21348" w:rsidP="00D21348">
      <w:pPr>
        <w:jc w:val="both"/>
        <w:rPr>
          <w:b/>
          <w:bCs/>
        </w:rPr>
      </w:pPr>
      <w:r w:rsidRPr="00D7307E">
        <w:rPr>
          <w:b/>
          <w:bCs/>
        </w:rPr>
        <w:t xml:space="preserve">Finding </w:t>
      </w:r>
      <w:r w:rsidR="008D5A80" w:rsidRPr="00D7307E">
        <w:rPr>
          <w:b/>
          <w:bCs/>
        </w:rPr>
        <w:t>1</w:t>
      </w:r>
      <w:r w:rsidR="00AC55A9">
        <w:rPr>
          <w:b/>
          <w:bCs/>
        </w:rPr>
        <w:t>1</w:t>
      </w:r>
      <w:r w:rsidRPr="00D7307E">
        <w:rPr>
          <w:b/>
          <w:bCs/>
        </w:rPr>
        <w:t xml:space="preserve">: UNDP’s </w:t>
      </w:r>
      <w:r w:rsidR="006C4C0D" w:rsidRPr="00D7307E">
        <w:rPr>
          <w:b/>
          <w:bCs/>
        </w:rPr>
        <w:t>work on</w:t>
      </w:r>
      <w:r w:rsidRPr="00D7307E">
        <w:rPr>
          <w:b/>
          <w:bCs/>
        </w:rPr>
        <w:t xml:space="preserve"> </w:t>
      </w:r>
      <w:r w:rsidR="00BA5705" w:rsidRPr="00D7307E">
        <w:rPr>
          <w:b/>
          <w:bCs/>
        </w:rPr>
        <w:t xml:space="preserve">strengthening inclusive democracy, human rights, justice and rule of law </w:t>
      </w:r>
      <w:r w:rsidR="006368DE" w:rsidRPr="00D7307E">
        <w:rPr>
          <w:b/>
          <w:bCs/>
        </w:rPr>
        <w:t>is</w:t>
      </w:r>
      <w:r w:rsidRPr="00D7307E">
        <w:rPr>
          <w:b/>
          <w:bCs/>
        </w:rPr>
        <w:t xml:space="preserve"> judged to be highly relevant to national</w:t>
      </w:r>
      <w:r w:rsidR="006C4C0D" w:rsidRPr="00D7307E">
        <w:rPr>
          <w:b/>
          <w:bCs/>
        </w:rPr>
        <w:t xml:space="preserve"> </w:t>
      </w:r>
      <w:r w:rsidRPr="00D7307E">
        <w:rPr>
          <w:b/>
          <w:bCs/>
        </w:rPr>
        <w:t>priorities as reflected in the NDP 2018-2022</w:t>
      </w:r>
      <w:r w:rsidR="00845544">
        <w:rPr>
          <w:b/>
          <w:bCs/>
        </w:rPr>
        <w:t>. It is also</w:t>
      </w:r>
      <w:r w:rsidRPr="00D7307E">
        <w:rPr>
          <w:b/>
          <w:bCs/>
        </w:rPr>
        <w:t xml:space="preserve"> closely aligned with the United Nations Sustainable Development Framework (UNSDF 2018-2022)</w:t>
      </w:r>
      <w:r w:rsidR="006C4C0D" w:rsidRPr="00D7307E">
        <w:rPr>
          <w:b/>
          <w:bCs/>
        </w:rPr>
        <w:t xml:space="preserve"> and the Sustainable De</w:t>
      </w:r>
      <w:r w:rsidR="0065251F" w:rsidRPr="00D7307E">
        <w:rPr>
          <w:b/>
          <w:bCs/>
        </w:rPr>
        <w:t>v</w:t>
      </w:r>
      <w:r w:rsidR="006C4C0D" w:rsidRPr="00D7307E">
        <w:rPr>
          <w:b/>
          <w:bCs/>
        </w:rPr>
        <w:t>elop</w:t>
      </w:r>
      <w:r w:rsidR="0065251F" w:rsidRPr="00D7307E">
        <w:rPr>
          <w:b/>
          <w:bCs/>
        </w:rPr>
        <w:t>m</w:t>
      </w:r>
      <w:r w:rsidR="006C4C0D" w:rsidRPr="00D7307E">
        <w:rPr>
          <w:b/>
          <w:bCs/>
        </w:rPr>
        <w:t>ent Goals</w:t>
      </w:r>
      <w:r w:rsidRPr="00D7307E">
        <w:rPr>
          <w:b/>
          <w:bCs/>
        </w:rPr>
        <w:t>.</w:t>
      </w:r>
    </w:p>
    <w:p w14:paraId="1095FDB1" w14:textId="0F57BC81" w:rsidR="00201087" w:rsidRDefault="00430A03" w:rsidP="00201227">
      <w:pPr>
        <w:jc w:val="both"/>
      </w:pPr>
      <w:r>
        <w:t xml:space="preserve">Over the last two decades, </w:t>
      </w:r>
      <w:r w:rsidR="00D21348">
        <w:t xml:space="preserve">Angola has made great strides in </w:t>
      </w:r>
      <w:r w:rsidR="00201227">
        <w:t>improving governance, reform of public administration, anti-corruption and citizens’ involvement in public policies. In the 2020 Mo-Ibrahim Index of good governance, Angola ranked among the eight countries with the most improvements in governance in the 2010-2019 period</w:t>
      </w:r>
      <w:r>
        <w:t xml:space="preserve">. </w:t>
      </w:r>
      <w:r w:rsidR="00201227">
        <w:t>Notwithstanding, the country still faces significant governance challenges arising from political divisions which are a legacy of the long civil war that ended in 2002, entrenched traditions from a centralized state structure, as well as other factors.</w:t>
      </w:r>
      <w:r w:rsidR="00BA5705">
        <w:t xml:space="preserve"> A key challenge is broadening democratic participation through decentralization and building the capacity of local administrations and strengthening service delivery.</w:t>
      </w:r>
    </w:p>
    <w:p w14:paraId="19CD6888" w14:textId="29C190D1" w:rsidR="00BA5705" w:rsidRDefault="00BA5705" w:rsidP="00201227">
      <w:pPr>
        <w:jc w:val="both"/>
      </w:pPr>
      <w:r>
        <w:t xml:space="preserve">UNDP, in the context of the CPD, plans to support efforts to ensure the first-ever elected local governments </w:t>
      </w:r>
      <w:r w:rsidR="00F623D8">
        <w:t xml:space="preserve">(now postponed) </w:t>
      </w:r>
      <w:r>
        <w:t xml:space="preserve">deliver on promises for democratic development and improved local service delivery. UNDP intends to strengthen the capacity of elected local governance institutions and support participation mechanisms, such as participatory budgeting and civil society involvement in policy formulation, implementation and monitoring. </w:t>
      </w:r>
    </w:p>
    <w:p w14:paraId="3F4604DD" w14:textId="77777777" w:rsidR="00BA5705" w:rsidRDefault="00BA5705" w:rsidP="00201227">
      <w:pPr>
        <w:jc w:val="both"/>
      </w:pPr>
      <w:r>
        <w:t xml:space="preserve">UNDP plans to support transparency and accountability in public management to improve services and finance development. UNDP will partner with the Office of the Attorney General, General Inspection Services, Court of Auditors, Parliament and Public Procurement Services in developing standard operating procedures and tools for public management to strengthen prevention and fight corruption. </w:t>
      </w:r>
    </w:p>
    <w:p w14:paraId="1936F391" w14:textId="3B2DFD69" w:rsidR="00FC6215" w:rsidRDefault="00D7307E" w:rsidP="00201227">
      <w:pPr>
        <w:jc w:val="both"/>
      </w:pPr>
      <w:r>
        <w:t xml:space="preserve">Under the CPD </w:t>
      </w:r>
      <w:r w:rsidR="00BA5705">
        <w:t>UNDP will support the capacity of justice and human rights institutions at national and local levels to handle citizens’ grievances and address human rights cases, including economic, social and cultural rights</w:t>
      </w:r>
      <w:r w:rsidR="00FC6215">
        <w:t xml:space="preserve">, as well as </w:t>
      </w:r>
      <w:r w:rsidR="00BA5705">
        <w:t>strengthen the policy and legal environment, alignment with international human rights principles and commitments, and support initiatives on crime prevention and security.</w:t>
      </w:r>
    </w:p>
    <w:p w14:paraId="01C43616" w14:textId="74B92C3F" w:rsidR="00BA5705" w:rsidRDefault="00BA5705" w:rsidP="00201227">
      <w:pPr>
        <w:jc w:val="both"/>
      </w:pPr>
      <w:r>
        <w:t xml:space="preserve">UNDP </w:t>
      </w:r>
      <w:r w:rsidR="00D7307E">
        <w:t>aims</w:t>
      </w:r>
      <w:r w:rsidR="00FC6215">
        <w:t xml:space="preserve"> to</w:t>
      </w:r>
      <w:r>
        <w:t xml:space="preserve"> promote the inclusion of women in development and service delivery and their effective participation and representation in decision-making processes. </w:t>
      </w:r>
      <w:r w:rsidR="00FC6215">
        <w:t xml:space="preserve">This will be done </w:t>
      </w:r>
      <w:r w:rsidR="00F623D8">
        <w:t xml:space="preserve">through </w:t>
      </w:r>
      <w:r>
        <w:t>capacity building and advocacy for gender-budgeting and development of gender statistics systems</w:t>
      </w:r>
      <w:r w:rsidR="00FC6215">
        <w:t>,</w:t>
      </w:r>
      <w:r>
        <w:t xml:space="preserve"> promot</w:t>
      </w:r>
      <w:r w:rsidR="00FC6215">
        <w:t>ing</w:t>
      </w:r>
      <w:r>
        <w:t xml:space="preserve"> a gender-inclusive framework for local elections and support capacity-building for women to participate as candidates in local elections in 2020-2030. UNDP will support the participation of youth in governance processes by advocating for youth participatory processes and mechanisms. </w:t>
      </w:r>
    </w:p>
    <w:p w14:paraId="535512EF" w14:textId="28A48D36" w:rsidR="00CE68C2" w:rsidRDefault="00877645" w:rsidP="00CE68C2">
      <w:pPr>
        <w:jc w:val="both"/>
      </w:pPr>
      <w:r w:rsidRPr="00CE68C2">
        <w:t>Governance, political and administrative reforms, as well as the fight against corruption are major priorit</w:t>
      </w:r>
      <w:r w:rsidR="00F623D8">
        <w:t>ies</w:t>
      </w:r>
      <w:r w:rsidRPr="00CE68C2">
        <w:t xml:space="preserve"> of the Executive and central planks in the NDP of Angola. Axis 4 of the NDP focuses on these issues, in particular Policy 18 (Strengthening the Foundations of Democracy and Civil Society</w:t>
      </w:r>
      <w:r w:rsidR="00F623D8">
        <w:t>)</w:t>
      </w:r>
      <w:r w:rsidRPr="00CE68C2">
        <w:t>, Policy 19 (Good Governance, State Reform and Modernization of Public Administration</w:t>
      </w:r>
      <w:r w:rsidR="00F623D8">
        <w:t>)</w:t>
      </w:r>
      <w:r w:rsidRPr="00CE68C2">
        <w:t xml:space="preserve"> and Policy 20 </w:t>
      </w:r>
      <w:r w:rsidRPr="00CE68C2">
        <w:lastRenderedPageBreak/>
        <w:t>(Decentralization and Strengthening of Local Power)</w:t>
      </w:r>
      <w:r w:rsidR="00CE68C2">
        <w:t xml:space="preserve">. Also relevant is Axis 1, in particular, Policy 1 which among other actions identifies </w:t>
      </w:r>
      <w:r w:rsidR="00CE68C2" w:rsidRPr="00477BC0">
        <w:t>Gender Promotion and Women's Empowerment</w:t>
      </w:r>
      <w:r w:rsidR="00CE68C2">
        <w:t xml:space="preserve"> as a priority.</w:t>
      </w:r>
    </w:p>
    <w:p w14:paraId="1CAF430D" w14:textId="7EE36D29" w:rsidR="00CE68C2" w:rsidRDefault="00CE68C2" w:rsidP="00CE68C2">
      <w:pPr>
        <w:jc w:val="both"/>
      </w:pPr>
      <w:r>
        <w:t xml:space="preserve">UNDP’s planned interventions are also well aligned with the UNSDF (2018-2022). In particular, Outcome </w:t>
      </w:r>
      <w:r w:rsidRPr="00CE68C2">
        <w:rPr>
          <w:i/>
          <w:iCs/>
        </w:rPr>
        <w:t xml:space="preserve">4: </w:t>
      </w:r>
      <w:r>
        <w:rPr>
          <w:i/>
          <w:iCs/>
        </w:rPr>
        <w:t>“</w:t>
      </w:r>
      <w:r w:rsidRPr="00CE68C2">
        <w:rPr>
          <w:i/>
          <w:iCs/>
        </w:rPr>
        <w:t>By 2022, citizens participate in and monitor governance, everyone has access to justice and Human Rights are observed, within an environment of peace and regional security</w:t>
      </w:r>
      <w:r>
        <w:rPr>
          <w:i/>
          <w:iCs/>
        </w:rPr>
        <w:t xml:space="preserve">”. </w:t>
      </w:r>
      <w:r>
        <w:t>UNDP action is envisaged in all the planned outputs of this outcome, contributing 20% of the projected UNSDF resources for this area</w:t>
      </w:r>
      <w:r w:rsidR="00F623D8">
        <w:t xml:space="preserve">. UNDP plans to </w:t>
      </w:r>
      <w:r w:rsidR="00361FB9">
        <w:t>wo</w:t>
      </w:r>
      <w:r>
        <w:t>rk with UN and national partners by providing t</w:t>
      </w:r>
      <w:r w:rsidRPr="00E56ACC">
        <w:t>echnical assistance</w:t>
      </w:r>
      <w:r>
        <w:t>,</w:t>
      </w:r>
      <w:r w:rsidRPr="00E56ACC">
        <w:t xml:space="preserve"> advocacy</w:t>
      </w:r>
      <w:r>
        <w:t>,</w:t>
      </w:r>
      <w:r w:rsidRPr="00E56ACC">
        <w:t xml:space="preserve"> service delivery</w:t>
      </w:r>
      <w:r>
        <w:t xml:space="preserve"> and</w:t>
      </w:r>
      <w:r w:rsidRPr="00E56ACC">
        <w:t xml:space="preserve"> capacity building</w:t>
      </w:r>
      <w:r>
        <w:t>.</w:t>
      </w:r>
    </w:p>
    <w:p w14:paraId="75DFBCE5" w14:textId="4141506E" w:rsidR="00D7307E" w:rsidRPr="00361FB9" w:rsidRDefault="00731E6C" w:rsidP="00CE68C2">
      <w:pPr>
        <w:jc w:val="both"/>
      </w:pPr>
      <w:r>
        <w:t>The CPD</w:t>
      </w:r>
      <w:r w:rsidR="00D7307E">
        <w:t xml:space="preserve">’s planned </w:t>
      </w:r>
      <w:r>
        <w:t xml:space="preserve">interventions in the governance outcome </w:t>
      </w:r>
      <w:r w:rsidR="008D46F1">
        <w:t>contribute to</w:t>
      </w:r>
      <w:r>
        <w:t xml:space="preserve"> the UNDP Strategic Plan – </w:t>
      </w:r>
      <w:r w:rsidR="00B96F7B">
        <w:t>Signature Solution 2 (</w:t>
      </w:r>
      <w:r w:rsidR="00B96F7B" w:rsidRPr="00B96F7B">
        <w:rPr>
          <w:i/>
          <w:iCs/>
        </w:rPr>
        <w:t>Strengthen effective, inclusive and accountable governance</w:t>
      </w:r>
      <w:r w:rsidR="00B96F7B">
        <w:rPr>
          <w:i/>
          <w:iCs/>
        </w:rPr>
        <w:t xml:space="preserve">) </w:t>
      </w:r>
      <w:r w:rsidR="00B96F7B">
        <w:t xml:space="preserve">as well as the SDGs </w:t>
      </w:r>
      <w:r w:rsidR="006B1B55">
        <w:t>(goal 5 – gender equality and goal 16 – peace, justice and strong institutions</w:t>
      </w:r>
      <w:r w:rsidR="008D46F1">
        <w:t>).</w:t>
      </w:r>
    </w:p>
    <w:p w14:paraId="6532252C" w14:textId="19DF1F92" w:rsidR="00201087" w:rsidRPr="00201087" w:rsidRDefault="00201087" w:rsidP="00790AD5">
      <w:pPr>
        <w:pStyle w:val="Heading3"/>
        <w:numPr>
          <w:ilvl w:val="2"/>
          <w:numId w:val="52"/>
        </w:numPr>
        <w:rPr>
          <w:rFonts w:asciiTheme="minorHAnsi" w:hAnsiTheme="minorHAnsi" w:cstheme="minorHAnsi"/>
          <w:sz w:val="22"/>
          <w:szCs w:val="22"/>
        </w:rPr>
      </w:pPr>
      <w:bookmarkStart w:id="53" w:name="_Toc88741801"/>
      <w:r w:rsidRPr="00201087">
        <w:rPr>
          <w:rFonts w:asciiTheme="minorHAnsi" w:hAnsiTheme="minorHAnsi" w:cstheme="minorHAnsi"/>
          <w:sz w:val="22"/>
          <w:szCs w:val="22"/>
        </w:rPr>
        <w:t>Effectiveness</w:t>
      </w:r>
      <w:bookmarkEnd w:id="53"/>
    </w:p>
    <w:p w14:paraId="199BFBCD" w14:textId="4E6C9E7B" w:rsidR="00AC25B2" w:rsidRDefault="00845544" w:rsidP="00430A03">
      <w:pPr>
        <w:jc w:val="both"/>
      </w:pPr>
      <w:r>
        <w:t xml:space="preserve">Work on governance and human rights, prior to the opening in 2017, was extremely challenging; most development partners shied away from engaging in this area on account of it being deemed sensitive. UNDP was </w:t>
      </w:r>
      <w:r w:rsidR="000F4C3D">
        <w:t xml:space="preserve">among the few, if </w:t>
      </w:r>
      <w:r w:rsidR="00C67252">
        <w:t>not the</w:t>
      </w:r>
      <w:r w:rsidR="00AC25B2">
        <w:t xml:space="preserve"> only development partner actively supporting governance</w:t>
      </w:r>
      <w:r w:rsidR="000F4C3D">
        <w:t>, albeit with</w:t>
      </w:r>
      <w:r w:rsidR="00AC25B2">
        <w:t xml:space="preserve"> limited resources for its work. Since then</w:t>
      </w:r>
      <w:r w:rsidR="00B234E8">
        <w:t>,</w:t>
      </w:r>
      <w:r w:rsidR="00AC25B2">
        <w:t xml:space="preserve"> the political risk associated with such work ha</w:t>
      </w:r>
      <w:r w:rsidR="00B234E8">
        <w:t>s</w:t>
      </w:r>
      <w:r w:rsidR="00AC25B2">
        <w:t xml:space="preserve"> diminished considerably and many actors such as civil society have found their voice. </w:t>
      </w:r>
    </w:p>
    <w:p w14:paraId="7142783D" w14:textId="32BD0CAC" w:rsidR="008D46F1" w:rsidRDefault="00F55ECB" w:rsidP="00430A03">
      <w:pPr>
        <w:jc w:val="both"/>
      </w:pPr>
      <w:r w:rsidRPr="0022494B">
        <w:t xml:space="preserve">Under the CPD, UNDP </w:t>
      </w:r>
      <w:r w:rsidR="00361FB9">
        <w:t>plans to</w:t>
      </w:r>
      <w:r w:rsidRPr="0022494B">
        <w:t xml:space="preserve"> support government efforts to</w:t>
      </w:r>
      <w:r w:rsidR="0065251F">
        <w:t xml:space="preserve"> b</w:t>
      </w:r>
      <w:r w:rsidRPr="0022494B">
        <w:t xml:space="preserve">uild </w:t>
      </w:r>
      <w:r w:rsidR="00361FB9">
        <w:t>i</w:t>
      </w:r>
      <w:r w:rsidRPr="0022494B">
        <w:t>nclusive and participatory local governance model, laws and regulations enabled for effective participation of individuals, particularly women and youth. This would be achieved by boosting the percentage of women and youth under 35 years that participate as candidates in local governance elections</w:t>
      </w:r>
      <w:r w:rsidR="0022494B" w:rsidRPr="0022494B">
        <w:t>, supporting municipalities with platforms for participatory engagements of youth in budgetary development processes, and establishing of a functioning gender-responsive advocacy platform for pro-youth policies and programmes</w:t>
      </w:r>
      <w:r w:rsidR="0022494B">
        <w:t>.</w:t>
      </w:r>
      <w:r w:rsidR="0065251F">
        <w:t xml:space="preserve"> </w:t>
      </w:r>
    </w:p>
    <w:p w14:paraId="442EFA0F" w14:textId="77777777" w:rsidR="008D46F1" w:rsidRDefault="0065251F" w:rsidP="00430A03">
      <w:pPr>
        <w:jc w:val="both"/>
      </w:pPr>
      <w:r>
        <w:t xml:space="preserve">UNDP also </w:t>
      </w:r>
      <w:r w:rsidR="004F2ED8">
        <w:t xml:space="preserve">intends to </w:t>
      </w:r>
      <w:r>
        <w:t>provid</w:t>
      </w:r>
      <w:r w:rsidR="004F2ED8">
        <w:t>e</w:t>
      </w:r>
      <w:r>
        <w:t xml:space="preserve"> assistance to e</w:t>
      </w:r>
      <w:r w:rsidR="0022494B" w:rsidRPr="0022494B">
        <w:t xml:space="preserve">nable institutions and systems to address awareness, prevention and enforcement of anti-corruption measures to maximize availability of resources for poverty eradication. This will be achieved through supporting </w:t>
      </w:r>
      <w:r w:rsidR="00B32D28">
        <w:t>i</w:t>
      </w:r>
      <w:r w:rsidR="0022494B" w:rsidRPr="0022494B">
        <w:t>nstitutions and systems to address awareness, prevention and enforcement of anti-corruption measures to maximize availability of resources for poverty eradication and supporting institutions at the national and local levels carryout gender responsive service delivery.</w:t>
      </w:r>
      <w:r>
        <w:t xml:space="preserve"> </w:t>
      </w:r>
    </w:p>
    <w:p w14:paraId="28DCCA7E" w14:textId="1E0BC270" w:rsidR="004F2ED8" w:rsidRDefault="0065251F" w:rsidP="00430A03">
      <w:pPr>
        <w:jc w:val="both"/>
      </w:pPr>
      <w:r>
        <w:t xml:space="preserve">Finally, UNDP </w:t>
      </w:r>
      <w:r w:rsidR="004F2ED8">
        <w:t>plans to</w:t>
      </w:r>
      <w:r>
        <w:t xml:space="preserve"> s</w:t>
      </w:r>
      <w:r w:rsidR="0022494B" w:rsidRPr="0022494B">
        <w:t xml:space="preserve">trengthen the capacities, functions and financing of rule of law and national human rights institutions and systems to expand access to justice and combat discrimination, with a focus on women and other marginalized groups. This will be achieved through strengthened local level institutions and systems supporting fulfilment of nationally and internationally ratified human rights obligations, and enhance access to justice, disaggregated by sex and marginalized groups. </w:t>
      </w:r>
    </w:p>
    <w:p w14:paraId="3C528865" w14:textId="52AEBDFD" w:rsidR="00430A03" w:rsidRDefault="0065251F" w:rsidP="00430A03">
      <w:pPr>
        <w:jc w:val="both"/>
      </w:pPr>
      <w:r>
        <w:t>I</w:t>
      </w:r>
      <w:r w:rsidR="000A5DA4">
        <w:t xml:space="preserve">n connection with the above, UNDP is </w:t>
      </w:r>
      <w:r w:rsidR="004D0CB0">
        <w:t xml:space="preserve">implementing six projects as shown in Table </w:t>
      </w:r>
      <w:r w:rsidR="00A618FA">
        <w:t>1</w:t>
      </w:r>
      <w:r w:rsidR="00D13FF4">
        <w:t>1</w:t>
      </w:r>
      <w:r w:rsidR="004D0CB0">
        <w:t xml:space="preserve"> below.</w:t>
      </w:r>
      <w:r w:rsidR="00430A03">
        <w:t xml:space="preserve"> </w:t>
      </w:r>
      <w:r w:rsidR="00007202">
        <w:t xml:space="preserve">The total resources committed to this outcome amounts to US$ 4 million, or 6.2% of CPD budget. </w:t>
      </w:r>
      <w:r w:rsidR="00430A03">
        <w:t>Annex 9 presents a summary of the key results achieved relative to the indicators of the results matrix and these are further elaborated below.</w:t>
      </w:r>
    </w:p>
    <w:p w14:paraId="14BB7418" w14:textId="77777777" w:rsidR="00BC4633" w:rsidRDefault="00BC4633" w:rsidP="00430A03">
      <w:pPr>
        <w:jc w:val="both"/>
      </w:pPr>
    </w:p>
    <w:p w14:paraId="1E855972" w14:textId="19E0B22D" w:rsidR="004D0CB0" w:rsidRPr="004D0CB0" w:rsidRDefault="004D0CB0" w:rsidP="000A5DA4">
      <w:pPr>
        <w:jc w:val="both"/>
        <w:rPr>
          <w:b/>
          <w:bCs/>
        </w:rPr>
      </w:pPr>
      <w:r w:rsidRPr="004D0CB0">
        <w:rPr>
          <w:b/>
          <w:bCs/>
        </w:rPr>
        <w:lastRenderedPageBreak/>
        <w:t xml:space="preserve">Table </w:t>
      </w:r>
      <w:r w:rsidR="00A618FA">
        <w:rPr>
          <w:b/>
          <w:bCs/>
        </w:rPr>
        <w:t>1</w:t>
      </w:r>
      <w:r w:rsidR="00D13FF4">
        <w:rPr>
          <w:b/>
          <w:bCs/>
        </w:rPr>
        <w:t>1</w:t>
      </w:r>
      <w:r w:rsidRPr="004D0CB0">
        <w:rPr>
          <w:b/>
          <w:bCs/>
        </w:rPr>
        <w:t>: UNDP Projects in the Governance Cluster</w:t>
      </w:r>
    </w:p>
    <w:tbl>
      <w:tblPr>
        <w:tblStyle w:val="GridTable1Light"/>
        <w:tblW w:w="10070" w:type="dxa"/>
        <w:tblLook w:val="04A0" w:firstRow="1" w:lastRow="0" w:firstColumn="1" w:lastColumn="0" w:noHBand="0" w:noVBand="1"/>
      </w:tblPr>
      <w:tblGrid>
        <w:gridCol w:w="704"/>
        <w:gridCol w:w="2976"/>
        <w:gridCol w:w="3060"/>
        <w:gridCol w:w="1800"/>
        <w:gridCol w:w="1530"/>
      </w:tblGrid>
      <w:tr w:rsidR="004D0CB0" w14:paraId="2356F3D8" w14:textId="77777777" w:rsidTr="004D0C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FA15A38" w14:textId="08CD2E91" w:rsidR="004D0CB0" w:rsidRPr="00C94754" w:rsidRDefault="004D0CB0" w:rsidP="009E3469">
            <w:pPr>
              <w:jc w:val="right"/>
              <w:rPr>
                <w:rFonts w:ascii="Calibri" w:eastAsia="Times New Roman" w:hAnsi="Calibri" w:cs="Calibri"/>
                <w:color w:val="000000"/>
                <w:sz w:val="20"/>
                <w:szCs w:val="20"/>
                <w:lang w:eastAsia="pt-PT"/>
              </w:rPr>
            </w:pPr>
            <w:r>
              <w:rPr>
                <w:rFonts w:ascii="Calibri" w:eastAsia="Times New Roman" w:hAnsi="Calibri" w:cs="Calibri"/>
                <w:color w:val="000000"/>
                <w:sz w:val="20"/>
                <w:szCs w:val="20"/>
                <w:lang w:eastAsia="pt-PT"/>
              </w:rPr>
              <w:t>No.</w:t>
            </w:r>
          </w:p>
        </w:tc>
        <w:tc>
          <w:tcPr>
            <w:tcW w:w="2976" w:type="dxa"/>
          </w:tcPr>
          <w:p w14:paraId="2C0EE04D" w14:textId="68D7DF9B" w:rsidR="004D0CB0" w:rsidRPr="00C94754" w:rsidRDefault="004D0CB0" w:rsidP="009E346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202124"/>
                <w:sz w:val="20"/>
                <w:szCs w:val="20"/>
                <w:lang w:eastAsia="pt-PT"/>
              </w:rPr>
            </w:pPr>
            <w:r>
              <w:rPr>
                <w:rFonts w:ascii="Calibri" w:eastAsia="Times New Roman" w:hAnsi="Calibri" w:cs="Calibri"/>
                <w:color w:val="202124"/>
                <w:sz w:val="20"/>
                <w:szCs w:val="20"/>
                <w:lang w:eastAsia="pt-PT"/>
              </w:rPr>
              <w:t>Project Title</w:t>
            </w:r>
          </w:p>
        </w:tc>
        <w:tc>
          <w:tcPr>
            <w:tcW w:w="3060" w:type="dxa"/>
          </w:tcPr>
          <w:p w14:paraId="51BFA82A" w14:textId="53774259" w:rsidR="004D0CB0" w:rsidRPr="00C94754" w:rsidRDefault="004D0CB0" w:rsidP="009E346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202124"/>
                <w:sz w:val="20"/>
                <w:szCs w:val="20"/>
                <w:lang w:eastAsia="pt-PT"/>
              </w:rPr>
            </w:pPr>
            <w:r>
              <w:rPr>
                <w:rFonts w:ascii="Calibri" w:eastAsia="Times New Roman" w:hAnsi="Calibri" w:cs="Calibri"/>
                <w:color w:val="202124"/>
                <w:sz w:val="20"/>
                <w:szCs w:val="20"/>
                <w:lang w:eastAsia="pt-PT"/>
              </w:rPr>
              <w:t>Government Partner</w:t>
            </w:r>
          </w:p>
        </w:tc>
        <w:tc>
          <w:tcPr>
            <w:tcW w:w="1800" w:type="dxa"/>
          </w:tcPr>
          <w:p w14:paraId="40A323F5" w14:textId="0EB5A444" w:rsidR="004D0CB0" w:rsidRPr="00C94754" w:rsidRDefault="004D0CB0" w:rsidP="009E346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1D2228"/>
                <w:sz w:val="20"/>
                <w:szCs w:val="20"/>
                <w:lang w:eastAsia="pt-PT"/>
              </w:rPr>
            </w:pPr>
            <w:r>
              <w:rPr>
                <w:rFonts w:ascii="Calibri" w:eastAsia="Times New Roman" w:hAnsi="Calibri" w:cs="Calibri"/>
                <w:color w:val="1D2228"/>
                <w:sz w:val="20"/>
                <w:szCs w:val="20"/>
                <w:lang w:eastAsia="pt-PT"/>
              </w:rPr>
              <w:t>Private Sector</w:t>
            </w:r>
          </w:p>
        </w:tc>
        <w:tc>
          <w:tcPr>
            <w:tcW w:w="1530" w:type="dxa"/>
          </w:tcPr>
          <w:p w14:paraId="4DA73988" w14:textId="38CF7339" w:rsidR="004D0CB0" w:rsidRPr="00C94754" w:rsidRDefault="004D0CB0" w:rsidP="009E3469">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Pr>
                <w:rFonts w:ascii="Calibri" w:eastAsia="Times New Roman" w:hAnsi="Calibri" w:cs="Calibri"/>
                <w:color w:val="000000"/>
                <w:sz w:val="20"/>
                <w:szCs w:val="20"/>
                <w:lang w:eastAsia="pt-PT"/>
              </w:rPr>
              <w:t>Budget</w:t>
            </w:r>
          </w:p>
        </w:tc>
      </w:tr>
      <w:tr w:rsidR="004D0CB0" w14:paraId="2DFA5923" w14:textId="77777777" w:rsidTr="004D0CB0">
        <w:tc>
          <w:tcPr>
            <w:cnfStyle w:val="001000000000" w:firstRow="0" w:lastRow="0" w:firstColumn="1" w:lastColumn="0" w:oddVBand="0" w:evenVBand="0" w:oddHBand="0" w:evenHBand="0" w:firstRowFirstColumn="0" w:firstRowLastColumn="0" w:lastRowFirstColumn="0" w:lastRowLastColumn="0"/>
            <w:tcW w:w="704" w:type="dxa"/>
          </w:tcPr>
          <w:p w14:paraId="33EC2DA0" w14:textId="77777777" w:rsidR="004D0CB0" w:rsidRPr="00C94754" w:rsidRDefault="004D0CB0" w:rsidP="009E3469">
            <w:pPr>
              <w:jc w:val="right"/>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3.1</w:t>
            </w:r>
          </w:p>
        </w:tc>
        <w:tc>
          <w:tcPr>
            <w:tcW w:w="2976" w:type="dxa"/>
          </w:tcPr>
          <w:p w14:paraId="069F2C85" w14:textId="77777777" w:rsidR="004D0CB0" w:rsidRPr="00C94754" w:rsidRDefault="004D0CB0" w:rsidP="009E34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02124"/>
                <w:sz w:val="20"/>
                <w:szCs w:val="20"/>
                <w:lang w:eastAsia="pt-PT"/>
              </w:rPr>
            </w:pPr>
            <w:r w:rsidRPr="00C94754">
              <w:rPr>
                <w:rFonts w:ascii="Calibri" w:eastAsia="Times New Roman" w:hAnsi="Calibri" w:cs="Calibri"/>
                <w:color w:val="202124"/>
                <w:sz w:val="20"/>
                <w:szCs w:val="20"/>
                <w:lang w:eastAsia="pt-PT"/>
              </w:rPr>
              <w:t>Fair and Inclusive Society</w:t>
            </w:r>
          </w:p>
        </w:tc>
        <w:tc>
          <w:tcPr>
            <w:tcW w:w="3060" w:type="dxa"/>
          </w:tcPr>
          <w:p w14:paraId="237B922E" w14:textId="065FCB49" w:rsidR="004D0CB0" w:rsidRPr="00C94754" w:rsidRDefault="004D0CB0" w:rsidP="009E34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02124"/>
                <w:sz w:val="20"/>
                <w:szCs w:val="20"/>
                <w:lang w:eastAsia="pt-PT"/>
              </w:rPr>
            </w:pPr>
            <w:r w:rsidRPr="00C94754">
              <w:rPr>
                <w:rFonts w:ascii="Calibri" w:eastAsia="Times New Roman" w:hAnsi="Calibri" w:cs="Calibri"/>
                <w:color w:val="202124"/>
                <w:sz w:val="20"/>
                <w:szCs w:val="20"/>
                <w:lang w:eastAsia="pt-PT"/>
              </w:rPr>
              <w:t>Ministry of Justice and Human Rights, Ministry of the Interior, MASFAMU, Ombudsman, Attorney</w:t>
            </w:r>
            <w:r w:rsidR="00361FB9">
              <w:rPr>
                <w:rFonts w:ascii="Calibri" w:eastAsia="Times New Roman" w:hAnsi="Calibri" w:cs="Calibri"/>
                <w:color w:val="202124"/>
                <w:sz w:val="20"/>
                <w:szCs w:val="20"/>
                <w:lang w:eastAsia="pt-PT"/>
              </w:rPr>
              <w:t xml:space="preserve"> General</w:t>
            </w:r>
            <w:r w:rsidRPr="00C94754">
              <w:rPr>
                <w:rFonts w:ascii="Calibri" w:eastAsia="Times New Roman" w:hAnsi="Calibri" w:cs="Calibri"/>
                <w:color w:val="202124"/>
                <w:sz w:val="20"/>
                <w:szCs w:val="20"/>
                <w:lang w:eastAsia="pt-PT"/>
              </w:rPr>
              <w:t>, Catholic University Human Rights Centre</w:t>
            </w:r>
          </w:p>
        </w:tc>
        <w:tc>
          <w:tcPr>
            <w:tcW w:w="1800" w:type="dxa"/>
          </w:tcPr>
          <w:p w14:paraId="56A3BA76" w14:textId="77777777" w:rsidR="004D0CB0" w:rsidRPr="00C94754" w:rsidRDefault="004D0CB0" w:rsidP="009E34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1D2228"/>
                <w:sz w:val="20"/>
                <w:szCs w:val="20"/>
                <w:lang w:eastAsia="pt-PT"/>
              </w:rPr>
            </w:pPr>
            <w:r w:rsidRPr="00C94754">
              <w:rPr>
                <w:rFonts w:ascii="Calibri" w:eastAsia="Times New Roman" w:hAnsi="Calibri" w:cs="Calibri"/>
                <w:color w:val="1D2228"/>
                <w:sz w:val="20"/>
                <w:szCs w:val="20"/>
                <w:lang w:eastAsia="pt-PT"/>
              </w:rPr>
              <w:t> </w:t>
            </w:r>
          </w:p>
        </w:tc>
        <w:tc>
          <w:tcPr>
            <w:tcW w:w="1530" w:type="dxa"/>
          </w:tcPr>
          <w:p w14:paraId="62353335" w14:textId="77777777" w:rsidR="004D0CB0" w:rsidRPr="00C94754" w:rsidRDefault="004D0CB0" w:rsidP="009E34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xml:space="preserve">$325 000 </w:t>
            </w:r>
          </w:p>
        </w:tc>
      </w:tr>
      <w:tr w:rsidR="004D0CB0" w14:paraId="75A1D533" w14:textId="77777777" w:rsidTr="004D0CB0">
        <w:tc>
          <w:tcPr>
            <w:cnfStyle w:val="001000000000" w:firstRow="0" w:lastRow="0" w:firstColumn="1" w:lastColumn="0" w:oddVBand="0" w:evenVBand="0" w:oddHBand="0" w:evenHBand="0" w:firstRowFirstColumn="0" w:firstRowLastColumn="0" w:lastRowFirstColumn="0" w:lastRowLastColumn="0"/>
            <w:tcW w:w="704" w:type="dxa"/>
          </w:tcPr>
          <w:p w14:paraId="783A683B" w14:textId="77777777" w:rsidR="004D0CB0" w:rsidRPr="00C94754" w:rsidRDefault="004D0CB0" w:rsidP="009E3469">
            <w:pPr>
              <w:jc w:val="right"/>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3.2</w:t>
            </w:r>
          </w:p>
        </w:tc>
        <w:tc>
          <w:tcPr>
            <w:tcW w:w="2976" w:type="dxa"/>
          </w:tcPr>
          <w:p w14:paraId="73BD9B70" w14:textId="77777777" w:rsidR="004D0CB0" w:rsidRPr="00C94754" w:rsidRDefault="004D0CB0" w:rsidP="009E34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02124"/>
                <w:sz w:val="20"/>
                <w:szCs w:val="20"/>
                <w:lang w:eastAsia="pt-PT"/>
              </w:rPr>
            </w:pPr>
            <w:r w:rsidRPr="00C94754">
              <w:rPr>
                <w:rFonts w:ascii="Calibri" w:eastAsia="Times New Roman" w:hAnsi="Calibri" w:cs="Calibri"/>
                <w:color w:val="202124"/>
                <w:sz w:val="20"/>
                <w:szCs w:val="20"/>
                <w:lang w:eastAsia="pt-PT"/>
              </w:rPr>
              <w:t>Technical Assistance for Local Elections</w:t>
            </w:r>
          </w:p>
        </w:tc>
        <w:tc>
          <w:tcPr>
            <w:tcW w:w="3060" w:type="dxa"/>
          </w:tcPr>
          <w:p w14:paraId="4C010934" w14:textId="77777777" w:rsidR="004D0CB0" w:rsidRPr="00C94754" w:rsidRDefault="004D0CB0" w:rsidP="009E34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02124"/>
                <w:sz w:val="20"/>
                <w:szCs w:val="20"/>
                <w:lang w:eastAsia="pt-PT"/>
              </w:rPr>
            </w:pPr>
            <w:r w:rsidRPr="00C94754">
              <w:rPr>
                <w:rFonts w:ascii="Calibri" w:eastAsia="Times New Roman" w:hAnsi="Calibri" w:cs="Calibri"/>
                <w:color w:val="202124"/>
                <w:sz w:val="20"/>
                <w:szCs w:val="20"/>
                <w:lang w:eastAsia="pt-PT"/>
              </w:rPr>
              <w:t>Ministry of Territorial Administration, Ministry of Finance, Municipal Administrations, Parliament, Civil Society</w:t>
            </w:r>
          </w:p>
        </w:tc>
        <w:tc>
          <w:tcPr>
            <w:tcW w:w="1800" w:type="dxa"/>
          </w:tcPr>
          <w:p w14:paraId="5ECAF0EC" w14:textId="77777777" w:rsidR="004D0CB0" w:rsidRPr="00C94754" w:rsidRDefault="004D0CB0" w:rsidP="009E34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1D2228"/>
                <w:sz w:val="20"/>
                <w:szCs w:val="20"/>
                <w:lang w:eastAsia="pt-PT"/>
              </w:rPr>
            </w:pPr>
            <w:r w:rsidRPr="00C94754">
              <w:rPr>
                <w:rFonts w:ascii="Calibri" w:eastAsia="Times New Roman" w:hAnsi="Calibri" w:cs="Calibri"/>
                <w:color w:val="1D2228"/>
                <w:sz w:val="20"/>
                <w:szCs w:val="20"/>
                <w:lang w:eastAsia="pt-PT"/>
              </w:rPr>
              <w:t> </w:t>
            </w:r>
          </w:p>
        </w:tc>
        <w:tc>
          <w:tcPr>
            <w:tcW w:w="1530" w:type="dxa"/>
          </w:tcPr>
          <w:p w14:paraId="2A897031" w14:textId="77777777" w:rsidR="004D0CB0" w:rsidRPr="00C94754" w:rsidRDefault="004D0CB0" w:rsidP="009E34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xml:space="preserve">$1 100 316 </w:t>
            </w:r>
          </w:p>
        </w:tc>
      </w:tr>
      <w:tr w:rsidR="004D0CB0" w14:paraId="4AB6B79F" w14:textId="77777777" w:rsidTr="004D0CB0">
        <w:tc>
          <w:tcPr>
            <w:cnfStyle w:val="001000000000" w:firstRow="0" w:lastRow="0" w:firstColumn="1" w:lastColumn="0" w:oddVBand="0" w:evenVBand="0" w:oddHBand="0" w:evenHBand="0" w:firstRowFirstColumn="0" w:firstRowLastColumn="0" w:lastRowFirstColumn="0" w:lastRowLastColumn="0"/>
            <w:tcW w:w="704" w:type="dxa"/>
          </w:tcPr>
          <w:p w14:paraId="5C7CF7B7" w14:textId="77777777" w:rsidR="004D0CB0" w:rsidRPr="00C94754" w:rsidRDefault="004D0CB0" w:rsidP="009E3469">
            <w:pPr>
              <w:jc w:val="right"/>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3.3</w:t>
            </w:r>
          </w:p>
        </w:tc>
        <w:tc>
          <w:tcPr>
            <w:tcW w:w="2976" w:type="dxa"/>
          </w:tcPr>
          <w:p w14:paraId="413820CA" w14:textId="33A35C19" w:rsidR="004D0CB0" w:rsidRPr="00C94754" w:rsidRDefault="004D0CB0"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Pos</w:t>
            </w:r>
            <w:r>
              <w:rPr>
                <w:rFonts w:ascii="Calibri" w:eastAsia="Times New Roman" w:hAnsi="Calibri" w:cs="Calibri"/>
                <w:color w:val="000000"/>
                <w:sz w:val="20"/>
                <w:szCs w:val="20"/>
                <w:lang w:eastAsia="pt-PT"/>
              </w:rPr>
              <w:t>t</w:t>
            </w:r>
            <w:r w:rsidRPr="00C94754">
              <w:rPr>
                <w:rFonts w:ascii="Calibri" w:eastAsia="Times New Roman" w:hAnsi="Calibri" w:cs="Calibri"/>
                <w:color w:val="000000"/>
                <w:sz w:val="20"/>
                <w:szCs w:val="20"/>
                <w:lang w:eastAsia="pt-PT"/>
              </w:rPr>
              <w:t>-Elections Technical Assistance</w:t>
            </w:r>
          </w:p>
        </w:tc>
        <w:tc>
          <w:tcPr>
            <w:tcW w:w="3060" w:type="dxa"/>
          </w:tcPr>
          <w:p w14:paraId="214EC225" w14:textId="77777777" w:rsidR="004D0CB0" w:rsidRPr="00C94754" w:rsidRDefault="004D0CB0"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xml:space="preserve">National Electoral Commission, Civil Society </w:t>
            </w:r>
          </w:p>
        </w:tc>
        <w:tc>
          <w:tcPr>
            <w:tcW w:w="1800" w:type="dxa"/>
          </w:tcPr>
          <w:p w14:paraId="657ADA55" w14:textId="77777777" w:rsidR="004D0CB0" w:rsidRPr="00C94754" w:rsidRDefault="004D0CB0"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w:t>
            </w:r>
          </w:p>
        </w:tc>
        <w:tc>
          <w:tcPr>
            <w:tcW w:w="1530" w:type="dxa"/>
          </w:tcPr>
          <w:p w14:paraId="3516E75D" w14:textId="77777777" w:rsidR="004D0CB0" w:rsidRPr="00C94754" w:rsidRDefault="004D0CB0" w:rsidP="009E34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xml:space="preserve">$209 215 </w:t>
            </w:r>
          </w:p>
        </w:tc>
      </w:tr>
      <w:tr w:rsidR="004D0CB0" w14:paraId="7E883E00" w14:textId="77777777" w:rsidTr="004D0CB0">
        <w:tc>
          <w:tcPr>
            <w:cnfStyle w:val="001000000000" w:firstRow="0" w:lastRow="0" w:firstColumn="1" w:lastColumn="0" w:oddVBand="0" w:evenVBand="0" w:oddHBand="0" w:evenHBand="0" w:firstRowFirstColumn="0" w:firstRowLastColumn="0" w:lastRowFirstColumn="0" w:lastRowLastColumn="0"/>
            <w:tcW w:w="704" w:type="dxa"/>
          </w:tcPr>
          <w:p w14:paraId="5EAF2A9F" w14:textId="77777777" w:rsidR="004D0CB0" w:rsidRPr="00C94754" w:rsidRDefault="004D0CB0" w:rsidP="009E3469">
            <w:pPr>
              <w:jc w:val="right"/>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3.4</w:t>
            </w:r>
          </w:p>
        </w:tc>
        <w:tc>
          <w:tcPr>
            <w:tcW w:w="2976" w:type="dxa"/>
          </w:tcPr>
          <w:p w14:paraId="01030A21" w14:textId="77777777" w:rsidR="004D0CB0" w:rsidRPr="00C94754" w:rsidRDefault="004D0CB0"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Support for Safe Functioning of Informal/Local Markets</w:t>
            </w:r>
          </w:p>
        </w:tc>
        <w:tc>
          <w:tcPr>
            <w:tcW w:w="3060" w:type="dxa"/>
          </w:tcPr>
          <w:p w14:paraId="6CA84AD5" w14:textId="77777777" w:rsidR="004D0CB0" w:rsidRPr="00C94754" w:rsidRDefault="004D0CB0" w:rsidP="009E34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Ministry of Territorial Administration, Municipal Administrations, Civil Society</w:t>
            </w:r>
          </w:p>
        </w:tc>
        <w:tc>
          <w:tcPr>
            <w:tcW w:w="1800" w:type="dxa"/>
          </w:tcPr>
          <w:p w14:paraId="0F4BCC16" w14:textId="77777777" w:rsidR="004D0CB0" w:rsidRPr="00C94754" w:rsidRDefault="004D0CB0"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w:t>
            </w:r>
          </w:p>
        </w:tc>
        <w:tc>
          <w:tcPr>
            <w:tcW w:w="1530" w:type="dxa"/>
          </w:tcPr>
          <w:p w14:paraId="69E12D00" w14:textId="77777777" w:rsidR="004D0CB0" w:rsidRPr="00C94754" w:rsidRDefault="004D0CB0" w:rsidP="009E34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xml:space="preserve">$371 509 </w:t>
            </w:r>
          </w:p>
        </w:tc>
      </w:tr>
      <w:tr w:rsidR="004D0CB0" w14:paraId="17D65DA1" w14:textId="77777777" w:rsidTr="004D0CB0">
        <w:tc>
          <w:tcPr>
            <w:cnfStyle w:val="001000000000" w:firstRow="0" w:lastRow="0" w:firstColumn="1" w:lastColumn="0" w:oddVBand="0" w:evenVBand="0" w:oddHBand="0" w:evenHBand="0" w:firstRowFirstColumn="0" w:firstRowLastColumn="0" w:lastRowFirstColumn="0" w:lastRowLastColumn="0"/>
            <w:tcW w:w="704" w:type="dxa"/>
          </w:tcPr>
          <w:p w14:paraId="4BBF8082" w14:textId="77777777" w:rsidR="004D0CB0" w:rsidRPr="00C94754" w:rsidRDefault="004D0CB0" w:rsidP="009E3469">
            <w:pPr>
              <w:jc w:val="right"/>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3.5</w:t>
            </w:r>
          </w:p>
        </w:tc>
        <w:tc>
          <w:tcPr>
            <w:tcW w:w="2976" w:type="dxa"/>
          </w:tcPr>
          <w:p w14:paraId="0CB1D478" w14:textId="77777777" w:rsidR="004D0CB0" w:rsidRPr="00C94754" w:rsidRDefault="004D0CB0"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Programme for Consolidating Economic Governance and Public Finance Management Systems</w:t>
            </w:r>
          </w:p>
        </w:tc>
        <w:tc>
          <w:tcPr>
            <w:tcW w:w="3060" w:type="dxa"/>
          </w:tcPr>
          <w:p w14:paraId="1D30BFE2" w14:textId="77777777" w:rsidR="004D0CB0" w:rsidRPr="00C94754" w:rsidRDefault="004D0CB0" w:rsidP="009E34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Court of Auditors, Parliament, Ministry of Finance, Civil Society</w:t>
            </w:r>
          </w:p>
        </w:tc>
        <w:tc>
          <w:tcPr>
            <w:tcW w:w="1800" w:type="dxa"/>
          </w:tcPr>
          <w:p w14:paraId="723E1518" w14:textId="77777777" w:rsidR="004D0CB0" w:rsidRPr="00C94754" w:rsidRDefault="004D0CB0"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w:t>
            </w:r>
          </w:p>
        </w:tc>
        <w:tc>
          <w:tcPr>
            <w:tcW w:w="1530" w:type="dxa"/>
          </w:tcPr>
          <w:p w14:paraId="52BC2B4F" w14:textId="77777777" w:rsidR="004D0CB0" w:rsidRPr="00C94754" w:rsidRDefault="004D0CB0" w:rsidP="009E34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xml:space="preserve">$1 614 571 </w:t>
            </w:r>
          </w:p>
        </w:tc>
      </w:tr>
      <w:tr w:rsidR="004D0CB0" w14:paraId="4E5009C2" w14:textId="77777777" w:rsidTr="004D0CB0">
        <w:tc>
          <w:tcPr>
            <w:cnfStyle w:val="001000000000" w:firstRow="0" w:lastRow="0" w:firstColumn="1" w:lastColumn="0" w:oddVBand="0" w:evenVBand="0" w:oddHBand="0" w:evenHBand="0" w:firstRowFirstColumn="0" w:firstRowLastColumn="0" w:lastRowFirstColumn="0" w:lastRowLastColumn="0"/>
            <w:tcW w:w="704" w:type="dxa"/>
          </w:tcPr>
          <w:p w14:paraId="15D29A7F" w14:textId="77777777" w:rsidR="004D0CB0" w:rsidRPr="00C94754" w:rsidRDefault="004D0CB0" w:rsidP="009E3469">
            <w:pPr>
              <w:jc w:val="right"/>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3.6</w:t>
            </w:r>
          </w:p>
        </w:tc>
        <w:tc>
          <w:tcPr>
            <w:tcW w:w="2976" w:type="dxa"/>
          </w:tcPr>
          <w:p w14:paraId="4B7DA5AB" w14:textId="77777777" w:rsidR="004D0CB0" w:rsidRPr="00C94754" w:rsidRDefault="004D0CB0"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National Strategic Policy Support (COVID-19 intervention)</w:t>
            </w:r>
          </w:p>
        </w:tc>
        <w:tc>
          <w:tcPr>
            <w:tcW w:w="3060" w:type="dxa"/>
          </w:tcPr>
          <w:p w14:paraId="2E497F6B" w14:textId="77777777" w:rsidR="004D0CB0" w:rsidRPr="00C94754" w:rsidRDefault="004D0CB0" w:rsidP="009E34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w:t>
            </w:r>
          </w:p>
        </w:tc>
        <w:tc>
          <w:tcPr>
            <w:tcW w:w="1800" w:type="dxa"/>
          </w:tcPr>
          <w:p w14:paraId="54A9EDBB" w14:textId="77777777" w:rsidR="004D0CB0" w:rsidRPr="00C94754" w:rsidRDefault="004D0CB0"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w:t>
            </w:r>
          </w:p>
        </w:tc>
        <w:tc>
          <w:tcPr>
            <w:tcW w:w="1530" w:type="dxa"/>
          </w:tcPr>
          <w:p w14:paraId="1612122D" w14:textId="77777777" w:rsidR="004D0CB0" w:rsidRPr="00C94754" w:rsidRDefault="004D0CB0" w:rsidP="009E34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xml:space="preserve">$333 260 </w:t>
            </w:r>
          </w:p>
        </w:tc>
      </w:tr>
      <w:tr w:rsidR="004D0CB0" w14:paraId="3964E3F4" w14:textId="77777777" w:rsidTr="004D0CB0">
        <w:tc>
          <w:tcPr>
            <w:cnfStyle w:val="001000000000" w:firstRow="0" w:lastRow="0" w:firstColumn="1" w:lastColumn="0" w:oddVBand="0" w:evenVBand="0" w:oddHBand="0" w:evenHBand="0" w:firstRowFirstColumn="0" w:firstRowLastColumn="0" w:lastRowFirstColumn="0" w:lastRowLastColumn="0"/>
            <w:tcW w:w="704" w:type="dxa"/>
          </w:tcPr>
          <w:p w14:paraId="6F934744" w14:textId="77777777" w:rsidR="004D0CB0" w:rsidRPr="00C94754" w:rsidRDefault="004D0CB0" w:rsidP="009E3469">
            <w:pPr>
              <w:jc w:val="right"/>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w:t>
            </w:r>
          </w:p>
        </w:tc>
        <w:tc>
          <w:tcPr>
            <w:tcW w:w="2976" w:type="dxa"/>
          </w:tcPr>
          <w:p w14:paraId="0021FC36" w14:textId="77777777" w:rsidR="004D0CB0" w:rsidRPr="00C94754" w:rsidRDefault="004D0CB0"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pt-PT"/>
              </w:rPr>
            </w:pPr>
            <w:r w:rsidRPr="00C94754">
              <w:rPr>
                <w:rFonts w:ascii="Calibri" w:eastAsia="Times New Roman" w:hAnsi="Calibri" w:cs="Calibri"/>
                <w:b/>
                <w:bCs/>
                <w:color w:val="000000"/>
                <w:sz w:val="20"/>
                <w:szCs w:val="20"/>
                <w:lang w:eastAsia="pt-PT"/>
              </w:rPr>
              <w:t>SUB-TOTAL</w:t>
            </w:r>
          </w:p>
        </w:tc>
        <w:tc>
          <w:tcPr>
            <w:tcW w:w="3060" w:type="dxa"/>
          </w:tcPr>
          <w:p w14:paraId="32D54483" w14:textId="77777777" w:rsidR="004D0CB0" w:rsidRPr="00C94754" w:rsidRDefault="004D0CB0"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w:t>
            </w:r>
          </w:p>
        </w:tc>
        <w:tc>
          <w:tcPr>
            <w:tcW w:w="1800" w:type="dxa"/>
          </w:tcPr>
          <w:p w14:paraId="3AB22577" w14:textId="77777777" w:rsidR="004D0CB0" w:rsidRPr="00C94754" w:rsidRDefault="004D0CB0" w:rsidP="009E3469">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t-PT"/>
              </w:rPr>
            </w:pPr>
            <w:r w:rsidRPr="00C94754">
              <w:rPr>
                <w:rFonts w:ascii="Calibri" w:eastAsia="Times New Roman" w:hAnsi="Calibri" w:cs="Calibri"/>
                <w:color w:val="000000"/>
                <w:sz w:val="20"/>
                <w:szCs w:val="20"/>
                <w:lang w:eastAsia="pt-PT"/>
              </w:rPr>
              <w:t> </w:t>
            </w:r>
          </w:p>
        </w:tc>
        <w:tc>
          <w:tcPr>
            <w:tcW w:w="1530" w:type="dxa"/>
          </w:tcPr>
          <w:p w14:paraId="5F542038" w14:textId="77777777" w:rsidR="004D0CB0" w:rsidRPr="00C94754" w:rsidRDefault="004D0CB0" w:rsidP="009E34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pt-PT"/>
              </w:rPr>
            </w:pPr>
            <w:r w:rsidRPr="00C94754">
              <w:rPr>
                <w:rFonts w:ascii="Calibri" w:eastAsia="Times New Roman" w:hAnsi="Calibri" w:cs="Calibri"/>
                <w:b/>
                <w:bCs/>
                <w:color w:val="000000"/>
                <w:sz w:val="20"/>
                <w:szCs w:val="20"/>
                <w:lang w:eastAsia="pt-PT"/>
              </w:rPr>
              <w:t>$3 953 870</w:t>
            </w:r>
          </w:p>
        </w:tc>
      </w:tr>
    </w:tbl>
    <w:p w14:paraId="2D37BE5B" w14:textId="511E4390" w:rsidR="005A2DD2" w:rsidRDefault="005A2DD2" w:rsidP="0022494B">
      <w:pPr>
        <w:jc w:val="both"/>
        <w:rPr>
          <w:b/>
          <w:bCs/>
          <w:i/>
          <w:iCs/>
        </w:rPr>
      </w:pPr>
    </w:p>
    <w:p w14:paraId="54718F5C" w14:textId="1B7A866A" w:rsidR="0022494B" w:rsidRPr="008D46F1" w:rsidRDefault="0022494B" w:rsidP="0022494B">
      <w:pPr>
        <w:jc w:val="both"/>
        <w:rPr>
          <w:b/>
          <w:bCs/>
        </w:rPr>
      </w:pPr>
      <w:r w:rsidRPr="008D46F1">
        <w:rPr>
          <w:b/>
          <w:bCs/>
        </w:rPr>
        <w:t xml:space="preserve">Finding </w:t>
      </w:r>
      <w:r w:rsidR="008D5A80" w:rsidRPr="008D46F1">
        <w:rPr>
          <w:b/>
          <w:bCs/>
        </w:rPr>
        <w:t>1</w:t>
      </w:r>
      <w:r w:rsidR="00AC55A9">
        <w:rPr>
          <w:b/>
          <w:bCs/>
        </w:rPr>
        <w:t>2</w:t>
      </w:r>
      <w:r w:rsidR="00D225AF" w:rsidRPr="008D46F1">
        <w:rPr>
          <w:b/>
          <w:bCs/>
        </w:rPr>
        <w:t xml:space="preserve">: UNDP is making a significant contribution to promoting </w:t>
      </w:r>
      <w:r w:rsidR="00344217" w:rsidRPr="008D46F1">
        <w:rPr>
          <w:b/>
          <w:bCs/>
        </w:rPr>
        <w:t>governance, human rights and rule of law in Angola. In particular, UNDP</w:t>
      </w:r>
      <w:r w:rsidR="00BC4633">
        <w:rPr>
          <w:b/>
          <w:bCs/>
        </w:rPr>
        <w:t>’s</w:t>
      </w:r>
      <w:r w:rsidR="00344217" w:rsidRPr="008D46F1">
        <w:rPr>
          <w:b/>
          <w:bCs/>
        </w:rPr>
        <w:t xml:space="preserve"> </w:t>
      </w:r>
      <w:r w:rsidR="0065251F" w:rsidRPr="008D46F1">
        <w:rPr>
          <w:b/>
          <w:bCs/>
        </w:rPr>
        <w:t xml:space="preserve">work </w:t>
      </w:r>
      <w:r w:rsidR="00344217" w:rsidRPr="008D46F1">
        <w:rPr>
          <w:b/>
          <w:bCs/>
        </w:rPr>
        <w:t xml:space="preserve">is </w:t>
      </w:r>
      <w:r w:rsidR="0065251F" w:rsidRPr="008D46F1">
        <w:rPr>
          <w:b/>
          <w:bCs/>
        </w:rPr>
        <w:t>advancing</w:t>
      </w:r>
      <w:r w:rsidR="00344217" w:rsidRPr="008D46F1">
        <w:rPr>
          <w:b/>
          <w:bCs/>
        </w:rPr>
        <w:t xml:space="preserve"> </w:t>
      </w:r>
      <w:r w:rsidR="00D225AF" w:rsidRPr="008D46F1">
        <w:rPr>
          <w:b/>
          <w:bCs/>
        </w:rPr>
        <w:t>participatory local governance, government anti-corruption efforts</w:t>
      </w:r>
      <w:r w:rsidR="00344217" w:rsidRPr="008D46F1">
        <w:rPr>
          <w:b/>
          <w:bCs/>
        </w:rPr>
        <w:t xml:space="preserve">, human rights, </w:t>
      </w:r>
      <w:r w:rsidR="0065251F" w:rsidRPr="008D46F1">
        <w:rPr>
          <w:b/>
          <w:bCs/>
        </w:rPr>
        <w:t>the</w:t>
      </w:r>
      <w:r w:rsidR="00344217" w:rsidRPr="008D46F1">
        <w:rPr>
          <w:b/>
          <w:bCs/>
        </w:rPr>
        <w:t xml:space="preserve"> role of women in governance and addressing harmful social practices affecting women. However, limited headway</w:t>
      </w:r>
      <w:r w:rsidR="0065251F" w:rsidRPr="008D46F1">
        <w:rPr>
          <w:b/>
          <w:bCs/>
        </w:rPr>
        <w:t xml:space="preserve"> has been</w:t>
      </w:r>
      <w:r w:rsidR="00344217" w:rsidRPr="008D46F1">
        <w:rPr>
          <w:b/>
          <w:bCs/>
        </w:rPr>
        <w:t xml:space="preserve"> made with</w:t>
      </w:r>
      <w:r w:rsidR="00D225AF" w:rsidRPr="008D46F1">
        <w:rPr>
          <w:b/>
          <w:bCs/>
        </w:rPr>
        <w:t xml:space="preserve"> </w:t>
      </w:r>
      <w:r w:rsidR="00344217" w:rsidRPr="008D46F1">
        <w:rPr>
          <w:b/>
          <w:bCs/>
        </w:rPr>
        <w:t xml:space="preserve">respect to </w:t>
      </w:r>
      <w:r w:rsidR="00D225AF" w:rsidRPr="008D46F1">
        <w:rPr>
          <w:b/>
          <w:bCs/>
        </w:rPr>
        <w:t>access to justice</w:t>
      </w:r>
    </w:p>
    <w:p w14:paraId="76659C76" w14:textId="468342DD" w:rsidR="00974D0E" w:rsidRPr="00974D0E" w:rsidRDefault="00974D0E" w:rsidP="0022494B">
      <w:pPr>
        <w:jc w:val="both"/>
      </w:pPr>
      <w:r>
        <w:t xml:space="preserve">UNDP is on track </w:t>
      </w:r>
      <w:r w:rsidR="008D46F1">
        <w:t>with regards to this outcome and is</w:t>
      </w:r>
      <w:r>
        <w:t xml:space="preserve"> contributing to the reform of Angola's system of governance, from a centralized system to a decentralized system with the institutionalization of elected local governments and inclusive and participatory local governance model, laws and regulations enabling for effective participation of citizens, particularly women and youth. UNDP is</w:t>
      </w:r>
      <w:r w:rsidR="003409BA">
        <w:t xml:space="preserve"> also</w:t>
      </w:r>
      <w:r>
        <w:t xml:space="preserve"> on track </w:t>
      </w:r>
      <w:r w:rsidR="008D46F1">
        <w:t>and</w:t>
      </w:r>
      <w:r>
        <w:t xml:space="preserve"> contributing to the enhancement of capacities and functions of rule of law and national human rights institutions and systems to expand access to justice and combat discrimination, and enjoyment of socio-economic and civil and political rights by citizens, with a focus on women and other marginalized groups i.e., people with disabilities, refugees, prison population</w:t>
      </w:r>
      <w:r w:rsidR="00BC4633">
        <w:t>.</w:t>
      </w:r>
    </w:p>
    <w:p w14:paraId="3C1E171A" w14:textId="738D977E" w:rsidR="005956CE" w:rsidRDefault="005956CE" w:rsidP="00790AD5">
      <w:pPr>
        <w:pStyle w:val="ListParagraph"/>
        <w:numPr>
          <w:ilvl w:val="0"/>
          <w:numId w:val="56"/>
        </w:numPr>
        <w:jc w:val="both"/>
      </w:pPr>
      <w:r w:rsidRPr="005956CE">
        <w:rPr>
          <w:i/>
          <w:iCs/>
        </w:rPr>
        <w:t>Output 3.1. Inclusive and participatory local governance model, laws and regulations enabled for effective participation of individuals, particularly women and youth</w:t>
      </w:r>
      <w:r>
        <w:t>.</w:t>
      </w:r>
    </w:p>
    <w:p w14:paraId="6CEB6C8F" w14:textId="4E6C3DAB" w:rsidR="00974D0E" w:rsidRDefault="00974D0E" w:rsidP="00974D0E">
      <w:pPr>
        <w:jc w:val="both"/>
      </w:pPr>
      <w:r>
        <w:t xml:space="preserve">UNDP has collaborated with the Caucus of Women Parliamentarians and has prepared a cohort of 50 leading women from a diverse range of political party affiliations and civil society to participate as candidates and mobilizers in Angola's local elections. The project has established a national dialogue e-platform on participatory governance and the role of women, led by the 50 leading women, joined by national and international local governance and gender experts. The 50 leading women have been trained on public leadership, on local governance and the role of women in local development, and </w:t>
      </w:r>
      <w:r w:rsidR="003409BA">
        <w:t>will</w:t>
      </w:r>
      <w:r>
        <w:t xml:space="preserve"> be trained on Angola's local governance model, legal framework, institutions and processes.</w:t>
      </w:r>
      <w:r w:rsidRPr="00CF3773">
        <w:t xml:space="preserve"> </w:t>
      </w:r>
      <w:r>
        <w:t>S</w:t>
      </w:r>
      <w:r w:rsidRPr="00CF3773">
        <w:t xml:space="preserve">uccessful partnerships </w:t>
      </w:r>
      <w:r w:rsidRPr="00CF3773">
        <w:lastRenderedPageBreak/>
        <w:t>with the Government (at national and local levels) based on technical value proposition offered by UNDP</w:t>
      </w:r>
      <w:r>
        <w:t>,</w:t>
      </w:r>
      <w:r w:rsidRPr="00CF3773">
        <w:t xml:space="preserve"> UNDP's programmatic alignment with national priorities per the PDN 2018-2022; availability of funding through cost sharing contributions by development partners </w:t>
      </w:r>
      <w:r w:rsidR="00BC4633">
        <w:t>(</w:t>
      </w:r>
      <w:r w:rsidRPr="00CF3773">
        <w:t>e.g., Norway, Netherlands</w:t>
      </w:r>
      <w:r w:rsidR="00BC4633">
        <w:t>)</w:t>
      </w:r>
      <w:r>
        <w:t xml:space="preserve"> were some of the factors which contributed to the progress made.</w:t>
      </w:r>
    </w:p>
    <w:p w14:paraId="79874F2B" w14:textId="4AAB694A" w:rsidR="00317830" w:rsidRDefault="007A5DD0" w:rsidP="007A5DD0">
      <w:pPr>
        <w:spacing w:after="0" w:line="240" w:lineRule="auto"/>
        <w:jc w:val="both"/>
      </w:pPr>
      <w:r>
        <w:t xml:space="preserve">Likewise, UNDP </w:t>
      </w:r>
      <w:r w:rsidRPr="007A5DD0">
        <w:t xml:space="preserve">has </w:t>
      </w:r>
      <w:r w:rsidRPr="007A5DD0">
        <w:rPr>
          <w:rFonts w:ascii="Calibri" w:hAnsi="Calibri" w:cs="Calibri"/>
          <w:color w:val="000000"/>
        </w:rPr>
        <w:t xml:space="preserve">supported municipalities with platforms for participatory engagements of youth in budgetary development processes. </w:t>
      </w:r>
      <w:r>
        <w:rPr>
          <w:rFonts w:ascii="Calibri" w:hAnsi="Calibri" w:cs="Calibri"/>
          <w:color w:val="000000"/>
        </w:rPr>
        <w:t>Five</w:t>
      </w:r>
      <w:r w:rsidRPr="007A5DD0">
        <w:rPr>
          <w:rFonts w:ascii="Calibri" w:hAnsi="Calibri" w:cs="Calibri"/>
          <w:color w:val="000000"/>
        </w:rPr>
        <w:t xml:space="preserve"> </w:t>
      </w:r>
      <w:r>
        <w:rPr>
          <w:rFonts w:ascii="Calibri" w:hAnsi="Calibri" w:cs="Calibri"/>
          <w:color w:val="000000"/>
        </w:rPr>
        <w:t xml:space="preserve">out </w:t>
      </w:r>
      <w:r w:rsidRPr="007A5DD0">
        <w:rPr>
          <w:rFonts w:ascii="Calibri" w:hAnsi="Calibri" w:cs="Calibri"/>
          <w:color w:val="000000"/>
        </w:rPr>
        <w:t xml:space="preserve">of </w:t>
      </w:r>
      <w:r>
        <w:rPr>
          <w:rFonts w:ascii="Calibri" w:hAnsi="Calibri" w:cs="Calibri"/>
          <w:color w:val="000000"/>
        </w:rPr>
        <w:t>six</w:t>
      </w:r>
      <w:r w:rsidRPr="007A5DD0">
        <w:rPr>
          <w:rFonts w:ascii="Calibri" w:hAnsi="Calibri" w:cs="Calibri"/>
          <w:color w:val="000000"/>
        </w:rPr>
        <w:t xml:space="preserve"> Local Governance Legal Framework </w:t>
      </w:r>
      <w:r>
        <w:rPr>
          <w:rFonts w:ascii="Calibri" w:hAnsi="Calibri" w:cs="Calibri"/>
          <w:color w:val="000000"/>
        </w:rPr>
        <w:t xml:space="preserve">were </w:t>
      </w:r>
      <w:r w:rsidRPr="007A5DD0">
        <w:rPr>
          <w:rFonts w:ascii="Calibri" w:hAnsi="Calibri" w:cs="Calibri"/>
          <w:color w:val="000000"/>
        </w:rPr>
        <w:t>developed and approved based on political consensus</w:t>
      </w:r>
      <w:r>
        <w:rPr>
          <w:rFonts w:ascii="Calibri" w:hAnsi="Calibri" w:cs="Calibri"/>
          <w:color w:val="000000"/>
        </w:rPr>
        <w:t>. With UNDP support, Pa</w:t>
      </w:r>
      <w:r w:rsidRPr="007A5DD0">
        <w:rPr>
          <w:rFonts w:ascii="Calibri" w:hAnsi="Calibri" w:cs="Calibri"/>
          <w:color w:val="000000"/>
        </w:rPr>
        <w:t xml:space="preserve">rticipatory Budgeting (PB) </w:t>
      </w:r>
      <w:r>
        <w:rPr>
          <w:rFonts w:ascii="Calibri" w:hAnsi="Calibri" w:cs="Calibri"/>
          <w:color w:val="000000"/>
        </w:rPr>
        <w:t xml:space="preserve">was </w:t>
      </w:r>
      <w:r w:rsidRPr="007A5DD0">
        <w:rPr>
          <w:rFonts w:ascii="Calibri" w:hAnsi="Calibri" w:cs="Calibri"/>
          <w:color w:val="000000"/>
        </w:rPr>
        <w:t>instituted (Presidential Decrees n.˚234 and n.˚235) in Angola</w:t>
      </w:r>
      <w:r>
        <w:rPr>
          <w:rFonts w:ascii="Calibri" w:hAnsi="Calibri" w:cs="Calibri"/>
          <w:color w:val="000000"/>
        </w:rPr>
        <w:t xml:space="preserve">. </w:t>
      </w:r>
      <w:r w:rsidRPr="007A5DD0">
        <w:rPr>
          <w:rFonts w:ascii="Calibri" w:hAnsi="Calibri" w:cs="Calibri"/>
          <w:color w:val="000000"/>
        </w:rPr>
        <w:t xml:space="preserve">Participatory Budgeting Committees for the Citizen Budget (component 1 of PB) </w:t>
      </w:r>
      <w:r>
        <w:rPr>
          <w:rFonts w:ascii="Calibri" w:hAnsi="Calibri" w:cs="Calibri"/>
          <w:color w:val="000000"/>
        </w:rPr>
        <w:t xml:space="preserve">were </w:t>
      </w:r>
      <w:r w:rsidRPr="007A5DD0">
        <w:rPr>
          <w:rFonts w:ascii="Calibri" w:hAnsi="Calibri" w:cs="Calibri"/>
          <w:color w:val="000000"/>
        </w:rPr>
        <w:t xml:space="preserve">established and </w:t>
      </w:r>
      <w:r>
        <w:rPr>
          <w:rFonts w:ascii="Calibri" w:hAnsi="Calibri" w:cs="Calibri"/>
          <w:color w:val="000000"/>
        </w:rPr>
        <w:t xml:space="preserve">are </w:t>
      </w:r>
      <w:r w:rsidRPr="007A5DD0">
        <w:rPr>
          <w:rFonts w:ascii="Calibri" w:hAnsi="Calibri" w:cs="Calibri"/>
          <w:color w:val="000000"/>
        </w:rPr>
        <w:t xml:space="preserve">functional in 100 </w:t>
      </w:r>
      <w:r w:rsidR="003409BA">
        <w:rPr>
          <w:rFonts w:ascii="Calibri" w:hAnsi="Calibri" w:cs="Calibri"/>
          <w:color w:val="000000"/>
        </w:rPr>
        <w:t xml:space="preserve">out of 164 </w:t>
      </w:r>
      <w:r w:rsidRPr="007A5DD0">
        <w:rPr>
          <w:rFonts w:ascii="Calibri" w:hAnsi="Calibri" w:cs="Calibri"/>
          <w:color w:val="000000"/>
        </w:rPr>
        <w:t>municipalities</w:t>
      </w:r>
      <w:r>
        <w:rPr>
          <w:rFonts w:ascii="Calibri" w:hAnsi="Calibri" w:cs="Calibri"/>
          <w:color w:val="000000"/>
        </w:rPr>
        <w:t xml:space="preserve">. </w:t>
      </w:r>
      <w:r w:rsidR="00317830">
        <w:rPr>
          <w:rFonts w:ascii="Calibri" w:hAnsi="Calibri" w:cs="Calibri"/>
          <w:color w:val="000000"/>
        </w:rPr>
        <w:t xml:space="preserve">Furthermore, </w:t>
      </w:r>
      <w:r w:rsidR="00317830" w:rsidRPr="007A5DD0">
        <w:rPr>
          <w:rFonts w:ascii="Calibri" w:hAnsi="Calibri" w:cs="Calibri"/>
          <w:color w:val="000000"/>
        </w:rPr>
        <w:t>Municipal</w:t>
      </w:r>
      <w:r w:rsidRPr="007A5DD0">
        <w:rPr>
          <w:rFonts w:ascii="Calibri" w:hAnsi="Calibri" w:cs="Calibri"/>
          <w:color w:val="000000"/>
        </w:rPr>
        <w:t xml:space="preserve"> Forums for Participatory Budgeting of Municipal Administrations (component 2 of PB) </w:t>
      </w:r>
      <w:r>
        <w:rPr>
          <w:rFonts w:ascii="Calibri" w:hAnsi="Calibri" w:cs="Calibri"/>
          <w:color w:val="000000"/>
        </w:rPr>
        <w:t xml:space="preserve">were </w:t>
      </w:r>
      <w:r w:rsidRPr="007A5DD0">
        <w:rPr>
          <w:rFonts w:ascii="Calibri" w:hAnsi="Calibri" w:cs="Calibri"/>
          <w:color w:val="000000"/>
        </w:rPr>
        <w:t>established in all the 164 municipalities</w:t>
      </w:r>
      <w:r>
        <w:rPr>
          <w:rFonts w:ascii="Calibri" w:hAnsi="Calibri" w:cs="Calibri"/>
          <w:color w:val="000000"/>
        </w:rPr>
        <w:t xml:space="preserve"> and </w:t>
      </w:r>
      <w:r w:rsidRPr="007A5DD0">
        <w:rPr>
          <w:rFonts w:ascii="Calibri" w:hAnsi="Calibri" w:cs="Calibri"/>
          <w:color w:val="000000"/>
        </w:rPr>
        <w:t xml:space="preserve">Residence Committees instituted (Executive Decree n.˚170/20) and 3,213 Residence Committees </w:t>
      </w:r>
      <w:r>
        <w:rPr>
          <w:rFonts w:ascii="Calibri" w:hAnsi="Calibri" w:cs="Calibri"/>
          <w:color w:val="000000"/>
        </w:rPr>
        <w:t xml:space="preserve">were </w:t>
      </w:r>
      <w:r w:rsidRPr="007A5DD0">
        <w:rPr>
          <w:rFonts w:ascii="Calibri" w:hAnsi="Calibri" w:cs="Calibri"/>
          <w:color w:val="000000"/>
        </w:rPr>
        <w:t>established countrywide</w:t>
      </w:r>
      <w:r w:rsidR="00317830">
        <w:rPr>
          <w:rFonts w:ascii="Calibri" w:hAnsi="Calibri" w:cs="Calibri"/>
          <w:color w:val="000000"/>
        </w:rPr>
        <w:t>. UNDP also helped</w:t>
      </w:r>
      <w:r w:rsidRPr="007A5DD0">
        <w:rPr>
          <w:rFonts w:ascii="Calibri" w:hAnsi="Calibri" w:cs="Calibri"/>
          <w:color w:val="000000"/>
        </w:rPr>
        <w:t xml:space="preserve"> establish functional Digital Database for Residence Committees networking and for public verification of official data on voter registration.</w:t>
      </w:r>
      <w:r w:rsidR="003409BA">
        <w:rPr>
          <w:rFonts w:ascii="Calibri" w:hAnsi="Calibri" w:cs="Calibri"/>
          <w:color w:val="000000"/>
        </w:rPr>
        <w:t xml:space="preserve"> </w:t>
      </w:r>
      <w:r w:rsidR="00317830">
        <w:t>Alongside the election of municipal governments, the MCPBs are a landmark in the ongoing reform of the system of governance in Angola, from a centralized to a decentralized system (Pillar 4 of Angola's Development Plan 2020-2022). The MCPBs are a mechanism for citizens to plan and execute a public annual budget of AOA 25 million (USD38.1 million), and to participate in the annual budgeting exercise of Municipal Administrations</w:t>
      </w:r>
      <w:r w:rsidR="00007202">
        <w:rPr>
          <w:rStyle w:val="FootnoteReference"/>
        </w:rPr>
        <w:footnoteReference w:id="37"/>
      </w:r>
      <w:r w:rsidR="00317830">
        <w:t>.</w:t>
      </w:r>
    </w:p>
    <w:p w14:paraId="2CF308B0" w14:textId="02A10263" w:rsidR="00255159" w:rsidRDefault="00255159" w:rsidP="007A5DD0">
      <w:pPr>
        <w:spacing w:after="0" w:line="240" w:lineRule="auto"/>
        <w:jc w:val="both"/>
      </w:pPr>
    </w:p>
    <w:p w14:paraId="75E53726" w14:textId="7AB21044" w:rsidR="00255159" w:rsidRDefault="00255159" w:rsidP="007A5DD0">
      <w:pPr>
        <w:spacing w:after="0" w:line="240" w:lineRule="auto"/>
        <w:jc w:val="both"/>
      </w:pPr>
      <w:r>
        <w:t xml:space="preserve">The fact that </w:t>
      </w:r>
      <w:r w:rsidR="00DA76A0">
        <w:t xml:space="preserve">a </w:t>
      </w:r>
      <w:r>
        <w:t xml:space="preserve">World Bank </w:t>
      </w:r>
      <w:r w:rsidR="00DA76A0">
        <w:t xml:space="preserve">project </w:t>
      </w:r>
      <w:r>
        <w:t>is meant partly to support this process is a positive sign</w:t>
      </w:r>
      <w:r w:rsidR="00ED09D9">
        <w:t xml:space="preserve">, but a lot </w:t>
      </w:r>
      <w:r w:rsidR="00DA76A0">
        <w:t>more</w:t>
      </w:r>
      <w:r w:rsidR="00ED09D9">
        <w:t xml:space="preserve"> needs to be done in terms of building planning capacities of municipalities (</w:t>
      </w:r>
      <w:r w:rsidR="00F2769D">
        <w:t>e.g.,</w:t>
      </w:r>
      <w:r w:rsidR="00ED09D9">
        <w:t xml:space="preserve"> they currently do not have strategi plans) as well as civil society and local communities.</w:t>
      </w:r>
      <w:r>
        <w:t xml:space="preserve">   </w:t>
      </w:r>
    </w:p>
    <w:p w14:paraId="423C166B" w14:textId="77777777" w:rsidR="00007202" w:rsidRPr="003409BA" w:rsidRDefault="00007202" w:rsidP="007A5DD0">
      <w:pPr>
        <w:spacing w:after="0" w:line="240" w:lineRule="auto"/>
        <w:jc w:val="both"/>
        <w:rPr>
          <w:rFonts w:ascii="Calibri" w:hAnsi="Calibri" w:cs="Calibri"/>
          <w:color w:val="000000"/>
        </w:rPr>
      </w:pPr>
    </w:p>
    <w:p w14:paraId="729CC0F7" w14:textId="345FA9F6" w:rsidR="00317830" w:rsidRPr="00317830" w:rsidRDefault="00317830" w:rsidP="00790AD5">
      <w:pPr>
        <w:pStyle w:val="ListParagraph"/>
        <w:numPr>
          <w:ilvl w:val="0"/>
          <w:numId w:val="56"/>
        </w:numPr>
        <w:jc w:val="both"/>
        <w:rPr>
          <w:sz w:val="28"/>
          <w:szCs w:val="28"/>
        </w:rPr>
      </w:pPr>
      <w:r w:rsidRPr="00DB3314">
        <w:rPr>
          <w:rFonts w:ascii="Calibri" w:eastAsia="Times New Roman" w:hAnsi="Calibri" w:cs="Calibri"/>
          <w:i/>
          <w:iCs/>
          <w:color w:val="000000"/>
          <w:lang w:eastAsia="pt-PT"/>
        </w:rPr>
        <w:t xml:space="preserve">Output 3.2. </w:t>
      </w:r>
      <w:r w:rsidRPr="00317830">
        <w:rPr>
          <w:rFonts w:ascii="Calibri" w:eastAsia="Times New Roman" w:hAnsi="Calibri" w:cs="Calibri"/>
          <w:i/>
          <w:iCs/>
          <w:color w:val="000000"/>
          <w:lang w:eastAsia="pt-PT"/>
        </w:rPr>
        <w:t>Institutions and systems enabled to address awareness, prevention and enforcement of anti-corruption measures to maximize availability of resources for poverty eradication.</w:t>
      </w:r>
    </w:p>
    <w:p w14:paraId="3913D5B6" w14:textId="7A1115BA" w:rsidR="00C9346C" w:rsidRDefault="00ED09D9" w:rsidP="00C9346C">
      <w:pPr>
        <w:jc w:val="both"/>
      </w:pPr>
      <w:r>
        <w:t xml:space="preserve">Anti-corruption was an extremely sensitive area to venture into for a development partner prior to 2017. </w:t>
      </w:r>
      <w:r w:rsidR="00100097">
        <w:t xml:space="preserve">The President of Angola </w:t>
      </w:r>
      <w:r w:rsidR="00910688">
        <w:t>launched</w:t>
      </w:r>
      <w:r w:rsidR="00100097">
        <w:t xml:space="preserve"> the</w:t>
      </w:r>
      <w:r w:rsidR="00DA76A0">
        <w:t xml:space="preserve"> anti-corruption</w:t>
      </w:r>
      <w:r w:rsidR="00100097">
        <w:t xml:space="preserve"> </w:t>
      </w:r>
      <w:r w:rsidR="00910688">
        <w:t>initiative</w:t>
      </w:r>
      <w:r w:rsidR="00100097">
        <w:t xml:space="preserve"> in 2019, and UNDP has been a</w:t>
      </w:r>
      <w:r w:rsidR="00910688">
        <w:t>cc</w:t>
      </w:r>
      <w:r w:rsidR="00100097">
        <w:t>o</w:t>
      </w:r>
      <w:r w:rsidR="00910688">
        <w:t>m</w:t>
      </w:r>
      <w:r w:rsidR="00100097">
        <w:t>panying the pro</w:t>
      </w:r>
      <w:r w:rsidR="00910688">
        <w:t>c</w:t>
      </w:r>
      <w:r w:rsidR="00100097">
        <w:t xml:space="preserve">ess, </w:t>
      </w:r>
      <w:r w:rsidR="00910688">
        <w:t>m</w:t>
      </w:r>
      <w:r w:rsidR="00100097">
        <w:t xml:space="preserve">ainly through </w:t>
      </w:r>
      <w:r w:rsidR="00910688">
        <w:t>c</w:t>
      </w:r>
      <w:r w:rsidR="00100097">
        <w:t>apa</w:t>
      </w:r>
      <w:r w:rsidR="00910688">
        <w:t>c</w:t>
      </w:r>
      <w:r w:rsidR="00100097">
        <w:t>ity building. UNDP s</w:t>
      </w:r>
      <w:r w:rsidR="00DA76A0">
        <w:t>igned</w:t>
      </w:r>
      <w:r w:rsidR="00100097">
        <w:t xml:space="preserve"> an</w:t>
      </w:r>
      <w:r w:rsidR="00C9346C">
        <w:t xml:space="preserve"> a</w:t>
      </w:r>
      <w:r w:rsidR="00C9346C" w:rsidRPr="00543B0D">
        <w:t>greement with the General Inspections Office (IGAE) to foster risk assessment and preventive measures at sectoral level.</w:t>
      </w:r>
      <w:r w:rsidR="00C9346C">
        <w:t xml:space="preserve"> In addition, with UNDP support, in technical collaboration with the UNDP Regional Hub for the Arab States Anti-Corruption and Integrity, Angola has established a Local Facility of trained trainers to lead anti-corruption action at sectoral level based on preventative approach. This intervention will lead to the adoption of standard operating procedures in public management to ensure transparency and accountability. </w:t>
      </w:r>
    </w:p>
    <w:p w14:paraId="76625D84" w14:textId="47917CCA" w:rsidR="00C9346C" w:rsidRDefault="00085DBF" w:rsidP="00C9346C">
      <w:pPr>
        <w:jc w:val="both"/>
        <w:rPr>
          <w:rFonts w:ascii="Calibri" w:hAnsi="Calibri" w:cs="Calibri"/>
          <w:color w:val="000000"/>
        </w:rPr>
      </w:pPr>
      <w:r>
        <w:rPr>
          <w:rFonts w:ascii="Calibri" w:hAnsi="Calibri" w:cs="Calibri"/>
          <w:color w:val="000000"/>
        </w:rPr>
        <w:t>The a</w:t>
      </w:r>
      <w:r w:rsidR="00C9346C" w:rsidRPr="00C9346C">
        <w:rPr>
          <w:rFonts w:ascii="Calibri" w:hAnsi="Calibri" w:cs="Calibri"/>
          <w:color w:val="000000"/>
        </w:rPr>
        <w:t xml:space="preserve">greement with IGAE (General Inspection Office) is </w:t>
      </w:r>
      <w:r w:rsidR="00DA76A0">
        <w:rPr>
          <w:rFonts w:ascii="Calibri" w:hAnsi="Calibri" w:cs="Calibri"/>
          <w:color w:val="000000"/>
        </w:rPr>
        <w:t xml:space="preserve">now </w:t>
      </w:r>
      <w:r w:rsidR="00C9346C" w:rsidRPr="00C9346C">
        <w:rPr>
          <w:rFonts w:ascii="Calibri" w:hAnsi="Calibri" w:cs="Calibri"/>
          <w:color w:val="000000"/>
        </w:rPr>
        <w:t>on hold because the latter has reviewed priorities, focusing now on building a training institution, which UNDP is not in a position to support (both technically and financially)</w:t>
      </w:r>
      <w:r w:rsidR="00DA76A0">
        <w:rPr>
          <w:rFonts w:ascii="Calibri" w:hAnsi="Calibri" w:cs="Calibri"/>
          <w:color w:val="000000"/>
        </w:rPr>
        <w:t>.  The</w:t>
      </w:r>
      <w:r w:rsidR="00DA76A0" w:rsidRPr="00C9346C">
        <w:rPr>
          <w:rFonts w:ascii="Calibri" w:hAnsi="Calibri" w:cs="Calibri"/>
          <w:color w:val="000000"/>
        </w:rPr>
        <w:t xml:space="preserve"> assessment</w:t>
      </w:r>
      <w:r w:rsidR="00C9346C" w:rsidRPr="00C9346C">
        <w:rPr>
          <w:rFonts w:ascii="Calibri" w:hAnsi="Calibri" w:cs="Calibri"/>
          <w:color w:val="000000"/>
        </w:rPr>
        <w:t xml:space="preserve"> of the current plan is still ongoing with results expected in 2022. Meanwhile, with the establishment of a High-Level Working Group led by Casa Civil, a new strategy is already under development and UNDP was consulted and provided </w:t>
      </w:r>
      <w:r w:rsidR="00DA76A0">
        <w:rPr>
          <w:rFonts w:ascii="Calibri" w:hAnsi="Calibri" w:cs="Calibri"/>
          <w:color w:val="000000"/>
        </w:rPr>
        <w:t>a</w:t>
      </w:r>
      <w:r w:rsidR="00C9346C" w:rsidRPr="00C9346C">
        <w:rPr>
          <w:rFonts w:ascii="Calibri" w:hAnsi="Calibri" w:cs="Calibri"/>
          <w:color w:val="000000"/>
        </w:rPr>
        <w:t xml:space="preserve"> blueprint for the strategy.</w:t>
      </w:r>
    </w:p>
    <w:p w14:paraId="76D2B51F" w14:textId="29FB9601" w:rsidR="000905A5" w:rsidRDefault="000905A5" w:rsidP="00C9346C">
      <w:pPr>
        <w:jc w:val="both"/>
        <w:rPr>
          <w:rFonts w:ascii="Calibri" w:hAnsi="Calibri" w:cs="Calibri"/>
          <w:color w:val="000000"/>
        </w:rPr>
      </w:pPr>
      <w:r>
        <w:rPr>
          <w:rFonts w:ascii="Calibri" w:hAnsi="Calibri" w:cs="Calibri"/>
          <w:color w:val="000000"/>
        </w:rPr>
        <w:t>Some of the key achievements include: (i) a Strategi</w:t>
      </w:r>
      <w:r w:rsidR="00EA6496">
        <w:rPr>
          <w:rFonts w:ascii="Calibri" w:hAnsi="Calibri" w:cs="Calibri"/>
          <w:color w:val="000000"/>
        </w:rPr>
        <w:t>c</w:t>
      </w:r>
      <w:r>
        <w:rPr>
          <w:rFonts w:ascii="Calibri" w:hAnsi="Calibri" w:cs="Calibri"/>
          <w:color w:val="000000"/>
        </w:rPr>
        <w:t xml:space="preserve"> Plan on anti-corruption, which is a first for Angola; (ii) </w:t>
      </w:r>
      <w:r w:rsidR="00821FBB">
        <w:rPr>
          <w:rFonts w:ascii="Calibri" w:hAnsi="Calibri" w:cs="Calibri"/>
          <w:color w:val="000000"/>
        </w:rPr>
        <w:t>capacity</w:t>
      </w:r>
      <w:r>
        <w:rPr>
          <w:rFonts w:ascii="Calibri" w:hAnsi="Calibri" w:cs="Calibri"/>
          <w:color w:val="000000"/>
        </w:rPr>
        <w:t xml:space="preserve"> building of staff – they are now reportedly </w:t>
      </w:r>
      <w:r w:rsidR="00821FBB">
        <w:rPr>
          <w:rFonts w:ascii="Calibri" w:hAnsi="Calibri" w:cs="Calibri"/>
          <w:color w:val="000000"/>
        </w:rPr>
        <w:t>m</w:t>
      </w:r>
      <w:r>
        <w:rPr>
          <w:rFonts w:ascii="Calibri" w:hAnsi="Calibri" w:cs="Calibri"/>
          <w:color w:val="000000"/>
        </w:rPr>
        <w:t xml:space="preserve">ore skilled in handling </w:t>
      </w:r>
      <w:r w:rsidR="00821FBB">
        <w:rPr>
          <w:rFonts w:ascii="Calibri" w:hAnsi="Calibri" w:cs="Calibri"/>
          <w:color w:val="000000"/>
        </w:rPr>
        <w:t>cases</w:t>
      </w:r>
      <w:r>
        <w:rPr>
          <w:rFonts w:ascii="Calibri" w:hAnsi="Calibri" w:cs="Calibri"/>
          <w:color w:val="000000"/>
        </w:rPr>
        <w:t xml:space="preserve">; (iii) </w:t>
      </w:r>
      <w:r w:rsidR="00821FBB">
        <w:rPr>
          <w:rFonts w:ascii="Calibri" w:hAnsi="Calibri" w:cs="Calibri"/>
          <w:color w:val="000000"/>
        </w:rPr>
        <w:t xml:space="preserve">awareness </w:t>
      </w:r>
      <w:r w:rsidR="00821FBB">
        <w:rPr>
          <w:rFonts w:ascii="Calibri" w:hAnsi="Calibri" w:cs="Calibri"/>
          <w:color w:val="000000"/>
        </w:rPr>
        <w:lastRenderedPageBreak/>
        <w:t xml:space="preserve">raising on the issue at national level. According to staff interviewed at the Office of the Attorney General, UNDP is the only partner government has selected to work with it in this area. The </w:t>
      </w:r>
      <w:r w:rsidR="005C3DF6">
        <w:rPr>
          <w:rFonts w:ascii="Calibri" w:hAnsi="Calibri" w:cs="Calibri"/>
          <w:color w:val="000000"/>
        </w:rPr>
        <w:t>choice</w:t>
      </w:r>
      <w:r w:rsidR="00821FBB">
        <w:rPr>
          <w:rFonts w:ascii="Calibri" w:hAnsi="Calibri" w:cs="Calibri"/>
          <w:color w:val="000000"/>
        </w:rPr>
        <w:t xml:space="preserve"> they say is based on UNDP’s knowledge of the </w:t>
      </w:r>
      <w:r w:rsidR="005C3DF6">
        <w:rPr>
          <w:rFonts w:ascii="Calibri" w:hAnsi="Calibri" w:cs="Calibri"/>
          <w:color w:val="000000"/>
        </w:rPr>
        <w:t>country</w:t>
      </w:r>
      <w:r w:rsidR="00821FBB">
        <w:rPr>
          <w:rFonts w:ascii="Calibri" w:hAnsi="Calibri" w:cs="Calibri"/>
          <w:color w:val="000000"/>
        </w:rPr>
        <w:t xml:space="preserve">, its sound </w:t>
      </w:r>
      <w:r w:rsidR="005C3DF6">
        <w:rPr>
          <w:rFonts w:ascii="Calibri" w:hAnsi="Calibri" w:cs="Calibri"/>
          <w:color w:val="000000"/>
        </w:rPr>
        <w:t>technical</w:t>
      </w:r>
      <w:r w:rsidR="00821FBB">
        <w:rPr>
          <w:rFonts w:ascii="Calibri" w:hAnsi="Calibri" w:cs="Calibri"/>
          <w:color w:val="000000"/>
        </w:rPr>
        <w:t xml:space="preserve"> </w:t>
      </w:r>
      <w:r w:rsidR="005C3DF6">
        <w:rPr>
          <w:rFonts w:ascii="Calibri" w:hAnsi="Calibri" w:cs="Calibri"/>
          <w:color w:val="000000"/>
        </w:rPr>
        <w:t>assistance</w:t>
      </w:r>
      <w:r w:rsidR="00821FBB">
        <w:rPr>
          <w:rFonts w:ascii="Calibri" w:hAnsi="Calibri" w:cs="Calibri"/>
          <w:color w:val="000000"/>
        </w:rPr>
        <w:t xml:space="preserve"> and </w:t>
      </w:r>
      <w:r w:rsidR="00DA76A0">
        <w:rPr>
          <w:rFonts w:ascii="Calibri" w:hAnsi="Calibri" w:cs="Calibri"/>
          <w:color w:val="000000"/>
        </w:rPr>
        <w:t xml:space="preserve">government </w:t>
      </w:r>
      <w:r w:rsidR="00821FBB">
        <w:rPr>
          <w:rFonts w:ascii="Calibri" w:hAnsi="Calibri" w:cs="Calibri"/>
          <w:color w:val="000000"/>
        </w:rPr>
        <w:t xml:space="preserve">trust in </w:t>
      </w:r>
      <w:r w:rsidR="00DC3812">
        <w:rPr>
          <w:rFonts w:ascii="Calibri" w:hAnsi="Calibri" w:cs="Calibri"/>
          <w:color w:val="000000"/>
        </w:rPr>
        <w:t xml:space="preserve">view of its </w:t>
      </w:r>
      <w:r w:rsidR="00821FBB">
        <w:rPr>
          <w:rFonts w:ascii="Calibri" w:hAnsi="Calibri" w:cs="Calibri"/>
          <w:color w:val="000000"/>
        </w:rPr>
        <w:t>neutrality</w:t>
      </w:r>
      <w:r w:rsidR="005C3DF6">
        <w:rPr>
          <w:rFonts w:ascii="Calibri" w:hAnsi="Calibri" w:cs="Calibri"/>
          <w:color w:val="000000"/>
        </w:rPr>
        <w:t>. They</w:t>
      </w:r>
      <w:r w:rsidR="00DC3812">
        <w:rPr>
          <w:rFonts w:ascii="Calibri" w:hAnsi="Calibri" w:cs="Calibri"/>
          <w:color w:val="000000"/>
        </w:rPr>
        <w:t xml:space="preserve"> did not</w:t>
      </w:r>
      <w:r w:rsidR="005C3DF6">
        <w:rPr>
          <w:rFonts w:ascii="Calibri" w:hAnsi="Calibri" w:cs="Calibri"/>
          <w:color w:val="000000"/>
        </w:rPr>
        <w:t xml:space="preserve"> point</w:t>
      </w:r>
      <w:r w:rsidR="00DC3812">
        <w:rPr>
          <w:rFonts w:ascii="Calibri" w:hAnsi="Calibri" w:cs="Calibri"/>
          <w:color w:val="000000"/>
        </w:rPr>
        <w:t xml:space="preserve"> to any</w:t>
      </w:r>
      <w:r w:rsidR="005C3DF6">
        <w:rPr>
          <w:rFonts w:ascii="Calibri" w:hAnsi="Calibri" w:cs="Calibri"/>
          <w:color w:val="000000"/>
        </w:rPr>
        <w:t xml:space="preserve"> operational bottlenecks but stated that sometimes government and UNDP priorities in this area diverge but </w:t>
      </w:r>
      <w:r w:rsidR="00DC3812">
        <w:rPr>
          <w:rFonts w:ascii="Calibri" w:hAnsi="Calibri" w:cs="Calibri"/>
          <w:color w:val="000000"/>
        </w:rPr>
        <w:t xml:space="preserve">that </w:t>
      </w:r>
      <w:r w:rsidR="005C3DF6">
        <w:rPr>
          <w:rFonts w:ascii="Calibri" w:hAnsi="Calibri" w:cs="Calibri"/>
          <w:color w:val="000000"/>
        </w:rPr>
        <w:t xml:space="preserve">the partnership is strong. Going forward, assistance is sought in developing a strategy for addressing </w:t>
      </w:r>
      <w:r w:rsidR="00F2769D">
        <w:rPr>
          <w:rFonts w:ascii="Calibri" w:hAnsi="Calibri" w:cs="Calibri"/>
          <w:color w:val="000000"/>
        </w:rPr>
        <w:t>environmental crimes</w:t>
      </w:r>
      <w:r w:rsidR="005C3DF6">
        <w:rPr>
          <w:rFonts w:ascii="Calibri" w:hAnsi="Calibri" w:cs="Calibri"/>
          <w:color w:val="000000"/>
        </w:rPr>
        <w:t xml:space="preserve"> as well as the digitalization of </w:t>
      </w:r>
      <w:r w:rsidR="00DC3812">
        <w:rPr>
          <w:rFonts w:ascii="Calibri" w:hAnsi="Calibri" w:cs="Calibri"/>
          <w:color w:val="000000"/>
        </w:rPr>
        <w:t xml:space="preserve">their </w:t>
      </w:r>
      <w:r w:rsidR="005C3DF6">
        <w:rPr>
          <w:rFonts w:ascii="Calibri" w:hAnsi="Calibri" w:cs="Calibri"/>
          <w:color w:val="000000"/>
        </w:rPr>
        <w:t>records.</w:t>
      </w:r>
    </w:p>
    <w:p w14:paraId="71CDF693" w14:textId="1D84BC39" w:rsidR="00E27B5E" w:rsidRDefault="007020A8" w:rsidP="00C9346C">
      <w:pPr>
        <w:jc w:val="both"/>
        <w:rPr>
          <w:rFonts w:ascii="Calibri" w:hAnsi="Calibri" w:cs="Calibri"/>
          <w:color w:val="000000"/>
        </w:rPr>
      </w:pPr>
      <w:r>
        <w:rPr>
          <w:rFonts w:ascii="Calibri" w:hAnsi="Calibri" w:cs="Calibri"/>
          <w:color w:val="000000"/>
        </w:rPr>
        <w:t xml:space="preserve">The evaluation notes that while anti-corruption is of crucial importance and is a key policy priority of government, it is a challenging and politically sensitive area of work. UNDP should therefore craft its interventions and engagements in this area with great care to ensure lasting impact.   </w:t>
      </w:r>
    </w:p>
    <w:p w14:paraId="1F977CAA" w14:textId="2F8A5FFA" w:rsidR="007020A8" w:rsidRDefault="00100097" w:rsidP="00C9346C">
      <w:pPr>
        <w:jc w:val="both"/>
        <w:rPr>
          <w:rFonts w:ascii="Calibri" w:hAnsi="Calibri" w:cs="Calibri"/>
          <w:color w:val="000000"/>
        </w:rPr>
      </w:pPr>
      <w:r>
        <w:rPr>
          <w:rFonts w:ascii="Calibri" w:hAnsi="Calibri" w:cs="Calibri"/>
          <w:color w:val="000000"/>
        </w:rPr>
        <w:t xml:space="preserve">The fact that anti-corruption activities are not conducted by an independent body, as in other countries, but </w:t>
      </w:r>
      <w:r w:rsidR="007A1687">
        <w:rPr>
          <w:rFonts w:ascii="Calibri" w:hAnsi="Calibri" w:cs="Calibri"/>
          <w:color w:val="000000"/>
        </w:rPr>
        <w:t xml:space="preserve">is </w:t>
      </w:r>
      <w:r>
        <w:rPr>
          <w:rFonts w:ascii="Calibri" w:hAnsi="Calibri" w:cs="Calibri"/>
          <w:color w:val="000000"/>
        </w:rPr>
        <w:t xml:space="preserve">rather embedded </w:t>
      </w:r>
      <w:r w:rsidR="00910688">
        <w:rPr>
          <w:rFonts w:ascii="Calibri" w:hAnsi="Calibri" w:cs="Calibri"/>
          <w:color w:val="000000"/>
        </w:rPr>
        <w:t>within government could be a limiting factor as anti-corruption could be perceived as lacking independence of agency.</w:t>
      </w:r>
      <w:r>
        <w:rPr>
          <w:rFonts w:ascii="Calibri" w:hAnsi="Calibri" w:cs="Calibri"/>
          <w:color w:val="000000"/>
        </w:rPr>
        <w:t xml:space="preserve"> </w:t>
      </w:r>
      <w:r w:rsidR="00910688">
        <w:rPr>
          <w:rFonts w:ascii="Calibri" w:hAnsi="Calibri" w:cs="Calibri"/>
          <w:color w:val="000000"/>
        </w:rPr>
        <w:t xml:space="preserve">A positive sign is that </w:t>
      </w:r>
      <w:r w:rsidR="00F93FD4">
        <w:rPr>
          <w:rFonts w:ascii="Calibri" w:hAnsi="Calibri" w:cs="Calibri"/>
          <w:color w:val="000000"/>
        </w:rPr>
        <w:t xml:space="preserve">the President has set up a High-Level Working Group on Anti-corruption </w:t>
      </w:r>
      <w:r w:rsidR="007A1687">
        <w:rPr>
          <w:rFonts w:ascii="Calibri" w:hAnsi="Calibri" w:cs="Calibri"/>
          <w:color w:val="000000"/>
        </w:rPr>
        <w:t>and</w:t>
      </w:r>
      <w:r w:rsidR="00F93FD4">
        <w:rPr>
          <w:rFonts w:ascii="Calibri" w:hAnsi="Calibri" w:cs="Calibri"/>
          <w:color w:val="000000"/>
        </w:rPr>
        <w:t xml:space="preserve"> UNDP should look at ways by which it can support the work of this group. Given the complex political context of anti-corruption in Angola, UNDP should look to build </w:t>
      </w:r>
      <w:r w:rsidR="00E27B5E">
        <w:rPr>
          <w:rFonts w:ascii="Calibri" w:hAnsi="Calibri" w:cs="Calibri"/>
          <w:color w:val="000000"/>
        </w:rPr>
        <w:t>alliances</w:t>
      </w:r>
      <w:r w:rsidR="00F93FD4">
        <w:rPr>
          <w:rFonts w:ascii="Calibri" w:hAnsi="Calibri" w:cs="Calibri"/>
          <w:color w:val="000000"/>
        </w:rPr>
        <w:t xml:space="preserve"> with other partners to support the </w:t>
      </w:r>
      <w:r w:rsidR="00E27B5E">
        <w:rPr>
          <w:rFonts w:ascii="Calibri" w:hAnsi="Calibri" w:cs="Calibri"/>
          <w:color w:val="000000"/>
        </w:rPr>
        <w:t>process</w:t>
      </w:r>
      <w:r w:rsidR="00F93FD4">
        <w:rPr>
          <w:rFonts w:ascii="Calibri" w:hAnsi="Calibri" w:cs="Calibri"/>
          <w:color w:val="000000"/>
        </w:rPr>
        <w:t>, rather than go it alone.</w:t>
      </w:r>
      <w:r w:rsidR="00E27B5E">
        <w:rPr>
          <w:rFonts w:ascii="Calibri" w:hAnsi="Calibri" w:cs="Calibri"/>
          <w:color w:val="000000"/>
        </w:rPr>
        <w:t xml:space="preserve"> </w:t>
      </w:r>
    </w:p>
    <w:p w14:paraId="1A11C83A" w14:textId="4FABAF39" w:rsidR="00C9346C" w:rsidRPr="009761AC" w:rsidRDefault="009761AC" w:rsidP="00790AD5">
      <w:pPr>
        <w:pStyle w:val="ListParagraph"/>
        <w:numPr>
          <w:ilvl w:val="0"/>
          <w:numId w:val="56"/>
        </w:numPr>
        <w:jc w:val="both"/>
        <w:rPr>
          <w:i/>
          <w:iCs/>
          <w:sz w:val="36"/>
          <w:szCs w:val="36"/>
        </w:rPr>
      </w:pPr>
      <w:r w:rsidRPr="007544DC">
        <w:rPr>
          <w:rFonts w:ascii="Calibri" w:eastAsia="Times New Roman" w:hAnsi="Calibri" w:cs="Calibri"/>
          <w:bCs/>
          <w:i/>
          <w:iCs/>
          <w:color w:val="000000"/>
          <w:lang w:eastAsia="pt-PT"/>
        </w:rPr>
        <w:t>Output 3.3.</w:t>
      </w:r>
      <w:r w:rsidRPr="009761AC">
        <w:rPr>
          <w:rFonts w:ascii="Calibri" w:eastAsia="Times New Roman" w:hAnsi="Calibri" w:cs="Calibri"/>
          <w:i/>
          <w:iCs/>
          <w:color w:val="000000"/>
          <w:lang w:eastAsia="pt-PT"/>
        </w:rPr>
        <w:t xml:space="preserve"> Capacities, functions and financing of rule of law and national human rights institutions and systems strengthened to expand access to justice and combat discrimination, with a focus on women and other marginalized groups.</w:t>
      </w:r>
    </w:p>
    <w:p w14:paraId="375BBE7C" w14:textId="0F5F652A" w:rsidR="00026717" w:rsidRDefault="00D4062F" w:rsidP="003D266B">
      <w:pPr>
        <w:jc w:val="both"/>
      </w:pPr>
      <w:r>
        <w:t>UNDP’s work on human rights in Angola spans several areas: assisting government fulfil its reporting obligation under the various treaties</w:t>
      </w:r>
      <w:r w:rsidR="007A1687">
        <w:t>-regional and international</w:t>
      </w:r>
      <w:r>
        <w:t xml:space="preserve">; follow up to the </w:t>
      </w:r>
      <w:r w:rsidR="007A1687">
        <w:t xml:space="preserve">Universal </w:t>
      </w:r>
      <w:r>
        <w:t>P</w:t>
      </w:r>
      <w:r w:rsidR="007A1687">
        <w:t xml:space="preserve">eer Review (UPR) </w:t>
      </w:r>
      <w:r>
        <w:t xml:space="preserve"> – a participatory data base has been created to allow citizens follow recommendations </w:t>
      </w:r>
      <w:r w:rsidR="00026717">
        <w:t>online; substantive</w:t>
      </w:r>
      <w:r>
        <w:t xml:space="preserve"> support </w:t>
      </w:r>
      <w:r w:rsidR="007A1687">
        <w:t xml:space="preserve">for formulation of </w:t>
      </w:r>
      <w:r>
        <w:t>hu</w:t>
      </w:r>
      <w:r w:rsidR="00026717">
        <w:t xml:space="preserve">man rights strategies, human rights case handling and support to </w:t>
      </w:r>
      <w:r w:rsidR="007A1687">
        <w:t xml:space="preserve">the work of </w:t>
      </w:r>
      <w:r w:rsidR="00026717">
        <w:t>human rights committees; work with the ombudsman the Police</w:t>
      </w:r>
      <w:r w:rsidR="007A1687">
        <w:t>;</w:t>
      </w:r>
      <w:r w:rsidR="00026717">
        <w:t xml:space="preserve"> inclusive rights (LGBT) and transitional justice, as well as on gender.</w:t>
      </w:r>
      <w:r>
        <w:t xml:space="preserve">     </w:t>
      </w:r>
    </w:p>
    <w:p w14:paraId="36A732CB" w14:textId="1C325B68" w:rsidR="003D266B" w:rsidRDefault="003D266B" w:rsidP="003D266B">
      <w:pPr>
        <w:jc w:val="both"/>
      </w:pPr>
      <w:r>
        <w:t>In terms of st</w:t>
      </w:r>
      <w:r w:rsidRPr="00543B0D">
        <w:t>rengthen</w:t>
      </w:r>
      <w:r>
        <w:t>ing of</w:t>
      </w:r>
      <w:r w:rsidRPr="00543B0D">
        <w:t xml:space="preserve"> local level institutions and systems supporting fulfilment of nationally and internationally ratified human rights obligations</w:t>
      </w:r>
      <w:r>
        <w:t>, UNDP d</w:t>
      </w:r>
      <w:r w:rsidRPr="00543B0D">
        <w:t>esigned and adopted the National Strategy for Human Rights Education</w:t>
      </w:r>
      <w:r w:rsidR="00AC33A2">
        <w:t>, supported the establishment of:</w:t>
      </w:r>
      <w:r w:rsidRPr="00543B0D">
        <w:t xml:space="preserve"> 18 Local Human Rights Councils</w:t>
      </w:r>
      <w:r w:rsidR="00AC33A2">
        <w:t>;</w:t>
      </w:r>
      <w:r w:rsidRPr="00543B0D">
        <w:t xml:space="preserve"> 52 Municipal Human Rights Committees (5 of which in Luanda) to respond to local human rights cases; Local Facility for training of Law Enforcement in the Ministry of Interior; a digital platform for tracking the implementation of national human rights recommendations at testing phase; ongoing digitalization of justice administration services, starting with the establishment of virtual courtrooms in 10 penitentiary services across the country and already benefiting over 20,000 inmates.</w:t>
      </w:r>
      <w:r>
        <w:t xml:space="preserve"> C</w:t>
      </w:r>
      <w:r w:rsidRPr="00344217">
        <w:t>ritical success factors have been integrated approach to human rights with social and development issues, as well as strong multisectoral partnerships with Ministries of Justice and Human Rights and Interior and civil society.</w:t>
      </w:r>
    </w:p>
    <w:p w14:paraId="47807A81" w14:textId="018DA041" w:rsidR="00F2769D" w:rsidRDefault="00F2769D" w:rsidP="003D266B">
      <w:pPr>
        <w:jc w:val="both"/>
      </w:pPr>
      <w:r>
        <w:t xml:space="preserve">UNDP support is also provided to the Office of the Ombudsman, which listed the </w:t>
      </w:r>
      <w:r w:rsidR="00502D18">
        <w:t>main</w:t>
      </w:r>
      <w:r>
        <w:t xml:space="preserve"> achievements as follows: (i) capacity building of the office which has </w:t>
      </w:r>
      <w:r w:rsidR="00695FE6">
        <w:t>given it greater visibility and m</w:t>
      </w:r>
      <w:r>
        <w:t xml:space="preserve">ade it possible to </w:t>
      </w:r>
      <w:r w:rsidR="00695FE6">
        <w:t>publicise</w:t>
      </w:r>
      <w:r>
        <w:t xml:space="preserve"> its work in the pro</w:t>
      </w:r>
      <w:r w:rsidR="00695FE6">
        <w:t>v</w:t>
      </w:r>
      <w:r>
        <w:t>in</w:t>
      </w:r>
      <w:r w:rsidR="00695FE6">
        <w:t>c</w:t>
      </w:r>
      <w:r>
        <w:t>es and within a</w:t>
      </w:r>
      <w:r w:rsidR="00695FE6">
        <w:t>c</w:t>
      </w:r>
      <w:r>
        <w:t>ade</w:t>
      </w:r>
      <w:r w:rsidR="00695FE6">
        <w:t>m</w:t>
      </w:r>
      <w:r>
        <w:t>ia</w:t>
      </w:r>
      <w:r w:rsidR="00695FE6">
        <w:t>; (ii) Organization of a Round Table with key partners and organisations; (iii) support for publication of its annual reports from 2015 to 2020 which has been pending.</w:t>
      </w:r>
    </w:p>
    <w:p w14:paraId="35917791" w14:textId="7B0AB52D" w:rsidR="00462BE6" w:rsidRDefault="00E50929" w:rsidP="009947B7">
      <w:pPr>
        <w:spacing w:after="0" w:line="240" w:lineRule="auto"/>
        <w:jc w:val="both"/>
      </w:pPr>
      <w:r>
        <w:t xml:space="preserve">The Gender context in Angola is a complex and difficult area, but UNDP is </w:t>
      </w:r>
      <w:proofErr w:type="gramStart"/>
      <w:r w:rsidR="006E27E2">
        <w:t xml:space="preserve">contributing </w:t>
      </w:r>
      <w:r>
        <w:t xml:space="preserve"> in</w:t>
      </w:r>
      <w:proofErr w:type="gramEnd"/>
      <w:r>
        <w:t xml:space="preserve"> a variety of ways. </w:t>
      </w:r>
      <w:r w:rsidR="00085DBF">
        <w:t xml:space="preserve">UNDP </w:t>
      </w:r>
      <w:r w:rsidR="004B36D2">
        <w:t xml:space="preserve">is building upon work done in 2013 to formulate the gender strategy whose implementation </w:t>
      </w:r>
      <w:r w:rsidR="004B36D2">
        <w:lastRenderedPageBreak/>
        <w:t xml:space="preserve">UNDP is supporting through capacity building and </w:t>
      </w:r>
      <w:r w:rsidR="00C95FF5">
        <w:t>mainstreaming</w:t>
      </w:r>
      <w:r w:rsidR="004B36D2">
        <w:t xml:space="preserve"> gender in the </w:t>
      </w:r>
      <w:r w:rsidR="00C95FF5">
        <w:t>M</w:t>
      </w:r>
      <w:r w:rsidR="004B36D2">
        <w:t>DAs</w:t>
      </w:r>
      <w:r w:rsidR="00C95FF5">
        <w:t xml:space="preserve">, the revitalization of the Multisectoral committee on gender. </w:t>
      </w:r>
      <w:r w:rsidR="006E27E2">
        <w:t>Work on t</w:t>
      </w:r>
      <w:r w:rsidR="00C95FF5">
        <w:t xml:space="preserve">he Gender Observatory has started but progress has been interrupted by Covid-19. </w:t>
      </w:r>
      <w:r>
        <w:t>The purpose</w:t>
      </w:r>
      <w:r w:rsidR="006E27E2">
        <w:t xml:space="preserve"> of the observatory</w:t>
      </w:r>
      <w:r>
        <w:t xml:space="preserve"> is to </w:t>
      </w:r>
      <w:r w:rsidR="00917425">
        <w:t xml:space="preserve">address the data gap on gender and </w:t>
      </w:r>
      <w:r>
        <w:t xml:space="preserve">consolidate indicators to enable Angola respond to national, regional and international </w:t>
      </w:r>
      <w:r w:rsidR="00917425">
        <w:t>commitments</w:t>
      </w:r>
      <w:r>
        <w:t>.</w:t>
      </w:r>
      <w:r w:rsidR="00917425">
        <w:t xml:space="preserve"> The goal is to create a digital platform for universal access.  </w:t>
      </w:r>
      <w:r w:rsidR="00502D18">
        <w:t xml:space="preserve">However, the work on gender is not without its challenges, and the cancellation of two gender programmes during the </w:t>
      </w:r>
      <w:r w:rsidR="004048BD">
        <w:t>revision</w:t>
      </w:r>
      <w:r w:rsidR="00502D18">
        <w:t xml:space="preserve"> of the NDP sends a wrong message of government commitment. </w:t>
      </w:r>
    </w:p>
    <w:p w14:paraId="55525148" w14:textId="77777777" w:rsidR="00462BE6" w:rsidRDefault="00462BE6" w:rsidP="009947B7">
      <w:pPr>
        <w:spacing w:after="0" w:line="240" w:lineRule="auto"/>
        <w:jc w:val="both"/>
      </w:pPr>
    </w:p>
    <w:p w14:paraId="01AD8C57" w14:textId="320687F4" w:rsidR="009947B7" w:rsidRDefault="00462BE6" w:rsidP="009947B7">
      <w:pPr>
        <w:spacing w:after="0" w:line="240" w:lineRule="auto"/>
        <w:jc w:val="both"/>
        <w:rPr>
          <w:rFonts w:ascii="Calibri" w:eastAsia="Times New Roman" w:hAnsi="Calibri" w:cs="Calibri"/>
          <w:color w:val="000000"/>
          <w:lang w:eastAsia="pt-PT"/>
        </w:rPr>
      </w:pPr>
      <w:r>
        <w:t xml:space="preserve">In terms of women’s economic empowerment, UNDP </w:t>
      </w:r>
      <w:r w:rsidR="00085DBF">
        <w:t xml:space="preserve">initiated gender sensitive budgeting, supporting Angola through </w:t>
      </w:r>
      <w:r w:rsidR="00AC33A2">
        <w:t xml:space="preserve">the Ministry of Social Affairs, Family and Women's </w:t>
      </w:r>
      <w:r w:rsidR="006E090E">
        <w:t>Empowerment (</w:t>
      </w:r>
      <w:r w:rsidR="00085DBF">
        <w:t>MASFAMU</w:t>
      </w:r>
      <w:r w:rsidR="00AC33A2">
        <w:t>)</w:t>
      </w:r>
      <w:r w:rsidR="00085DBF">
        <w:t xml:space="preserve">, with a positive technical collaboration with Cabo Verde Country Office and public officials from Cabo Verde. UNDP Angola and UNDP Cabo Verde COs joined expertise in the technical assistance provided to the Minister of MASFAMU for the development of the proposal for the revision of the Law 15/10, drawing on expertise and experiences accumulated through the multi-country project for the PALOP countries and Timor-Leste for the strengthening of the Public Financial Management Systems (PFMs) in the PALOP countries and Timor-Leste. There were also experience exchanges between public officials from Cabo Verde and Angola on views and perspectives from both countries during high-level dialogues. </w:t>
      </w:r>
      <w:r w:rsidR="00085DBF" w:rsidRPr="00C9346C">
        <w:rPr>
          <w:rFonts w:ascii="Calibri" w:eastAsia="Times New Roman" w:hAnsi="Calibri" w:cs="Calibri"/>
          <w:color w:val="000000"/>
          <w:lang w:eastAsia="pt-PT"/>
        </w:rPr>
        <w:t>With UNDP support, Gender-Sensitive Budgeting</w:t>
      </w:r>
      <w:r w:rsidR="00085DBF">
        <w:rPr>
          <w:rFonts w:ascii="Calibri" w:eastAsia="Times New Roman" w:hAnsi="Calibri" w:cs="Calibri"/>
          <w:color w:val="000000"/>
          <w:lang w:eastAsia="pt-PT"/>
        </w:rPr>
        <w:t xml:space="preserve"> was</w:t>
      </w:r>
      <w:r w:rsidR="00085DBF" w:rsidRPr="00C9346C">
        <w:rPr>
          <w:rFonts w:ascii="Calibri" w:eastAsia="Times New Roman" w:hAnsi="Calibri" w:cs="Calibri"/>
          <w:color w:val="000000"/>
          <w:lang w:eastAsia="pt-PT"/>
        </w:rPr>
        <w:t xml:space="preserve"> instituted as a requirement in the 2022 State Budget (Presidential Decree n.˚195/21)</w:t>
      </w:r>
      <w:r w:rsidR="00085DBF">
        <w:rPr>
          <w:rFonts w:ascii="Calibri" w:eastAsia="Times New Roman" w:hAnsi="Calibri" w:cs="Calibri"/>
          <w:color w:val="000000"/>
          <w:lang w:eastAsia="pt-PT"/>
        </w:rPr>
        <w:t xml:space="preserve">, </w:t>
      </w:r>
      <w:r w:rsidR="00085DBF" w:rsidRPr="00C9346C">
        <w:rPr>
          <w:rFonts w:ascii="Calibri" w:eastAsia="Times New Roman" w:hAnsi="Calibri" w:cs="Calibri"/>
          <w:color w:val="000000"/>
          <w:lang w:eastAsia="pt-PT"/>
        </w:rPr>
        <w:t>gender markers introduced in the Sistema Integrado de Gestão das Finanças Públicas (SIFGE)</w:t>
      </w:r>
      <w:r w:rsidR="00085DBF">
        <w:rPr>
          <w:rFonts w:ascii="Calibri" w:eastAsia="Times New Roman" w:hAnsi="Calibri" w:cs="Calibri"/>
          <w:color w:val="000000"/>
          <w:lang w:eastAsia="pt-PT"/>
        </w:rPr>
        <w:t xml:space="preserve"> and </w:t>
      </w:r>
      <w:r w:rsidR="00085DBF" w:rsidRPr="00C9346C">
        <w:rPr>
          <w:rFonts w:ascii="Calibri" w:eastAsia="Times New Roman" w:hAnsi="Calibri" w:cs="Calibri"/>
          <w:color w:val="000000"/>
          <w:lang w:eastAsia="pt-PT"/>
        </w:rPr>
        <w:t xml:space="preserve">sectors </w:t>
      </w:r>
      <w:r w:rsidR="00085DBF">
        <w:rPr>
          <w:rFonts w:ascii="Calibri" w:eastAsia="Times New Roman" w:hAnsi="Calibri" w:cs="Calibri"/>
          <w:color w:val="000000"/>
          <w:lang w:eastAsia="pt-PT"/>
        </w:rPr>
        <w:t xml:space="preserve">were </w:t>
      </w:r>
      <w:r w:rsidR="00085DBF" w:rsidRPr="00C9346C">
        <w:rPr>
          <w:rFonts w:ascii="Calibri" w:eastAsia="Times New Roman" w:hAnsi="Calibri" w:cs="Calibri"/>
          <w:color w:val="000000"/>
          <w:lang w:eastAsia="pt-PT"/>
        </w:rPr>
        <w:t>trained in Gender-Sensitive Budgeting</w:t>
      </w:r>
      <w:r w:rsidR="00085DBF">
        <w:rPr>
          <w:rFonts w:ascii="Calibri" w:eastAsia="Times New Roman" w:hAnsi="Calibri" w:cs="Calibri"/>
          <w:color w:val="000000"/>
          <w:lang w:eastAsia="pt-PT"/>
        </w:rPr>
        <w:t>.</w:t>
      </w:r>
    </w:p>
    <w:p w14:paraId="2AF9CD99" w14:textId="77777777" w:rsidR="009947B7" w:rsidRDefault="009947B7" w:rsidP="009947B7">
      <w:pPr>
        <w:spacing w:after="0" w:line="240" w:lineRule="auto"/>
        <w:jc w:val="both"/>
        <w:rPr>
          <w:rFonts w:ascii="Calibri" w:eastAsia="Times New Roman" w:hAnsi="Calibri" w:cs="Calibri"/>
          <w:color w:val="000000"/>
          <w:lang w:eastAsia="pt-PT"/>
        </w:rPr>
      </w:pPr>
    </w:p>
    <w:p w14:paraId="5374B87A" w14:textId="16853950" w:rsidR="009947B7" w:rsidRDefault="00344217" w:rsidP="009947B7">
      <w:pPr>
        <w:spacing w:after="0" w:line="240" w:lineRule="auto"/>
        <w:jc w:val="both"/>
        <w:rPr>
          <w:rFonts w:ascii="Calibri" w:eastAsia="Times New Roman" w:hAnsi="Calibri" w:cs="Calibri"/>
          <w:color w:val="000000"/>
          <w:lang w:eastAsia="pt-PT"/>
        </w:rPr>
      </w:pPr>
      <w:r>
        <w:t>T</w:t>
      </w:r>
      <w:r w:rsidR="00FB56ED">
        <w:t xml:space="preserve">o </w:t>
      </w:r>
      <w:r>
        <w:t>support</w:t>
      </w:r>
      <w:r w:rsidR="00FB56ED">
        <w:t xml:space="preserve">, </w:t>
      </w:r>
      <w:r w:rsidR="0003792C">
        <w:t>free legal aid for survivors of gender-based violence (GBV)</w:t>
      </w:r>
      <w:r w:rsidR="00FB56ED">
        <w:t xml:space="preserve">, </w:t>
      </w:r>
      <w:r w:rsidR="0003792C">
        <w:t xml:space="preserve">UNDP has collaborated with the Ministry of Social Affairs, Family and Women's Empowerment and </w:t>
      </w:r>
      <w:r w:rsidR="00AC33A2">
        <w:t>a</w:t>
      </w:r>
      <w:r w:rsidR="0003792C">
        <w:t xml:space="preserve"> local academy, </w:t>
      </w:r>
      <w:r w:rsidR="00FB56ED">
        <w:t xml:space="preserve">on </w:t>
      </w:r>
      <w:r w:rsidR="0003792C">
        <w:t xml:space="preserve">a </w:t>
      </w:r>
      <w:r w:rsidR="000155F0">
        <w:t>m</w:t>
      </w:r>
      <w:r w:rsidR="000155F0" w:rsidRPr="000155F0">
        <w:t>odel of integrated support for survivors of GBV (involving hotline, police protection, legal aid, psychological assistance and data tracking system)</w:t>
      </w:r>
      <w:r w:rsidR="00FB56ED">
        <w:t>,</w:t>
      </w:r>
      <w:r w:rsidR="000155F0" w:rsidRPr="000155F0">
        <w:t xml:space="preserve"> developed and already rolled out in six municipalities; a total of 2,600 beneficiaries to date (legal aid provided at 100% rate based on need).</w:t>
      </w:r>
      <w:r w:rsidR="000155F0">
        <w:t xml:space="preserve"> </w:t>
      </w:r>
      <w:r w:rsidR="0003792C">
        <w:t>This intervention model will be replicated in other municipalities across the country by the Ministry of Family and Women's Affairs (MASFAMU).</w:t>
      </w:r>
      <w:r>
        <w:t xml:space="preserve"> UNDP, UNICEF and UNFPA, under the overall coordination of the Office of the Resident Coordinator (RC), supported the Government of Angola, through the Ministry of Social Action Family and Women's Affairs (MASFAMU) to implement a nationwide campaign and activities for the 16 Days of Activism on Women's Rights with a focus on Gender Based Violence. </w:t>
      </w:r>
      <w:r w:rsidR="000155F0" w:rsidRPr="000155F0">
        <w:t>Critical success factors have been the multisectoral collaboration with ministries of Women's Affairs, Interior and Justice and Human Rights, civil society organizations and the academy</w:t>
      </w:r>
      <w:r w:rsidR="00085DBF">
        <w:t>.</w:t>
      </w:r>
    </w:p>
    <w:p w14:paraId="0F04A768" w14:textId="77777777" w:rsidR="009947B7" w:rsidRDefault="009947B7" w:rsidP="009947B7">
      <w:pPr>
        <w:spacing w:after="0" w:line="240" w:lineRule="auto"/>
        <w:jc w:val="both"/>
        <w:rPr>
          <w:rFonts w:ascii="Calibri" w:eastAsia="Times New Roman" w:hAnsi="Calibri" w:cs="Calibri"/>
          <w:color w:val="000000"/>
          <w:lang w:eastAsia="pt-PT"/>
        </w:rPr>
      </w:pPr>
    </w:p>
    <w:p w14:paraId="42F39B7E" w14:textId="77777777" w:rsidR="009947B7" w:rsidRDefault="00085DBF" w:rsidP="009947B7">
      <w:pPr>
        <w:spacing w:after="0" w:line="240" w:lineRule="auto"/>
        <w:jc w:val="both"/>
        <w:rPr>
          <w:rFonts w:ascii="Calibri" w:eastAsia="Times New Roman" w:hAnsi="Calibri" w:cs="Calibri"/>
          <w:color w:val="000000"/>
          <w:lang w:eastAsia="pt-PT"/>
        </w:rPr>
      </w:pPr>
      <w:r w:rsidRPr="00E4700C">
        <w:rPr>
          <w:rFonts w:cstheme="minorHAnsi"/>
        </w:rPr>
        <w:t>In the context of Covid-19, UNDP has collaborated with OHCHR, UN Police and UNDP Global Crisis Bureau and a Local Facility (trainers) has been established to lead capacity development among law enforcement agents countrywide to ensure non-derogable rights of citizens are respected in the course of enforcement of containment measures being adopted by the government</w:t>
      </w:r>
      <w:r>
        <w:rPr>
          <w:rFonts w:cstheme="minorHAnsi"/>
        </w:rPr>
        <w:t xml:space="preserve">. </w:t>
      </w:r>
      <w:r>
        <w:t xml:space="preserve">With UNDP technical support and responding to the COVID-19 restrictions, Angola has introduced e-services in the justice administration system, with the launch of virtual court rooms in 10 penitentiary services across the country, as well as the training of 35 penitentiary officers on their functioning and services. This experiment has been taken over by the Government to be replicated in the 30 other prison establishments across the country, leading to the digitalization of the country's justice services system. The system will benefit 26,000 inmates, will reduce excessive pre-trial detentions and excessive and illegal imprisonments, and will cut down the cost of legal services and the commuting by families to prison establishments. </w:t>
      </w:r>
    </w:p>
    <w:p w14:paraId="3A0187A4" w14:textId="77777777" w:rsidR="009947B7" w:rsidRDefault="009947B7" w:rsidP="009947B7">
      <w:pPr>
        <w:spacing w:after="0" w:line="240" w:lineRule="auto"/>
        <w:jc w:val="both"/>
        <w:rPr>
          <w:rFonts w:ascii="Calibri" w:eastAsia="Times New Roman" w:hAnsi="Calibri" w:cs="Calibri"/>
          <w:color w:val="000000"/>
          <w:lang w:eastAsia="pt-PT"/>
        </w:rPr>
      </w:pPr>
    </w:p>
    <w:p w14:paraId="62C5D5D1" w14:textId="67BD6E13" w:rsidR="00085DBF" w:rsidRDefault="00085DBF" w:rsidP="009947B7">
      <w:pPr>
        <w:spacing w:after="0" w:line="240" w:lineRule="auto"/>
        <w:jc w:val="both"/>
      </w:pPr>
      <w:r>
        <w:t xml:space="preserve">In line with the “connecting the dots” tagline of the UNDP HIV, Health and Development Strategy, significant investments have been made in articulating the intersections between access to health and </w:t>
      </w:r>
      <w:r>
        <w:lastRenderedPageBreak/>
        <w:t>access to justice; health promotion and protection of human rights; good governance and health service delivery. Legal literacy training was delivered to representatives of Key Populations for HIV. Action planning by civil society organisations, health and justice stakeholders subsequent to the 2019 HIV Legal Environment Assessment was conducted. A new initiative on inclusive governance involving LGBTIQ communities was launched together with a corruption risk assessment in the health sector.</w:t>
      </w:r>
    </w:p>
    <w:p w14:paraId="6934C463" w14:textId="77777777" w:rsidR="009947B7" w:rsidRPr="009947B7" w:rsidRDefault="009947B7" w:rsidP="009947B7">
      <w:pPr>
        <w:spacing w:after="0" w:line="240" w:lineRule="auto"/>
        <w:jc w:val="both"/>
        <w:rPr>
          <w:rFonts w:ascii="Calibri" w:eastAsia="Times New Roman" w:hAnsi="Calibri" w:cs="Calibri"/>
          <w:color w:val="000000"/>
          <w:lang w:eastAsia="pt-PT"/>
        </w:rPr>
      </w:pPr>
    </w:p>
    <w:p w14:paraId="4E4F3D50" w14:textId="64D579EE" w:rsidR="00D225AF" w:rsidRPr="00EB635E" w:rsidRDefault="00D225AF" w:rsidP="0022494B">
      <w:pPr>
        <w:jc w:val="both"/>
        <w:rPr>
          <w:b/>
          <w:bCs/>
        </w:rPr>
      </w:pPr>
      <w:r w:rsidRPr="00EB635E">
        <w:rPr>
          <w:b/>
          <w:bCs/>
        </w:rPr>
        <w:t xml:space="preserve">Finding </w:t>
      </w:r>
      <w:r w:rsidR="008D5A80" w:rsidRPr="00EB635E">
        <w:rPr>
          <w:b/>
          <w:bCs/>
        </w:rPr>
        <w:t>1</w:t>
      </w:r>
      <w:r w:rsidR="00AC55A9">
        <w:rPr>
          <w:b/>
          <w:bCs/>
        </w:rPr>
        <w:t>3</w:t>
      </w:r>
      <w:r w:rsidRPr="00EB635E">
        <w:rPr>
          <w:b/>
          <w:bCs/>
        </w:rPr>
        <w:t xml:space="preserve">: Despite significant contributions, UNDP has not </w:t>
      </w:r>
      <w:r w:rsidR="00FE08DB" w:rsidRPr="00EB635E">
        <w:rPr>
          <w:b/>
          <w:bCs/>
        </w:rPr>
        <w:t xml:space="preserve">capitalized </w:t>
      </w:r>
      <w:r w:rsidRPr="00EB635E">
        <w:rPr>
          <w:b/>
          <w:bCs/>
        </w:rPr>
        <w:t>sufficient</w:t>
      </w:r>
      <w:r w:rsidR="0098685C" w:rsidRPr="00EB635E">
        <w:rPr>
          <w:b/>
          <w:bCs/>
        </w:rPr>
        <w:t>ly</w:t>
      </w:r>
      <w:r w:rsidR="00FE08DB" w:rsidRPr="00EB635E">
        <w:rPr>
          <w:b/>
          <w:bCs/>
        </w:rPr>
        <w:t xml:space="preserve"> on, and</w:t>
      </w:r>
      <w:r w:rsidRPr="00EB635E">
        <w:rPr>
          <w:b/>
          <w:bCs/>
        </w:rPr>
        <w:t xml:space="preserve"> </w:t>
      </w:r>
      <w:r w:rsidR="0065251F" w:rsidRPr="00EB635E">
        <w:rPr>
          <w:b/>
          <w:bCs/>
        </w:rPr>
        <w:t>take</w:t>
      </w:r>
      <w:r w:rsidR="0098685C" w:rsidRPr="00EB635E">
        <w:rPr>
          <w:b/>
          <w:bCs/>
        </w:rPr>
        <w:t>n</w:t>
      </w:r>
      <w:r w:rsidR="0065251F" w:rsidRPr="00EB635E">
        <w:rPr>
          <w:b/>
          <w:bCs/>
        </w:rPr>
        <w:t xml:space="preserve"> advantage of</w:t>
      </w:r>
      <w:r w:rsidR="006E27E2">
        <w:rPr>
          <w:b/>
          <w:bCs/>
        </w:rPr>
        <w:t>,</w:t>
      </w:r>
      <w:r w:rsidR="0065251F" w:rsidRPr="00EB635E">
        <w:rPr>
          <w:b/>
          <w:bCs/>
        </w:rPr>
        <w:t xml:space="preserve"> </w:t>
      </w:r>
      <w:r w:rsidRPr="00EB635E">
        <w:rPr>
          <w:b/>
          <w:bCs/>
        </w:rPr>
        <w:t xml:space="preserve">the new opportunities presented by the recent political opening and reforms </w:t>
      </w:r>
      <w:r w:rsidR="00D43D29" w:rsidRPr="00EB635E">
        <w:rPr>
          <w:b/>
          <w:bCs/>
        </w:rPr>
        <w:t>underway in Angola</w:t>
      </w:r>
    </w:p>
    <w:p w14:paraId="3525C1F5" w14:textId="1C652A7D" w:rsidR="00F35158" w:rsidRDefault="00F35158" w:rsidP="00F55ECB">
      <w:pPr>
        <w:jc w:val="both"/>
      </w:pPr>
      <w:r>
        <w:t>Angola is in the cusp of potentially significant political and governance transformation kick-started by the end of a protracted civil war in 2002 and more recently given new impetus and dynami</w:t>
      </w:r>
      <w:r w:rsidR="00D43D29">
        <w:t>sm</w:t>
      </w:r>
      <w:r>
        <w:t xml:space="preserve"> with the election of a new President in 2017. The new administration has put in place an ambitious </w:t>
      </w:r>
      <w:r w:rsidR="006E27E2">
        <w:t xml:space="preserve">governance </w:t>
      </w:r>
      <w:r>
        <w:t xml:space="preserve">reform agenda. </w:t>
      </w:r>
    </w:p>
    <w:p w14:paraId="5BBACD7A" w14:textId="1EB205BD" w:rsidR="00F55ECB" w:rsidRDefault="00F35158" w:rsidP="00F55ECB">
      <w:pPr>
        <w:jc w:val="both"/>
        <w:rPr>
          <w:sz w:val="18"/>
          <w:szCs w:val="18"/>
        </w:rPr>
      </w:pPr>
      <w:r>
        <w:t xml:space="preserve">Although UNDP is one of the few agencies active in accompanying government and Angolan people in the field of governance and administrative reforms, funding available to it does not match the needs. It continues to rely </w:t>
      </w:r>
      <w:r w:rsidR="009006B8">
        <w:t xml:space="preserve">mostly on </w:t>
      </w:r>
      <w:r w:rsidR="006E27E2">
        <w:t xml:space="preserve">core resources which is limited, as well as </w:t>
      </w:r>
      <w:r w:rsidR="009006B8">
        <w:t xml:space="preserve">low scale bilateral funds obtained from habitual donors that have in recent years been Norway, Netherlands, UK and EU. While small, the TRAC amount that was allocated served as </w:t>
      </w:r>
      <w:r w:rsidR="00D43D29">
        <w:t xml:space="preserve">important </w:t>
      </w:r>
      <w:r w:rsidR="009006B8">
        <w:t>seed</w:t>
      </w:r>
      <w:r w:rsidR="00D43D29">
        <w:t xml:space="preserve"> funds</w:t>
      </w:r>
      <w:r w:rsidR="009006B8">
        <w:t xml:space="preserve"> to mobilize the bilateral resources and to ensure UNDP positioning in the currently challenged development </w:t>
      </w:r>
      <w:r w:rsidR="00D43D29">
        <w:t xml:space="preserve">funding </w:t>
      </w:r>
      <w:r w:rsidR="009006B8">
        <w:t>environment in Angola.</w:t>
      </w:r>
      <w:r>
        <w:t xml:space="preserve"> </w:t>
      </w:r>
      <w:r w:rsidR="007924D9">
        <w:t xml:space="preserve">Through this effort </w:t>
      </w:r>
      <w:r>
        <w:t>important</w:t>
      </w:r>
      <w:r w:rsidR="009006B8">
        <w:t xml:space="preserve"> actions have been taken to leverage the limited available resources with </w:t>
      </w:r>
      <w:r w:rsidR="00D43D29">
        <w:t>bilateral partners</w:t>
      </w:r>
      <w:r w:rsidR="009006B8">
        <w:t xml:space="preserve"> and the government</w:t>
      </w:r>
      <w:r>
        <w:t xml:space="preserve">, resulting in </w:t>
      </w:r>
      <w:r w:rsidR="009006B8">
        <w:t>a positive momentum for potential government cost</w:t>
      </w:r>
      <w:r w:rsidR="007924D9">
        <w:t>. However, prospects</w:t>
      </w:r>
      <w:r w:rsidR="009006B8">
        <w:t xml:space="preserve"> are less promising with IFIs and other donors who seem to be more inclined towards economic and poverty priorities than towards governance issues.</w:t>
      </w:r>
      <w:r>
        <w:t xml:space="preserve"> UNDP </w:t>
      </w:r>
      <w:r w:rsidR="00D43D29">
        <w:t>should</w:t>
      </w:r>
      <w:r>
        <w:t xml:space="preserve"> devise more effective strategies to enable it to scale up its support in this area.</w:t>
      </w:r>
    </w:p>
    <w:p w14:paraId="6C25029E" w14:textId="06FB90D9" w:rsidR="00201087" w:rsidRPr="00201087" w:rsidRDefault="009907B5" w:rsidP="00201087">
      <w:pPr>
        <w:pStyle w:val="Heading3"/>
        <w:rPr>
          <w:rFonts w:asciiTheme="minorHAnsi" w:hAnsiTheme="minorHAnsi" w:cstheme="minorHAnsi"/>
          <w:sz w:val="22"/>
          <w:szCs w:val="22"/>
        </w:rPr>
      </w:pPr>
      <w:bookmarkStart w:id="54" w:name="_Toc88741802"/>
      <w:r>
        <w:rPr>
          <w:rFonts w:asciiTheme="minorHAnsi" w:hAnsiTheme="minorHAnsi" w:cstheme="minorHAnsi"/>
          <w:sz w:val="22"/>
          <w:szCs w:val="22"/>
        </w:rPr>
        <w:t>4</w:t>
      </w:r>
      <w:r w:rsidR="00201087" w:rsidRPr="00201087">
        <w:rPr>
          <w:rFonts w:asciiTheme="minorHAnsi" w:hAnsiTheme="minorHAnsi" w:cstheme="minorHAnsi"/>
          <w:sz w:val="22"/>
          <w:szCs w:val="22"/>
        </w:rPr>
        <w:t>.</w:t>
      </w:r>
      <w:r w:rsidR="00201087">
        <w:rPr>
          <w:rFonts w:asciiTheme="minorHAnsi" w:hAnsiTheme="minorHAnsi" w:cstheme="minorHAnsi"/>
          <w:sz w:val="22"/>
          <w:szCs w:val="22"/>
        </w:rPr>
        <w:t>3</w:t>
      </w:r>
      <w:r w:rsidR="00201087" w:rsidRPr="00201087">
        <w:rPr>
          <w:rFonts w:asciiTheme="minorHAnsi" w:hAnsiTheme="minorHAnsi" w:cstheme="minorHAnsi"/>
          <w:sz w:val="22"/>
          <w:szCs w:val="22"/>
        </w:rPr>
        <w:t>.3 Efficiency</w:t>
      </w:r>
      <w:bookmarkEnd w:id="54"/>
    </w:p>
    <w:p w14:paraId="4FDD52BB" w14:textId="56265AC8" w:rsidR="006D4FA3" w:rsidRDefault="006D4FA3" w:rsidP="006D4FA3">
      <w:pPr>
        <w:jc w:val="both"/>
      </w:pPr>
      <w:r>
        <w:t>The efficiency of the actions with respect to the governance outcome of the UNDP country programme was judged high because with limited resources, UNDP achieved comparatively significant and strategic results</w:t>
      </w:r>
      <w:r w:rsidR="00254EF9">
        <w:t>,</w:t>
      </w:r>
      <w:r>
        <w:t xml:space="preserve"> </w:t>
      </w:r>
      <w:r w:rsidR="00254EF9">
        <w:t xml:space="preserve">which are in line with the reform agenda of the new administration </w:t>
      </w:r>
      <w:r w:rsidR="00B32D28">
        <w:t>in</w:t>
      </w:r>
      <w:r w:rsidR="00254EF9">
        <w:t xml:space="preserve"> </w:t>
      </w:r>
      <w:r>
        <w:t xml:space="preserve">Angola. The interventions were also significant in terms </w:t>
      </w:r>
      <w:r w:rsidR="00B32D28">
        <w:t xml:space="preserve">of </w:t>
      </w:r>
      <w:r>
        <w:t xml:space="preserve">piloting new and strategic initiatives such </w:t>
      </w:r>
      <w:r w:rsidR="00254EF9">
        <w:t xml:space="preserve">as </w:t>
      </w:r>
      <w:r>
        <w:t>participatory budgeting, strengthening role of women and contributing to the decentralization process. Overall, the interventions were judged cost effective.</w:t>
      </w:r>
    </w:p>
    <w:p w14:paraId="7C708FC4" w14:textId="51674EF3" w:rsidR="00254EF9" w:rsidRDefault="006D4FA3" w:rsidP="006D4FA3">
      <w:pPr>
        <w:jc w:val="both"/>
      </w:pPr>
      <w:r>
        <w:t>In terms of delivery of programme resources</w:t>
      </w:r>
      <w:r w:rsidR="00254EF9">
        <w:t>, the governance cluster had the best performance in the country office, with budget execution rates of 67% and 71% respectively for 2020 and 2021. However, in both years, as depicted in figure 7 below, delivery is less than optimum. There were no expenditures for the project on post elections assistance.</w:t>
      </w:r>
    </w:p>
    <w:p w14:paraId="034C9819" w14:textId="7BBD3DE2" w:rsidR="00254EF9" w:rsidRDefault="001B51B9" w:rsidP="006D4FA3">
      <w:pPr>
        <w:jc w:val="both"/>
      </w:pPr>
      <w:r>
        <w:rPr>
          <w:noProof/>
          <w:lang w:eastAsia="pt-PT"/>
        </w:rPr>
        <w:lastRenderedPageBreak/>
        <w:drawing>
          <wp:inline distT="0" distB="0" distL="0" distR="0" wp14:anchorId="25FBF1E0" wp14:editId="0FB9FAF8">
            <wp:extent cx="4572000" cy="2743200"/>
            <wp:effectExtent l="0" t="0" r="0" b="0"/>
            <wp:docPr id="9"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2E267F9" w14:textId="67D89F9F" w:rsidR="00201087" w:rsidRDefault="00254EF9" w:rsidP="006D4FA3">
      <w:pPr>
        <w:jc w:val="both"/>
      </w:pPr>
      <w:r>
        <w:t xml:space="preserve"> </w:t>
      </w:r>
      <w:r w:rsidR="006D4FA3">
        <w:t xml:space="preserve">   </w:t>
      </w:r>
    </w:p>
    <w:p w14:paraId="22BBAFF9" w14:textId="557092F5" w:rsidR="00201087" w:rsidRPr="00201087" w:rsidRDefault="009907B5" w:rsidP="00201087">
      <w:pPr>
        <w:pStyle w:val="Heading3"/>
        <w:rPr>
          <w:rFonts w:asciiTheme="minorHAnsi" w:hAnsiTheme="minorHAnsi" w:cstheme="minorHAnsi"/>
          <w:sz w:val="22"/>
          <w:szCs w:val="22"/>
        </w:rPr>
      </w:pPr>
      <w:bookmarkStart w:id="55" w:name="_Toc88741803"/>
      <w:r>
        <w:rPr>
          <w:rFonts w:asciiTheme="minorHAnsi" w:hAnsiTheme="minorHAnsi" w:cstheme="minorHAnsi"/>
          <w:sz w:val="22"/>
          <w:szCs w:val="22"/>
        </w:rPr>
        <w:t>4</w:t>
      </w:r>
      <w:r w:rsidR="00201087" w:rsidRPr="00201087">
        <w:rPr>
          <w:rFonts w:asciiTheme="minorHAnsi" w:hAnsiTheme="minorHAnsi" w:cstheme="minorHAnsi"/>
          <w:sz w:val="22"/>
          <w:szCs w:val="22"/>
        </w:rPr>
        <w:t>.</w:t>
      </w:r>
      <w:r w:rsidR="00201087">
        <w:rPr>
          <w:rFonts w:asciiTheme="minorHAnsi" w:hAnsiTheme="minorHAnsi" w:cstheme="minorHAnsi"/>
          <w:sz w:val="22"/>
          <w:szCs w:val="22"/>
        </w:rPr>
        <w:t>3</w:t>
      </w:r>
      <w:r w:rsidR="00201087" w:rsidRPr="00201087">
        <w:rPr>
          <w:rFonts w:asciiTheme="minorHAnsi" w:hAnsiTheme="minorHAnsi" w:cstheme="minorHAnsi"/>
          <w:sz w:val="22"/>
          <w:szCs w:val="22"/>
        </w:rPr>
        <w:t>.4 Sustainability</w:t>
      </w:r>
      <w:bookmarkEnd w:id="55"/>
    </w:p>
    <w:p w14:paraId="5C390FEC" w14:textId="2E92DFD4" w:rsidR="001B51B9" w:rsidRDefault="006D4FA3" w:rsidP="00DC0F2B">
      <w:pPr>
        <w:jc w:val="both"/>
      </w:pPr>
      <w:r>
        <w:t xml:space="preserve">The sustainability of the interventions was judged to be </w:t>
      </w:r>
      <w:r w:rsidR="00B32D28">
        <w:t xml:space="preserve">potentially </w:t>
      </w:r>
      <w:r>
        <w:t xml:space="preserve">high in view of the strong high level political commitments of the Executive to implement wide-ranging governance reforms. Sustainability is also rendered high in view of the fact that Government of Angola is committing state funds to support the reform process and </w:t>
      </w:r>
      <w:r w:rsidR="00B32D28">
        <w:t>has</w:t>
      </w:r>
      <w:r>
        <w:t xml:space="preserve"> trust and confidence in, and recogni</w:t>
      </w:r>
      <w:r w:rsidR="00B32D28">
        <w:t xml:space="preserve">zes and </w:t>
      </w:r>
      <w:r w:rsidR="00D756F0">
        <w:t>appreciates</w:t>
      </w:r>
      <w:r>
        <w:t xml:space="preserve"> UNDP’s world class technical advisory capacities in the area of governance and </w:t>
      </w:r>
      <w:r w:rsidR="00D756F0">
        <w:t xml:space="preserve">its </w:t>
      </w:r>
      <w:r>
        <w:t>ability to facilitate access to global and regional e</w:t>
      </w:r>
      <w:r w:rsidR="00DC0F2B">
        <w:t>x</w:t>
      </w:r>
      <w:r>
        <w:t>periences and expertise.</w:t>
      </w:r>
    </w:p>
    <w:p w14:paraId="53A19C62" w14:textId="26056D9A" w:rsidR="007924D9" w:rsidRPr="007924D9" w:rsidRDefault="007924D9" w:rsidP="007924D9">
      <w:pPr>
        <w:pStyle w:val="Heading3"/>
        <w:rPr>
          <w:rFonts w:asciiTheme="minorHAnsi" w:hAnsiTheme="minorHAnsi" w:cstheme="minorHAnsi"/>
          <w:sz w:val="22"/>
          <w:szCs w:val="22"/>
        </w:rPr>
      </w:pPr>
      <w:bookmarkStart w:id="56" w:name="_Toc88741804"/>
      <w:r w:rsidRPr="007924D9">
        <w:rPr>
          <w:rFonts w:asciiTheme="minorHAnsi" w:hAnsiTheme="minorHAnsi" w:cstheme="minorHAnsi"/>
          <w:sz w:val="22"/>
          <w:szCs w:val="22"/>
        </w:rPr>
        <w:t>4.3.5 Overall conclusions on UNDP’s work on the Governance Cluster</w:t>
      </w:r>
      <w:bookmarkEnd w:id="56"/>
    </w:p>
    <w:p w14:paraId="14DC149C" w14:textId="77777777" w:rsidR="00237DCB" w:rsidRDefault="007924D9" w:rsidP="00DC0F2B">
      <w:pPr>
        <w:jc w:val="both"/>
      </w:pPr>
      <w:r>
        <w:t xml:space="preserve">UNDP is carrying out important work under the governance outcome, </w:t>
      </w:r>
      <w:r w:rsidR="00B74F78">
        <w:t xml:space="preserve">and </w:t>
      </w:r>
      <w:r w:rsidR="008723ED">
        <w:t>ac</w:t>
      </w:r>
      <w:r w:rsidR="00B74F78">
        <w:t>h</w:t>
      </w:r>
      <w:r w:rsidR="008723ED">
        <w:t>ieving several</w:t>
      </w:r>
      <w:r w:rsidR="00B74F78">
        <w:t xml:space="preserve"> positive </w:t>
      </w:r>
      <w:r w:rsidR="008723ED">
        <w:t>impacts</w:t>
      </w:r>
      <w:r w:rsidR="00B74F78">
        <w:t xml:space="preserve"> on Angola’s </w:t>
      </w:r>
      <w:r w:rsidR="008723ED">
        <w:t>governance</w:t>
      </w:r>
      <w:r w:rsidR="00B74F78">
        <w:t xml:space="preserve"> </w:t>
      </w:r>
      <w:r w:rsidR="008723ED">
        <w:t>landscape</w:t>
      </w:r>
      <w:r w:rsidR="00B74F78">
        <w:t xml:space="preserve"> </w:t>
      </w:r>
      <w:r w:rsidR="008723ED">
        <w:t>such</w:t>
      </w:r>
      <w:r w:rsidR="00B74F78">
        <w:t xml:space="preserve"> as: </w:t>
      </w:r>
      <w:r w:rsidR="008723ED">
        <w:t>human</w:t>
      </w:r>
      <w:r w:rsidR="00B74F78">
        <w:t xml:space="preserve"> rights; anti-</w:t>
      </w:r>
      <w:r w:rsidR="008723ED">
        <w:t>corruption</w:t>
      </w:r>
      <w:r w:rsidR="00B74F78">
        <w:t xml:space="preserve">; </w:t>
      </w:r>
      <w:r w:rsidR="008723ED">
        <w:t>women’s</w:t>
      </w:r>
      <w:r w:rsidR="00B74F78">
        <w:t xml:space="preserve"> </w:t>
      </w:r>
      <w:r w:rsidR="008723ED">
        <w:t>empowerment</w:t>
      </w:r>
      <w:r w:rsidR="00B74F78">
        <w:t xml:space="preserve"> through gender </w:t>
      </w:r>
      <w:r w:rsidR="008723ED">
        <w:t>sensitive</w:t>
      </w:r>
      <w:r w:rsidR="00B74F78">
        <w:t xml:space="preserve"> budgeting; </w:t>
      </w:r>
      <w:r w:rsidR="008723ED">
        <w:t>decentralisation</w:t>
      </w:r>
      <w:r w:rsidR="00B74F78">
        <w:t xml:space="preserve"> of a </w:t>
      </w:r>
      <w:r w:rsidR="008723ED">
        <w:t>centralized</w:t>
      </w:r>
      <w:r w:rsidR="00B74F78">
        <w:t xml:space="preserve"> and rigid </w:t>
      </w:r>
      <w:r w:rsidR="008723ED">
        <w:t xml:space="preserve">administration. </w:t>
      </w:r>
      <w:r>
        <w:t xml:space="preserve">but its means are limited. Yet </w:t>
      </w:r>
      <w:r w:rsidR="008723ED">
        <w:t xml:space="preserve">resources are limited for what is clearly </w:t>
      </w:r>
      <w:r>
        <w:t xml:space="preserve">a </w:t>
      </w:r>
      <w:r w:rsidR="008723ED">
        <w:t>c</w:t>
      </w:r>
      <w:r w:rsidR="00B74F78">
        <w:t>ore mandate of UNDP. T</w:t>
      </w:r>
      <w:r w:rsidR="008723ED">
        <w:t xml:space="preserve">aking </w:t>
      </w:r>
      <w:r w:rsidR="00237DCB">
        <w:t>c</w:t>
      </w:r>
      <w:r w:rsidR="008723ED">
        <w:t>ogni</w:t>
      </w:r>
      <w:r w:rsidR="00237DCB">
        <w:t>z</w:t>
      </w:r>
      <w:r w:rsidR="008723ED">
        <w:t>an</w:t>
      </w:r>
      <w:r w:rsidR="00237DCB">
        <w:t>c</w:t>
      </w:r>
      <w:r w:rsidR="008723ED">
        <w:t xml:space="preserve">e of this situation, the Country Office management has </w:t>
      </w:r>
      <w:r w:rsidR="00237DCB">
        <w:t>allocated</w:t>
      </w:r>
      <w:r w:rsidR="008723ED">
        <w:t xml:space="preserve"> the highest proportion of </w:t>
      </w:r>
      <w:r w:rsidR="00237DCB">
        <w:t>c</w:t>
      </w:r>
      <w:r w:rsidR="008723ED">
        <w:t xml:space="preserve">ore </w:t>
      </w:r>
      <w:r w:rsidR="00237DCB">
        <w:t>resources</w:t>
      </w:r>
      <w:r w:rsidR="008723ED">
        <w:t xml:space="preserve"> to the </w:t>
      </w:r>
      <w:r w:rsidR="00237DCB">
        <w:t>governance</w:t>
      </w:r>
      <w:r w:rsidR="008723ED">
        <w:t xml:space="preserve"> </w:t>
      </w:r>
      <w:r w:rsidR="00237DCB">
        <w:t>outcome, but this still insufficient.</w:t>
      </w:r>
    </w:p>
    <w:p w14:paraId="394A648B" w14:textId="0A28E094" w:rsidR="007924D9" w:rsidRDefault="00237DCB" w:rsidP="00DC0F2B">
      <w:pPr>
        <w:jc w:val="both"/>
      </w:pPr>
      <w:r>
        <w:t xml:space="preserve">In the context of the above, UNDP should be selective where its </w:t>
      </w:r>
      <w:r w:rsidR="00A8461A">
        <w:t>resources</w:t>
      </w:r>
      <w:r>
        <w:t xml:space="preserve"> </w:t>
      </w:r>
      <w:r w:rsidR="00A8461A">
        <w:t>could</w:t>
      </w:r>
      <w:r>
        <w:t xml:space="preserve"> be best put to use and </w:t>
      </w:r>
      <w:r w:rsidR="00A8461A">
        <w:t>have</w:t>
      </w:r>
      <w:r>
        <w:t xml:space="preserve"> the </w:t>
      </w:r>
      <w:r w:rsidR="00A8461A">
        <w:t>m</w:t>
      </w:r>
      <w:r>
        <w:t>ost effe</w:t>
      </w:r>
      <w:r w:rsidR="00A8461A">
        <w:t>c</w:t>
      </w:r>
      <w:r>
        <w:t xml:space="preserve">t, as it is not likely that UNDP will suddenly benefit </w:t>
      </w:r>
      <w:r w:rsidR="00A8461A">
        <w:t>from</w:t>
      </w:r>
      <w:r>
        <w:t xml:space="preserve"> a larg</w:t>
      </w:r>
      <w:r w:rsidR="00A8461A">
        <w:t xml:space="preserve">e surge in resources for governance. Two areas that should be prioritized as they are also good candidates to secure </w:t>
      </w:r>
      <w:r w:rsidR="00BC05A3">
        <w:t>government</w:t>
      </w:r>
      <w:r w:rsidR="00A8461A">
        <w:t xml:space="preserve"> cost </w:t>
      </w:r>
      <w:r w:rsidR="00364F36">
        <w:t>sharing resources</w:t>
      </w:r>
      <w:r w:rsidR="00BC05A3">
        <w:t xml:space="preserve"> </w:t>
      </w:r>
      <w:r w:rsidR="00A8461A">
        <w:t xml:space="preserve">are the </w:t>
      </w:r>
      <w:r w:rsidR="00BC05A3">
        <w:t>support for the modernisation</w:t>
      </w:r>
      <w:r w:rsidR="00A8461A">
        <w:t xml:space="preserve"> of the public administration of Angola and </w:t>
      </w:r>
      <w:r w:rsidR="00BC05A3">
        <w:t>decentralisation</w:t>
      </w:r>
      <w:r w:rsidR="00A8461A">
        <w:t xml:space="preserve">.  </w:t>
      </w:r>
      <w:r>
        <w:t xml:space="preserve">   </w:t>
      </w:r>
      <w:r w:rsidR="00B74F78">
        <w:t xml:space="preserve"> </w:t>
      </w:r>
      <w:r w:rsidR="007924D9">
        <w:t xml:space="preserve"> </w:t>
      </w:r>
      <w:r w:rsidR="008723ED">
        <w:t xml:space="preserve"> </w:t>
      </w:r>
    </w:p>
    <w:p w14:paraId="30EBFAF2" w14:textId="778A18D3" w:rsidR="00767654" w:rsidRDefault="009907B5" w:rsidP="00767654">
      <w:pPr>
        <w:pStyle w:val="Heading2"/>
        <w:rPr>
          <w:rFonts w:asciiTheme="minorHAnsi" w:hAnsiTheme="minorHAnsi" w:cstheme="minorHAnsi"/>
          <w:sz w:val="22"/>
          <w:szCs w:val="22"/>
        </w:rPr>
      </w:pPr>
      <w:bookmarkStart w:id="57" w:name="_Toc88741805"/>
      <w:r>
        <w:rPr>
          <w:rFonts w:asciiTheme="minorHAnsi" w:hAnsiTheme="minorHAnsi" w:cstheme="minorHAnsi"/>
          <w:sz w:val="22"/>
          <w:szCs w:val="22"/>
        </w:rPr>
        <w:t>4</w:t>
      </w:r>
      <w:r w:rsidR="00767654" w:rsidRPr="00767654">
        <w:rPr>
          <w:rFonts w:asciiTheme="minorHAnsi" w:hAnsiTheme="minorHAnsi" w:cstheme="minorHAnsi"/>
          <w:sz w:val="22"/>
          <w:szCs w:val="22"/>
        </w:rPr>
        <w:t>.4 Programme Interlinkages and Synergies</w:t>
      </w:r>
      <w:bookmarkEnd w:id="57"/>
    </w:p>
    <w:p w14:paraId="3E34F04D" w14:textId="6910C3AD" w:rsidR="004E2AC3" w:rsidRDefault="003A6CB4" w:rsidP="004E2AC3">
      <w:pPr>
        <w:jc w:val="both"/>
      </w:pPr>
      <w:r>
        <w:t xml:space="preserve">The underlying </w:t>
      </w:r>
      <w:r w:rsidR="00647F7E">
        <w:t>logic</w:t>
      </w:r>
      <w:r w:rsidR="004E2AC3">
        <w:t xml:space="preserve"> of </w:t>
      </w:r>
      <w:r>
        <w:t>the CPD was framed as follows</w:t>
      </w:r>
      <w:r w:rsidR="004E2AC3">
        <w:t xml:space="preserve"> “the components of these three priority areas are based on the assumption that – if poverty eradication and inclusive economic growth are promoted, resilience is reinforced, and participatory and inclusive governance is strengthened – Angola will be able to accelerate its human development progress, end poverty in all its forms and reduce inequalities</w:t>
      </w:r>
      <w:r w:rsidR="00710736">
        <w:t>”</w:t>
      </w:r>
      <w:r w:rsidR="004E2AC3">
        <w:t>. Taking these assumptions of the CPD as a point of departure, the evaluation sought evidence of programme interlinkages, synergies and mutually supporting results.</w:t>
      </w:r>
    </w:p>
    <w:p w14:paraId="31719033" w14:textId="79B05E1B" w:rsidR="00A21230" w:rsidRPr="009947B7" w:rsidRDefault="00A21230" w:rsidP="004E2AC3">
      <w:pPr>
        <w:jc w:val="both"/>
        <w:rPr>
          <w:b/>
          <w:bCs/>
        </w:rPr>
      </w:pPr>
      <w:r w:rsidRPr="009947B7">
        <w:rPr>
          <w:b/>
          <w:bCs/>
        </w:rPr>
        <w:lastRenderedPageBreak/>
        <w:t xml:space="preserve">Finding </w:t>
      </w:r>
      <w:r w:rsidR="00710736" w:rsidRPr="009947B7">
        <w:rPr>
          <w:b/>
          <w:bCs/>
        </w:rPr>
        <w:t>1</w:t>
      </w:r>
      <w:r w:rsidR="00AC55A9">
        <w:rPr>
          <w:b/>
          <w:bCs/>
        </w:rPr>
        <w:t>4</w:t>
      </w:r>
      <w:r w:rsidR="00710736" w:rsidRPr="009947B7">
        <w:rPr>
          <w:b/>
          <w:bCs/>
        </w:rPr>
        <w:t>:</w:t>
      </w:r>
      <w:r w:rsidRPr="009947B7">
        <w:rPr>
          <w:b/>
          <w:bCs/>
        </w:rPr>
        <w:t xml:space="preserve"> Programme interlinkages and synergies are evident, but these are modest</w:t>
      </w:r>
      <w:r w:rsidR="00231058" w:rsidRPr="009947B7">
        <w:rPr>
          <w:b/>
          <w:bCs/>
        </w:rPr>
        <w:t>, mostly indirect</w:t>
      </w:r>
      <w:r w:rsidRPr="009947B7">
        <w:rPr>
          <w:b/>
          <w:bCs/>
        </w:rPr>
        <w:t xml:space="preserve"> and efforts are not sufficiently systematic</w:t>
      </w:r>
      <w:r w:rsidR="00231058" w:rsidRPr="009947B7">
        <w:rPr>
          <w:b/>
          <w:bCs/>
        </w:rPr>
        <w:t xml:space="preserve"> or</w:t>
      </w:r>
      <w:r w:rsidRPr="009947B7">
        <w:rPr>
          <w:b/>
          <w:bCs/>
        </w:rPr>
        <w:t xml:space="preserve"> consisten</w:t>
      </w:r>
      <w:r w:rsidR="00231058" w:rsidRPr="009947B7">
        <w:rPr>
          <w:b/>
          <w:bCs/>
        </w:rPr>
        <w:t>t</w:t>
      </w:r>
      <w:r w:rsidR="00D158B2" w:rsidRPr="009947B7">
        <w:rPr>
          <w:b/>
          <w:bCs/>
        </w:rPr>
        <w:t>. The numerous small projects</w:t>
      </w:r>
      <w:r w:rsidR="0098685C" w:rsidRPr="009947B7">
        <w:rPr>
          <w:b/>
          <w:bCs/>
        </w:rPr>
        <w:t xml:space="preserve"> in UNDP’s portfolio are</w:t>
      </w:r>
      <w:r w:rsidR="00D158B2" w:rsidRPr="009947B7">
        <w:rPr>
          <w:b/>
          <w:bCs/>
        </w:rPr>
        <w:t xml:space="preserve"> an obstacle/bottleneck to programme integration an</w:t>
      </w:r>
      <w:r w:rsidR="0098685C" w:rsidRPr="009947B7">
        <w:rPr>
          <w:b/>
          <w:bCs/>
        </w:rPr>
        <w:t>d</w:t>
      </w:r>
      <w:r w:rsidR="00D158B2" w:rsidRPr="009947B7">
        <w:rPr>
          <w:b/>
          <w:bCs/>
        </w:rPr>
        <w:t xml:space="preserve"> </w:t>
      </w:r>
      <w:r w:rsidR="0098685C" w:rsidRPr="009947B7">
        <w:rPr>
          <w:b/>
          <w:bCs/>
        </w:rPr>
        <w:t>the achievement of</w:t>
      </w:r>
      <w:r w:rsidR="00D158B2" w:rsidRPr="009947B7">
        <w:rPr>
          <w:b/>
          <w:bCs/>
        </w:rPr>
        <w:t xml:space="preserve"> development outcomes</w:t>
      </w:r>
      <w:r w:rsidRPr="009947B7">
        <w:rPr>
          <w:b/>
          <w:bCs/>
        </w:rPr>
        <w:t xml:space="preserve">  </w:t>
      </w:r>
    </w:p>
    <w:p w14:paraId="7722B703" w14:textId="0D2DFA99" w:rsidR="00251479" w:rsidRDefault="00E678F8" w:rsidP="00251479">
      <w:pPr>
        <w:jc w:val="both"/>
      </w:pPr>
      <w:r>
        <w:t xml:space="preserve">Given the intertwined nature of poverty, governance and environment, the evaluation examined evidence of programme linkages. </w:t>
      </w:r>
      <w:r w:rsidR="00A21230" w:rsidRPr="009947B7">
        <w:t xml:space="preserve">Programme interlinkages between </w:t>
      </w:r>
      <w:r w:rsidR="00231058" w:rsidRPr="009947B7">
        <w:t>poverty and governance are evident as exemplified by the following</w:t>
      </w:r>
      <w:r w:rsidR="00251479">
        <w:t xml:space="preserve"> few examples show</w:t>
      </w:r>
      <w:r w:rsidR="00364F36">
        <w:t>:</w:t>
      </w:r>
    </w:p>
    <w:p w14:paraId="03D23FFB" w14:textId="50487CAC" w:rsidR="00251479" w:rsidRDefault="00251479" w:rsidP="00790AD5">
      <w:pPr>
        <w:pStyle w:val="ListParagraph"/>
        <w:numPr>
          <w:ilvl w:val="0"/>
          <w:numId w:val="64"/>
        </w:numPr>
        <w:jc w:val="both"/>
      </w:pPr>
      <w:r>
        <w:t>The</w:t>
      </w:r>
      <w:r w:rsidR="00231058">
        <w:t xml:space="preserve"> “</w:t>
      </w:r>
      <w:r w:rsidR="00231058" w:rsidRPr="00231058">
        <w:t>Just and Inclusive Society</w:t>
      </w:r>
      <w:r w:rsidR="00231058">
        <w:t xml:space="preserve">”, </w:t>
      </w:r>
      <w:r>
        <w:t>is</w:t>
      </w:r>
      <w:r w:rsidR="00231058" w:rsidRPr="00231058">
        <w:t xml:space="preserve"> </w:t>
      </w:r>
      <w:r>
        <w:t>addressing</w:t>
      </w:r>
      <w:r w:rsidRPr="00231058">
        <w:t xml:space="preserve"> </w:t>
      </w:r>
      <w:r>
        <w:t xml:space="preserve">rights in the </w:t>
      </w:r>
      <w:r w:rsidR="00231058" w:rsidRPr="00231058">
        <w:t xml:space="preserve">social and economic areas through the Human Right Committees and the monitoring of the implementation of human rights recommendations; </w:t>
      </w:r>
    </w:p>
    <w:p w14:paraId="655E4E21" w14:textId="207BB5DC" w:rsidR="00251479" w:rsidRDefault="00251479" w:rsidP="00790AD5">
      <w:pPr>
        <w:pStyle w:val="ListParagraph"/>
        <w:numPr>
          <w:ilvl w:val="0"/>
          <w:numId w:val="64"/>
        </w:numPr>
        <w:jc w:val="both"/>
      </w:pPr>
      <w:r>
        <w:t>T</w:t>
      </w:r>
      <w:r w:rsidR="00364F36">
        <w:t>he</w:t>
      </w:r>
      <w:r w:rsidR="00231058" w:rsidRPr="00231058">
        <w:t xml:space="preserve"> </w:t>
      </w:r>
      <w:r w:rsidR="00364F36">
        <w:t>two</w:t>
      </w:r>
      <w:r w:rsidR="00231058" w:rsidRPr="00231058">
        <w:t xml:space="preserve"> Clusters have collaborated in training and legalization of women's cooperatives, with the partnerships of MASFAMU, Ministry of Justice and Human Rights and INAPEM).</w:t>
      </w:r>
      <w:r w:rsidR="00231058">
        <w:t xml:space="preserve"> </w:t>
      </w:r>
    </w:p>
    <w:p w14:paraId="5EB775FE" w14:textId="77777777" w:rsidR="00251479" w:rsidRDefault="00231058" w:rsidP="00790AD5">
      <w:pPr>
        <w:pStyle w:val="ListParagraph"/>
        <w:numPr>
          <w:ilvl w:val="0"/>
          <w:numId w:val="64"/>
        </w:numPr>
        <w:jc w:val="both"/>
      </w:pPr>
      <w:r>
        <w:t>Similarly</w:t>
      </w:r>
      <w:r w:rsidR="00205CBE">
        <w:t>,</w:t>
      </w:r>
      <w:r>
        <w:t xml:space="preserve"> linkages can be discerned through the project, “T</w:t>
      </w:r>
      <w:r w:rsidRPr="00231058">
        <w:t>echnical Assistance for Local Elections</w:t>
      </w:r>
      <w:r>
        <w:t xml:space="preserve">”, which is promoting participatory budgeting and gender sensitive budgeting, both of which </w:t>
      </w:r>
      <w:r w:rsidRPr="00231058">
        <w:t>are critical mechanisms to advance social and economic conditions of the populations because they enable the participation of citizens in decision</w:t>
      </w:r>
      <w:r>
        <w:t xml:space="preserve"> </w:t>
      </w:r>
      <w:r w:rsidRPr="00231058">
        <w:t>making regarding budgeting priorities in the face of the local realities</w:t>
      </w:r>
      <w:r>
        <w:t>, and hence eradicating poverty</w:t>
      </w:r>
      <w:r w:rsidRPr="00231058">
        <w:t>.</w:t>
      </w:r>
      <w:r w:rsidR="00205CBE">
        <w:t xml:space="preserve"> </w:t>
      </w:r>
    </w:p>
    <w:p w14:paraId="143C225D" w14:textId="5650396A" w:rsidR="00A21230" w:rsidRDefault="00205CBE" w:rsidP="00790AD5">
      <w:pPr>
        <w:pStyle w:val="ListParagraph"/>
        <w:numPr>
          <w:ilvl w:val="0"/>
          <w:numId w:val="64"/>
        </w:numPr>
        <w:jc w:val="both"/>
      </w:pPr>
      <w:r>
        <w:t>Finally, through the project “S</w:t>
      </w:r>
      <w:r w:rsidRPr="00205CBE">
        <w:t>upport for Safe Functioning of Informal/Local Markets</w:t>
      </w:r>
      <w:r>
        <w:t>”, the issue of l</w:t>
      </w:r>
      <w:r w:rsidRPr="00205CBE">
        <w:t>ack of observation of biosafety measures in the local markets per the government's decrees to contain the spread of Covid-19 threatens the livelihood of over 70% of the active population who work in the informal sector</w:t>
      </w:r>
      <w:r>
        <w:t xml:space="preserve"> is being addressed</w:t>
      </w:r>
      <w:r w:rsidRPr="00205CBE">
        <w:t>. The project seeks to secure the livelihood of the majority of the population through the observation of biosafety measures, creation of basic organizational conditions (e.g., sanitation); contributes to the formalization of the informal economy through the registration of vendors; and contributes to social protection by linking the markets registration database with the social protection database (registo social único).</w:t>
      </w:r>
    </w:p>
    <w:p w14:paraId="0DCAB760" w14:textId="08018F6A" w:rsidR="00090C00" w:rsidRDefault="00090C00" w:rsidP="004E2AC3">
      <w:pPr>
        <w:jc w:val="both"/>
      </w:pPr>
      <w:r>
        <w:t>In terms of the poverty and environment clusters, several potential interlinkages are being built and/or exist</w:t>
      </w:r>
      <w:r w:rsidR="00251479">
        <w:t>:</w:t>
      </w:r>
      <w:r w:rsidR="00425544">
        <w:t xml:space="preserve"> (a) t</w:t>
      </w:r>
      <w:r>
        <w:t xml:space="preserve">he </w:t>
      </w:r>
      <w:r w:rsidRPr="00090C00">
        <w:t xml:space="preserve">Economic diversification </w:t>
      </w:r>
      <w:r>
        <w:t xml:space="preserve">project </w:t>
      </w:r>
      <w:r w:rsidRPr="00090C00">
        <w:t xml:space="preserve">involves promoting agriculture and value chains products that have linkages with </w:t>
      </w:r>
      <w:r>
        <w:t xml:space="preserve">the </w:t>
      </w:r>
      <w:r w:rsidRPr="00090C00">
        <w:t>environment component</w:t>
      </w:r>
      <w:r w:rsidR="00425544">
        <w:t>; and (b) s</w:t>
      </w:r>
      <w:r>
        <w:t>imilarly, both the Turkey</w:t>
      </w:r>
      <w:r w:rsidR="00A27D78">
        <w:t>-</w:t>
      </w:r>
      <w:r>
        <w:t>UNDP Partnership project and the “</w:t>
      </w:r>
      <w:r w:rsidRPr="00090C00">
        <w:t>Building back better post COVID-19. Enhancing skill development and job creation for the youth in Angola</w:t>
      </w:r>
      <w:r>
        <w:t>”</w:t>
      </w:r>
      <w:r w:rsidR="00D158B2">
        <w:t>,</w:t>
      </w:r>
      <w:r>
        <w:t xml:space="preserve"> under the poverty cluster have strong linkages with the environment cluster. </w:t>
      </w:r>
      <w:r w:rsidRPr="00090C00">
        <w:t>Promotion of renewable energy represents a key connecting point with Technical Vocational an Educational training centres. INEFOP Huila has now established the course of renewable energy course in their package of training.</w:t>
      </w:r>
    </w:p>
    <w:p w14:paraId="3EE789E2" w14:textId="63A9AC44" w:rsidR="00F071E9" w:rsidRPr="00E83888" w:rsidRDefault="00F071E9" w:rsidP="004E2AC3">
      <w:pPr>
        <w:jc w:val="both"/>
      </w:pPr>
      <w:r>
        <w:t xml:space="preserve">The evaluation examined linkages between the environment and governance clusters and identified the </w:t>
      </w:r>
      <w:r w:rsidRPr="00E83888">
        <w:t xml:space="preserve">following: (i) </w:t>
      </w:r>
      <w:r w:rsidR="006E3F1E" w:rsidRPr="00E83888">
        <w:rPr>
          <w:rFonts w:ascii="Calibri" w:eastAsia="Times New Roman" w:hAnsi="Calibri" w:cs="Calibri"/>
          <w:b/>
          <w:bCs/>
          <w:color w:val="000000"/>
          <w:lang w:eastAsia="pt-PT"/>
        </w:rPr>
        <w:t xml:space="preserve">Project 1: </w:t>
      </w:r>
      <w:r w:rsidR="006E3F1E" w:rsidRPr="00E83888">
        <w:rPr>
          <w:rFonts w:ascii="Calibri" w:eastAsia="Times New Roman" w:hAnsi="Calibri" w:cs="Calibri"/>
          <w:color w:val="000000"/>
          <w:lang w:eastAsia="pt-PT"/>
        </w:rPr>
        <w:t>Strengthening Disaster Risk Management (DRM) institutional frameworks and capacities</w:t>
      </w:r>
      <w:r w:rsidR="006E3F1E" w:rsidRPr="00E83888">
        <w:rPr>
          <w:rFonts w:ascii="Calibri" w:eastAsia="Times New Roman" w:hAnsi="Calibri" w:cs="Calibri"/>
          <w:color w:val="000000"/>
          <w:lang w:eastAsia="pt-PT"/>
        </w:rPr>
        <w:t xml:space="preserve">: </w:t>
      </w:r>
      <w:r w:rsidR="006E3F1E" w:rsidRPr="00E83888">
        <w:rPr>
          <w:rFonts w:ascii="Calibri" w:eastAsia="Times New Roman" w:hAnsi="Calibri" w:cs="Calibri"/>
          <w:color w:val="000000"/>
          <w:lang w:eastAsia="pt-PT"/>
        </w:rPr>
        <w:t xml:space="preserve">Synergies in strengthening Interinstitutional Multi-Level (national and sub-national) Mechanisms for Disaster Risk Management. This entails integration of DRM into planning and budgeting processes, </w:t>
      </w:r>
      <w:r w:rsidR="006E3F1E" w:rsidRPr="00E83888">
        <w:rPr>
          <w:rFonts w:ascii="Calibri" w:eastAsia="Times New Roman" w:hAnsi="Calibri" w:cs="Calibri"/>
          <w:color w:val="000000"/>
          <w:lang w:eastAsia="pt-PT"/>
        </w:rPr>
        <w:t>th</w:t>
      </w:r>
      <w:r w:rsidR="00E83888">
        <w:rPr>
          <w:rFonts w:ascii="Calibri" w:eastAsia="Times New Roman" w:hAnsi="Calibri" w:cs="Calibri"/>
          <w:color w:val="000000"/>
          <w:lang w:eastAsia="pt-PT"/>
        </w:rPr>
        <w:t>rough</w:t>
      </w:r>
      <w:r w:rsidR="006E3F1E" w:rsidRPr="00E83888">
        <w:rPr>
          <w:rFonts w:ascii="Calibri" w:eastAsia="Times New Roman" w:hAnsi="Calibri" w:cs="Calibri"/>
          <w:color w:val="000000"/>
          <w:lang w:eastAsia="pt-PT"/>
        </w:rPr>
        <w:t xml:space="preserve"> capacity development of p</w:t>
      </w:r>
      <w:r w:rsidR="00E83888">
        <w:rPr>
          <w:rFonts w:ascii="Calibri" w:eastAsia="Times New Roman" w:hAnsi="Calibri" w:cs="Calibri"/>
          <w:color w:val="000000"/>
          <w:lang w:eastAsia="pt-PT"/>
        </w:rPr>
        <w:t>l</w:t>
      </w:r>
      <w:r w:rsidR="006E3F1E" w:rsidRPr="00E83888">
        <w:rPr>
          <w:rFonts w:ascii="Calibri" w:eastAsia="Times New Roman" w:hAnsi="Calibri" w:cs="Calibri"/>
          <w:color w:val="000000"/>
          <w:lang w:eastAsia="pt-PT"/>
        </w:rPr>
        <w:t>anning officers at provincial level; development of provincial preparedness, contingency, response, and recovery plans</w:t>
      </w:r>
      <w:r w:rsidR="006E3F1E" w:rsidRPr="00E83888">
        <w:rPr>
          <w:rFonts w:ascii="Calibri" w:eastAsia="Times New Roman" w:hAnsi="Calibri" w:cs="Calibri"/>
          <w:color w:val="000000"/>
          <w:lang w:eastAsia="pt-PT"/>
        </w:rPr>
        <w:t xml:space="preserve">;  and (ii) </w:t>
      </w:r>
      <w:r w:rsidR="006E3F1E" w:rsidRPr="00E83888">
        <w:rPr>
          <w:rFonts w:ascii="Calibri" w:eastAsia="Times New Roman" w:hAnsi="Calibri" w:cs="Calibri"/>
          <w:b/>
          <w:bCs/>
          <w:color w:val="000000"/>
          <w:lang w:eastAsia="pt-PT"/>
        </w:rPr>
        <w:t>Project 7:</w:t>
      </w:r>
      <w:r w:rsidR="006E3F1E" w:rsidRPr="00E83888">
        <w:rPr>
          <w:rFonts w:ascii="Calibri" w:eastAsia="Times New Roman" w:hAnsi="Calibri" w:cs="Calibri"/>
          <w:color w:val="000000"/>
          <w:lang w:eastAsia="pt-PT"/>
        </w:rPr>
        <w:t xml:space="preserve"> Combating Illegal Wildlife Trade and Human Wildlife Conflict in Angola</w:t>
      </w:r>
      <w:r w:rsidR="006E3F1E" w:rsidRPr="00E83888">
        <w:rPr>
          <w:rFonts w:ascii="Calibri" w:eastAsia="Times New Roman" w:hAnsi="Calibri" w:cs="Calibri"/>
          <w:color w:val="000000"/>
          <w:lang w:eastAsia="pt-PT"/>
        </w:rPr>
        <w:t xml:space="preserve">: </w:t>
      </w:r>
      <w:r w:rsidR="006E3F1E" w:rsidRPr="00E83888">
        <w:rPr>
          <w:rFonts w:ascii="Calibri" w:eastAsia="Times New Roman" w:hAnsi="Calibri" w:cs="Calibri"/>
          <w:color w:val="000000"/>
          <w:lang w:eastAsia="pt-PT"/>
        </w:rPr>
        <w:t xml:space="preserve">The project has started, synergies expected on the work related to </w:t>
      </w:r>
      <w:r w:rsidR="00E83888" w:rsidRPr="00E83888">
        <w:rPr>
          <w:rFonts w:ascii="Calibri" w:eastAsia="Times New Roman" w:hAnsi="Calibri" w:cs="Calibri"/>
          <w:color w:val="000000"/>
          <w:lang w:eastAsia="pt-PT"/>
        </w:rPr>
        <w:t>strengthening</w:t>
      </w:r>
      <w:r w:rsidR="006E3F1E" w:rsidRPr="00E83888">
        <w:rPr>
          <w:rFonts w:ascii="Calibri" w:eastAsia="Times New Roman" w:hAnsi="Calibri" w:cs="Calibri"/>
          <w:color w:val="000000"/>
          <w:lang w:eastAsia="pt-PT"/>
        </w:rPr>
        <w:t xml:space="preserve"> the Environmental Crime Unit, with strong involvement of the </w:t>
      </w:r>
      <w:r w:rsidR="00E83888" w:rsidRPr="00E83888">
        <w:rPr>
          <w:rFonts w:ascii="Calibri" w:eastAsia="Times New Roman" w:hAnsi="Calibri" w:cs="Calibri"/>
          <w:color w:val="000000"/>
          <w:lang w:eastAsia="pt-PT"/>
        </w:rPr>
        <w:t>Judiciary</w:t>
      </w:r>
      <w:r w:rsidR="006E3F1E" w:rsidRPr="00E83888">
        <w:rPr>
          <w:rFonts w:ascii="Calibri" w:eastAsia="Times New Roman" w:hAnsi="Calibri" w:cs="Calibri"/>
          <w:color w:val="000000"/>
          <w:lang w:eastAsia="pt-PT"/>
        </w:rPr>
        <w:t xml:space="preserve"> system, Police, Army and Conservation Areas agency. Potential sensitization work with the parliament to </w:t>
      </w:r>
      <w:r w:rsidR="006E3F1E" w:rsidRPr="00E83888">
        <w:rPr>
          <w:rFonts w:ascii="Calibri" w:eastAsia="Times New Roman" w:hAnsi="Calibri" w:cs="Calibri"/>
          <w:color w:val="000000"/>
          <w:lang w:eastAsia="pt-PT"/>
        </w:rPr>
        <w:lastRenderedPageBreak/>
        <w:t>advocate on the need for review of the law</w:t>
      </w:r>
      <w:r w:rsidR="00E83888">
        <w:rPr>
          <w:rFonts w:ascii="Calibri" w:eastAsia="Times New Roman" w:hAnsi="Calibri" w:cs="Calibri"/>
          <w:color w:val="000000"/>
          <w:lang w:eastAsia="pt-PT"/>
        </w:rPr>
        <w:t>s on</w:t>
      </w:r>
      <w:r w:rsidR="006E3F1E" w:rsidRPr="00E83888">
        <w:rPr>
          <w:rFonts w:ascii="Calibri" w:eastAsia="Times New Roman" w:hAnsi="Calibri" w:cs="Calibri"/>
          <w:color w:val="000000"/>
          <w:lang w:eastAsia="pt-PT"/>
        </w:rPr>
        <w:t xml:space="preserve"> crimes related to wildlife</w:t>
      </w:r>
      <w:r w:rsidR="006E3F1E" w:rsidRPr="00E83888">
        <w:rPr>
          <w:rFonts w:ascii="Calibri" w:eastAsia="Times New Roman" w:hAnsi="Calibri" w:cs="Calibri"/>
          <w:color w:val="000000"/>
          <w:lang w:eastAsia="pt-PT"/>
        </w:rPr>
        <w:t xml:space="preserve">. Work on </w:t>
      </w:r>
      <w:r w:rsidR="00E83888" w:rsidRPr="00E83888">
        <w:rPr>
          <w:rFonts w:ascii="Calibri" w:eastAsia="Times New Roman" w:hAnsi="Calibri" w:cs="Calibri"/>
          <w:color w:val="000000"/>
          <w:lang w:eastAsia="pt-PT"/>
        </w:rPr>
        <w:t>environmental</w:t>
      </w:r>
      <w:r w:rsidR="006E3F1E" w:rsidRPr="00E83888">
        <w:rPr>
          <w:rFonts w:ascii="Calibri" w:eastAsia="Times New Roman" w:hAnsi="Calibri" w:cs="Calibri"/>
          <w:color w:val="000000"/>
          <w:lang w:eastAsia="pt-PT"/>
        </w:rPr>
        <w:t xml:space="preserve"> </w:t>
      </w:r>
      <w:r w:rsidR="00E83888">
        <w:rPr>
          <w:rFonts w:ascii="Calibri" w:eastAsia="Times New Roman" w:hAnsi="Calibri" w:cs="Calibri"/>
          <w:color w:val="000000"/>
          <w:lang w:eastAsia="pt-PT"/>
        </w:rPr>
        <w:t>c</w:t>
      </w:r>
      <w:r w:rsidR="006E3F1E" w:rsidRPr="00E83888">
        <w:rPr>
          <w:rFonts w:ascii="Calibri" w:eastAsia="Times New Roman" w:hAnsi="Calibri" w:cs="Calibri"/>
          <w:color w:val="000000"/>
          <w:lang w:eastAsia="pt-PT"/>
        </w:rPr>
        <w:t>ri</w:t>
      </w:r>
      <w:r w:rsidR="00E83888">
        <w:rPr>
          <w:rFonts w:ascii="Calibri" w:eastAsia="Times New Roman" w:hAnsi="Calibri" w:cs="Calibri"/>
          <w:color w:val="000000"/>
          <w:lang w:eastAsia="pt-PT"/>
        </w:rPr>
        <w:t>m</w:t>
      </w:r>
      <w:r w:rsidR="006E3F1E" w:rsidRPr="00E83888">
        <w:rPr>
          <w:rFonts w:ascii="Calibri" w:eastAsia="Times New Roman" w:hAnsi="Calibri" w:cs="Calibri"/>
          <w:color w:val="000000"/>
          <w:lang w:eastAsia="pt-PT"/>
        </w:rPr>
        <w:t xml:space="preserve">es was one of the priorities identified by the Attorney General’s </w:t>
      </w:r>
      <w:r w:rsidR="00E83888" w:rsidRPr="00E83888">
        <w:rPr>
          <w:rFonts w:ascii="Calibri" w:eastAsia="Times New Roman" w:hAnsi="Calibri" w:cs="Calibri"/>
          <w:color w:val="000000"/>
          <w:lang w:eastAsia="pt-PT"/>
        </w:rPr>
        <w:t>Office</w:t>
      </w:r>
      <w:r w:rsidR="006E3F1E" w:rsidRPr="00E83888">
        <w:rPr>
          <w:rFonts w:ascii="Calibri" w:eastAsia="Times New Roman" w:hAnsi="Calibri" w:cs="Calibri"/>
          <w:color w:val="000000"/>
          <w:lang w:eastAsia="pt-PT"/>
        </w:rPr>
        <w:t xml:space="preserve"> in its work on anti-</w:t>
      </w:r>
      <w:r w:rsidR="00E83888" w:rsidRPr="00E83888">
        <w:rPr>
          <w:rFonts w:ascii="Calibri" w:eastAsia="Times New Roman" w:hAnsi="Calibri" w:cs="Calibri"/>
          <w:color w:val="000000"/>
          <w:lang w:eastAsia="pt-PT"/>
        </w:rPr>
        <w:t>corruption</w:t>
      </w:r>
      <w:r w:rsidR="006E3F1E" w:rsidRPr="00E83888">
        <w:rPr>
          <w:rFonts w:ascii="Calibri" w:eastAsia="Times New Roman" w:hAnsi="Calibri" w:cs="Calibri"/>
          <w:color w:val="000000"/>
          <w:lang w:eastAsia="pt-PT"/>
        </w:rPr>
        <w:t xml:space="preserve">. The links of the other </w:t>
      </w:r>
      <w:r w:rsidR="00E83888" w:rsidRPr="00E83888">
        <w:rPr>
          <w:rFonts w:ascii="Calibri" w:eastAsia="Times New Roman" w:hAnsi="Calibri" w:cs="Calibri"/>
          <w:color w:val="000000"/>
          <w:lang w:eastAsia="pt-PT"/>
        </w:rPr>
        <w:t>projects</w:t>
      </w:r>
      <w:r w:rsidR="006E3F1E" w:rsidRPr="00E83888">
        <w:rPr>
          <w:rFonts w:ascii="Calibri" w:eastAsia="Times New Roman" w:hAnsi="Calibri" w:cs="Calibri"/>
          <w:color w:val="000000"/>
          <w:lang w:eastAsia="pt-PT"/>
        </w:rPr>
        <w:t xml:space="preserve"> were </w:t>
      </w:r>
      <w:r w:rsidR="00E83888" w:rsidRPr="00E83888">
        <w:rPr>
          <w:rFonts w:ascii="Calibri" w:eastAsia="Times New Roman" w:hAnsi="Calibri" w:cs="Calibri"/>
          <w:color w:val="000000"/>
          <w:lang w:eastAsia="pt-PT"/>
        </w:rPr>
        <w:t xml:space="preserve">not </w:t>
      </w:r>
      <w:r w:rsidR="00E83888">
        <w:rPr>
          <w:rFonts w:ascii="Calibri" w:eastAsia="Times New Roman" w:hAnsi="Calibri" w:cs="Calibri"/>
          <w:color w:val="000000"/>
          <w:lang w:eastAsia="pt-PT"/>
        </w:rPr>
        <w:t>cl</w:t>
      </w:r>
      <w:r w:rsidR="00E83888" w:rsidRPr="00E83888">
        <w:rPr>
          <w:rFonts w:ascii="Calibri" w:eastAsia="Times New Roman" w:hAnsi="Calibri" w:cs="Calibri"/>
          <w:color w:val="000000"/>
          <w:lang w:eastAsia="pt-PT"/>
        </w:rPr>
        <w:t>ear enough.</w:t>
      </w:r>
    </w:p>
    <w:p w14:paraId="55BD29D9" w14:textId="5026ADC3" w:rsidR="00E35496" w:rsidRDefault="00E35496" w:rsidP="004E2AC3">
      <w:pPr>
        <w:jc w:val="both"/>
      </w:pPr>
      <w:r>
        <w:t xml:space="preserve">From the analysis of these and other </w:t>
      </w:r>
      <w:r w:rsidR="003739C7">
        <w:t>information</w:t>
      </w:r>
      <w:r>
        <w:t xml:space="preserve"> available at the ti</w:t>
      </w:r>
      <w:r w:rsidR="003739C7">
        <w:t>m</w:t>
      </w:r>
      <w:r>
        <w:t>e of drafting the report, the evaluation concluded as follows:</w:t>
      </w:r>
    </w:p>
    <w:p w14:paraId="716F629F" w14:textId="77777777" w:rsidR="00E35496" w:rsidRDefault="00E35496" w:rsidP="00790AD5">
      <w:pPr>
        <w:pStyle w:val="ListParagraph"/>
        <w:numPr>
          <w:ilvl w:val="0"/>
          <w:numId w:val="65"/>
        </w:numPr>
        <w:jc w:val="both"/>
      </w:pPr>
      <w:r>
        <w:t>T</w:t>
      </w:r>
      <w:r w:rsidR="00205CBE">
        <w:t>he</w:t>
      </w:r>
      <w:r>
        <w:t>re is a</w:t>
      </w:r>
      <w:r w:rsidR="00205CBE">
        <w:t xml:space="preserve"> clear </w:t>
      </w:r>
      <w:r w:rsidR="00205CBE" w:rsidRPr="00205CBE">
        <w:t xml:space="preserve">potential </w:t>
      </w:r>
      <w:r>
        <w:t xml:space="preserve">and good opportunities </w:t>
      </w:r>
      <w:r w:rsidR="00205CBE" w:rsidRPr="00205CBE">
        <w:t>for integration</w:t>
      </w:r>
      <w:r w:rsidR="00D158B2">
        <w:t xml:space="preserve"> </w:t>
      </w:r>
      <w:r>
        <w:t>across all the programme clusters but these have not been sufficiently identified and pursued as a deliberate internal strategy. T</w:t>
      </w:r>
      <w:r w:rsidR="00205CBE" w:rsidRPr="00205CBE">
        <w:t xml:space="preserve">here </w:t>
      </w:r>
      <w:r w:rsidR="00205CBE">
        <w:t>is a</w:t>
      </w:r>
      <w:r w:rsidR="00205CBE" w:rsidRPr="00205CBE">
        <w:t xml:space="preserve"> need more a systematic approach from project design to implementation phase of the project</w:t>
      </w:r>
      <w:r w:rsidR="00205CBE">
        <w:t>s</w:t>
      </w:r>
      <w:r w:rsidR="00205CBE" w:rsidRPr="00205CBE">
        <w:t xml:space="preserve">. </w:t>
      </w:r>
    </w:p>
    <w:p w14:paraId="565109E5" w14:textId="3E733C5F" w:rsidR="00E35496" w:rsidRDefault="00205CBE" w:rsidP="00790AD5">
      <w:pPr>
        <w:pStyle w:val="ListParagraph"/>
        <w:numPr>
          <w:ilvl w:val="0"/>
          <w:numId w:val="65"/>
        </w:numPr>
        <w:jc w:val="both"/>
      </w:pPr>
      <w:r w:rsidRPr="00205CBE">
        <w:t xml:space="preserve">Lack of institutional dialogue in government and sectors </w:t>
      </w:r>
      <w:r w:rsidR="008E2486">
        <w:t xml:space="preserve">and fragmentation of responsibilities </w:t>
      </w:r>
      <w:r w:rsidRPr="00205CBE">
        <w:t xml:space="preserve">is </w:t>
      </w:r>
      <w:r w:rsidR="00E35496">
        <w:t>a</w:t>
      </w:r>
      <w:r w:rsidRPr="00205CBE">
        <w:t xml:space="preserve"> challenge for synergy and integration of actions. </w:t>
      </w:r>
      <w:r w:rsidR="008E2486">
        <w:t xml:space="preserve">A case in point is the issue of </w:t>
      </w:r>
      <w:r w:rsidR="00B3737E">
        <w:t>employment</w:t>
      </w:r>
      <w:r w:rsidR="008E2486">
        <w:t xml:space="preserve"> and entrepreneurship </w:t>
      </w:r>
      <w:r w:rsidR="00B3737E">
        <w:t>which are closely linked and are under a single project within UNDP, but under different ministries.</w:t>
      </w:r>
    </w:p>
    <w:p w14:paraId="00448234" w14:textId="77777777" w:rsidR="00E35496" w:rsidRDefault="00205CBE" w:rsidP="00790AD5">
      <w:pPr>
        <w:pStyle w:val="ListParagraph"/>
        <w:numPr>
          <w:ilvl w:val="0"/>
          <w:numId w:val="65"/>
        </w:numPr>
        <w:jc w:val="both"/>
      </w:pPr>
      <w:r>
        <w:t>A</w:t>
      </w:r>
      <w:r w:rsidRPr="00205CBE">
        <w:t>rea</w:t>
      </w:r>
      <w:r w:rsidR="00D158B2">
        <w:t>s</w:t>
      </w:r>
      <w:r w:rsidRPr="00205CBE">
        <w:t xml:space="preserve"> of </w:t>
      </w:r>
      <w:r>
        <w:t xml:space="preserve">great potential that need to be explored </w:t>
      </w:r>
      <w:r w:rsidR="00D158B2">
        <w:t>include</w:t>
      </w:r>
      <w:r w:rsidR="00A27D78">
        <w:t>:</w:t>
      </w:r>
      <w:r>
        <w:t xml:space="preserve"> </w:t>
      </w:r>
      <w:r w:rsidRPr="00205CBE">
        <w:t>youth employment</w:t>
      </w:r>
      <w:r w:rsidR="00A27D78">
        <w:t>;</w:t>
      </w:r>
      <w:r w:rsidRPr="00205CBE">
        <w:t xml:space="preserve"> renewable energies and gender </w:t>
      </w:r>
      <w:r>
        <w:t xml:space="preserve">all of which </w:t>
      </w:r>
      <w:r w:rsidRPr="00205CBE">
        <w:t>are key for integration process</w:t>
      </w:r>
      <w:r>
        <w:t xml:space="preserve">. </w:t>
      </w:r>
      <w:r w:rsidR="00D158B2">
        <w:t xml:space="preserve">Programme integration is vital in the </w:t>
      </w:r>
      <w:r w:rsidR="00A27D78">
        <w:t>context</w:t>
      </w:r>
      <w:r w:rsidR="00D158B2">
        <w:t xml:space="preserve"> of dwindling development resources and will be significantly advanced if the UNDP Country Office shifts towards portfolio programmes, rather than the too projectized approach currently adopted.</w:t>
      </w:r>
    </w:p>
    <w:p w14:paraId="2073584E" w14:textId="77777777" w:rsidR="00E35496" w:rsidRDefault="00205CBE" w:rsidP="00790AD5">
      <w:pPr>
        <w:pStyle w:val="ListParagraph"/>
        <w:numPr>
          <w:ilvl w:val="0"/>
          <w:numId w:val="65"/>
        </w:numPr>
        <w:jc w:val="both"/>
      </w:pPr>
      <w:r>
        <w:t>The ISDG project has a significant role to play.</w:t>
      </w:r>
      <w:r w:rsidR="00090C00">
        <w:t xml:space="preserve"> </w:t>
      </w:r>
      <w:r w:rsidR="00090C00" w:rsidRPr="00090C00">
        <w:t>The major expected output is the application of the integrated simulation models for national development planning to different issues and contexts, building national capacities around the use of the model and publication of the reports with the results monitoring progress and levels of the SDG achievements in Angola.</w:t>
      </w:r>
      <w:r w:rsidR="00090C00">
        <w:t xml:space="preserve"> </w:t>
      </w:r>
      <w:r w:rsidR="00090C00" w:rsidRPr="00090C00">
        <w:t>Using the iSDG model, the project</w:t>
      </w:r>
      <w:r w:rsidR="00090C00">
        <w:t xml:space="preserve"> could be used to</w:t>
      </w:r>
      <w:r w:rsidR="00090C00" w:rsidRPr="00090C00">
        <w:t xml:space="preserve"> identify the policy interventions that have the highest potential to be ‘SDG Accelerators’ and enable progress towards the achievement of these agendas’ goals</w:t>
      </w:r>
      <w:r w:rsidR="00090C00">
        <w:t>, and facilitate programmatic integration</w:t>
      </w:r>
      <w:r w:rsidR="00090C00" w:rsidRPr="00090C00">
        <w:t>.</w:t>
      </w:r>
      <w:r w:rsidR="00090C00">
        <w:t xml:space="preserve"> So far, it is not being fully exploited towards such ends.</w:t>
      </w:r>
    </w:p>
    <w:p w14:paraId="1574E27E" w14:textId="6D3EE20F" w:rsidR="00647F7E" w:rsidRDefault="00647F7E" w:rsidP="00790AD5">
      <w:pPr>
        <w:pStyle w:val="ListParagraph"/>
        <w:numPr>
          <w:ilvl w:val="0"/>
          <w:numId w:val="65"/>
        </w:numPr>
        <w:jc w:val="both"/>
      </w:pPr>
      <w:r>
        <w:t xml:space="preserve">A common integrator across all three outcomes is gender; poverty and unemployment mostly </w:t>
      </w:r>
      <w:r w:rsidR="002B2D92">
        <w:t>affect</w:t>
      </w:r>
      <w:r>
        <w:t xml:space="preserve"> wo</w:t>
      </w:r>
      <w:r w:rsidR="003655FB">
        <w:t>men who</w:t>
      </w:r>
      <w:r>
        <w:t xml:space="preserve"> also happen to be often </w:t>
      </w:r>
      <w:r w:rsidR="003655FB">
        <w:t xml:space="preserve">more </w:t>
      </w:r>
      <w:r>
        <w:t>marginali</w:t>
      </w:r>
      <w:r w:rsidR="002B2D92">
        <w:t xml:space="preserve">zed in terms of political representation and finally are often the principal victims of disasters. Thus, conceptualising a flagship gender programme that </w:t>
      </w:r>
      <w:r w:rsidR="003655FB">
        <w:t xml:space="preserve">wholistically </w:t>
      </w:r>
      <w:r w:rsidR="002B2D92">
        <w:t>t</w:t>
      </w:r>
      <w:r w:rsidR="003655FB">
        <w:t>reats all</w:t>
      </w:r>
      <w:r w:rsidR="002B2D92">
        <w:t xml:space="preserve"> these </w:t>
      </w:r>
      <w:r w:rsidR="006E090E">
        <w:t>aspects</w:t>
      </w:r>
      <w:r w:rsidR="002B2D92">
        <w:t xml:space="preserve"> could serve as a potent integrator and provide a platform for collaborative work involving all three progra</w:t>
      </w:r>
      <w:r w:rsidR="00C54DA8">
        <w:t>mm</w:t>
      </w:r>
      <w:r w:rsidR="002B2D92">
        <w:t xml:space="preserve">e </w:t>
      </w:r>
      <w:r w:rsidR="00C54DA8">
        <w:t>c</w:t>
      </w:r>
      <w:r w:rsidR="002B2D92">
        <w:t>lusters</w:t>
      </w:r>
      <w:r w:rsidR="00C54DA8">
        <w:t xml:space="preserve"> of the UNDP Angola Country Programme.</w:t>
      </w:r>
      <w:r w:rsidR="002B2D92">
        <w:t xml:space="preserve"> </w:t>
      </w:r>
      <w:r>
        <w:t xml:space="preserve"> </w:t>
      </w:r>
    </w:p>
    <w:p w14:paraId="115B9A6E" w14:textId="7D427287" w:rsidR="00767654" w:rsidRPr="00767654" w:rsidRDefault="00FD00B9" w:rsidP="00767654">
      <w:pPr>
        <w:pStyle w:val="Heading2"/>
        <w:rPr>
          <w:rFonts w:asciiTheme="minorHAnsi" w:hAnsiTheme="minorHAnsi" w:cstheme="minorHAnsi"/>
          <w:sz w:val="22"/>
          <w:szCs w:val="22"/>
        </w:rPr>
      </w:pPr>
      <w:bookmarkStart w:id="58" w:name="_Toc88741806"/>
      <w:r>
        <w:rPr>
          <w:rFonts w:asciiTheme="minorHAnsi" w:hAnsiTheme="minorHAnsi" w:cstheme="minorHAnsi"/>
          <w:sz w:val="22"/>
          <w:szCs w:val="22"/>
        </w:rPr>
        <w:t>4</w:t>
      </w:r>
      <w:r w:rsidR="00767654" w:rsidRPr="00767654">
        <w:rPr>
          <w:rFonts w:asciiTheme="minorHAnsi" w:hAnsiTheme="minorHAnsi" w:cstheme="minorHAnsi"/>
          <w:sz w:val="22"/>
          <w:szCs w:val="22"/>
        </w:rPr>
        <w:t>.5 Impact of Covid-19 on Programme Delivery and Mitigation Measures</w:t>
      </w:r>
      <w:bookmarkEnd w:id="58"/>
    </w:p>
    <w:p w14:paraId="32FFBA28" w14:textId="0325800A" w:rsidR="008F627E" w:rsidRDefault="00006EF1" w:rsidP="00006EF1">
      <w:pPr>
        <w:jc w:val="both"/>
      </w:pPr>
      <w:r>
        <w:t xml:space="preserve">In </w:t>
      </w:r>
      <w:r w:rsidR="00332D14">
        <w:t>response to the global pandemic,</w:t>
      </w:r>
      <w:r>
        <w:t xml:space="preserve"> the UN Secretary-General’s Shared Responsibility, Global Solidarity report, </w:t>
      </w:r>
      <w:r w:rsidR="00332D14">
        <w:t xml:space="preserve">directed that </w:t>
      </w:r>
      <w:r>
        <w:t xml:space="preserve">a significant proportion of the UN’s existing US$17.8 billion portfolio of sustainable development programmes across all the Sustainable Development Goals (SDGs) </w:t>
      </w:r>
      <w:r w:rsidR="00332D14">
        <w:t>should be</w:t>
      </w:r>
      <w:r>
        <w:t xml:space="preserve"> adjusted and expanded towards COVID- 19 related needs. As a result, the UN Framework for the Immediate Socio-Economic Response to COVID-19 was launched in April 2020, </w:t>
      </w:r>
      <w:r w:rsidR="00332D14">
        <w:t xml:space="preserve">as a </w:t>
      </w:r>
      <w:r>
        <w:t>blueprint</w:t>
      </w:r>
      <w:r w:rsidR="00332D14">
        <w:t xml:space="preserve"> for</w:t>
      </w:r>
      <w:r>
        <w:t xml:space="preserve"> an integrated support package to protect the needs and rights of people </w:t>
      </w:r>
      <w:r w:rsidR="00332D14">
        <w:t>during</w:t>
      </w:r>
      <w:r>
        <w:t xml:space="preserve"> the </w:t>
      </w:r>
      <w:r w:rsidR="00332D14">
        <w:t>pandemic for</w:t>
      </w:r>
      <w:r>
        <w:t xml:space="preserve"> the first 12-18 months.</w:t>
      </w:r>
    </w:p>
    <w:p w14:paraId="507E6F51" w14:textId="65DFCE0B" w:rsidR="009947B7" w:rsidRDefault="00006EF1" w:rsidP="00006EF1">
      <w:pPr>
        <w:jc w:val="both"/>
      </w:pPr>
      <w:r>
        <w:t xml:space="preserve">This evaluation </w:t>
      </w:r>
      <w:r w:rsidR="00D24EE0">
        <w:t>a</w:t>
      </w:r>
      <w:r>
        <w:t>ssesse</w:t>
      </w:r>
      <w:r w:rsidR="00004423">
        <w:t>d</w:t>
      </w:r>
      <w:r>
        <w:t xml:space="preserve"> the </w:t>
      </w:r>
      <w:r w:rsidR="00332D14">
        <w:t xml:space="preserve">role that UN played within the UN </w:t>
      </w:r>
      <w:r w:rsidR="00004423">
        <w:t>system</w:t>
      </w:r>
      <w:r w:rsidR="00332D14">
        <w:t xml:space="preserve"> in Angola, the </w:t>
      </w:r>
      <w:r>
        <w:t xml:space="preserve">impact of the pandemic on UNDP programme delivery and reviews the effectiveness of measures UNDP put in place to ensure programme delivery. </w:t>
      </w:r>
    </w:p>
    <w:p w14:paraId="55F06B6A" w14:textId="77777777" w:rsidR="00B3737E" w:rsidRDefault="00B3737E" w:rsidP="00006EF1">
      <w:pPr>
        <w:jc w:val="both"/>
      </w:pPr>
    </w:p>
    <w:p w14:paraId="0D18731B" w14:textId="58014D7F" w:rsidR="00C344DD" w:rsidRDefault="00FD00B9" w:rsidP="00C344DD">
      <w:pPr>
        <w:pStyle w:val="Heading3"/>
        <w:rPr>
          <w:rFonts w:asciiTheme="minorHAnsi" w:hAnsiTheme="minorHAnsi" w:cstheme="minorHAnsi"/>
          <w:sz w:val="22"/>
          <w:szCs w:val="22"/>
        </w:rPr>
      </w:pPr>
      <w:bookmarkStart w:id="59" w:name="_Toc88741807"/>
      <w:r>
        <w:rPr>
          <w:rFonts w:asciiTheme="minorHAnsi" w:hAnsiTheme="minorHAnsi" w:cstheme="minorHAnsi"/>
          <w:sz w:val="22"/>
          <w:szCs w:val="22"/>
        </w:rPr>
        <w:lastRenderedPageBreak/>
        <w:t>4</w:t>
      </w:r>
      <w:r w:rsidR="00C344DD" w:rsidRPr="00C344DD">
        <w:rPr>
          <w:rFonts w:asciiTheme="minorHAnsi" w:hAnsiTheme="minorHAnsi" w:cstheme="minorHAnsi"/>
          <w:sz w:val="22"/>
          <w:szCs w:val="22"/>
        </w:rPr>
        <w:t xml:space="preserve">.5.1 Impact </w:t>
      </w:r>
      <w:r w:rsidR="00C344DD">
        <w:rPr>
          <w:rFonts w:asciiTheme="minorHAnsi" w:hAnsiTheme="minorHAnsi" w:cstheme="minorHAnsi"/>
          <w:sz w:val="22"/>
          <w:szCs w:val="22"/>
        </w:rPr>
        <w:t xml:space="preserve">of Covid-19 </w:t>
      </w:r>
      <w:r w:rsidR="00C344DD" w:rsidRPr="00C344DD">
        <w:rPr>
          <w:rFonts w:asciiTheme="minorHAnsi" w:hAnsiTheme="minorHAnsi" w:cstheme="minorHAnsi"/>
          <w:sz w:val="22"/>
          <w:szCs w:val="22"/>
        </w:rPr>
        <w:t xml:space="preserve">on </w:t>
      </w:r>
      <w:r w:rsidR="00C344DD">
        <w:rPr>
          <w:rFonts w:asciiTheme="minorHAnsi" w:hAnsiTheme="minorHAnsi" w:cstheme="minorHAnsi"/>
          <w:sz w:val="22"/>
          <w:szCs w:val="22"/>
        </w:rPr>
        <w:t xml:space="preserve">UNDP </w:t>
      </w:r>
      <w:r w:rsidR="00C344DD" w:rsidRPr="00C344DD">
        <w:rPr>
          <w:rFonts w:asciiTheme="minorHAnsi" w:hAnsiTheme="minorHAnsi" w:cstheme="minorHAnsi"/>
          <w:sz w:val="22"/>
          <w:szCs w:val="22"/>
        </w:rPr>
        <w:t>programme delivery</w:t>
      </w:r>
      <w:bookmarkEnd w:id="59"/>
    </w:p>
    <w:p w14:paraId="5EA392DC" w14:textId="4B616B3D" w:rsidR="00123BB2" w:rsidRPr="009947B7" w:rsidRDefault="00123BB2" w:rsidP="00F407B2">
      <w:pPr>
        <w:jc w:val="both"/>
        <w:rPr>
          <w:b/>
          <w:bCs/>
        </w:rPr>
      </w:pPr>
      <w:r w:rsidRPr="009947B7">
        <w:rPr>
          <w:b/>
          <w:bCs/>
        </w:rPr>
        <w:t xml:space="preserve">Finding </w:t>
      </w:r>
      <w:r w:rsidR="003655FB" w:rsidRPr="009947B7">
        <w:rPr>
          <w:b/>
          <w:bCs/>
        </w:rPr>
        <w:t>1</w:t>
      </w:r>
      <w:r w:rsidR="00AC55A9">
        <w:rPr>
          <w:b/>
          <w:bCs/>
        </w:rPr>
        <w:t>5</w:t>
      </w:r>
      <w:r w:rsidRPr="009947B7">
        <w:rPr>
          <w:b/>
          <w:bCs/>
        </w:rPr>
        <w:t xml:space="preserve">: </w:t>
      </w:r>
      <w:r w:rsidR="00AC55A9">
        <w:rPr>
          <w:b/>
          <w:bCs/>
        </w:rPr>
        <w:t xml:space="preserve">UNDP has played a lead role within the UN system in devising </w:t>
      </w:r>
      <w:r w:rsidR="000D5D7E">
        <w:rPr>
          <w:b/>
          <w:bCs/>
        </w:rPr>
        <w:t>a robust response to</w:t>
      </w:r>
      <w:r w:rsidR="008D4724" w:rsidRPr="009947B7">
        <w:rPr>
          <w:b/>
          <w:bCs/>
        </w:rPr>
        <w:t xml:space="preserve"> </w:t>
      </w:r>
      <w:r w:rsidRPr="009947B7">
        <w:rPr>
          <w:b/>
          <w:bCs/>
        </w:rPr>
        <w:t>Covid 19</w:t>
      </w:r>
      <w:r w:rsidR="000D5D7E">
        <w:rPr>
          <w:b/>
          <w:bCs/>
        </w:rPr>
        <w:t>, but notwithstanding, the</w:t>
      </w:r>
      <w:r w:rsidRPr="009947B7">
        <w:rPr>
          <w:b/>
          <w:bCs/>
        </w:rPr>
        <w:t xml:space="preserve"> </w:t>
      </w:r>
      <w:r w:rsidR="008D4724" w:rsidRPr="009947B7">
        <w:rPr>
          <w:b/>
          <w:bCs/>
        </w:rPr>
        <w:t>pande</w:t>
      </w:r>
      <w:r w:rsidR="00294B97" w:rsidRPr="009947B7">
        <w:rPr>
          <w:b/>
          <w:bCs/>
        </w:rPr>
        <w:t>m</w:t>
      </w:r>
      <w:r w:rsidR="008D4724" w:rsidRPr="009947B7">
        <w:rPr>
          <w:b/>
          <w:bCs/>
        </w:rPr>
        <w:t>i</w:t>
      </w:r>
      <w:r w:rsidR="00294B97" w:rsidRPr="009947B7">
        <w:rPr>
          <w:b/>
          <w:bCs/>
        </w:rPr>
        <w:t xml:space="preserve">c has had an adverse impact on all aspects of the work of the Country Office. </w:t>
      </w:r>
      <w:r w:rsidR="008D4724" w:rsidRPr="009947B7">
        <w:rPr>
          <w:b/>
          <w:bCs/>
        </w:rPr>
        <w:t xml:space="preserve"> </w:t>
      </w:r>
    </w:p>
    <w:p w14:paraId="43349BE0" w14:textId="77777777" w:rsidR="00004423" w:rsidRDefault="00140A4A" w:rsidP="00A8385A">
      <w:pPr>
        <w:jc w:val="both"/>
      </w:pPr>
      <w:r>
        <w:t>The impact of Covid 19 on CPD implementation was significant but variable across and within programme cluster.</w:t>
      </w:r>
      <w:r w:rsidR="009947B7">
        <w:t xml:space="preserve"> </w:t>
      </w:r>
    </w:p>
    <w:p w14:paraId="3D7A9DC3" w14:textId="77777777" w:rsidR="00004423" w:rsidRDefault="00140A4A" w:rsidP="00790AD5">
      <w:pPr>
        <w:pStyle w:val="ListParagraph"/>
        <w:numPr>
          <w:ilvl w:val="0"/>
          <w:numId w:val="66"/>
        </w:numPr>
        <w:jc w:val="both"/>
      </w:pPr>
      <w:r>
        <w:t xml:space="preserve">For the poverty cluster, the start of implementation of several projects has been delayed for reasons not related to the pandemic. This is the case for the </w:t>
      </w:r>
      <w:r w:rsidR="00123BB2">
        <w:t>“</w:t>
      </w:r>
      <w:r>
        <w:t>ISDG</w:t>
      </w:r>
      <w:r w:rsidR="00123BB2">
        <w:t>”</w:t>
      </w:r>
      <w:r>
        <w:t xml:space="preserve"> and </w:t>
      </w:r>
      <w:r w:rsidR="00123BB2">
        <w:t>“</w:t>
      </w:r>
      <w:r w:rsidRPr="00140A4A">
        <w:t>Support for National Policies to Accelerate the SDGs</w:t>
      </w:r>
      <w:r w:rsidR="00123BB2">
        <w:t>”</w:t>
      </w:r>
      <w:r>
        <w:t xml:space="preserve"> projects wherein the delay was due to changes in government programmatic approach. In other projects, e.g., </w:t>
      </w:r>
      <w:r w:rsidR="00123BB2">
        <w:t>“</w:t>
      </w:r>
      <w:r>
        <w:t>Technical Assistance for Economic Diversification</w:t>
      </w:r>
      <w:r w:rsidR="00123BB2">
        <w:t>”</w:t>
      </w:r>
      <w:r>
        <w:t xml:space="preserve">, the impact was not significant as the projects focus is on policy dialogue. </w:t>
      </w:r>
      <w:r w:rsidR="00A8385A">
        <w:t>For the “</w:t>
      </w:r>
      <w:r w:rsidR="00A8385A" w:rsidRPr="00A8385A">
        <w:t>Building back better post COVID-19. Enhancing skill development and job creation for the youth in Angola</w:t>
      </w:r>
      <w:r w:rsidR="00A8385A">
        <w:t>”, there was some impact, particularly the</w:t>
      </w:r>
      <w:r w:rsidR="00A8385A" w:rsidRPr="00A8385A">
        <w:t xml:space="preserve"> component dealing will skill training</w:t>
      </w:r>
      <w:r w:rsidR="00A8385A">
        <w:t xml:space="preserve"> and not so much for the component dealing with policy dialogue. However, for the Turkish</w:t>
      </w:r>
      <w:r w:rsidR="00123BB2">
        <w:t>-</w:t>
      </w:r>
      <w:r w:rsidR="00A8385A">
        <w:t xml:space="preserve">UNDP Partnership, the impact was such that a </w:t>
      </w:r>
      <w:r w:rsidR="003F2815">
        <w:t>six-month</w:t>
      </w:r>
      <w:r w:rsidR="00A8385A">
        <w:t xml:space="preserve"> project extension was requested.</w:t>
      </w:r>
    </w:p>
    <w:p w14:paraId="7DE4B5F5" w14:textId="77777777" w:rsidR="00004423" w:rsidRDefault="000E6607" w:rsidP="00790AD5">
      <w:pPr>
        <w:pStyle w:val="ListParagraph"/>
        <w:numPr>
          <w:ilvl w:val="0"/>
          <w:numId w:val="66"/>
        </w:numPr>
        <w:jc w:val="both"/>
      </w:pPr>
      <w:r>
        <w:t xml:space="preserve">For the HIV, TB and Malaria </w:t>
      </w:r>
      <w:r w:rsidR="00322252">
        <w:t xml:space="preserve">programme, </w:t>
      </w:r>
      <w:r w:rsidR="00322252" w:rsidRPr="00004423">
        <w:rPr>
          <w:rFonts w:ascii="Calibri" w:eastAsia="Times New Roman" w:hAnsi="Calibri" w:cs="Calibri"/>
          <w:color w:val="000000"/>
          <w:lang w:eastAsia="pt-PT"/>
        </w:rPr>
        <w:t xml:space="preserve">during the period from March to May 2020, the combination of challenges in domestic funding, airspace closure and subsequent delays in the delivery of health products for HIV, TB and Malaria, resulted in serious difficulties in an already strained supply chain. However, achieving the performance targets for the PMTCT, ART, TB and Malaria Grant required the continued provision of tests, reagents and ARVs and CVs at the health facility level. </w:t>
      </w:r>
      <w:r w:rsidR="009267A0" w:rsidRPr="00004423">
        <w:rPr>
          <w:rFonts w:ascii="Calibri" w:eastAsia="Times New Roman" w:hAnsi="Calibri" w:cs="Calibri"/>
          <w:color w:val="000000"/>
          <w:lang w:eastAsia="pt-PT"/>
        </w:rPr>
        <w:t xml:space="preserve">Measures taken included: </w:t>
      </w:r>
      <w:r w:rsidR="00322252" w:rsidRPr="00004423">
        <w:rPr>
          <w:rFonts w:ascii="Calibri" w:eastAsia="Times New Roman" w:hAnsi="Calibri" w:cs="Calibri"/>
          <w:color w:val="000000"/>
          <w:lang w:eastAsia="pt-PT"/>
        </w:rPr>
        <w:t xml:space="preserve">Programme </w:t>
      </w:r>
      <w:r w:rsidR="00322252" w:rsidRPr="004C2A1F">
        <w:t>SRs reduced their community outreach services during the period from March to May 2020, regular capacity building and peer education meetings, GAMS, activists, etc. stopped being held or became irrelevant.</w:t>
      </w:r>
      <w:r w:rsidR="00B64344">
        <w:t xml:space="preserve"> </w:t>
      </w:r>
    </w:p>
    <w:p w14:paraId="1A369E5E" w14:textId="7A7301CD" w:rsidR="00004423" w:rsidRPr="001222DA" w:rsidRDefault="008B3EB6" w:rsidP="00790AD5">
      <w:pPr>
        <w:pStyle w:val="ListParagraph"/>
        <w:numPr>
          <w:ilvl w:val="0"/>
          <w:numId w:val="66"/>
        </w:numPr>
        <w:jc w:val="both"/>
      </w:pPr>
      <w:r>
        <w:t>T</w:t>
      </w:r>
      <w:r w:rsidR="00B80742">
        <w:t xml:space="preserve">he impacts </w:t>
      </w:r>
      <w:r>
        <w:t xml:space="preserve">of Covid-19 on the governance programme </w:t>
      </w:r>
      <w:r w:rsidR="00B80742">
        <w:t xml:space="preserve">were significant. For example, in the </w:t>
      </w:r>
      <w:r w:rsidR="00123BB2">
        <w:t>“</w:t>
      </w:r>
      <w:r w:rsidR="00B80742">
        <w:t xml:space="preserve">Fair and </w:t>
      </w:r>
      <w:r w:rsidR="00B80742" w:rsidRPr="00004423">
        <w:rPr>
          <w:iCs/>
        </w:rPr>
        <w:t>Inclusive Society Project</w:t>
      </w:r>
      <w:r w:rsidR="00123BB2" w:rsidRPr="00004423">
        <w:rPr>
          <w:iCs/>
        </w:rPr>
        <w:t>”</w:t>
      </w:r>
      <w:r w:rsidR="00B80742" w:rsidRPr="00004423">
        <w:rPr>
          <w:iCs/>
        </w:rPr>
        <w:t xml:space="preserve">, Covid-19 challenged implementation, with about three months of inactivity while adapting to the new normal. There was also a need for programmatic adjustments to respond to emerging needs; workload increased significantly due to internal corporate adjustment programs and actions, hence impacting personnel capacity to respond to exponentially increasing demand.  For the </w:t>
      </w:r>
      <w:r w:rsidR="00123BB2" w:rsidRPr="00004423">
        <w:rPr>
          <w:iCs/>
        </w:rPr>
        <w:t>“</w:t>
      </w:r>
      <w:r w:rsidR="00B80742" w:rsidRPr="00004423">
        <w:rPr>
          <w:iCs/>
        </w:rPr>
        <w:t>Post-Elections Technical Assistance</w:t>
      </w:r>
      <w:r w:rsidR="00123BB2" w:rsidRPr="00004423">
        <w:rPr>
          <w:iCs/>
        </w:rPr>
        <w:t>”</w:t>
      </w:r>
      <w:r w:rsidR="00B80742" w:rsidRPr="00004423">
        <w:rPr>
          <w:iCs/>
        </w:rPr>
        <w:t xml:space="preserve"> Project, Covid-19 challenged implementation on the ground i.e., field missions and overall planning due to changing public measures. Also, it was difficult to find available resource people due to work load; the main national counterpart (MAT)'s political attention was also often veered towards its Covid-19 containment measures, hence delaying decision-making process for the project activities; finding need increased significantly from the established projections.</w:t>
      </w:r>
      <w:r w:rsidR="0054479F" w:rsidRPr="00004423">
        <w:rPr>
          <w:iCs/>
        </w:rPr>
        <w:t xml:space="preserve"> F</w:t>
      </w:r>
      <w:r w:rsidR="0054479F" w:rsidRPr="00004423">
        <w:rPr>
          <w:iCs/>
          <w:lang w:val="en-US"/>
        </w:rPr>
        <w:t xml:space="preserve">or </w:t>
      </w:r>
      <w:r w:rsidR="00123BB2" w:rsidRPr="00004423">
        <w:rPr>
          <w:iCs/>
          <w:lang w:val="en-US"/>
        </w:rPr>
        <w:t>the “</w:t>
      </w:r>
      <w:r w:rsidR="0054479F" w:rsidRPr="00004423">
        <w:rPr>
          <w:iCs/>
          <w:lang w:val="en-US"/>
        </w:rPr>
        <w:t>Programme for Consolidating Economic Governance and Public Finance Management Systems</w:t>
      </w:r>
      <w:r w:rsidR="00A27D78" w:rsidRPr="00004423">
        <w:rPr>
          <w:iCs/>
          <w:lang w:val="en-US"/>
        </w:rPr>
        <w:t>”</w:t>
      </w:r>
      <w:r w:rsidR="0054479F" w:rsidRPr="00004423">
        <w:rPr>
          <w:iCs/>
          <w:lang w:val="en-US"/>
        </w:rPr>
        <w:t xml:space="preserve">, </w:t>
      </w:r>
      <w:r w:rsidR="00A27D78" w:rsidRPr="00004423">
        <w:rPr>
          <w:iCs/>
          <w:lang w:val="en-US"/>
        </w:rPr>
        <w:t>i</w:t>
      </w:r>
      <w:r w:rsidR="0054479F" w:rsidRPr="00004423">
        <w:rPr>
          <w:iCs/>
          <w:lang w:val="en-US"/>
        </w:rPr>
        <w:t>t was not possible to conduct most of the field planned missions, hence affecting delivery capacity in 2020-21</w:t>
      </w:r>
      <w:r w:rsidR="001222DA">
        <w:rPr>
          <w:iCs/>
          <w:lang w:val="en-US"/>
        </w:rPr>
        <w:t>.</w:t>
      </w:r>
    </w:p>
    <w:p w14:paraId="291911DB" w14:textId="12BE968A" w:rsidR="001222DA" w:rsidRDefault="001222DA" w:rsidP="001222DA">
      <w:pPr>
        <w:jc w:val="both"/>
      </w:pPr>
    </w:p>
    <w:p w14:paraId="34A1E5E7" w14:textId="06A6CAAF" w:rsidR="001222DA" w:rsidRDefault="001222DA" w:rsidP="001222DA">
      <w:pPr>
        <w:jc w:val="both"/>
      </w:pPr>
    </w:p>
    <w:p w14:paraId="47BA4C0D" w14:textId="0A5D66BF" w:rsidR="001222DA" w:rsidRDefault="001222DA" w:rsidP="001222DA">
      <w:pPr>
        <w:jc w:val="both"/>
      </w:pPr>
    </w:p>
    <w:p w14:paraId="3C3B6C8D" w14:textId="77777777" w:rsidR="001222DA" w:rsidRPr="00004423" w:rsidRDefault="001222DA" w:rsidP="001222DA">
      <w:pPr>
        <w:jc w:val="both"/>
      </w:pPr>
    </w:p>
    <w:p w14:paraId="44AC855A" w14:textId="36D14F0A" w:rsidR="00C344DD" w:rsidRDefault="00FD00B9" w:rsidP="00C344DD">
      <w:pPr>
        <w:pStyle w:val="Heading3"/>
        <w:rPr>
          <w:rFonts w:asciiTheme="minorHAnsi" w:hAnsiTheme="minorHAnsi" w:cstheme="minorHAnsi"/>
          <w:sz w:val="22"/>
          <w:szCs w:val="22"/>
        </w:rPr>
      </w:pPr>
      <w:bookmarkStart w:id="60" w:name="_Toc88741808"/>
      <w:r>
        <w:rPr>
          <w:rFonts w:asciiTheme="minorHAnsi" w:hAnsiTheme="minorHAnsi" w:cstheme="minorHAnsi"/>
          <w:sz w:val="22"/>
          <w:szCs w:val="22"/>
        </w:rPr>
        <w:lastRenderedPageBreak/>
        <w:t>4</w:t>
      </w:r>
      <w:r w:rsidR="00C344DD" w:rsidRPr="00C344DD">
        <w:rPr>
          <w:rFonts w:asciiTheme="minorHAnsi" w:hAnsiTheme="minorHAnsi" w:cstheme="minorHAnsi"/>
          <w:sz w:val="22"/>
          <w:szCs w:val="22"/>
        </w:rPr>
        <w:t xml:space="preserve">.5.2 </w:t>
      </w:r>
      <w:r w:rsidR="000E6607">
        <w:rPr>
          <w:rFonts w:asciiTheme="minorHAnsi" w:hAnsiTheme="minorHAnsi" w:cstheme="minorHAnsi"/>
          <w:sz w:val="22"/>
          <w:szCs w:val="22"/>
        </w:rPr>
        <w:t xml:space="preserve">Response and </w:t>
      </w:r>
      <w:r w:rsidR="00C344DD" w:rsidRPr="00C344DD">
        <w:rPr>
          <w:rFonts w:asciiTheme="minorHAnsi" w:hAnsiTheme="minorHAnsi" w:cstheme="minorHAnsi"/>
          <w:sz w:val="22"/>
          <w:szCs w:val="22"/>
        </w:rPr>
        <w:t>Mitigation Measures</w:t>
      </w:r>
      <w:bookmarkEnd w:id="60"/>
    </w:p>
    <w:p w14:paraId="0FEAA8EB" w14:textId="25EE710E" w:rsidR="008D4724" w:rsidRPr="009947B7" w:rsidRDefault="008D4724" w:rsidP="000E6607">
      <w:pPr>
        <w:jc w:val="both"/>
      </w:pPr>
      <w:r w:rsidRPr="009947B7">
        <w:rPr>
          <w:b/>
          <w:bCs/>
        </w:rPr>
        <w:t xml:space="preserve">Finding </w:t>
      </w:r>
      <w:r w:rsidR="003655FB" w:rsidRPr="009947B7">
        <w:rPr>
          <w:b/>
          <w:bCs/>
        </w:rPr>
        <w:t>1</w:t>
      </w:r>
      <w:r w:rsidR="00AC55A9">
        <w:rPr>
          <w:b/>
          <w:bCs/>
        </w:rPr>
        <w:t>6</w:t>
      </w:r>
      <w:r w:rsidRPr="009947B7">
        <w:rPr>
          <w:b/>
          <w:bCs/>
        </w:rPr>
        <w:t xml:space="preserve">: UNDP </w:t>
      </w:r>
      <w:r w:rsidR="00AC55A9">
        <w:rPr>
          <w:b/>
          <w:bCs/>
        </w:rPr>
        <w:t xml:space="preserve">has taken </w:t>
      </w:r>
      <w:r w:rsidRPr="009947B7">
        <w:rPr>
          <w:b/>
          <w:bCs/>
        </w:rPr>
        <w:t xml:space="preserve">measures to mitigate impacts on programme delivery, </w:t>
      </w:r>
      <w:r w:rsidR="00AC55A9">
        <w:rPr>
          <w:b/>
          <w:bCs/>
        </w:rPr>
        <w:t xml:space="preserve">but </w:t>
      </w:r>
      <w:r w:rsidRPr="009947B7">
        <w:rPr>
          <w:b/>
          <w:bCs/>
        </w:rPr>
        <w:t>this was not sufficient and Covid-19 has aggravated already slow operational processes within the organization, resulting in a precipitous decline in delivery during 2021</w:t>
      </w:r>
    </w:p>
    <w:p w14:paraId="19DB85D1" w14:textId="172E432D" w:rsidR="009540FC" w:rsidRDefault="003F2815" w:rsidP="000E6607">
      <w:pPr>
        <w:jc w:val="both"/>
      </w:pPr>
      <w:r>
        <w:t>The</w:t>
      </w:r>
      <w:r w:rsidR="009540FC">
        <w:t xml:space="preserve"> UNDP</w:t>
      </w:r>
      <w:r>
        <w:t xml:space="preserve"> Country </w:t>
      </w:r>
      <w:r w:rsidR="00A31D15">
        <w:t xml:space="preserve">Office response to the pandemic was </w:t>
      </w:r>
      <w:r w:rsidR="00841752">
        <w:t xml:space="preserve">assessed </w:t>
      </w:r>
      <w:r w:rsidR="00A31D15">
        <w:t xml:space="preserve">at three levels: (i) overall support </w:t>
      </w:r>
      <w:r w:rsidR="00841752">
        <w:t xml:space="preserve">of UNDP </w:t>
      </w:r>
      <w:r w:rsidR="00A31D15">
        <w:t xml:space="preserve">to </w:t>
      </w:r>
      <w:r w:rsidR="00D22268">
        <w:t xml:space="preserve">Angola </w:t>
      </w:r>
      <w:r w:rsidR="00A31D15">
        <w:t xml:space="preserve">UN </w:t>
      </w:r>
      <w:r w:rsidR="00D22268">
        <w:t xml:space="preserve">system </w:t>
      </w:r>
      <w:r w:rsidR="00A31D15">
        <w:t>response; (i</w:t>
      </w:r>
      <w:r w:rsidR="009540FC">
        <w:t xml:space="preserve">i) </w:t>
      </w:r>
      <w:r w:rsidR="008D5255">
        <w:t xml:space="preserve">internal </w:t>
      </w:r>
      <w:r w:rsidR="00D22268">
        <w:t>UNDP Country office</w:t>
      </w:r>
      <w:r w:rsidR="008D5255">
        <w:t xml:space="preserve"> </w:t>
      </w:r>
      <w:r w:rsidR="00841752">
        <w:t>measures</w:t>
      </w:r>
      <w:r w:rsidR="009540FC">
        <w:t xml:space="preserve"> to minimize impact on office </w:t>
      </w:r>
      <w:r w:rsidR="00841752">
        <w:t xml:space="preserve">operations </w:t>
      </w:r>
      <w:r w:rsidR="009540FC">
        <w:t>and safeguard staff health and safety</w:t>
      </w:r>
      <w:r w:rsidR="008D5255">
        <w:t xml:space="preserve">; </w:t>
      </w:r>
      <w:r w:rsidR="00A31D15">
        <w:t xml:space="preserve">and </w:t>
      </w:r>
      <w:r w:rsidR="009540FC">
        <w:t>(ii</w:t>
      </w:r>
      <w:r w:rsidR="00A31D15">
        <w:t>i</w:t>
      </w:r>
      <w:r w:rsidR="009540FC">
        <w:t xml:space="preserve">) </w:t>
      </w:r>
      <w:r w:rsidR="00A31D15">
        <w:t xml:space="preserve">mitigating impact </w:t>
      </w:r>
      <w:r w:rsidR="009540FC">
        <w:t>at programme level.</w:t>
      </w:r>
    </w:p>
    <w:p w14:paraId="445625D5" w14:textId="1D50D9C8" w:rsidR="009540FC" w:rsidRDefault="009540FC" w:rsidP="00790AD5">
      <w:pPr>
        <w:pStyle w:val="ListParagraph"/>
        <w:numPr>
          <w:ilvl w:val="0"/>
          <w:numId w:val="58"/>
        </w:numPr>
        <w:jc w:val="both"/>
      </w:pPr>
      <w:r w:rsidRPr="009540FC">
        <w:rPr>
          <w:i/>
          <w:iCs/>
        </w:rPr>
        <w:t>Overall contribution of UNDP to the UN-system response to Covid-19 in Angola</w:t>
      </w:r>
      <w:r>
        <w:t xml:space="preserve"> </w:t>
      </w:r>
    </w:p>
    <w:p w14:paraId="1BC615E6" w14:textId="64D3E19F" w:rsidR="00A31D15" w:rsidRDefault="009540FC" w:rsidP="000E6607">
      <w:pPr>
        <w:jc w:val="both"/>
      </w:pPr>
      <w:r>
        <w:t>T</w:t>
      </w:r>
      <w:r w:rsidR="00F407B2">
        <w:t xml:space="preserve">he UN system in Angola led by the UN Resident Coordinator in June 2020, formulated the UN Socio-Economic Response &amp; Recovery Framework COVID-19 in Angola. </w:t>
      </w:r>
      <w:r w:rsidR="003F2815">
        <w:t>UNDP was the technical lead to devise the UN</w:t>
      </w:r>
      <w:r w:rsidR="00A27D78">
        <w:t xml:space="preserve"> </w:t>
      </w:r>
      <w:r w:rsidR="003F2815">
        <w:t>system</w:t>
      </w:r>
      <w:r w:rsidR="00A27D78">
        <w:t>-</w:t>
      </w:r>
      <w:r w:rsidR="003F2815">
        <w:t>wide response</w:t>
      </w:r>
      <w:r w:rsidR="00F407B2">
        <w:t xml:space="preserve">. </w:t>
      </w:r>
      <w:r w:rsidR="00A27D78">
        <w:t xml:space="preserve">UNDP also </w:t>
      </w:r>
      <w:r w:rsidR="00F407B2">
        <w:t>in direct response to the pandemic, designed and is implementing a project “</w:t>
      </w:r>
      <w:r w:rsidR="00F407B2" w:rsidRPr="00F407B2">
        <w:t>Building back better post COVID-19. Enhancing skill development and job creation for the youth in Angola</w:t>
      </w:r>
      <w:r w:rsidR="00F407B2">
        <w:t>”.</w:t>
      </w:r>
      <w:r w:rsidR="000E6607">
        <w:t xml:space="preserve"> The project funded by Norway for US$ 512,630, is being jointly implemented with UNICEF and covers the period January 2021</w:t>
      </w:r>
      <w:r w:rsidR="00A27D78">
        <w:t>-</w:t>
      </w:r>
      <w:r w:rsidR="000E6607">
        <w:t>July 2022, and aims to enhance skill development to foster employment opportunities for Angolan youth in the peri-urban areas of the municipality of Cazenga, Luanda, through the promotion of quality Technical and Vocational Education and Training (TVET), youth employment and entrepreneurship, and youth engagement.</w:t>
      </w:r>
      <w:r w:rsidR="008E75FE">
        <w:t xml:space="preserve"> </w:t>
      </w:r>
      <w:r w:rsidR="00B80742">
        <w:rPr>
          <w:lang w:val="en-US"/>
        </w:rPr>
        <w:t xml:space="preserve">Under the governance programme, a new project </w:t>
      </w:r>
      <w:r w:rsidR="00A27D78">
        <w:rPr>
          <w:lang w:val="en-US"/>
        </w:rPr>
        <w:t>– “</w:t>
      </w:r>
      <w:r w:rsidR="0054479F" w:rsidRPr="0054479F">
        <w:rPr>
          <w:lang w:val="en-US"/>
        </w:rPr>
        <w:t>Support for Safe Functioning of Informal/Local Markets</w:t>
      </w:r>
      <w:r w:rsidR="00A27D78">
        <w:rPr>
          <w:lang w:val="en-US"/>
        </w:rPr>
        <w:t>” -</w:t>
      </w:r>
      <w:r w:rsidR="0054479F">
        <w:rPr>
          <w:lang w:val="en-US"/>
        </w:rPr>
        <w:t xml:space="preserve"> </w:t>
      </w:r>
      <w:r w:rsidR="00B80742">
        <w:rPr>
          <w:lang w:val="en-US"/>
        </w:rPr>
        <w:t>was des</w:t>
      </w:r>
      <w:r w:rsidR="008309C7">
        <w:rPr>
          <w:lang w:val="en-US"/>
        </w:rPr>
        <w:t>i</w:t>
      </w:r>
      <w:r w:rsidR="00B80742">
        <w:rPr>
          <w:lang w:val="en-US"/>
        </w:rPr>
        <w:t xml:space="preserve">gned as </w:t>
      </w:r>
      <w:r w:rsidR="00B80742" w:rsidRPr="00B80742">
        <w:t>a</w:t>
      </w:r>
      <w:r w:rsidR="00B80742">
        <w:t xml:space="preserve"> </w:t>
      </w:r>
      <w:r w:rsidR="00B80742" w:rsidRPr="008309C7">
        <w:t>direct</w:t>
      </w:r>
      <w:r w:rsidR="008309C7">
        <w:t xml:space="preserve"> </w:t>
      </w:r>
      <w:r w:rsidR="00B80742" w:rsidRPr="008309C7">
        <w:t>re</w:t>
      </w:r>
      <w:r w:rsidR="008309C7">
        <w:t>s</w:t>
      </w:r>
      <w:r w:rsidR="00E477D8" w:rsidRPr="008309C7">
        <w:t>pon</w:t>
      </w:r>
      <w:r w:rsidR="008309C7">
        <w:t>s</w:t>
      </w:r>
      <w:r w:rsidR="008309C7" w:rsidRPr="008309C7">
        <w:t>e</w:t>
      </w:r>
      <w:r w:rsidR="008309C7">
        <w:t xml:space="preserve"> to Covid</w:t>
      </w:r>
      <w:r w:rsidR="00A27D78">
        <w:t>-</w:t>
      </w:r>
      <w:r w:rsidR="008309C7">
        <w:t>19</w:t>
      </w:r>
      <w:r w:rsidR="0054479F">
        <w:t xml:space="preserve">. </w:t>
      </w:r>
      <w:r w:rsidR="0054479F" w:rsidRPr="0054479F">
        <w:t>It is an example of programmatic adjustment. Nonetheless, there were the same challenges of implementation as above, which became more relaxed in 2021.</w:t>
      </w:r>
      <w:r w:rsidR="0054479F">
        <w:t xml:space="preserve"> </w:t>
      </w:r>
      <w:r w:rsidR="0054479F" w:rsidRPr="0054479F">
        <w:t>Locally based resources were utilized to facilitate implementation and avoid intra</w:t>
      </w:r>
      <w:r w:rsidR="00A27D78">
        <w:t>-</w:t>
      </w:r>
      <w:r w:rsidR="0054479F" w:rsidRPr="0054479F">
        <w:t>border travel hindrances. For example, market administrators were given responsibility for oversight of execution, with an arms-length support from project team. Working meetings were mostly held online.</w:t>
      </w:r>
      <w:r w:rsidR="008309C7">
        <w:t xml:space="preserve"> </w:t>
      </w:r>
      <w:r w:rsidR="00B80742">
        <w:t xml:space="preserve"> </w:t>
      </w:r>
    </w:p>
    <w:p w14:paraId="35298318" w14:textId="74C33B0C" w:rsidR="00A31D15" w:rsidRPr="00A31D15" w:rsidRDefault="00A31D15" w:rsidP="00790AD5">
      <w:pPr>
        <w:pStyle w:val="ListParagraph"/>
        <w:numPr>
          <w:ilvl w:val="0"/>
          <w:numId w:val="58"/>
        </w:numPr>
        <w:jc w:val="both"/>
        <w:rPr>
          <w:i/>
          <w:iCs/>
        </w:rPr>
      </w:pPr>
      <w:r w:rsidRPr="00A31D15">
        <w:rPr>
          <w:i/>
          <w:iCs/>
        </w:rPr>
        <w:t>internal office arrangements to minimize impact on the functioning of the office and safeguarding staff health and safety</w:t>
      </w:r>
    </w:p>
    <w:p w14:paraId="6865C8D8" w14:textId="4393D305" w:rsidR="009540FC" w:rsidRDefault="00A31D15" w:rsidP="00F407B2">
      <w:pPr>
        <w:jc w:val="both"/>
        <w:rPr>
          <w:rFonts w:cstheme="minorHAnsi"/>
        </w:rPr>
      </w:pPr>
      <w:r>
        <w:rPr>
          <w:rFonts w:cstheme="minorHAnsi"/>
        </w:rPr>
        <w:t xml:space="preserve">The Country Office </w:t>
      </w:r>
      <w:r w:rsidR="009540FC" w:rsidRPr="009540FC">
        <w:rPr>
          <w:rFonts w:cstheme="minorHAnsi"/>
        </w:rPr>
        <w:t xml:space="preserve">went on full telecommuting and provided staff with working conditions (modems for those who did not have internet at home, reimbursement of internet charges). </w:t>
      </w:r>
      <w:r>
        <w:rPr>
          <w:rFonts w:cstheme="minorHAnsi"/>
        </w:rPr>
        <w:t>The office</w:t>
      </w:r>
      <w:r w:rsidR="009540FC" w:rsidRPr="009540FC">
        <w:rPr>
          <w:rFonts w:cstheme="minorHAnsi"/>
        </w:rPr>
        <w:t xml:space="preserve"> also provided for PPE for staff and dependents (masks, thermometers, sanitizers), </w:t>
      </w:r>
      <w:r>
        <w:rPr>
          <w:rFonts w:cstheme="minorHAnsi"/>
        </w:rPr>
        <w:t>and</w:t>
      </w:r>
      <w:r w:rsidR="009540FC" w:rsidRPr="009540FC">
        <w:rPr>
          <w:rFonts w:cstheme="minorHAnsi"/>
        </w:rPr>
        <w:t xml:space="preserve"> ensured that the UN/W</w:t>
      </w:r>
      <w:r>
        <w:rPr>
          <w:rFonts w:cstheme="minorHAnsi"/>
        </w:rPr>
        <w:t>HO</w:t>
      </w:r>
      <w:r w:rsidR="009540FC" w:rsidRPr="009540FC">
        <w:rPr>
          <w:rFonts w:cstheme="minorHAnsi"/>
        </w:rPr>
        <w:t xml:space="preserve"> protocol for COVID19 was implemented when </w:t>
      </w:r>
      <w:r w:rsidR="00841752">
        <w:rPr>
          <w:rFonts w:cstheme="minorHAnsi"/>
        </w:rPr>
        <w:t>there were</w:t>
      </w:r>
      <w:r w:rsidR="009540FC" w:rsidRPr="009540FC">
        <w:rPr>
          <w:rFonts w:cstheme="minorHAnsi"/>
        </w:rPr>
        <w:t xml:space="preserve"> cases among staff and dependents.</w:t>
      </w:r>
      <w:r>
        <w:rPr>
          <w:rFonts w:cstheme="minorHAnsi"/>
        </w:rPr>
        <w:t xml:space="preserve"> Staff were also afforded the opportunity to be vaccinated.</w:t>
      </w:r>
    </w:p>
    <w:p w14:paraId="2CFBDEEC" w14:textId="1A4DB071" w:rsidR="008E75FE" w:rsidRPr="008E75FE" w:rsidRDefault="008E75FE" w:rsidP="00790AD5">
      <w:pPr>
        <w:pStyle w:val="ListParagraph"/>
        <w:numPr>
          <w:ilvl w:val="0"/>
          <w:numId w:val="58"/>
        </w:numPr>
        <w:jc w:val="both"/>
        <w:rPr>
          <w:i/>
          <w:iCs/>
        </w:rPr>
      </w:pPr>
      <w:r w:rsidRPr="008E75FE">
        <w:rPr>
          <w:i/>
          <w:iCs/>
        </w:rPr>
        <w:t>mitigating impact at programme level</w:t>
      </w:r>
    </w:p>
    <w:p w14:paraId="3FAE3563" w14:textId="1E7B3C60" w:rsidR="00C344DD" w:rsidRDefault="00A31D15" w:rsidP="00F407B2">
      <w:pPr>
        <w:jc w:val="both"/>
      </w:pPr>
      <w:r>
        <w:t>At programme level,</w:t>
      </w:r>
      <w:r w:rsidR="00F407B2">
        <w:t xml:space="preserve"> the UNDP Country Office took a number of measures to mitigate the negative impacts on programme delivery</w:t>
      </w:r>
      <w:r w:rsidR="00911DAC">
        <w:t xml:space="preserve"> in all programme clusters</w:t>
      </w:r>
      <w:r w:rsidR="00F407B2">
        <w:t>.</w:t>
      </w:r>
      <w:r w:rsidR="000E6607">
        <w:t xml:space="preserve"> The </w:t>
      </w:r>
      <w:r w:rsidR="00911DAC">
        <w:t xml:space="preserve">common </w:t>
      </w:r>
      <w:r w:rsidR="000E6607">
        <w:t>measures included</w:t>
      </w:r>
      <w:r w:rsidR="00A27D78">
        <w:t>:</w:t>
      </w:r>
      <w:r w:rsidR="000E6607">
        <w:t xml:space="preserve"> </w:t>
      </w:r>
      <w:r w:rsidR="000E6607" w:rsidRPr="000E6607">
        <w:t>introduc</w:t>
      </w:r>
      <w:r w:rsidR="000E6607">
        <w:t>ing</w:t>
      </w:r>
      <w:r w:rsidR="000E6607" w:rsidRPr="000E6607">
        <w:t xml:space="preserve"> innovative solutions to deliver training and courses for most of </w:t>
      </w:r>
      <w:r w:rsidR="00841752">
        <w:t>beneficiaries</w:t>
      </w:r>
      <w:r w:rsidR="000E6607" w:rsidRPr="000E6607">
        <w:t xml:space="preserve"> and trainer of trainers</w:t>
      </w:r>
      <w:r w:rsidR="00A27D78">
        <w:t>;</w:t>
      </w:r>
      <w:r w:rsidR="000E6607">
        <w:t xml:space="preserve"> </w:t>
      </w:r>
      <w:r w:rsidR="000E6607" w:rsidRPr="000E6607">
        <w:t>wider used of digital services to conduct consultations and regional workshops</w:t>
      </w:r>
      <w:r w:rsidR="00A27D78">
        <w:t>; and</w:t>
      </w:r>
      <w:r w:rsidR="000E6607">
        <w:t xml:space="preserve"> reprogramming of resources for 2022</w:t>
      </w:r>
      <w:r w:rsidR="00322252">
        <w:t>.</w:t>
      </w:r>
      <w:r w:rsidR="00841752">
        <w:t xml:space="preserve"> Specifically, the responses at programme level included the following:</w:t>
      </w:r>
    </w:p>
    <w:p w14:paraId="10E9BF00" w14:textId="3008006C" w:rsidR="00841752" w:rsidRPr="00675CB2" w:rsidRDefault="00911DAC" w:rsidP="00675CB2">
      <w:pPr>
        <w:jc w:val="both"/>
        <w:rPr>
          <w:rFonts w:ascii="Calibri" w:eastAsia="Times New Roman" w:hAnsi="Calibri" w:cs="Calibri"/>
          <w:color w:val="000000"/>
          <w:lang w:eastAsia="pt-PT"/>
        </w:rPr>
      </w:pPr>
      <w:r>
        <w:t>Given the specific nature of HIV, TB and Malaria, a</w:t>
      </w:r>
      <w:r w:rsidR="00322252">
        <w:t xml:space="preserve"> number of mitigation measures were taken. These included the following</w:t>
      </w:r>
      <w:r w:rsidR="008E75FE">
        <w:t xml:space="preserve">: </w:t>
      </w:r>
      <w:r w:rsidR="00A27D78" w:rsidRPr="00675CB2">
        <w:rPr>
          <w:rFonts w:eastAsia="Times New Roman" w:cstheme="minorHAnsi"/>
          <w:color w:val="000000"/>
          <w:lang w:eastAsia="pt-PT"/>
        </w:rPr>
        <w:t>e</w:t>
      </w:r>
      <w:r w:rsidR="00322252" w:rsidRPr="00675CB2">
        <w:rPr>
          <w:rFonts w:eastAsia="Times New Roman" w:cstheme="minorHAnsi"/>
          <w:color w:val="000000"/>
          <w:lang w:eastAsia="pt-PT"/>
        </w:rPr>
        <w:t>nsur</w:t>
      </w:r>
      <w:r w:rsidR="00A27D78" w:rsidRPr="00675CB2">
        <w:rPr>
          <w:rFonts w:eastAsia="Times New Roman" w:cstheme="minorHAnsi"/>
          <w:color w:val="000000"/>
          <w:lang w:eastAsia="pt-PT"/>
        </w:rPr>
        <w:t>ing</w:t>
      </w:r>
      <w:r w:rsidR="00322252" w:rsidRPr="00675CB2">
        <w:rPr>
          <w:rFonts w:eastAsia="Times New Roman" w:cstheme="minorHAnsi"/>
          <w:color w:val="000000"/>
          <w:lang w:eastAsia="pt-PT"/>
        </w:rPr>
        <w:t xml:space="preserve"> the realization of Viral Load and DPI in the provinces where this strategy is already implemented, ensure the continuity of AT, ART, and HIV prevention services in the acute phase of COVID-19</w:t>
      </w:r>
      <w:r w:rsidR="00A27D78" w:rsidRPr="00675CB2">
        <w:rPr>
          <w:rFonts w:eastAsia="Times New Roman" w:cstheme="minorHAnsi"/>
          <w:color w:val="000000"/>
          <w:lang w:eastAsia="pt-PT"/>
        </w:rPr>
        <w:t xml:space="preserve">; </w:t>
      </w:r>
      <w:r w:rsidR="00322252" w:rsidRPr="00675CB2">
        <w:rPr>
          <w:rFonts w:eastAsia="Times New Roman" w:cstheme="minorHAnsi"/>
          <w:color w:val="000000"/>
          <w:lang w:eastAsia="pt-PT"/>
        </w:rPr>
        <w:t>ensur</w:t>
      </w:r>
      <w:r w:rsidR="00A27D78" w:rsidRPr="00675CB2">
        <w:rPr>
          <w:rFonts w:eastAsia="Times New Roman" w:cstheme="minorHAnsi"/>
          <w:color w:val="000000"/>
          <w:lang w:eastAsia="pt-PT"/>
        </w:rPr>
        <w:t>ing</w:t>
      </w:r>
      <w:r w:rsidR="00322252" w:rsidRPr="00675CB2">
        <w:rPr>
          <w:rFonts w:eastAsia="Times New Roman" w:cstheme="minorHAnsi"/>
          <w:color w:val="000000"/>
          <w:lang w:eastAsia="pt-PT"/>
        </w:rPr>
        <w:t xml:space="preserve"> the availability of technicians for the diagnosis and treatment of HIV in the US</w:t>
      </w:r>
      <w:r w:rsidR="00A27D78" w:rsidRPr="00675CB2">
        <w:rPr>
          <w:rFonts w:eastAsia="Times New Roman" w:cstheme="minorHAnsi"/>
          <w:color w:val="000000"/>
          <w:lang w:eastAsia="pt-PT"/>
        </w:rPr>
        <w:t xml:space="preserve">; </w:t>
      </w:r>
      <w:r w:rsidR="00322252" w:rsidRPr="00675CB2">
        <w:rPr>
          <w:rFonts w:eastAsia="Times New Roman" w:cstheme="minorHAnsi"/>
          <w:color w:val="000000"/>
          <w:lang w:eastAsia="pt-PT"/>
        </w:rPr>
        <w:lastRenderedPageBreak/>
        <w:t>diagnosis and care for all TB cases</w:t>
      </w:r>
      <w:r w:rsidR="00A27D78" w:rsidRPr="00675CB2">
        <w:rPr>
          <w:rFonts w:eastAsia="Times New Roman" w:cstheme="minorHAnsi"/>
          <w:color w:val="000000"/>
          <w:lang w:eastAsia="pt-PT"/>
        </w:rPr>
        <w:t xml:space="preserve">; </w:t>
      </w:r>
      <w:r w:rsidR="00322252" w:rsidRPr="00675CB2">
        <w:rPr>
          <w:rFonts w:eastAsia="Times New Roman" w:cstheme="minorHAnsi"/>
          <w:color w:val="000000"/>
          <w:lang w:eastAsia="pt-PT"/>
        </w:rPr>
        <w:t>biosecurity of health technicians and patients at the level of the HU that care for TB cases</w:t>
      </w:r>
      <w:r w:rsidR="00A27D78" w:rsidRPr="00675CB2">
        <w:rPr>
          <w:rFonts w:eastAsia="Times New Roman" w:cstheme="minorHAnsi"/>
          <w:color w:val="000000"/>
          <w:lang w:eastAsia="pt-PT"/>
        </w:rPr>
        <w:t>;</w:t>
      </w:r>
      <w:r w:rsidR="00322252" w:rsidRPr="00675CB2">
        <w:rPr>
          <w:rFonts w:eastAsia="Times New Roman" w:cstheme="minorHAnsi"/>
          <w:color w:val="000000"/>
          <w:lang w:eastAsia="pt-PT"/>
        </w:rPr>
        <w:t xml:space="preserve"> and adaptation of communication to the context of COVID-19.</w:t>
      </w:r>
      <w:r w:rsidR="008E75FE">
        <w:t xml:space="preserve"> Other measures included: </w:t>
      </w:r>
      <w:r w:rsidR="00322252">
        <w:t>r</w:t>
      </w:r>
      <w:r w:rsidR="00322252" w:rsidRPr="004C2A1F">
        <w:t>econnect</w:t>
      </w:r>
      <w:r w:rsidR="00A27D78">
        <w:t>ing</w:t>
      </w:r>
      <w:r w:rsidR="00322252" w:rsidRPr="004C2A1F">
        <w:t xml:space="preserve"> with </w:t>
      </w:r>
      <w:r w:rsidR="00322252">
        <w:t>WSW</w:t>
      </w:r>
      <w:r w:rsidR="00322252" w:rsidRPr="004C2A1F">
        <w:t>s, integrate COVID-19 messages into outreach activities</w:t>
      </w:r>
      <w:r w:rsidR="00A27D78">
        <w:t>:</w:t>
      </w:r>
      <w:r w:rsidR="00322252" w:rsidRPr="004C2A1F">
        <w:t xml:space="preserve"> purchase </w:t>
      </w:r>
      <w:r w:rsidR="00A27D78">
        <w:t xml:space="preserve">of </w:t>
      </w:r>
      <w:r w:rsidR="00322252" w:rsidRPr="004C2A1F">
        <w:t xml:space="preserve">PPE for extension workers, offer the complete minimum HIV prevention package to </w:t>
      </w:r>
      <w:r w:rsidR="00322252">
        <w:t>WSWs,</w:t>
      </w:r>
      <w:r w:rsidR="00322252" w:rsidRPr="004C2A1F">
        <w:t xml:space="preserve"> MSM and AGYW during their connection to HIV, STD services, FP, GBV and medical check-up</w:t>
      </w:r>
      <w:r w:rsidR="00A27D78">
        <w:t>; i</w:t>
      </w:r>
      <w:r w:rsidR="00322252" w:rsidRPr="004C2A1F">
        <w:t xml:space="preserve">ncreased frequency of contact with </w:t>
      </w:r>
      <w:r w:rsidR="00322252">
        <w:t>WSWs</w:t>
      </w:r>
      <w:r w:rsidR="00322252" w:rsidRPr="004C2A1F">
        <w:t xml:space="preserve"> as controls</w:t>
      </w:r>
      <w:r w:rsidR="00322252">
        <w:t xml:space="preserve"> started reducing</w:t>
      </w:r>
      <w:r w:rsidR="00322252" w:rsidRPr="004C2A1F">
        <w:t>, especially the treatment group, to ensure they remain in treatment.</w:t>
      </w:r>
      <w:r w:rsidR="00322252">
        <w:t xml:space="preserve"> c</w:t>
      </w:r>
      <w:r w:rsidR="00322252" w:rsidRPr="00675CB2">
        <w:rPr>
          <w:rFonts w:cstheme="minorHAnsi"/>
        </w:rPr>
        <w:t>arry out monitoring and evaluation of the HIV/AIDS program</w:t>
      </w:r>
      <w:r w:rsidR="00A27D78" w:rsidRPr="00675CB2">
        <w:rPr>
          <w:rFonts w:cstheme="minorHAnsi"/>
        </w:rPr>
        <w:t>;</w:t>
      </w:r>
      <w:r w:rsidR="00322252" w:rsidRPr="00675CB2">
        <w:rPr>
          <w:rFonts w:cstheme="minorHAnsi"/>
        </w:rPr>
        <w:t xml:space="preserve"> ensur</w:t>
      </w:r>
      <w:r w:rsidR="00A27D78" w:rsidRPr="00675CB2">
        <w:rPr>
          <w:rFonts w:cstheme="minorHAnsi"/>
        </w:rPr>
        <w:t>ing</w:t>
      </w:r>
      <w:r w:rsidR="00322252" w:rsidRPr="00675CB2">
        <w:rPr>
          <w:rFonts w:cstheme="minorHAnsi"/>
        </w:rPr>
        <w:t xml:space="preserve"> the continuity of AT, ART and HIV prevention services in the acute phase of COVID-19</w:t>
      </w:r>
      <w:r w:rsidR="00A27D78" w:rsidRPr="00675CB2">
        <w:rPr>
          <w:rFonts w:cstheme="minorHAnsi"/>
        </w:rPr>
        <w:t xml:space="preserve">; </w:t>
      </w:r>
      <w:r w:rsidR="00322252" w:rsidRPr="00675CB2">
        <w:rPr>
          <w:rFonts w:cstheme="minorHAnsi"/>
        </w:rPr>
        <w:t>ensur</w:t>
      </w:r>
      <w:r w:rsidR="00A27D78" w:rsidRPr="00675CB2">
        <w:rPr>
          <w:rFonts w:cstheme="minorHAnsi"/>
        </w:rPr>
        <w:t>ing</w:t>
      </w:r>
      <w:r w:rsidR="00322252" w:rsidRPr="00675CB2">
        <w:rPr>
          <w:rFonts w:cstheme="minorHAnsi"/>
        </w:rPr>
        <w:t xml:space="preserve"> the availability of technicians for the diagnosis and treatment of HIV in the US</w:t>
      </w:r>
      <w:r w:rsidR="00B86125" w:rsidRPr="00675CB2">
        <w:rPr>
          <w:rFonts w:cstheme="minorHAnsi"/>
        </w:rPr>
        <w:t>, d</w:t>
      </w:r>
      <w:r w:rsidR="00322252" w:rsidRPr="00675CB2">
        <w:rPr>
          <w:rFonts w:cstheme="minorHAnsi"/>
        </w:rPr>
        <w:t>iagnosis and care for all TB cases</w:t>
      </w:r>
      <w:r w:rsidR="00A27D78" w:rsidRPr="00675CB2">
        <w:rPr>
          <w:rFonts w:cstheme="minorHAnsi"/>
        </w:rPr>
        <w:t xml:space="preserve">; </w:t>
      </w:r>
      <w:r w:rsidR="00B86125" w:rsidRPr="00675CB2">
        <w:rPr>
          <w:rFonts w:cstheme="minorHAnsi"/>
        </w:rPr>
        <w:t>b</w:t>
      </w:r>
      <w:r w:rsidR="00322252" w:rsidRPr="00675CB2">
        <w:rPr>
          <w:rFonts w:cstheme="minorHAnsi"/>
        </w:rPr>
        <w:t>iosecurity of health technicians and patients at the level of the HU who care for TB cases</w:t>
      </w:r>
      <w:r w:rsidR="00B86125" w:rsidRPr="00675CB2">
        <w:rPr>
          <w:rFonts w:cstheme="minorHAnsi"/>
        </w:rPr>
        <w:t>, a</w:t>
      </w:r>
      <w:r w:rsidR="00322252" w:rsidRPr="00675CB2">
        <w:rPr>
          <w:rFonts w:eastAsia="Times New Roman" w:cstheme="minorHAnsi"/>
          <w:color w:val="000000"/>
          <w:lang w:eastAsia="pt-PT"/>
        </w:rPr>
        <w:t>daptação da comunicação ao contexto da COVID-19.</w:t>
      </w:r>
      <w:r w:rsidR="008E75FE">
        <w:t xml:space="preserve"> Under the strengthening of the national health procurement system, </w:t>
      </w:r>
      <w:r w:rsidR="00B86125">
        <w:t>PSM supervision</w:t>
      </w:r>
      <w:r w:rsidR="008E75FE">
        <w:t xml:space="preserve"> missions were undertaken</w:t>
      </w:r>
      <w:r w:rsidR="00B86125">
        <w:t xml:space="preserve"> to</w:t>
      </w:r>
      <w:r w:rsidR="008E75FE">
        <w:t>:</w:t>
      </w:r>
      <w:r w:rsidR="00B86125">
        <w:t xml:space="preserve"> </w:t>
      </w:r>
      <w:r w:rsidR="008E75FE">
        <w:t>a</w:t>
      </w:r>
      <w:r w:rsidR="00B86125">
        <w:t>) assess stock status at provincial and health facility level</w:t>
      </w:r>
      <w:r w:rsidR="008E75FE">
        <w:t>;</w:t>
      </w:r>
      <w:r w:rsidR="00B86125">
        <w:t xml:space="preserve"> </w:t>
      </w:r>
      <w:r w:rsidR="008E75FE">
        <w:t>b</w:t>
      </w:r>
      <w:r w:rsidR="00B86125">
        <w:t>) resolve distribution constraints</w:t>
      </w:r>
      <w:r w:rsidR="008E75FE">
        <w:t>;</w:t>
      </w:r>
      <w:r w:rsidR="00B86125">
        <w:t xml:space="preserve"> </w:t>
      </w:r>
      <w:r w:rsidR="008E75FE">
        <w:t>c</w:t>
      </w:r>
      <w:r w:rsidR="00B86125">
        <w:t>) determine real needs on the ground</w:t>
      </w:r>
      <w:r w:rsidR="008E75FE">
        <w:t>; d</w:t>
      </w:r>
      <w:r w:rsidR="00B86125">
        <w:t>) carry out in-service training, in terms of supply management and inventory of provincial, municipal and health facility employees</w:t>
      </w:r>
      <w:r w:rsidR="00A27D78">
        <w:t>; e</w:t>
      </w:r>
      <w:r w:rsidR="00B86125">
        <w:t>nsur</w:t>
      </w:r>
      <w:r w:rsidR="00A27D78">
        <w:t>ing</w:t>
      </w:r>
      <w:r w:rsidR="00B86125">
        <w:t xml:space="preserve"> protective materials for personnel involved in the prevention and diagnosis of malaria</w:t>
      </w:r>
      <w:r w:rsidR="00A27D78">
        <w:t>; and e</w:t>
      </w:r>
      <w:r w:rsidR="00B86125">
        <w:t>nsur</w:t>
      </w:r>
      <w:r w:rsidR="00A27D78">
        <w:t>ing</w:t>
      </w:r>
      <w:r w:rsidR="00B86125">
        <w:t xml:space="preserve"> the availability of technicians for the diagnosis and treatment of HIV in the US.</w:t>
      </w:r>
      <w:r w:rsidR="008E75FE">
        <w:t xml:space="preserve"> </w:t>
      </w:r>
      <w:r w:rsidR="00B86125" w:rsidRPr="00675CB2">
        <w:rPr>
          <w:rFonts w:eastAsia="Times New Roman" w:cstheme="minorHAnsi"/>
          <w:color w:val="000000"/>
          <w:lang w:eastAsia="pt-PT"/>
        </w:rPr>
        <w:t xml:space="preserve">Overall, these actions were judged adequate </w:t>
      </w:r>
      <w:r w:rsidR="00B86125" w:rsidRPr="00675CB2">
        <w:rPr>
          <w:rFonts w:ascii="Calibri" w:eastAsia="Times New Roman" w:hAnsi="Calibri" w:cs="Calibri"/>
          <w:color w:val="000000"/>
          <w:lang w:eastAsia="pt-PT"/>
        </w:rPr>
        <w:t>as it is contributing significantly to the control of the expansion of this disease in each province and throughout the country.</w:t>
      </w:r>
    </w:p>
    <w:p w14:paraId="597D976D" w14:textId="129A169E" w:rsidR="008F627E" w:rsidRDefault="00FD00B9" w:rsidP="008F627E">
      <w:pPr>
        <w:pStyle w:val="Heading2"/>
        <w:rPr>
          <w:rFonts w:asciiTheme="minorHAnsi" w:hAnsiTheme="minorHAnsi" w:cstheme="minorHAnsi"/>
          <w:sz w:val="22"/>
          <w:szCs w:val="22"/>
        </w:rPr>
      </w:pPr>
      <w:bookmarkStart w:id="61" w:name="_Toc88741809"/>
      <w:r>
        <w:rPr>
          <w:rFonts w:asciiTheme="minorHAnsi" w:hAnsiTheme="minorHAnsi" w:cstheme="minorHAnsi"/>
          <w:sz w:val="22"/>
          <w:szCs w:val="22"/>
        </w:rPr>
        <w:t>4</w:t>
      </w:r>
      <w:r w:rsidR="008F627E" w:rsidRPr="008F627E">
        <w:rPr>
          <w:rFonts w:asciiTheme="minorHAnsi" w:hAnsiTheme="minorHAnsi" w:cstheme="minorHAnsi"/>
          <w:sz w:val="22"/>
          <w:szCs w:val="22"/>
        </w:rPr>
        <w:t>.</w:t>
      </w:r>
      <w:r w:rsidR="00767654">
        <w:rPr>
          <w:rFonts w:asciiTheme="minorHAnsi" w:hAnsiTheme="minorHAnsi" w:cstheme="minorHAnsi"/>
          <w:sz w:val="22"/>
          <w:szCs w:val="22"/>
        </w:rPr>
        <w:t>6</w:t>
      </w:r>
      <w:r w:rsidR="008F627E" w:rsidRPr="008F627E">
        <w:rPr>
          <w:rFonts w:asciiTheme="minorHAnsi" w:hAnsiTheme="minorHAnsi" w:cstheme="minorHAnsi"/>
          <w:sz w:val="22"/>
          <w:szCs w:val="22"/>
        </w:rPr>
        <w:t xml:space="preserve"> Cross-cutting Themes</w:t>
      </w:r>
      <w:bookmarkEnd w:id="61"/>
    </w:p>
    <w:p w14:paraId="55F32C0F" w14:textId="19545AD9" w:rsidR="008F627E" w:rsidRDefault="008A0042" w:rsidP="008A0042">
      <w:pPr>
        <w:jc w:val="both"/>
      </w:pPr>
      <w:r>
        <w:t>The main cross cutting themes assessed by the evaluation were gender, capacity development and innovation. The findings are summarized below.</w:t>
      </w:r>
    </w:p>
    <w:p w14:paraId="07FAE3CC" w14:textId="5216780D" w:rsidR="008F627E" w:rsidRPr="008F627E" w:rsidRDefault="008F627E" w:rsidP="00790AD5">
      <w:pPr>
        <w:pStyle w:val="Heading3"/>
        <w:numPr>
          <w:ilvl w:val="2"/>
          <w:numId w:val="54"/>
        </w:numPr>
        <w:rPr>
          <w:rFonts w:asciiTheme="minorHAnsi" w:hAnsiTheme="minorHAnsi" w:cstheme="minorHAnsi"/>
          <w:sz w:val="22"/>
          <w:szCs w:val="22"/>
        </w:rPr>
      </w:pPr>
      <w:bookmarkStart w:id="62" w:name="_Toc88741810"/>
      <w:r w:rsidRPr="008F627E">
        <w:rPr>
          <w:rFonts w:asciiTheme="minorHAnsi" w:hAnsiTheme="minorHAnsi" w:cstheme="minorHAnsi"/>
          <w:sz w:val="22"/>
          <w:szCs w:val="22"/>
        </w:rPr>
        <w:t>Gender</w:t>
      </w:r>
      <w:bookmarkEnd w:id="62"/>
    </w:p>
    <w:p w14:paraId="2F9E65E3" w14:textId="56BEE913" w:rsidR="00BD3E8A" w:rsidRDefault="003C3027" w:rsidP="0040237B">
      <w:pPr>
        <w:pStyle w:val="NoSpacing"/>
        <w:jc w:val="both"/>
        <w:rPr>
          <w:rFonts w:eastAsia="Times New Roman"/>
        </w:rPr>
      </w:pPr>
      <w:r>
        <w:t>UNDP has gender as a central cross-cutting concern and across all the three programme clusters/outcomes</w:t>
      </w:r>
      <w:r w:rsidR="0044044C">
        <w:t xml:space="preserve"> of the CPD</w:t>
      </w:r>
      <w:r>
        <w:t xml:space="preserve">. UNDP CO has taken measures to strengthen gender and women’s empowerment by recruiting a gender expert. It has recently also been designated as a “Gender Seal” Country Office in August 2021. This is a welcome development but it is still at an early stage. </w:t>
      </w:r>
      <w:r w:rsidR="00BD3E8A">
        <w:t xml:space="preserve">So far, the </w:t>
      </w:r>
      <w:r w:rsidR="002E12C4">
        <w:t xml:space="preserve">Country Office </w:t>
      </w:r>
      <w:r w:rsidR="002E12C4">
        <w:rPr>
          <w:rFonts w:eastAsia="Times New Roman"/>
        </w:rPr>
        <w:t>has submitted a self-assessment online to establish a baseline, on October 15 and it is awaiting feedback from the gender seal team at UNDP HQ</w:t>
      </w:r>
      <w:r w:rsidR="0040237B">
        <w:rPr>
          <w:rFonts w:eastAsia="Times New Roman"/>
        </w:rPr>
        <w:t>. A</w:t>
      </w:r>
      <w:r w:rsidR="002E12C4">
        <w:rPr>
          <w:rFonts w:eastAsia="Times New Roman"/>
        </w:rPr>
        <w:t xml:space="preserve"> Gender Focal Team</w:t>
      </w:r>
      <w:r w:rsidR="0040237B">
        <w:rPr>
          <w:rFonts w:eastAsia="Times New Roman"/>
        </w:rPr>
        <w:t xml:space="preserve"> led by the Resident Representative </w:t>
      </w:r>
      <w:r w:rsidR="00C907D5">
        <w:rPr>
          <w:rFonts w:eastAsia="Times New Roman"/>
        </w:rPr>
        <w:t xml:space="preserve">with the Deputy RR as an alternate, </w:t>
      </w:r>
      <w:r w:rsidR="0040237B">
        <w:rPr>
          <w:rFonts w:eastAsia="Times New Roman"/>
        </w:rPr>
        <w:t>has been set up and work has started on developing an Action Plan</w:t>
      </w:r>
      <w:r w:rsidR="002E12C4">
        <w:rPr>
          <w:rFonts w:eastAsia="Times New Roman"/>
        </w:rPr>
        <w:t xml:space="preserve"> to promote and strengthen organizational culture of equality and to meet the standards and integrate gender in all aspects of </w:t>
      </w:r>
      <w:r w:rsidR="0040237B">
        <w:rPr>
          <w:rFonts w:eastAsia="Times New Roman"/>
        </w:rPr>
        <w:t>the Country Office</w:t>
      </w:r>
      <w:r w:rsidR="002E12C4">
        <w:rPr>
          <w:rFonts w:eastAsia="Times New Roman"/>
        </w:rPr>
        <w:t xml:space="preserve"> work</w:t>
      </w:r>
      <w:r w:rsidR="0040237B">
        <w:rPr>
          <w:rFonts w:eastAsia="Times New Roman"/>
        </w:rPr>
        <w:t>.</w:t>
      </w:r>
    </w:p>
    <w:p w14:paraId="1CD4DFA2" w14:textId="77777777" w:rsidR="0040237B" w:rsidRPr="0040237B" w:rsidRDefault="0040237B" w:rsidP="0040237B">
      <w:pPr>
        <w:pStyle w:val="NoSpacing"/>
        <w:jc w:val="both"/>
        <w:rPr>
          <w:rFonts w:eastAsia="Times New Roman"/>
          <w:b/>
          <w:bCs/>
          <w:color w:val="4472C4"/>
          <w:sz w:val="20"/>
          <w:szCs w:val="20"/>
        </w:rPr>
      </w:pPr>
    </w:p>
    <w:p w14:paraId="5E0DC5B0" w14:textId="182B5817" w:rsidR="005D4572" w:rsidRPr="009947B7" w:rsidRDefault="005D4572" w:rsidP="005D4572">
      <w:pPr>
        <w:jc w:val="both"/>
        <w:rPr>
          <w:b/>
          <w:bCs/>
        </w:rPr>
      </w:pPr>
      <w:r w:rsidRPr="009947B7">
        <w:rPr>
          <w:b/>
          <w:bCs/>
        </w:rPr>
        <w:t xml:space="preserve">Finding </w:t>
      </w:r>
      <w:r w:rsidR="003655FB" w:rsidRPr="009947B7">
        <w:rPr>
          <w:b/>
          <w:bCs/>
        </w:rPr>
        <w:t>1</w:t>
      </w:r>
      <w:r w:rsidR="00B355FE">
        <w:rPr>
          <w:b/>
          <w:bCs/>
        </w:rPr>
        <w:t>7</w:t>
      </w:r>
      <w:r w:rsidRPr="009947B7">
        <w:rPr>
          <w:b/>
          <w:bCs/>
        </w:rPr>
        <w:t>: UNDP has</w:t>
      </w:r>
      <w:r w:rsidR="00E379A3">
        <w:rPr>
          <w:b/>
          <w:bCs/>
        </w:rPr>
        <w:t xml:space="preserve"> made efforts to</w:t>
      </w:r>
      <w:r w:rsidRPr="009947B7">
        <w:rPr>
          <w:b/>
          <w:bCs/>
        </w:rPr>
        <w:t xml:space="preserve"> integrate gender into its work both at </w:t>
      </w:r>
      <w:r w:rsidR="0040237B" w:rsidRPr="009947B7">
        <w:rPr>
          <w:b/>
          <w:bCs/>
        </w:rPr>
        <w:t>the Country Office</w:t>
      </w:r>
      <w:r w:rsidRPr="009947B7">
        <w:rPr>
          <w:b/>
          <w:bCs/>
        </w:rPr>
        <w:t xml:space="preserve"> and specific programme level. However, </w:t>
      </w:r>
      <w:r w:rsidR="00AF7CFF">
        <w:rPr>
          <w:b/>
          <w:bCs/>
        </w:rPr>
        <w:t xml:space="preserve">as </w:t>
      </w:r>
      <w:r w:rsidR="00E379A3">
        <w:rPr>
          <w:b/>
          <w:bCs/>
        </w:rPr>
        <w:t>demonstrated by</w:t>
      </w:r>
      <w:r w:rsidR="00AF7CFF">
        <w:rPr>
          <w:b/>
          <w:bCs/>
        </w:rPr>
        <w:t xml:space="preserve"> the </w:t>
      </w:r>
      <w:r w:rsidR="00E379A3">
        <w:rPr>
          <w:b/>
          <w:bCs/>
        </w:rPr>
        <w:t xml:space="preserve">evidence from the </w:t>
      </w:r>
      <w:r w:rsidR="00AF7CFF">
        <w:rPr>
          <w:b/>
          <w:bCs/>
        </w:rPr>
        <w:t xml:space="preserve">Gender Markers, </w:t>
      </w:r>
      <w:r w:rsidR="00E379A3">
        <w:rPr>
          <w:b/>
          <w:bCs/>
        </w:rPr>
        <w:t xml:space="preserve">resources </w:t>
      </w:r>
      <w:r w:rsidR="00AF7CFF">
        <w:rPr>
          <w:b/>
          <w:bCs/>
        </w:rPr>
        <w:t>allocat</w:t>
      </w:r>
      <w:r w:rsidR="00E379A3">
        <w:rPr>
          <w:b/>
          <w:bCs/>
        </w:rPr>
        <w:t>ed are not</w:t>
      </w:r>
      <w:r w:rsidR="00AF7CFF">
        <w:rPr>
          <w:b/>
          <w:bCs/>
        </w:rPr>
        <w:t xml:space="preserve"> sufficient and </w:t>
      </w:r>
      <w:r w:rsidR="00E379A3">
        <w:rPr>
          <w:b/>
          <w:bCs/>
        </w:rPr>
        <w:t xml:space="preserve">UNDP </w:t>
      </w:r>
      <w:r w:rsidR="00AF7CFF">
        <w:rPr>
          <w:b/>
          <w:bCs/>
        </w:rPr>
        <w:t xml:space="preserve">therefore </w:t>
      </w:r>
      <w:r w:rsidR="00E379A3">
        <w:rPr>
          <w:b/>
          <w:bCs/>
        </w:rPr>
        <w:t>should</w:t>
      </w:r>
      <w:r w:rsidR="00AF7CFF">
        <w:rPr>
          <w:b/>
          <w:bCs/>
        </w:rPr>
        <w:t xml:space="preserve"> prioritize resource </w:t>
      </w:r>
      <w:r w:rsidRPr="009947B7">
        <w:rPr>
          <w:b/>
          <w:bCs/>
        </w:rPr>
        <w:t xml:space="preserve">needs </w:t>
      </w:r>
      <w:r w:rsidR="00AF7CFF">
        <w:rPr>
          <w:b/>
          <w:bCs/>
        </w:rPr>
        <w:t>for gender and</w:t>
      </w:r>
      <w:r w:rsidRPr="009947B7">
        <w:rPr>
          <w:b/>
          <w:bCs/>
        </w:rPr>
        <w:t xml:space="preserve"> deepen its engagement to render its actions more transformative.</w:t>
      </w:r>
    </w:p>
    <w:p w14:paraId="58D1A3C4" w14:textId="0C63D92E" w:rsidR="00B51A9A" w:rsidRDefault="00B51A9A" w:rsidP="001B0E84">
      <w:pPr>
        <w:jc w:val="both"/>
      </w:pPr>
      <w:r>
        <w:t>The evaluation assessed integration of gender in two ways: (i) review how gender was reflected in the activities of the various projects being implemented</w:t>
      </w:r>
      <w:r w:rsidR="00F57068">
        <w:t xml:space="preserve"> – through assessing proportion of women beneficiaries, where sex disaggregated data was available</w:t>
      </w:r>
      <w:r>
        <w:t>; and (ii) using Atlas gender markers to assess allocation of resources to gender.</w:t>
      </w:r>
    </w:p>
    <w:p w14:paraId="6D8F76A0" w14:textId="5DD892BC" w:rsidR="00B3737E" w:rsidRDefault="00B3737E" w:rsidP="001B0E84">
      <w:pPr>
        <w:jc w:val="both"/>
      </w:pPr>
    </w:p>
    <w:p w14:paraId="58820DBD" w14:textId="77777777" w:rsidR="00675CB2" w:rsidRDefault="00675CB2" w:rsidP="001B0E84">
      <w:pPr>
        <w:jc w:val="both"/>
      </w:pPr>
    </w:p>
    <w:p w14:paraId="5A5E1B3A" w14:textId="5EB8475C" w:rsidR="00B51A9A" w:rsidRPr="00F57068" w:rsidRDefault="00F57068" w:rsidP="00790AD5">
      <w:pPr>
        <w:pStyle w:val="ListParagraph"/>
        <w:numPr>
          <w:ilvl w:val="0"/>
          <w:numId w:val="67"/>
        </w:numPr>
        <w:jc w:val="both"/>
        <w:rPr>
          <w:i/>
          <w:iCs/>
        </w:rPr>
      </w:pPr>
      <w:r w:rsidRPr="00F57068">
        <w:rPr>
          <w:i/>
          <w:iCs/>
        </w:rPr>
        <w:lastRenderedPageBreak/>
        <w:t>Gender in programmatic interventions</w:t>
      </w:r>
    </w:p>
    <w:p w14:paraId="215D7959" w14:textId="49993785" w:rsidR="00EB3372" w:rsidRDefault="00B07AE2" w:rsidP="001B0E84">
      <w:pPr>
        <w:jc w:val="both"/>
      </w:pPr>
      <w:r>
        <w:t>G</w:t>
      </w:r>
      <w:r w:rsidR="00EB3372">
        <w:t xml:space="preserve">ender equality and women’s empowerment as </w:t>
      </w:r>
      <w:r w:rsidR="001B0E84">
        <w:t xml:space="preserve">a </w:t>
      </w:r>
      <w:r w:rsidR="00EB3372">
        <w:t>major focus</w:t>
      </w:r>
      <w:r>
        <w:t xml:space="preserve"> of the poverty and inclusive growth programme cluster</w:t>
      </w:r>
      <w:r w:rsidR="00EB3372">
        <w:t xml:space="preserve">. In three out of the six key projects being implemented, approximately 61% (540) of the total beneficiaries (880) </w:t>
      </w:r>
      <w:r>
        <w:t>are</w:t>
      </w:r>
      <w:r w:rsidR="00EB3372">
        <w:t xml:space="preserve"> females. Some of the projects were transformative in the sense that they are contributing to </w:t>
      </w:r>
      <w:r w:rsidR="00EB3372" w:rsidRPr="00EB3372">
        <w:t>enhancing women’s access to non-traditional vocational training skills and jobs.</w:t>
      </w:r>
      <w:r w:rsidR="00EB3372">
        <w:t xml:space="preserve"> </w:t>
      </w:r>
      <w:r w:rsidR="001B0E84">
        <w:t>Overall, most of projects designed in inclusive growth cluster fully integrate concerns on gender equality and women’s empowerment. Efforts have been made to ensure that women’s (as well as men’s) concerns and experiences an integral dimension of the design, implementation, monitoring and evaluation of the projects.</w:t>
      </w:r>
    </w:p>
    <w:p w14:paraId="00483D5E" w14:textId="25C2BF8F" w:rsidR="00BD3E8A" w:rsidRDefault="00ED67BE" w:rsidP="00BD3E8A">
      <w:pPr>
        <w:jc w:val="both"/>
      </w:pPr>
      <w:r>
        <w:t xml:space="preserve">Under the </w:t>
      </w:r>
      <w:r w:rsidR="00BD3E8A">
        <w:t>Governance programme</w:t>
      </w:r>
      <w:r>
        <w:t>, UNDP</w:t>
      </w:r>
      <w:r w:rsidR="007C1D8A">
        <w:t xml:space="preserve"> is</w:t>
      </w:r>
      <w:r>
        <w:t xml:space="preserve"> contributing in many significant and transformative ways in advancing women with respect to political governance and economic rights and </w:t>
      </w:r>
      <w:r w:rsidR="001B0E84">
        <w:t xml:space="preserve">in general, the </w:t>
      </w:r>
      <w:r>
        <w:t xml:space="preserve">advancement of women.  </w:t>
      </w:r>
      <w:r w:rsidR="00BD3E8A">
        <w:t xml:space="preserve"> </w:t>
      </w:r>
      <w:r w:rsidR="009F2DD0">
        <w:t>Under</w:t>
      </w:r>
      <w:r>
        <w:t xml:space="preserve"> the </w:t>
      </w:r>
      <w:r w:rsidR="009F2DD0" w:rsidRPr="009F2DD0">
        <w:t>Fair and Inclusive Society</w:t>
      </w:r>
      <w:r>
        <w:t xml:space="preserve"> project</w:t>
      </w:r>
      <w:r w:rsidR="009F2DD0">
        <w:t xml:space="preserve">, </w:t>
      </w:r>
      <w:r w:rsidR="009F2DD0" w:rsidRPr="009F2DD0">
        <w:t xml:space="preserve">one of the main objectives/results of </w:t>
      </w:r>
      <w:r w:rsidR="009F2DD0">
        <w:t>which</w:t>
      </w:r>
      <w:r w:rsidR="009F2DD0" w:rsidRPr="009F2DD0">
        <w:t xml:space="preserve"> is the acceleration of gender equality and empowerment of women's human rights at all levels</w:t>
      </w:r>
      <w:r w:rsidR="009F2DD0">
        <w:t xml:space="preserve">, 25% of the 5868 beneficiaries were female. </w:t>
      </w:r>
      <w:r>
        <w:t>T</w:t>
      </w:r>
      <w:r w:rsidR="009F2DD0">
        <w:t xml:space="preserve">he </w:t>
      </w:r>
      <w:r w:rsidR="009F2DD0" w:rsidRPr="009F2DD0">
        <w:t>Technical Assistance for Local Elections</w:t>
      </w:r>
      <w:r w:rsidR="009F2DD0">
        <w:t xml:space="preserve"> project</w:t>
      </w:r>
      <w:r>
        <w:t xml:space="preserve"> has women as a</w:t>
      </w:r>
      <w:r w:rsidR="009F2DD0" w:rsidRPr="009F2DD0">
        <w:t xml:space="preserve"> principal target group for empowerment as leaders and active (as mobilizers) and passive (as candidates) participants in local governance [elections]</w:t>
      </w:r>
      <w:r w:rsidR="009F2DD0">
        <w:t xml:space="preserve">. </w:t>
      </w:r>
      <w:r>
        <w:t>One of the key results of the</w:t>
      </w:r>
      <w:r w:rsidR="009F2DD0">
        <w:t xml:space="preserve"> project </w:t>
      </w:r>
      <w:r>
        <w:t xml:space="preserve">is </w:t>
      </w:r>
      <w:r w:rsidR="0012241D">
        <w:t>establish</w:t>
      </w:r>
      <w:r>
        <w:t>ing</w:t>
      </w:r>
      <w:r w:rsidR="0012241D">
        <w:t xml:space="preserve"> a group of 50 women leaders. </w:t>
      </w:r>
      <w:r>
        <w:t xml:space="preserve">In addition, the </w:t>
      </w:r>
      <w:r w:rsidR="001B0E84">
        <w:t>“</w:t>
      </w:r>
      <w:r>
        <w:t>post-</w:t>
      </w:r>
      <w:r w:rsidR="001B0E84">
        <w:t>Election’s</w:t>
      </w:r>
      <w:r>
        <w:t xml:space="preserve"> project</w:t>
      </w:r>
      <w:r w:rsidR="001B0E84">
        <w:t>”</w:t>
      </w:r>
      <w:r>
        <w:t xml:space="preserve"> is</w:t>
      </w:r>
      <w:r w:rsidRPr="00ED67BE">
        <w:t xml:space="preserve"> promoti</w:t>
      </w:r>
      <w:r>
        <w:t xml:space="preserve">ng </w:t>
      </w:r>
      <w:r w:rsidRPr="00ED67BE">
        <w:t>women’s involv</w:t>
      </w:r>
      <w:r>
        <w:t>e</w:t>
      </w:r>
      <w:r w:rsidRPr="00ED67BE">
        <w:t>ment in general elections through the development and adoption of an electoral gender tracking tool</w:t>
      </w:r>
      <w:r>
        <w:t>. In terms of</w:t>
      </w:r>
      <w:r w:rsidR="0012241D">
        <w:t xml:space="preserve"> </w:t>
      </w:r>
      <w:r>
        <w:t xml:space="preserve">women’s economic rights, UNDP through </w:t>
      </w:r>
      <w:r w:rsidR="007C1D8A">
        <w:t xml:space="preserve">the </w:t>
      </w:r>
      <w:r w:rsidR="001B0E84">
        <w:t>“</w:t>
      </w:r>
      <w:r w:rsidR="007C1D8A" w:rsidRPr="00ED67BE">
        <w:t>Programme</w:t>
      </w:r>
      <w:r w:rsidRPr="00ED67BE">
        <w:t xml:space="preserve"> for Consolidating Economic Governance and Public Finance Management Systems</w:t>
      </w:r>
      <w:r w:rsidR="001B0E84">
        <w:t>”</w:t>
      </w:r>
      <w:r>
        <w:t xml:space="preserve"> is </w:t>
      </w:r>
      <w:r w:rsidRPr="00ED67BE">
        <w:t>mainstreaming gender into the national finance management system, for ex</w:t>
      </w:r>
      <w:r w:rsidR="007C1D8A">
        <w:t>a</w:t>
      </w:r>
      <w:r w:rsidRPr="00ED67BE">
        <w:t>mple through gender budgeting and gender marking.</w:t>
      </w:r>
      <w:r w:rsidR="009F2DD0">
        <w:t xml:space="preserve"> </w:t>
      </w:r>
      <w:r w:rsidR="007C1D8A">
        <w:t>In a significant milestone, i</w:t>
      </w:r>
      <w:r w:rsidR="007C1D8A" w:rsidRPr="007C1D8A">
        <w:t xml:space="preserve">n August 2021, </w:t>
      </w:r>
      <w:r w:rsidR="001B0E84">
        <w:t xml:space="preserve">with support from UNDP, </w:t>
      </w:r>
      <w:r w:rsidR="007C1D8A" w:rsidRPr="007C1D8A">
        <w:t xml:space="preserve">a </w:t>
      </w:r>
      <w:r w:rsidR="007C1D8A">
        <w:t>P</w:t>
      </w:r>
      <w:r w:rsidR="007C1D8A" w:rsidRPr="007C1D8A">
        <w:t xml:space="preserve">residential </w:t>
      </w:r>
      <w:r w:rsidR="007C1D8A">
        <w:t>D</w:t>
      </w:r>
      <w:r w:rsidR="007C1D8A" w:rsidRPr="007C1D8A">
        <w:t>ecree was approved to include gender component on the State Budget 2022</w:t>
      </w:r>
      <w:r w:rsidR="007C1D8A">
        <w:t xml:space="preserve">. </w:t>
      </w:r>
      <w:r w:rsidR="001B0E84">
        <w:t>In the context of</w:t>
      </w:r>
      <w:r w:rsidR="007C1D8A">
        <w:t xml:space="preserve"> the </w:t>
      </w:r>
      <w:r w:rsidR="001B0E84">
        <w:t>project, “</w:t>
      </w:r>
      <w:r w:rsidR="007C1D8A" w:rsidRPr="007C1D8A">
        <w:t>Support for Safe Functioning of Informal/Local Markets</w:t>
      </w:r>
      <w:r w:rsidR="001B0E84">
        <w:t>”,</w:t>
      </w:r>
      <w:r w:rsidR="007C1D8A">
        <w:t xml:space="preserve"> the</w:t>
      </w:r>
      <w:r w:rsidR="007C1D8A" w:rsidRPr="007C1D8A">
        <w:t xml:space="preserve"> primary beneficiaries are women, making up 81% of the 14,805 market vendors whose livelihoods were protected</w:t>
      </w:r>
      <w:r w:rsidR="007C1D8A">
        <w:t>.</w:t>
      </w:r>
    </w:p>
    <w:p w14:paraId="3B3BAAB7" w14:textId="30014BBB" w:rsidR="001D11A2" w:rsidRDefault="001D11A2" w:rsidP="00BD3E8A">
      <w:pPr>
        <w:jc w:val="both"/>
      </w:pPr>
      <w:r>
        <w:t xml:space="preserve">Under the Environment and Climate Change programme cluster, </w:t>
      </w:r>
      <w:r w:rsidR="00A75B55" w:rsidRPr="00A75B55">
        <w:t xml:space="preserve">the projects </w:t>
      </w:r>
      <w:r w:rsidR="00A75B55">
        <w:t xml:space="preserve">being implemented </w:t>
      </w:r>
      <w:r w:rsidR="00A75B55" w:rsidRPr="00A75B55">
        <w:t xml:space="preserve">are contributing to build </w:t>
      </w:r>
      <w:r w:rsidR="00A75B55" w:rsidRPr="00A75B55">
        <w:t>re</w:t>
      </w:r>
      <w:r w:rsidR="00A75B55">
        <w:t xml:space="preserve">silience </w:t>
      </w:r>
      <w:r w:rsidR="00A75B55" w:rsidRPr="00A75B55">
        <w:t>to C</w:t>
      </w:r>
      <w:r w:rsidR="007905E5">
        <w:t xml:space="preserve">limate </w:t>
      </w:r>
      <w:r w:rsidR="00A75B55" w:rsidRPr="00A75B55">
        <w:t>C</w:t>
      </w:r>
      <w:r w:rsidR="007905E5">
        <w:t>hange</w:t>
      </w:r>
      <w:r w:rsidR="00A75B55" w:rsidRPr="00A75B55">
        <w:t xml:space="preserve"> and disaster risks of the most vulnerable population primarily, while contributing to the sustainability of the country in managing its natural resources and the environment. Women and youth where possible are prioritized in skills development opportunities and alternative livelihoods </w:t>
      </w:r>
      <w:r w:rsidR="007905E5" w:rsidRPr="00A75B55">
        <w:t>community-based</w:t>
      </w:r>
      <w:r w:rsidR="00A75B55" w:rsidRPr="00A75B55">
        <w:t xml:space="preserve"> projects.</w:t>
      </w:r>
      <w:r w:rsidR="00B67EFA">
        <w:t xml:space="preserve"> Specifically, the following examples can be cited:</w:t>
      </w:r>
    </w:p>
    <w:p w14:paraId="3CC31E06" w14:textId="13A71150" w:rsidR="00B67EFA" w:rsidRDefault="00B67EFA" w:rsidP="00790AD5">
      <w:pPr>
        <w:pStyle w:val="ListParagraph"/>
        <w:numPr>
          <w:ilvl w:val="0"/>
          <w:numId w:val="68"/>
        </w:numPr>
        <w:jc w:val="both"/>
      </w:pPr>
      <w:r>
        <w:t xml:space="preserve">Under the </w:t>
      </w:r>
      <w:r w:rsidRPr="00B67EFA">
        <w:t>Strengthening Disaster Risk Management (DRM) institutional frameworks and capacities</w:t>
      </w:r>
      <w:r>
        <w:t xml:space="preserve"> project, </w:t>
      </w:r>
      <w:r w:rsidRPr="00B67EFA">
        <w:t xml:space="preserve">DRM plans and activities designed to address disasters preparedness, response and recovery mechanisms for the entire targeted communities and local/national institutions, with particular emphasis to women </w:t>
      </w:r>
      <w:r w:rsidRPr="00B67EFA">
        <w:t>and the</w:t>
      </w:r>
      <w:r w:rsidRPr="00B67EFA">
        <w:t xml:space="preserve"> most vulnerable groups.</w:t>
      </w:r>
      <w:r>
        <w:t xml:space="preserve"> Of the total of 77 beneficiaries 25% are women.</w:t>
      </w:r>
    </w:p>
    <w:p w14:paraId="0B4FDDC4" w14:textId="2234CCEE" w:rsidR="00B67EFA" w:rsidRDefault="00B67EFA" w:rsidP="00790AD5">
      <w:pPr>
        <w:pStyle w:val="ListParagraph"/>
        <w:numPr>
          <w:ilvl w:val="0"/>
          <w:numId w:val="68"/>
        </w:numPr>
        <w:jc w:val="both"/>
      </w:pPr>
      <w:r>
        <w:t xml:space="preserve">For the </w:t>
      </w:r>
      <w:r w:rsidR="000C2A1A">
        <w:t>project p</w:t>
      </w:r>
      <w:r w:rsidRPr="00B67EFA">
        <w:t>romoting climate-resilient development and enhanced adaptive capacity to withstand disaster risks in Angolan’s Cuvelai River Basin</w:t>
      </w:r>
      <w:r>
        <w:t xml:space="preserve">, </w:t>
      </w:r>
      <w:r w:rsidR="000C2A1A" w:rsidRPr="000C2A1A">
        <w:t xml:space="preserve">Climate Change Adaptation measures and Early Warning Systems </w:t>
      </w:r>
      <w:r w:rsidR="000C2A1A">
        <w:t xml:space="preserve">are being </w:t>
      </w:r>
      <w:r w:rsidR="000C2A1A" w:rsidRPr="000C2A1A">
        <w:t xml:space="preserve">established to build resilience for the entire targeted communities and local/national institutions, with particular emphasis to women </w:t>
      </w:r>
      <w:r w:rsidR="000C2A1A" w:rsidRPr="000C2A1A">
        <w:t>and the</w:t>
      </w:r>
      <w:r w:rsidR="000C2A1A" w:rsidRPr="000C2A1A">
        <w:t xml:space="preserve"> most vulnerable groups.</w:t>
      </w:r>
      <w:r w:rsidR="000C2A1A">
        <w:t xml:space="preserve"> Of the more than 82,000 beneficiaries, </w:t>
      </w:r>
      <w:r w:rsidR="003D5A11">
        <w:t>53% are women.</w:t>
      </w:r>
    </w:p>
    <w:p w14:paraId="5EA693A3" w14:textId="3C0B3270" w:rsidR="003D5A11" w:rsidRDefault="003D5A11" w:rsidP="00790AD5">
      <w:pPr>
        <w:pStyle w:val="ListParagraph"/>
        <w:numPr>
          <w:ilvl w:val="0"/>
          <w:numId w:val="68"/>
        </w:numPr>
        <w:jc w:val="both"/>
      </w:pPr>
      <w:r>
        <w:t xml:space="preserve">Under the </w:t>
      </w:r>
      <w:r w:rsidRPr="003D5A11">
        <w:t>Promotion of Sustainable Charcoal in Angola through a Value Chain Approach</w:t>
      </w:r>
      <w:r>
        <w:t xml:space="preserve">, </w:t>
      </w:r>
      <w:r w:rsidRPr="003D5A11">
        <w:t>Gender equality aspects addressed through diver</w:t>
      </w:r>
      <w:r>
        <w:t>si</w:t>
      </w:r>
      <w:r w:rsidRPr="003D5A11">
        <w:t xml:space="preserve">fication of </w:t>
      </w:r>
      <w:proofErr w:type="gramStart"/>
      <w:r w:rsidRPr="003D5A11">
        <w:t>communities</w:t>
      </w:r>
      <w:proofErr w:type="gramEnd"/>
      <w:r w:rsidRPr="003D5A11">
        <w:t xml:space="preserve"> </w:t>
      </w:r>
      <w:r w:rsidRPr="003D5A11">
        <w:t>livelihoods</w:t>
      </w:r>
      <w:r w:rsidRPr="003D5A11">
        <w:t xml:space="preserve"> options to reduce </w:t>
      </w:r>
      <w:r w:rsidRPr="003D5A11">
        <w:lastRenderedPageBreak/>
        <w:t>charcoal production (horticulture, beekeeping and honey processing, etc), improved charcoal production practices that allows involvement of women and youth in such activities. The project also ha</w:t>
      </w:r>
      <w:r>
        <w:t>s</w:t>
      </w:r>
      <w:r w:rsidRPr="003D5A11">
        <w:t xml:space="preserve"> a strong skills development component targeting the youth on the production of energy efficient cooking stoves and brickets (as alternative to charcoal) in the municipalities of Huambo and Luanda.</w:t>
      </w:r>
      <w:r>
        <w:t xml:space="preserve"> Of the 2540 beneficiaries, women constitute 40%.</w:t>
      </w:r>
    </w:p>
    <w:p w14:paraId="149AB54D" w14:textId="0F94B7CA" w:rsidR="003D5A11" w:rsidRDefault="00D01CAD" w:rsidP="00790AD5">
      <w:pPr>
        <w:pStyle w:val="ListParagraph"/>
        <w:numPr>
          <w:ilvl w:val="0"/>
          <w:numId w:val="68"/>
        </w:numPr>
        <w:jc w:val="both"/>
      </w:pPr>
      <w:r>
        <w:t>For the projects related to the PA system, women constitute about a third of the beneficiaries.</w:t>
      </w:r>
    </w:p>
    <w:p w14:paraId="575B6E50" w14:textId="77777777" w:rsidR="00D01CAD" w:rsidRDefault="00D01CAD" w:rsidP="00D01CAD">
      <w:pPr>
        <w:pStyle w:val="ListParagraph"/>
        <w:jc w:val="both"/>
      </w:pPr>
    </w:p>
    <w:p w14:paraId="1EDE198F" w14:textId="1CD37E37" w:rsidR="00B67EFA" w:rsidRPr="00D01CAD" w:rsidRDefault="00D01CAD" w:rsidP="00790AD5">
      <w:pPr>
        <w:pStyle w:val="ListParagraph"/>
        <w:numPr>
          <w:ilvl w:val="0"/>
          <w:numId w:val="67"/>
        </w:numPr>
        <w:jc w:val="both"/>
        <w:rPr>
          <w:i/>
          <w:iCs/>
        </w:rPr>
      </w:pPr>
      <w:r w:rsidRPr="00D01CAD">
        <w:rPr>
          <w:i/>
          <w:iCs/>
        </w:rPr>
        <w:t>Gender Markers of Programmes</w:t>
      </w:r>
    </w:p>
    <w:p w14:paraId="23E4B135" w14:textId="1D353B91" w:rsidR="000B0B99" w:rsidRDefault="00D01CAD" w:rsidP="000B0B99">
      <w:pPr>
        <w:jc w:val="both"/>
      </w:pPr>
      <w:r>
        <w:t>Gender makers were extracted from ATLAS for all the CPD projects being implemented and the results are shown</w:t>
      </w:r>
      <w:r w:rsidR="000B0B99">
        <w:t xml:space="preserve"> in the figures</w:t>
      </w:r>
      <w:r>
        <w:t xml:space="preserve"> below.</w:t>
      </w:r>
    </w:p>
    <w:p w14:paraId="1924E31D" w14:textId="37298961" w:rsidR="000B0B99" w:rsidRDefault="000B0B99" w:rsidP="000B0B99">
      <w:pPr>
        <w:jc w:val="both"/>
      </w:pPr>
      <w:r>
        <w:rPr>
          <w:lang w:eastAsia="pt-PT"/>
        </w:rPr>
        <w:drawing>
          <wp:inline distT="0" distB="0" distL="0" distR="0" wp14:anchorId="4F8830C5" wp14:editId="1DDD79C6">
            <wp:extent cx="4572000" cy="2743200"/>
            <wp:effectExtent l="0" t="0" r="0" b="0"/>
            <wp:docPr id="12"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877C172" w14:textId="12FB962C" w:rsidR="000B0B99" w:rsidRDefault="000B0B99" w:rsidP="00D01CAD">
      <w:pPr>
        <w:jc w:val="both"/>
      </w:pPr>
      <w:r>
        <w:rPr>
          <w:lang w:eastAsia="pt-PT"/>
        </w:rPr>
        <w:drawing>
          <wp:inline distT="0" distB="0" distL="0" distR="0" wp14:anchorId="58BCCDA8" wp14:editId="586FDFE2">
            <wp:extent cx="4572000" cy="2743200"/>
            <wp:effectExtent l="0" t="0" r="0" b="0"/>
            <wp:docPr id="13"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00BB185" w14:textId="1845325A" w:rsidR="000B0B99" w:rsidRDefault="000B0B99" w:rsidP="000B0B99">
      <w:pPr>
        <w:jc w:val="both"/>
      </w:pPr>
      <w:r>
        <w:rPr>
          <w:lang w:eastAsia="pt-PT"/>
        </w:rPr>
        <w:lastRenderedPageBreak/>
        <w:drawing>
          <wp:inline distT="0" distB="0" distL="0" distR="0" wp14:anchorId="31A9748C" wp14:editId="6E497552">
            <wp:extent cx="4572000" cy="2743200"/>
            <wp:effectExtent l="0" t="0" r="0" b="0"/>
            <wp:docPr id="14"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735EBF4" w14:textId="60EB7093" w:rsidR="000B0B99" w:rsidRDefault="007C264D" w:rsidP="000B0B99">
      <w:pPr>
        <w:jc w:val="both"/>
      </w:pPr>
      <w:r>
        <w:rPr>
          <w:lang w:eastAsia="pt-PT"/>
        </w:rPr>
        <w:drawing>
          <wp:inline distT="0" distB="0" distL="0" distR="0" wp14:anchorId="434A9D4E" wp14:editId="41FC3038">
            <wp:extent cx="4572000" cy="2743200"/>
            <wp:effectExtent l="0" t="0" r="0" b="0"/>
            <wp:docPr id="15"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0EEB30C" w14:textId="6ABDEA79" w:rsidR="000B0B99" w:rsidRDefault="000B0B99" w:rsidP="000B0B99">
      <w:pPr>
        <w:jc w:val="both"/>
      </w:pPr>
      <w:r>
        <w:t xml:space="preserve">The main observations </w:t>
      </w:r>
      <w:r w:rsidR="007C264D">
        <w:t>flow from the analysis and data</w:t>
      </w:r>
      <w:r>
        <w:t>:</w:t>
      </w:r>
    </w:p>
    <w:p w14:paraId="12D91EC5" w14:textId="6A67CFF5" w:rsidR="007C264D" w:rsidRDefault="007C264D" w:rsidP="00790AD5">
      <w:pPr>
        <w:pStyle w:val="ListParagraph"/>
        <w:numPr>
          <w:ilvl w:val="0"/>
          <w:numId w:val="69"/>
        </w:numPr>
        <w:jc w:val="both"/>
      </w:pPr>
      <w:r>
        <w:t xml:space="preserve">When summed over all UNDP projects, they predominantly either GEN 1 or GEN2 (28% and 62% in terms of budget; and </w:t>
      </w:r>
      <w:r w:rsidR="0029531D">
        <w:t>17% and 73% in terms of expenditures.</w:t>
      </w:r>
    </w:p>
    <w:p w14:paraId="2BA1EAA8" w14:textId="39832F45" w:rsidR="0029531D" w:rsidRDefault="0029531D" w:rsidP="00790AD5">
      <w:pPr>
        <w:pStyle w:val="ListParagraph"/>
        <w:numPr>
          <w:ilvl w:val="0"/>
          <w:numId w:val="69"/>
        </w:numPr>
        <w:jc w:val="both"/>
      </w:pPr>
      <w:r>
        <w:t>GEN 3 is proportionally low, with only 6% of the budget so classified and 1% of expenditures.</w:t>
      </w:r>
    </w:p>
    <w:p w14:paraId="78B94C38" w14:textId="7318032C" w:rsidR="0029531D" w:rsidRDefault="0029531D" w:rsidP="00790AD5">
      <w:pPr>
        <w:pStyle w:val="ListParagraph"/>
        <w:numPr>
          <w:ilvl w:val="0"/>
          <w:numId w:val="69"/>
        </w:numPr>
        <w:jc w:val="both"/>
      </w:pPr>
      <w:r>
        <w:t>No projects fall under GEN0, but 5% and 8</w:t>
      </w:r>
      <w:r w:rsidR="00F5720F">
        <w:t>% of</w:t>
      </w:r>
      <w:r>
        <w:t xml:space="preserve"> the budgets and expenditures are unclassified.</w:t>
      </w:r>
    </w:p>
    <w:p w14:paraId="4CA09606" w14:textId="77777777" w:rsidR="00F5720F" w:rsidRDefault="0029531D" w:rsidP="00790AD5">
      <w:pPr>
        <w:pStyle w:val="ListParagraph"/>
        <w:numPr>
          <w:ilvl w:val="0"/>
          <w:numId w:val="69"/>
        </w:numPr>
        <w:jc w:val="both"/>
      </w:pPr>
      <w:r>
        <w:t>When the results of the different clusters are compa</w:t>
      </w:r>
      <w:r w:rsidR="00F5720F">
        <w:t>red, governance at 19% (budget) and 7% (expenditures) has the highest GEN 3 rating.</w:t>
      </w:r>
    </w:p>
    <w:p w14:paraId="7C5C3AD0" w14:textId="77777777" w:rsidR="00F5720F" w:rsidRDefault="00F5720F" w:rsidP="00790AD5">
      <w:pPr>
        <w:pStyle w:val="ListParagraph"/>
        <w:numPr>
          <w:ilvl w:val="0"/>
          <w:numId w:val="69"/>
        </w:numPr>
        <w:jc w:val="both"/>
      </w:pPr>
      <w:r>
        <w:t>The poverty cluster performed poorly in comparison with 56% in GEN1 for budget.</w:t>
      </w:r>
    </w:p>
    <w:p w14:paraId="3010B91E" w14:textId="2BCBE447" w:rsidR="00AF7CFF" w:rsidRDefault="00F5720F" w:rsidP="00790AD5">
      <w:pPr>
        <w:pStyle w:val="ListParagraph"/>
        <w:numPr>
          <w:ilvl w:val="0"/>
          <w:numId w:val="69"/>
        </w:numPr>
        <w:jc w:val="both"/>
      </w:pPr>
      <w:r>
        <w:t xml:space="preserve">For all clusters, the gender marker for the budgets </w:t>
      </w:r>
      <w:r w:rsidR="00AF7CFF">
        <w:t>is</w:t>
      </w:r>
      <w:r>
        <w:t xml:space="preserve"> far higher than for the expenditures.</w:t>
      </w:r>
    </w:p>
    <w:p w14:paraId="039D5D4A" w14:textId="46E3B8EB" w:rsidR="0029531D" w:rsidRDefault="00AF7CFF" w:rsidP="00AF7CFF">
      <w:pPr>
        <w:jc w:val="both"/>
      </w:pPr>
      <w:r>
        <w:t xml:space="preserve">The overall conclusion is that while all clusters have activities that contribute to women’s empowerment, in terms of actual resources allocated is limited. </w:t>
      </w:r>
      <w:r w:rsidR="0029531D">
        <w:t xml:space="preserve"> </w:t>
      </w:r>
    </w:p>
    <w:p w14:paraId="14AB0BC1" w14:textId="77777777" w:rsidR="000B0B99" w:rsidRPr="00D01CAD" w:rsidRDefault="000B0B99" w:rsidP="00D01CAD">
      <w:pPr>
        <w:jc w:val="both"/>
      </w:pPr>
    </w:p>
    <w:p w14:paraId="0AC0D572" w14:textId="2CA64014" w:rsidR="008F627E" w:rsidRPr="008F627E" w:rsidRDefault="00FD00B9" w:rsidP="008F627E">
      <w:pPr>
        <w:pStyle w:val="Heading3"/>
        <w:rPr>
          <w:rFonts w:asciiTheme="minorHAnsi" w:hAnsiTheme="minorHAnsi" w:cstheme="minorHAnsi"/>
          <w:sz w:val="22"/>
          <w:szCs w:val="22"/>
        </w:rPr>
      </w:pPr>
      <w:bookmarkStart w:id="63" w:name="_Toc88741811"/>
      <w:r>
        <w:rPr>
          <w:rFonts w:asciiTheme="minorHAnsi" w:hAnsiTheme="minorHAnsi" w:cstheme="minorHAnsi"/>
          <w:sz w:val="22"/>
          <w:szCs w:val="22"/>
        </w:rPr>
        <w:lastRenderedPageBreak/>
        <w:t>4</w:t>
      </w:r>
      <w:r w:rsidR="008F627E" w:rsidRPr="008F627E">
        <w:rPr>
          <w:rFonts w:asciiTheme="minorHAnsi" w:hAnsiTheme="minorHAnsi" w:cstheme="minorHAnsi"/>
          <w:sz w:val="22"/>
          <w:szCs w:val="22"/>
        </w:rPr>
        <w:t>.</w:t>
      </w:r>
      <w:r w:rsidR="00767654">
        <w:rPr>
          <w:rFonts w:asciiTheme="minorHAnsi" w:hAnsiTheme="minorHAnsi" w:cstheme="minorHAnsi"/>
          <w:sz w:val="22"/>
          <w:szCs w:val="22"/>
        </w:rPr>
        <w:t>6</w:t>
      </w:r>
      <w:r w:rsidR="008F627E" w:rsidRPr="008F627E">
        <w:rPr>
          <w:rFonts w:asciiTheme="minorHAnsi" w:hAnsiTheme="minorHAnsi" w:cstheme="minorHAnsi"/>
          <w:sz w:val="22"/>
          <w:szCs w:val="22"/>
        </w:rPr>
        <w:t>.2 Capacity Development</w:t>
      </w:r>
      <w:bookmarkEnd w:id="63"/>
    </w:p>
    <w:p w14:paraId="5538081B" w14:textId="6C6C7FA0" w:rsidR="00B07AE2" w:rsidRPr="009947B7" w:rsidRDefault="00B07AE2" w:rsidP="00B07AE2">
      <w:pPr>
        <w:jc w:val="both"/>
        <w:rPr>
          <w:b/>
          <w:bCs/>
        </w:rPr>
      </w:pPr>
      <w:r w:rsidRPr="009947B7">
        <w:rPr>
          <w:b/>
          <w:bCs/>
        </w:rPr>
        <w:t xml:space="preserve">Finding </w:t>
      </w:r>
      <w:r w:rsidR="003655FB" w:rsidRPr="009947B7">
        <w:rPr>
          <w:b/>
          <w:bCs/>
        </w:rPr>
        <w:t>1</w:t>
      </w:r>
      <w:r w:rsidR="00B355FE">
        <w:rPr>
          <w:b/>
          <w:bCs/>
        </w:rPr>
        <w:t>8</w:t>
      </w:r>
      <w:r w:rsidRPr="009947B7">
        <w:rPr>
          <w:b/>
          <w:bCs/>
        </w:rPr>
        <w:t xml:space="preserve">: Capacity development in all its three dimensions is being addressed under the country programme. However, policy support </w:t>
      </w:r>
      <w:r w:rsidR="0098685C" w:rsidRPr="009947B7">
        <w:rPr>
          <w:b/>
          <w:bCs/>
        </w:rPr>
        <w:t>and</w:t>
      </w:r>
      <w:r w:rsidRPr="009947B7">
        <w:rPr>
          <w:b/>
          <w:bCs/>
        </w:rPr>
        <w:t xml:space="preserve"> training and skills development</w:t>
      </w:r>
      <w:r w:rsidR="0098685C" w:rsidRPr="009947B7">
        <w:rPr>
          <w:b/>
          <w:bCs/>
        </w:rPr>
        <w:t xml:space="preserve"> tend to dominate</w:t>
      </w:r>
      <w:r w:rsidR="00284515" w:rsidRPr="009947B7">
        <w:rPr>
          <w:b/>
          <w:bCs/>
        </w:rPr>
        <w:t>; there is</w:t>
      </w:r>
      <w:r w:rsidR="0098685C" w:rsidRPr="009947B7">
        <w:rPr>
          <w:b/>
          <w:bCs/>
        </w:rPr>
        <w:t xml:space="preserve"> </w:t>
      </w:r>
      <w:r w:rsidRPr="009947B7">
        <w:rPr>
          <w:b/>
          <w:bCs/>
        </w:rPr>
        <w:t xml:space="preserve">somewhat less emphasis on organizational improvements. UNDP </w:t>
      </w:r>
      <w:r w:rsidR="00284515" w:rsidRPr="009947B7">
        <w:rPr>
          <w:b/>
          <w:bCs/>
        </w:rPr>
        <w:t>should</w:t>
      </w:r>
      <w:r w:rsidRPr="009947B7">
        <w:rPr>
          <w:b/>
          <w:bCs/>
        </w:rPr>
        <w:t xml:space="preserve"> place greater emphasis on supporting the government</w:t>
      </w:r>
      <w:r w:rsidR="00252054" w:rsidRPr="009947B7">
        <w:rPr>
          <w:b/>
          <w:bCs/>
        </w:rPr>
        <w:t>’s</w:t>
      </w:r>
      <w:r w:rsidRPr="009947B7">
        <w:rPr>
          <w:b/>
          <w:bCs/>
        </w:rPr>
        <w:t xml:space="preserve"> </w:t>
      </w:r>
      <w:r w:rsidR="00252054" w:rsidRPr="009947B7">
        <w:rPr>
          <w:b/>
          <w:bCs/>
        </w:rPr>
        <w:t xml:space="preserve">reform </w:t>
      </w:r>
      <w:r w:rsidRPr="009947B7">
        <w:rPr>
          <w:b/>
          <w:bCs/>
        </w:rPr>
        <w:t xml:space="preserve">agenda </w:t>
      </w:r>
      <w:r w:rsidR="00284515" w:rsidRPr="009947B7">
        <w:rPr>
          <w:b/>
          <w:bCs/>
        </w:rPr>
        <w:t>of modernisation of the public administration in Angola</w:t>
      </w:r>
      <w:r w:rsidR="00252054" w:rsidRPr="009947B7">
        <w:rPr>
          <w:b/>
          <w:bCs/>
        </w:rPr>
        <w:t xml:space="preserve"> and decentralisation</w:t>
      </w:r>
      <w:r w:rsidR="00284515" w:rsidRPr="009947B7">
        <w:rPr>
          <w:b/>
          <w:bCs/>
        </w:rPr>
        <w:t xml:space="preserve"> </w:t>
      </w:r>
    </w:p>
    <w:p w14:paraId="1A24C8C4" w14:textId="15A5B76F" w:rsidR="009E7C12" w:rsidRDefault="009E7C12" w:rsidP="00B07AE2">
      <w:pPr>
        <w:jc w:val="both"/>
      </w:pPr>
      <w:r>
        <w:t>Through the programmes being implemented, UNDP is making an important contribution to building national capacit</w:t>
      </w:r>
      <w:r w:rsidR="00252054">
        <w:t>ies</w:t>
      </w:r>
      <w:r w:rsidR="008B362D">
        <w:t xml:space="preserve">. </w:t>
      </w:r>
      <w:r>
        <w:t xml:space="preserve">The results of the mapping exercise shows that UNDP is addressing all dimensions of capacity in its interventions, namely: policy and institutional environment; organizational improvements </w:t>
      </w:r>
      <w:r w:rsidR="00252054">
        <w:t>-</w:t>
      </w:r>
      <w:r>
        <w:t xml:space="preserve"> structures, systems and processes; and developing, skills and competencies of individuals through training.</w:t>
      </w:r>
    </w:p>
    <w:p w14:paraId="31804DF6" w14:textId="77777777" w:rsidR="00E379A3" w:rsidRDefault="009E7C12" w:rsidP="00B07AE2">
      <w:pPr>
        <w:jc w:val="both"/>
      </w:pPr>
      <w:r>
        <w:t xml:space="preserve">In terms of policies, key capacity outcomes </w:t>
      </w:r>
      <w:r w:rsidR="009743D2">
        <w:t xml:space="preserve">from UNDP support </w:t>
      </w:r>
      <w:r>
        <w:t>are illustrated by the following</w:t>
      </w:r>
      <w:r w:rsidR="008B362D">
        <w:t xml:space="preserve"> examples</w:t>
      </w:r>
      <w:r>
        <w:t xml:space="preserve">: </w:t>
      </w:r>
      <w:r w:rsidR="00252054">
        <w:t>support to the formulation of the National Development Plan and its revision; various sector policies strategies and action plans (e</w:t>
      </w:r>
      <w:r w:rsidR="0044044C">
        <w:t>.g.</w:t>
      </w:r>
      <w:r w:rsidR="00B355FE">
        <w:t>,)</w:t>
      </w:r>
      <w:r w:rsidR="0044044C">
        <w:t>.</w:t>
      </w:r>
      <w:r w:rsidR="00252054">
        <w:t xml:space="preserve"> </w:t>
      </w:r>
      <w:r>
        <w:t xml:space="preserve">Similarly, at the individual level (training, skills and competencies) significant efforts are being made as </w:t>
      </w:r>
      <w:r w:rsidR="0044044C">
        <w:t>all programmes have supported training activities</w:t>
      </w:r>
    </w:p>
    <w:p w14:paraId="71E86BA6" w14:textId="1E049978" w:rsidR="009E7C12" w:rsidRPr="009E7C12" w:rsidRDefault="009E7C12" w:rsidP="00B07AE2">
      <w:pPr>
        <w:jc w:val="both"/>
      </w:pPr>
      <w:r>
        <w:t>However, UNDP has not invested sufficiently in improving organizational effectiveness in terms supporting</w:t>
      </w:r>
      <w:r w:rsidR="00D54143">
        <w:t xml:space="preserve"> improved systems, processes and organizational restructuring/re-engineering</w:t>
      </w:r>
      <w:r w:rsidR="009743D2">
        <w:t xml:space="preserve"> of Angola’s public sector institutions which </w:t>
      </w:r>
      <w:r w:rsidR="0044044C">
        <w:t xml:space="preserve">are </w:t>
      </w:r>
      <w:r w:rsidR="009743D2">
        <w:t>recognized as very centralized and not sufficiently respons</w:t>
      </w:r>
      <w:r w:rsidR="0044044C">
        <w:t>ive</w:t>
      </w:r>
      <w:r w:rsidR="009743D2">
        <w:t xml:space="preserve"> in terms of service delivery and </w:t>
      </w:r>
      <w:r w:rsidR="0044044C">
        <w:t xml:space="preserve">facilitating </w:t>
      </w:r>
      <w:r w:rsidR="009743D2">
        <w:t>citizens’ participation</w:t>
      </w:r>
      <w:r w:rsidR="00D54143">
        <w:t>. This is a</w:t>
      </w:r>
      <w:r w:rsidR="009743D2">
        <w:t xml:space="preserve"> </w:t>
      </w:r>
      <w:r w:rsidR="00D54143">
        <w:t xml:space="preserve">major priority of </w:t>
      </w:r>
      <w:r w:rsidR="009743D2">
        <w:t>government and Axis 4 (Policy area 19) of the NDP prioritizes State Reform and Public Administration Modernization</w:t>
      </w:r>
      <w:r w:rsidR="00D54143">
        <w:t>.</w:t>
      </w:r>
      <w:r w:rsidR="009743D2">
        <w:t xml:space="preserve"> </w:t>
      </w:r>
    </w:p>
    <w:p w14:paraId="036B9038" w14:textId="5336277C" w:rsidR="00767654" w:rsidRPr="00767654" w:rsidRDefault="00FD00B9" w:rsidP="00767654">
      <w:pPr>
        <w:pStyle w:val="Heading3"/>
        <w:rPr>
          <w:rFonts w:asciiTheme="minorHAnsi" w:hAnsiTheme="minorHAnsi" w:cstheme="minorHAnsi"/>
          <w:sz w:val="22"/>
          <w:szCs w:val="22"/>
        </w:rPr>
      </w:pPr>
      <w:bookmarkStart w:id="64" w:name="_Toc88741812"/>
      <w:r>
        <w:rPr>
          <w:rFonts w:asciiTheme="minorHAnsi" w:hAnsiTheme="minorHAnsi" w:cstheme="minorHAnsi"/>
          <w:sz w:val="22"/>
          <w:szCs w:val="22"/>
        </w:rPr>
        <w:t>4</w:t>
      </w:r>
      <w:r w:rsidR="00767654" w:rsidRPr="00767654">
        <w:rPr>
          <w:rFonts w:asciiTheme="minorHAnsi" w:hAnsiTheme="minorHAnsi" w:cstheme="minorHAnsi"/>
          <w:sz w:val="22"/>
          <w:szCs w:val="22"/>
        </w:rPr>
        <w:t>.6.</w:t>
      </w:r>
      <w:r w:rsidR="008A0042">
        <w:rPr>
          <w:rFonts w:asciiTheme="minorHAnsi" w:hAnsiTheme="minorHAnsi" w:cstheme="minorHAnsi"/>
          <w:sz w:val="22"/>
          <w:szCs w:val="22"/>
        </w:rPr>
        <w:t>3</w:t>
      </w:r>
      <w:r w:rsidR="00767654" w:rsidRPr="00767654">
        <w:rPr>
          <w:rFonts w:asciiTheme="minorHAnsi" w:hAnsiTheme="minorHAnsi" w:cstheme="minorHAnsi"/>
          <w:sz w:val="22"/>
          <w:szCs w:val="22"/>
        </w:rPr>
        <w:t xml:space="preserve"> </w:t>
      </w:r>
      <w:r w:rsidR="007C425E">
        <w:rPr>
          <w:rFonts w:asciiTheme="minorHAnsi" w:hAnsiTheme="minorHAnsi" w:cstheme="minorHAnsi"/>
          <w:sz w:val="22"/>
          <w:szCs w:val="22"/>
        </w:rPr>
        <w:t>UNDP Accelerator Facility</w:t>
      </w:r>
      <w:bookmarkEnd w:id="64"/>
      <w:r w:rsidR="007C425E">
        <w:rPr>
          <w:rFonts w:asciiTheme="minorHAnsi" w:hAnsiTheme="minorHAnsi" w:cstheme="minorHAnsi"/>
          <w:sz w:val="22"/>
          <w:szCs w:val="22"/>
        </w:rPr>
        <w:t xml:space="preserve"> </w:t>
      </w:r>
    </w:p>
    <w:p w14:paraId="709A01BE" w14:textId="47CFECF8" w:rsidR="008F627E" w:rsidRDefault="004E2AC3" w:rsidP="004E2AC3">
      <w:pPr>
        <w:jc w:val="both"/>
      </w:pPr>
      <w:r>
        <w:t>UNDP set out to make innovation a core element of the country programme, and committed to devote 5</w:t>
      </w:r>
      <w:r w:rsidR="004048BD">
        <w:t xml:space="preserve">% </w:t>
      </w:r>
      <w:r>
        <w:t>of its core budget to delivering innovative solutions to development challenges. It further committed to establish an accelerator lab to create a learning network to test innovative ways of addressing development challenges.</w:t>
      </w:r>
    </w:p>
    <w:p w14:paraId="412BD7E1" w14:textId="37FE6506" w:rsidR="00075CC8" w:rsidRDefault="00075CC8" w:rsidP="004E2AC3">
      <w:pPr>
        <w:jc w:val="both"/>
      </w:pPr>
      <w:r>
        <w:t>UNDP has made some progress with limited resources in this area. There is no doubt that to address Angola’s development challenges,</w:t>
      </w:r>
      <w:r w:rsidR="0054335D">
        <w:t xml:space="preserve"> create jobs and render the economy more productive and competitive,</w:t>
      </w:r>
      <w:r>
        <w:t xml:space="preserve"> </w:t>
      </w:r>
      <w:r w:rsidR="0054335D">
        <w:t xml:space="preserve">R&amp;D and innovation are vital. </w:t>
      </w:r>
      <w:r w:rsidR="00F87AE7">
        <w:t xml:space="preserve">The UNDP Accelerator </w:t>
      </w:r>
      <w:r w:rsidR="007C425E">
        <w:t>Facility</w:t>
      </w:r>
      <w:r w:rsidR="00F87AE7">
        <w:t xml:space="preserve"> is conceived as a global initiative that is seeking to assist countries</w:t>
      </w:r>
      <w:r w:rsidR="007C425E">
        <w:t xml:space="preserve"> and </w:t>
      </w:r>
      <w:r w:rsidR="00C5251F">
        <w:t xml:space="preserve">was </w:t>
      </w:r>
      <w:r w:rsidR="007C425E">
        <w:t xml:space="preserve">started in Angola in 2019. </w:t>
      </w:r>
      <w:r w:rsidR="0054335D">
        <w:t xml:space="preserve">Key initiatives undertaken in this regard by the Accelerator </w:t>
      </w:r>
      <w:r w:rsidR="007C425E">
        <w:t>Facility</w:t>
      </w:r>
      <w:r w:rsidR="0054335D">
        <w:t xml:space="preserve"> are the following:</w:t>
      </w:r>
    </w:p>
    <w:p w14:paraId="5FDCE169" w14:textId="77777777" w:rsidR="004048BD" w:rsidRDefault="00C907D5" w:rsidP="00790AD5">
      <w:pPr>
        <w:pStyle w:val="ListParagraph"/>
        <w:numPr>
          <w:ilvl w:val="0"/>
          <w:numId w:val="45"/>
        </w:numPr>
        <w:jc w:val="both"/>
      </w:pPr>
      <w:r>
        <w:t>A</w:t>
      </w:r>
      <w:r w:rsidR="00F87AE7">
        <w:t xml:space="preserve">n Accelerator </w:t>
      </w:r>
      <w:r w:rsidR="00B961A5">
        <w:t>Facility</w:t>
      </w:r>
      <w:r w:rsidR="00F87AE7">
        <w:t xml:space="preserve"> </w:t>
      </w:r>
      <w:r>
        <w:t xml:space="preserve">has been set up </w:t>
      </w:r>
      <w:r w:rsidR="00F87AE7">
        <w:t xml:space="preserve">in the Country Office and </w:t>
      </w:r>
      <w:r>
        <w:t>11% of core resources have been in the Facility</w:t>
      </w:r>
      <w:r w:rsidR="00F87AE7">
        <w:t>, which is double the amount committed under the CPD. The progra</w:t>
      </w:r>
      <w:r w:rsidR="000C1502">
        <w:t>mm</w:t>
      </w:r>
      <w:r w:rsidR="00F87AE7">
        <w:t xml:space="preserve">e </w:t>
      </w:r>
      <w:r w:rsidR="004F62B8">
        <w:t xml:space="preserve">is </w:t>
      </w:r>
      <w:r w:rsidR="000C1502">
        <w:t>now fully operational</w:t>
      </w:r>
      <w:r w:rsidR="007C425E">
        <w:t xml:space="preserve">. </w:t>
      </w:r>
      <w:r w:rsidR="00B961A5">
        <w:t xml:space="preserve">The </w:t>
      </w:r>
      <w:r w:rsidR="007C425E">
        <w:t xml:space="preserve">Facility plays an advisory role within the </w:t>
      </w:r>
      <w:r w:rsidR="00B961A5">
        <w:t>C</w:t>
      </w:r>
      <w:r w:rsidR="007C425E">
        <w:t xml:space="preserve">ountry </w:t>
      </w:r>
      <w:r w:rsidR="00B961A5">
        <w:t>Office, and since Covid-19 struck, the facility has focused more on working with other UNDP units</w:t>
      </w:r>
      <w:r w:rsidR="00570F19">
        <w:t>.</w:t>
      </w:r>
    </w:p>
    <w:p w14:paraId="7654E68B" w14:textId="2C84377F" w:rsidR="00C069AC" w:rsidRDefault="004048BD" w:rsidP="00790AD5">
      <w:pPr>
        <w:pStyle w:val="ListParagraph"/>
        <w:numPr>
          <w:ilvl w:val="0"/>
          <w:numId w:val="45"/>
        </w:numPr>
        <w:jc w:val="both"/>
      </w:pPr>
      <w:r>
        <w:t>A diagnostic study on the innovation ecosystem in Angola was undertaken</w:t>
      </w:r>
      <w:r w:rsidR="00384306">
        <w:t xml:space="preserve"> in order to create a network for technology transfer</w:t>
      </w:r>
      <w:r>
        <w:t xml:space="preserve">. </w:t>
      </w:r>
      <w:r w:rsidR="00570F19">
        <w:t xml:space="preserve"> </w:t>
      </w:r>
      <w:r w:rsidR="00384306">
        <w:t xml:space="preserve">Furthermore, </w:t>
      </w:r>
      <w:r w:rsidR="00C577DD">
        <w:t xml:space="preserve">development of </w:t>
      </w:r>
      <w:r w:rsidR="00384306">
        <w:t xml:space="preserve">a national </w:t>
      </w:r>
      <w:r w:rsidR="00C577DD">
        <w:t>policy</w:t>
      </w:r>
      <w:r w:rsidR="00384306">
        <w:t xml:space="preserve"> to </w:t>
      </w:r>
      <w:proofErr w:type="gramStart"/>
      <w:r w:rsidR="00384306">
        <w:t xml:space="preserve">support </w:t>
      </w:r>
      <w:r w:rsidR="00C577DD">
        <w:t xml:space="preserve"> the</w:t>
      </w:r>
      <w:proofErr w:type="gramEnd"/>
      <w:r w:rsidR="00C577DD">
        <w:t xml:space="preserve"> national ecosystem of innovation has started.</w:t>
      </w:r>
    </w:p>
    <w:p w14:paraId="2B2F8C7C" w14:textId="77777777" w:rsidR="00C069AC" w:rsidRDefault="00C069AC" w:rsidP="00790AD5">
      <w:pPr>
        <w:pStyle w:val="ListParagraph"/>
        <w:numPr>
          <w:ilvl w:val="0"/>
          <w:numId w:val="45"/>
        </w:numPr>
        <w:spacing w:line="240" w:lineRule="auto"/>
        <w:jc w:val="both"/>
      </w:pPr>
      <w:r>
        <w:t>As part of the NextGen Cities Africa program, the AccLab developed a system thinking analysis of urban markets in Angola and put in place a portfolio of solutions. In partnership with the Ministry of Territory Administration (MAT) the AccLab designed the questionnaire for registry of market vendors in 24 markets.</w:t>
      </w:r>
    </w:p>
    <w:p w14:paraId="38F72B15" w14:textId="70E26033" w:rsidR="0054335D" w:rsidRDefault="00C069AC" w:rsidP="00790AD5">
      <w:pPr>
        <w:pStyle w:val="ListParagraph"/>
        <w:numPr>
          <w:ilvl w:val="0"/>
          <w:numId w:val="45"/>
        </w:numPr>
        <w:spacing w:line="240" w:lineRule="auto"/>
        <w:jc w:val="both"/>
      </w:pPr>
      <w:r>
        <w:lastRenderedPageBreak/>
        <w:t>To support the fight against COVID 19 and mitigate the risk of infections, the AccLab with local and market administrators carried out needs assessment to improve biosecurity measures in the three major markets (ASA Branca, Mercado do 30 in Luanda and Mutundo in Lubango). Working with the National Waste Agency, the AccLab conducted a survey about the use of plastic bags in 14 big supermarkets and retailers;</w:t>
      </w:r>
    </w:p>
    <w:p w14:paraId="2A0B0DC6" w14:textId="58672D62" w:rsidR="000C1502" w:rsidRDefault="00801D01" w:rsidP="00790AD5">
      <w:pPr>
        <w:pStyle w:val="ListParagraph"/>
        <w:numPr>
          <w:ilvl w:val="0"/>
          <w:numId w:val="45"/>
        </w:numPr>
        <w:jc w:val="both"/>
      </w:pPr>
      <w:r>
        <w:t xml:space="preserve">The Facility is focused on supporting innovation in Angola in service of development, in particular entrepreneurship innovation.  In this regard, an MoU has been signed with the Ministry of Higher </w:t>
      </w:r>
      <w:r w:rsidR="00570F19">
        <w:t>Education</w:t>
      </w:r>
      <w:r>
        <w:t>, S</w:t>
      </w:r>
      <w:r w:rsidR="00570F19">
        <w:t>c</w:t>
      </w:r>
      <w:r>
        <w:t>ien</w:t>
      </w:r>
      <w:r w:rsidR="00570F19">
        <w:t>c</w:t>
      </w:r>
      <w:r>
        <w:t xml:space="preserve">e and </w:t>
      </w:r>
      <w:r w:rsidR="00570F19">
        <w:t>Technology</w:t>
      </w:r>
      <w:r>
        <w:t xml:space="preserve"> for the period June 2020-June 2022</w:t>
      </w:r>
      <w:r w:rsidR="00570F19">
        <w:t>.</w:t>
      </w:r>
      <w:r w:rsidR="00B15831">
        <w:t xml:space="preserve"> The Facility has also provided technical assistance to draw up a Strategic Plan for the Luanda Centre for </w:t>
      </w:r>
      <w:r w:rsidR="001B6798">
        <w:t>Entrepreneurship</w:t>
      </w:r>
      <w:r w:rsidR="00B15831">
        <w:t>.</w:t>
      </w:r>
    </w:p>
    <w:p w14:paraId="0E03C6B6" w14:textId="39CE9280" w:rsidR="0054335D" w:rsidRDefault="0054335D" w:rsidP="004E2AC3">
      <w:pPr>
        <w:jc w:val="both"/>
      </w:pPr>
      <w:r>
        <w:t xml:space="preserve">However, UNDP needs to </w:t>
      </w:r>
      <w:r w:rsidR="00FF19D2">
        <w:t xml:space="preserve">have a more strategic focus </w:t>
      </w:r>
      <w:r>
        <w:t xml:space="preserve">to make its work </w:t>
      </w:r>
      <w:r w:rsidR="000C1502">
        <w:t>m</w:t>
      </w:r>
      <w:r>
        <w:t xml:space="preserve">ore </w:t>
      </w:r>
      <w:r w:rsidR="00F87AE7">
        <w:t>effective</w:t>
      </w:r>
      <w:r w:rsidR="001B6798">
        <w:t xml:space="preserve"> through the following</w:t>
      </w:r>
      <w:r>
        <w:t xml:space="preserve">: (i) </w:t>
      </w:r>
      <w:r w:rsidR="000C1502">
        <w:t xml:space="preserve">while the allocation from core is commendable, UNDP is throwing too little money at a vast problem to make real impact. To be effective, UNDP should seek other partnerships to both broaden the scale and depth of its operations; (ii) the </w:t>
      </w:r>
      <w:r w:rsidR="00FF19D2">
        <w:t>interventions</w:t>
      </w:r>
      <w:r w:rsidR="000C1502">
        <w:t xml:space="preserve"> should be tied to two </w:t>
      </w:r>
      <w:r w:rsidR="00FF19D2">
        <w:t>critical</w:t>
      </w:r>
      <w:r w:rsidR="000C1502">
        <w:t xml:space="preserve"> entry points for Angola – the </w:t>
      </w:r>
      <w:r w:rsidR="00FF19D2">
        <w:t>c</w:t>
      </w:r>
      <w:r w:rsidR="000C1502">
        <w:t>li</w:t>
      </w:r>
      <w:r w:rsidR="00FF19D2">
        <w:t>m</w:t>
      </w:r>
      <w:r w:rsidR="000C1502">
        <w:t xml:space="preserve">ate </w:t>
      </w:r>
      <w:r w:rsidR="00FF19D2">
        <w:t>c</w:t>
      </w:r>
      <w:r w:rsidR="000C1502">
        <w:t>hange and the e</w:t>
      </w:r>
      <w:r w:rsidR="00FF19D2">
        <w:t>c</w:t>
      </w:r>
      <w:r w:rsidR="000C1502">
        <w:t>ono</w:t>
      </w:r>
      <w:r w:rsidR="00FF19D2">
        <w:t>m</w:t>
      </w:r>
      <w:r w:rsidR="000C1502">
        <w:t>i</w:t>
      </w:r>
      <w:r w:rsidR="00FF19D2">
        <w:t>c</w:t>
      </w:r>
      <w:r w:rsidR="000C1502">
        <w:t xml:space="preserve"> </w:t>
      </w:r>
      <w:r w:rsidR="00FF19D2">
        <w:t>diversification</w:t>
      </w:r>
      <w:r w:rsidR="000C1502">
        <w:t xml:space="preserve"> </w:t>
      </w:r>
      <w:r w:rsidR="00FF19D2">
        <w:t>agendas</w:t>
      </w:r>
      <w:r w:rsidR="00B961A5">
        <w:t>, and (iii) strengthen its links with the R&amp;D system in Angola</w:t>
      </w:r>
      <w:r w:rsidR="00FF19D2">
        <w:t>.</w:t>
      </w:r>
      <w:r w:rsidR="000C1502">
        <w:t xml:space="preserve"> </w:t>
      </w:r>
    </w:p>
    <w:p w14:paraId="7A03D4FD" w14:textId="0D1D29FD" w:rsidR="008F627E" w:rsidRPr="008F627E" w:rsidRDefault="00FD00B9" w:rsidP="008F627E">
      <w:pPr>
        <w:pStyle w:val="Heading3"/>
        <w:rPr>
          <w:rFonts w:asciiTheme="minorHAnsi" w:hAnsiTheme="minorHAnsi" w:cstheme="minorHAnsi"/>
          <w:sz w:val="22"/>
          <w:szCs w:val="22"/>
        </w:rPr>
      </w:pPr>
      <w:bookmarkStart w:id="65" w:name="_Toc88741813"/>
      <w:r>
        <w:rPr>
          <w:rFonts w:asciiTheme="minorHAnsi" w:hAnsiTheme="minorHAnsi" w:cstheme="minorHAnsi"/>
          <w:sz w:val="22"/>
          <w:szCs w:val="22"/>
        </w:rPr>
        <w:t>4</w:t>
      </w:r>
      <w:r w:rsidR="008F627E" w:rsidRPr="008F627E">
        <w:rPr>
          <w:rFonts w:asciiTheme="minorHAnsi" w:hAnsiTheme="minorHAnsi" w:cstheme="minorHAnsi"/>
          <w:sz w:val="22"/>
          <w:szCs w:val="22"/>
        </w:rPr>
        <w:t>.</w:t>
      </w:r>
      <w:r w:rsidR="00767654">
        <w:rPr>
          <w:rFonts w:asciiTheme="minorHAnsi" w:hAnsiTheme="minorHAnsi" w:cstheme="minorHAnsi"/>
          <w:sz w:val="22"/>
          <w:szCs w:val="22"/>
        </w:rPr>
        <w:t>7</w:t>
      </w:r>
      <w:r w:rsidR="008F627E" w:rsidRPr="008F627E">
        <w:rPr>
          <w:rFonts w:asciiTheme="minorHAnsi" w:hAnsiTheme="minorHAnsi" w:cstheme="minorHAnsi"/>
          <w:sz w:val="22"/>
          <w:szCs w:val="22"/>
        </w:rPr>
        <w:t xml:space="preserve"> Partnerships and Resource Mobilization</w:t>
      </w:r>
      <w:bookmarkEnd w:id="65"/>
    </w:p>
    <w:p w14:paraId="08A66E94" w14:textId="6B803935" w:rsidR="00550D51" w:rsidRPr="009947B7" w:rsidRDefault="005612B9" w:rsidP="00B07AE2">
      <w:pPr>
        <w:jc w:val="both"/>
        <w:rPr>
          <w:b/>
          <w:bCs/>
        </w:rPr>
      </w:pPr>
      <w:r w:rsidRPr="009947B7">
        <w:rPr>
          <w:b/>
          <w:bCs/>
        </w:rPr>
        <w:t xml:space="preserve">Finding </w:t>
      </w:r>
      <w:r w:rsidR="003655FB" w:rsidRPr="009947B7">
        <w:rPr>
          <w:b/>
          <w:bCs/>
        </w:rPr>
        <w:t>1</w:t>
      </w:r>
      <w:r w:rsidR="00B355FE">
        <w:rPr>
          <w:b/>
          <w:bCs/>
        </w:rPr>
        <w:t>9</w:t>
      </w:r>
      <w:r w:rsidRPr="009947B7">
        <w:rPr>
          <w:b/>
          <w:bCs/>
        </w:rPr>
        <w:t xml:space="preserve">: UNDP </w:t>
      </w:r>
      <w:r w:rsidR="00BB0FBA" w:rsidRPr="009947B7">
        <w:rPr>
          <w:b/>
          <w:bCs/>
        </w:rPr>
        <w:t xml:space="preserve">Angola </w:t>
      </w:r>
      <w:r w:rsidR="00DD2551" w:rsidRPr="009947B7">
        <w:rPr>
          <w:b/>
          <w:bCs/>
        </w:rPr>
        <w:t>is a trusted partner of government, national stakeholders and other development actors. The partnerships forged have</w:t>
      </w:r>
      <w:r w:rsidRPr="009947B7">
        <w:rPr>
          <w:b/>
          <w:bCs/>
        </w:rPr>
        <w:t xml:space="preserve"> </w:t>
      </w:r>
      <w:r w:rsidR="00DD2551" w:rsidRPr="009947B7">
        <w:rPr>
          <w:b/>
          <w:bCs/>
        </w:rPr>
        <w:t xml:space="preserve">facilitated UNDP’s work in the areas of </w:t>
      </w:r>
      <w:r w:rsidR="00B07AE2" w:rsidRPr="009947B7">
        <w:rPr>
          <w:b/>
          <w:bCs/>
        </w:rPr>
        <w:t xml:space="preserve">advocacy, policy formulation, resource mobilization and </w:t>
      </w:r>
      <w:r w:rsidRPr="009947B7">
        <w:rPr>
          <w:b/>
          <w:bCs/>
        </w:rPr>
        <w:t>programme delivery</w:t>
      </w:r>
      <w:r w:rsidR="00DD2551" w:rsidRPr="009947B7">
        <w:rPr>
          <w:b/>
          <w:bCs/>
        </w:rPr>
        <w:t>, hence enabling it to make important contributions to development outcomes.</w:t>
      </w:r>
      <w:r w:rsidR="00B07AE2" w:rsidRPr="009947B7">
        <w:rPr>
          <w:b/>
          <w:bCs/>
        </w:rPr>
        <w:t xml:space="preserve"> </w:t>
      </w:r>
      <w:r w:rsidR="00B7688A" w:rsidRPr="009947B7">
        <w:rPr>
          <w:b/>
          <w:bCs/>
        </w:rPr>
        <w:t>However, operational challenges</w:t>
      </w:r>
      <w:r w:rsidR="001E1033" w:rsidRPr="009947B7">
        <w:rPr>
          <w:b/>
          <w:bCs/>
        </w:rPr>
        <w:t xml:space="preserve"> pose a </w:t>
      </w:r>
      <w:r w:rsidR="00B7688A" w:rsidRPr="009947B7">
        <w:rPr>
          <w:b/>
          <w:bCs/>
        </w:rPr>
        <w:t>risk</w:t>
      </w:r>
      <w:r w:rsidR="001E1033" w:rsidRPr="009947B7">
        <w:rPr>
          <w:b/>
          <w:bCs/>
        </w:rPr>
        <w:t xml:space="preserve"> to this reputation </w:t>
      </w:r>
      <w:r w:rsidR="00B7688A" w:rsidRPr="009947B7">
        <w:rPr>
          <w:b/>
          <w:bCs/>
        </w:rPr>
        <w:t xml:space="preserve">  </w:t>
      </w:r>
    </w:p>
    <w:p w14:paraId="05857004" w14:textId="0C75EC5E" w:rsidR="005612B9" w:rsidRDefault="005612B9" w:rsidP="00394FC0">
      <w:pPr>
        <w:jc w:val="both"/>
      </w:pPr>
      <w:r>
        <w:t xml:space="preserve">UNDP </w:t>
      </w:r>
      <w:r w:rsidR="00DD2551">
        <w:t xml:space="preserve">is </w:t>
      </w:r>
      <w:r w:rsidR="00394FC0">
        <w:t xml:space="preserve">a trusted and </w:t>
      </w:r>
      <w:r w:rsidR="00DD2551">
        <w:t xml:space="preserve">well perceived </w:t>
      </w:r>
      <w:r w:rsidR="00394FC0">
        <w:t xml:space="preserve">partner </w:t>
      </w:r>
      <w:r>
        <w:t xml:space="preserve">by </w:t>
      </w:r>
      <w:r w:rsidR="00DD2551">
        <w:t xml:space="preserve">government and </w:t>
      </w:r>
      <w:r>
        <w:t>national stakeholders</w:t>
      </w:r>
      <w:r w:rsidR="00394FC0">
        <w:t xml:space="preserve">. </w:t>
      </w:r>
      <w:r w:rsidR="001E1033">
        <w:t>According to stakeholders interviewed, t</w:t>
      </w:r>
      <w:r w:rsidR="00394FC0">
        <w:t xml:space="preserve">he Government of Angola values UNDP’s top-class policy and technical advisory role and its neutrality. All national stakeholders interviewed have been unanimous in their views regarding the positive role UNDP is playing, and this includes vulnerable and marginalized groups such women, youth, people living with HI and AIDs. For the latter, UNDP is particularly appreciated for its stance in advocating their rights and assisting them face stigma and discrimination. </w:t>
      </w:r>
    </w:p>
    <w:p w14:paraId="417E1E08" w14:textId="464F5192" w:rsidR="005612B9" w:rsidRDefault="005612B9" w:rsidP="00394FC0">
      <w:pPr>
        <w:jc w:val="both"/>
      </w:pPr>
      <w:r>
        <w:t xml:space="preserve">By virtue of the trust UNDP has developed, it has a good track record in mobilizing resources from diverse </w:t>
      </w:r>
      <w:r w:rsidR="00394FC0">
        <w:t xml:space="preserve">funding </w:t>
      </w:r>
      <w:r>
        <w:t>sources</w:t>
      </w:r>
      <w:r w:rsidR="00394FC0">
        <w:t xml:space="preserve"> – government of Angola, bilateral and multilateral. While limited at present, government cost-sharing is increasing and likely to be of growing importance.  Similarly, the trust earned has made UNDP an important custodian of significant resources from the Global Fund and GEF. </w:t>
      </w:r>
      <w:r w:rsidR="00BB0FBA">
        <w:t xml:space="preserve">For these two donors and many others, </w:t>
      </w:r>
      <w:r w:rsidR="001E1033">
        <w:t xml:space="preserve">including in particular bilateral partners, </w:t>
      </w:r>
      <w:r w:rsidR="00BB0FBA">
        <w:t xml:space="preserve">UNDP has become the “go to” partner to achieve their </w:t>
      </w:r>
      <w:r w:rsidR="001E1033">
        <w:t xml:space="preserve">development </w:t>
      </w:r>
      <w:r w:rsidR="00BB0FBA">
        <w:t xml:space="preserve">cooperation objectives. This is reflected also in the ability </w:t>
      </w:r>
      <w:r w:rsidR="001E1033">
        <w:t xml:space="preserve">of UNDP </w:t>
      </w:r>
      <w:r w:rsidR="00BB0FBA">
        <w:t xml:space="preserve">to work in areas deemed too sensitive for bilateral donors specially to venture into – areas such as anti-corruption, elections and administrative reforms.  </w:t>
      </w:r>
    </w:p>
    <w:p w14:paraId="67A3A01A" w14:textId="0724B4B1" w:rsidR="00DD2551" w:rsidRDefault="00DD2551" w:rsidP="00BB0FBA">
      <w:pPr>
        <w:jc w:val="both"/>
      </w:pPr>
      <w:r>
        <w:t>In its programmatic interventions, UNDP is able to bring together diverse actors to address key development challenges in Angola</w:t>
      </w:r>
      <w:r w:rsidR="008872A7">
        <w:t xml:space="preserve">. For example, under the “Building back better post COVID-19. Enhancing skill development and job creation for the youth in Angola”, UNDP has mobilized major partners in </w:t>
      </w:r>
      <w:r w:rsidR="001E1033">
        <w:t>its</w:t>
      </w:r>
      <w:r w:rsidR="008872A7">
        <w:t xml:space="preserve"> implementation: MAPTSS, MED, Ministry of Family, Social Action and Women Empowerment (MASFAMU), Ministry of Economy and Planning (MEP), Ministry of Youth and Sports, INEFOP, the National Institute of Small and Medium-sized Enterprises (INAPEM), the Provincial </w:t>
      </w:r>
      <w:r w:rsidR="008872A7">
        <w:lastRenderedPageBreak/>
        <w:t>Government of Luanda, the Municipal Administration of Cazenga and the International Labour Organization (ILO)</w:t>
      </w:r>
      <w:r w:rsidR="00CD7E5C">
        <w:t>, r</w:t>
      </w:r>
      <w:r w:rsidR="008872A7">
        <w:t xml:space="preserve">elevant business associations, youth and workers’ associations, National Youth Council (CNJ), TVET institutions, Angolan Forum of Young Entrepreneurs (FAJE), and other civil society organizations. This underscores the partnership building capacity of UNDP and its ability to bring together key players to address complex development challenges. The same approach of building broad-based partnership </w:t>
      </w:r>
      <w:r w:rsidR="00CD7E5C">
        <w:t>i</w:t>
      </w:r>
      <w:r w:rsidR="008872A7">
        <w:t>s also evident on policy front regarding establishment of the SDG platform in Angola.</w:t>
      </w:r>
    </w:p>
    <w:p w14:paraId="6FAAD617" w14:textId="7081344A" w:rsidR="00DD2551" w:rsidRDefault="00DD2551" w:rsidP="00BB0FBA">
      <w:pPr>
        <w:jc w:val="both"/>
      </w:pPr>
      <w:r>
        <w:t>UNDP is playing a strong leadership role within the UN-system in Angola</w:t>
      </w:r>
      <w:r w:rsidR="00CD7E5C">
        <w:t xml:space="preserve"> as well</w:t>
      </w:r>
      <w:r>
        <w:t>, working closely with other UN agencies to implement priorities under the UNSDF</w:t>
      </w:r>
      <w:r w:rsidR="00C53BBA">
        <w:t xml:space="preserve"> – hence contributing in many ways to efforts to “deliver as one” in Angola</w:t>
      </w:r>
      <w:r>
        <w:t xml:space="preserve">. </w:t>
      </w:r>
      <w:r w:rsidR="00C53BBA">
        <w:t xml:space="preserve">UNDP played a lead role in </w:t>
      </w:r>
      <w:r w:rsidR="00D5266D">
        <w:t>devising</w:t>
      </w:r>
      <w:r w:rsidR="00C53BBA">
        <w:t xml:space="preserve"> the UN-system socio-economic response to Covid-19. At the programme/project level, UNDP </w:t>
      </w:r>
      <w:r w:rsidR="00BB0FBA">
        <w:t xml:space="preserve">is working closely with </w:t>
      </w:r>
      <w:r w:rsidR="00C53BBA">
        <w:t>sister UN agencies within the context of the UNSDF to support the Government of Angola. UNDP and UNICEF are working on a joint project (Building Back Better Post Covid-19) on enhancing skill development to foster employment opportunities for the Angolan youth in urban areas, through the promotion of quality Technical and Vocational Education and Training (TVET), youth employment and entrepreneurship, and engagement – with the goal of tackling multidimensional poverty. UNDP is collaborating with</w:t>
      </w:r>
      <w:r w:rsidR="00BB0FBA">
        <w:t xml:space="preserve"> </w:t>
      </w:r>
      <w:r>
        <w:t>WHO</w:t>
      </w:r>
      <w:r w:rsidR="00BB0FBA">
        <w:t xml:space="preserve"> in implementing Global Fund programmes in Angola.</w:t>
      </w:r>
      <w:r w:rsidR="00B24D94">
        <w:t xml:space="preserve"> </w:t>
      </w:r>
      <w:r w:rsidR="00C53BBA">
        <w:t>T</w:t>
      </w:r>
      <w:r w:rsidR="00B24D94">
        <w:t>hrough the partnership with the International Labour Organization (ILO) and the University of Mandume Ya Ndemufayo (University based in Lubango, Huíla)</w:t>
      </w:r>
      <w:r w:rsidR="00C53BBA">
        <w:t xml:space="preserve">, </w:t>
      </w:r>
      <w:r w:rsidR="00B24D94">
        <w:t xml:space="preserve">UNDP has been successful in harnessing specialized international expertise on labour and skill demands and apply it to concretely understand the local dynamics. </w:t>
      </w:r>
    </w:p>
    <w:p w14:paraId="1E27530F" w14:textId="19ED454C" w:rsidR="00DD2551" w:rsidRDefault="00DD2551" w:rsidP="00BB0FBA">
      <w:pPr>
        <w:jc w:val="both"/>
      </w:pPr>
      <w:r>
        <w:t xml:space="preserve">Finally, UNDP is a </w:t>
      </w:r>
      <w:r w:rsidR="00394FC0">
        <w:t>playing a key role in promoting south-south cooperation.</w:t>
      </w:r>
      <w:r w:rsidR="00B24D94">
        <w:t xml:space="preserve"> For example, </w:t>
      </w:r>
      <w:r w:rsidR="00C53BBA">
        <w:t>i</w:t>
      </w:r>
      <w:r w:rsidR="00B24D94">
        <w:t>n its policy and technical advisory role on TVET</w:t>
      </w:r>
      <w:r w:rsidR="00C53BBA">
        <w:t>,</w:t>
      </w:r>
      <w:r w:rsidR="00B24D94">
        <w:t xml:space="preserve"> UNDP is able to draw upon the experiences of other countries such as Eritrea, Armenia, and Georgia where UNDP has successfully implemented TVET programmes.</w:t>
      </w:r>
    </w:p>
    <w:p w14:paraId="3E882F47" w14:textId="004BA67D" w:rsidR="001E1033" w:rsidRDefault="001E1033" w:rsidP="00BB0FBA">
      <w:pPr>
        <w:jc w:val="both"/>
      </w:pPr>
      <w:r>
        <w:t>Notwithstanding the above, a frequent refrain and co</w:t>
      </w:r>
      <w:r w:rsidR="00CD7E5C">
        <w:t>m</w:t>
      </w:r>
      <w:r>
        <w:t xml:space="preserve">plaint of </w:t>
      </w:r>
      <w:r w:rsidR="00CD7E5C">
        <w:t>partners is “UNDP is too bureaucratic”, and slow to respond to needs of its clients. While UNDP is not entirely to bla</w:t>
      </w:r>
      <w:r w:rsidR="00D5266D">
        <w:t>m</w:t>
      </w:r>
      <w:r w:rsidR="00CD7E5C">
        <w:t xml:space="preserve">e for the situation, efforts </w:t>
      </w:r>
      <w:r w:rsidR="00D5266D">
        <w:t>m</w:t>
      </w:r>
      <w:r w:rsidR="00CD7E5C">
        <w:t xml:space="preserve">ust be made to address these </w:t>
      </w:r>
      <w:r w:rsidR="00D5266D">
        <w:t>well-known and persistent o</w:t>
      </w:r>
      <w:r w:rsidR="00CD7E5C">
        <w:t>perational bottlenecks</w:t>
      </w:r>
      <w:r w:rsidR="00D5266D">
        <w:t xml:space="preserve"> highlighted by previous evaluations</w:t>
      </w:r>
      <w:r w:rsidR="00CD7E5C">
        <w:t>.</w:t>
      </w:r>
    </w:p>
    <w:p w14:paraId="12F0F027" w14:textId="6858F442" w:rsidR="008C4FD4" w:rsidRDefault="00FD00B9" w:rsidP="008C4FD4">
      <w:pPr>
        <w:pStyle w:val="Heading1"/>
        <w:rPr>
          <w:rFonts w:asciiTheme="minorHAnsi" w:hAnsiTheme="minorHAnsi" w:cstheme="minorHAnsi"/>
          <w:sz w:val="22"/>
          <w:szCs w:val="22"/>
        </w:rPr>
      </w:pPr>
      <w:bookmarkStart w:id="66" w:name="_Toc88741814"/>
      <w:r>
        <w:rPr>
          <w:rFonts w:asciiTheme="minorHAnsi" w:hAnsiTheme="minorHAnsi" w:cstheme="minorHAnsi"/>
          <w:sz w:val="22"/>
          <w:szCs w:val="22"/>
        </w:rPr>
        <w:t>4</w:t>
      </w:r>
      <w:r w:rsidR="008C4FD4">
        <w:rPr>
          <w:rFonts w:asciiTheme="minorHAnsi" w:hAnsiTheme="minorHAnsi" w:cstheme="minorHAnsi"/>
          <w:sz w:val="22"/>
          <w:szCs w:val="22"/>
        </w:rPr>
        <w:t>.8 Key Challenges in Programme Implementation</w:t>
      </w:r>
      <w:bookmarkEnd w:id="66"/>
    </w:p>
    <w:p w14:paraId="4039C383" w14:textId="0FEE7632" w:rsidR="008C4FD4" w:rsidRDefault="008C4FD4" w:rsidP="008C4FD4">
      <w:pPr>
        <w:jc w:val="both"/>
      </w:pPr>
      <w:r>
        <w:t xml:space="preserve">UNDP Country Programme </w:t>
      </w:r>
      <w:r w:rsidR="00D5266D">
        <w:t>fa</w:t>
      </w:r>
      <w:r w:rsidR="00C907D5">
        <w:t>c</w:t>
      </w:r>
      <w:r w:rsidR="00D5266D">
        <w:t xml:space="preserve">es a </w:t>
      </w:r>
      <w:r>
        <w:t xml:space="preserve">number of internal </w:t>
      </w:r>
      <w:r w:rsidR="009A3258">
        <w:t xml:space="preserve">(endogenous) </w:t>
      </w:r>
      <w:r>
        <w:t xml:space="preserve">and external </w:t>
      </w:r>
      <w:r w:rsidR="009A3258">
        <w:t xml:space="preserve">(exogenous) </w:t>
      </w:r>
      <w:r w:rsidR="00D5266D">
        <w:t>challenges that are having an adverse effect on implementation and delivery of programme resources</w:t>
      </w:r>
      <w:r>
        <w:t>.</w:t>
      </w:r>
    </w:p>
    <w:p w14:paraId="060D1581" w14:textId="7B190255" w:rsidR="009A3258" w:rsidRPr="009A3258" w:rsidRDefault="00FD00B9" w:rsidP="009A3258">
      <w:pPr>
        <w:pStyle w:val="Heading3"/>
        <w:rPr>
          <w:rFonts w:asciiTheme="minorHAnsi" w:hAnsiTheme="minorHAnsi" w:cstheme="minorHAnsi"/>
          <w:sz w:val="22"/>
          <w:szCs w:val="22"/>
        </w:rPr>
      </w:pPr>
      <w:bookmarkStart w:id="67" w:name="_Toc88741815"/>
      <w:r>
        <w:rPr>
          <w:rFonts w:asciiTheme="minorHAnsi" w:hAnsiTheme="minorHAnsi" w:cstheme="minorHAnsi"/>
          <w:sz w:val="22"/>
          <w:szCs w:val="22"/>
        </w:rPr>
        <w:t>4</w:t>
      </w:r>
      <w:r w:rsidR="009A3258" w:rsidRPr="009A3258">
        <w:rPr>
          <w:rFonts w:asciiTheme="minorHAnsi" w:hAnsiTheme="minorHAnsi" w:cstheme="minorHAnsi"/>
          <w:sz w:val="22"/>
          <w:szCs w:val="22"/>
        </w:rPr>
        <w:t>.8.1 Endogenous Factors</w:t>
      </w:r>
      <w:bookmarkEnd w:id="67"/>
    </w:p>
    <w:p w14:paraId="0279577A" w14:textId="0EA444AD" w:rsidR="009A3258" w:rsidRDefault="00D756F0" w:rsidP="008342DD">
      <w:pPr>
        <w:jc w:val="both"/>
      </w:pPr>
      <w:r>
        <w:t xml:space="preserve">The </w:t>
      </w:r>
      <w:r w:rsidR="009A3258">
        <w:t>endogenous factors contributing to challenges in implementation of the Country Programme</w:t>
      </w:r>
      <w:r>
        <w:t xml:space="preserve"> </w:t>
      </w:r>
      <w:r w:rsidR="00E237AF">
        <w:t>include the</w:t>
      </w:r>
      <w:r w:rsidR="009A3258">
        <w:t xml:space="preserve"> following:</w:t>
      </w:r>
    </w:p>
    <w:p w14:paraId="37AB43DF" w14:textId="74C7A45F" w:rsidR="009A3258" w:rsidRDefault="009A3258" w:rsidP="00790AD5">
      <w:pPr>
        <w:pStyle w:val="ListParagraph"/>
        <w:numPr>
          <w:ilvl w:val="0"/>
          <w:numId w:val="43"/>
        </w:numPr>
        <w:jc w:val="both"/>
      </w:pPr>
      <w:r>
        <w:t xml:space="preserve">For a </w:t>
      </w:r>
      <w:r w:rsidR="002B77D9">
        <w:t xml:space="preserve">combined </w:t>
      </w:r>
      <w:r>
        <w:t xml:space="preserve">portfolio of about US$ 64 million over the two years, </w:t>
      </w:r>
      <w:r w:rsidR="002B77D9">
        <w:t xml:space="preserve">UNDP is implementing </w:t>
      </w:r>
      <w:r>
        <w:t xml:space="preserve">24 projects. </w:t>
      </w:r>
      <w:r w:rsidR="002B77D9">
        <w:t>The portfolio is fragmented with several projects of under US$ 1 million</w:t>
      </w:r>
      <w:r w:rsidR="00E13CCA">
        <w:t xml:space="preserve"> and</w:t>
      </w:r>
      <w:r>
        <w:t xml:space="preserve">, </w:t>
      </w:r>
      <w:r w:rsidR="002B77D9">
        <w:t xml:space="preserve">as a </w:t>
      </w:r>
      <w:r w:rsidR="00C277A6">
        <w:t>result</w:t>
      </w:r>
      <w:r w:rsidR="00E13CCA">
        <w:t>,</w:t>
      </w:r>
      <w:r w:rsidR="00C277A6">
        <w:t xml:space="preserve"> transaction cost</w:t>
      </w:r>
      <w:r w:rsidR="00E13CCA">
        <w:t>s</w:t>
      </w:r>
      <w:r w:rsidR="008F2AB3">
        <w:t xml:space="preserve"> c</w:t>
      </w:r>
      <w:r w:rsidR="002B77D9">
        <w:t>ould be high</w:t>
      </w:r>
      <w:r w:rsidR="00B45670">
        <w:t xml:space="preserve">. </w:t>
      </w:r>
      <w:r w:rsidR="00C277A6">
        <w:t xml:space="preserve"> This appears to be a </w:t>
      </w:r>
      <w:r w:rsidR="003A0FE9">
        <w:t>typical</w:t>
      </w:r>
      <w:r w:rsidR="00C277A6">
        <w:t xml:space="preserve"> </w:t>
      </w:r>
      <w:r w:rsidR="003A0FE9">
        <w:t>problem</w:t>
      </w:r>
      <w:r w:rsidR="00C277A6">
        <w:t xml:space="preserve"> in countries of the region, with the exception of a few: </w:t>
      </w:r>
      <w:r w:rsidR="003A0FE9">
        <w:t>DRC, Mozambique and Zimbabwe –</w:t>
      </w:r>
      <w:r w:rsidR="002B77D9">
        <w:t xml:space="preserve"> see Table </w:t>
      </w:r>
      <w:r w:rsidR="007D6FE9">
        <w:t>12</w:t>
      </w:r>
      <w:r w:rsidR="002B77D9">
        <w:t xml:space="preserve"> below</w:t>
      </w:r>
      <w:r w:rsidR="005804C0">
        <w:t>.</w:t>
      </w:r>
      <w:r w:rsidR="00095A75">
        <w:t xml:space="preserve">  </w:t>
      </w:r>
    </w:p>
    <w:p w14:paraId="4E1C99EA" w14:textId="2FD51EB6" w:rsidR="00095A75" w:rsidRDefault="00D756F0" w:rsidP="00790AD5">
      <w:pPr>
        <w:pStyle w:val="ListParagraph"/>
        <w:numPr>
          <w:ilvl w:val="0"/>
          <w:numId w:val="43"/>
        </w:numPr>
        <w:jc w:val="both"/>
      </w:pPr>
      <w:r>
        <w:t xml:space="preserve">There are </w:t>
      </w:r>
      <w:r w:rsidR="00EE6E59">
        <w:t>several</w:t>
      </w:r>
      <w:r>
        <w:t xml:space="preserve"> o</w:t>
      </w:r>
      <w:r w:rsidR="00095A75">
        <w:t xml:space="preserve">perational weaknesses relating to financial, procurement and other processes, </w:t>
      </w:r>
      <w:r w:rsidR="00EE6E59">
        <w:t xml:space="preserve">that both staff and stakeholders have highlighted and these </w:t>
      </w:r>
      <w:r w:rsidR="00095A75">
        <w:t xml:space="preserve">are further discussed in the following section </w:t>
      </w:r>
      <w:r w:rsidR="008342DD">
        <w:t>5.9</w:t>
      </w:r>
      <w:r w:rsidR="00095A75">
        <w:t xml:space="preserve"> below.</w:t>
      </w:r>
    </w:p>
    <w:p w14:paraId="605F7840" w14:textId="1F3213FC" w:rsidR="003A0FE9" w:rsidRDefault="00EE6E59" w:rsidP="00790AD5">
      <w:pPr>
        <w:pStyle w:val="ListParagraph"/>
        <w:numPr>
          <w:ilvl w:val="0"/>
          <w:numId w:val="43"/>
        </w:numPr>
        <w:jc w:val="both"/>
      </w:pPr>
      <w:r>
        <w:lastRenderedPageBreak/>
        <w:t>The e</w:t>
      </w:r>
      <w:r w:rsidR="00095A75">
        <w:t xml:space="preserve">xpansion </w:t>
      </w:r>
      <w:r w:rsidR="002B77D9">
        <w:t xml:space="preserve">of UNDP activities </w:t>
      </w:r>
      <w:r w:rsidR="00095A75">
        <w:t>in</w:t>
      </w:r>
      <w:r w:rsidR="002B77D9">
        <w:t>to</w:t>
      </w:r>
      <w:r w:rsidR="00095A75">
        <w:t xml:space="preserve"> the </w:t>
      </w:r>
      <w:r w:rsidR="00E13CCA">
        <w:t>provinces</w:t>
      </w:r>
      <w:r w:rsidR="00095A75">
        <w:t xml:space="preserve"> while positive pose specific challenges, </w:t>
      </w:r>
      <w:r w:rsidR="00E13CCA">
        <w:t>and</w:t>
      </w:r>
      <w:r w:rsidR="00095A75">
        <w:t xml:space="preserve"> have been aggravated by operational weaknesses cited above</w:t>
      </w:r>
      <w:r w:rsidR="002B77D9">
        <w:t>,</w:t>
      </w:r>
      <w:r w:rsidR="00095A75">
        <w:t xml:space="preserve"> as well as weak capacities of provinc</w:t>
      </w:r>
      <w:r w:rsidR="002B77D9">
        <w:t xml:space="preserve">ial </w:t>
      </w:r>
      <w:r w:rsidR="008F2AB3">
        <w:t>administrations</w:t>
      </w:r>
      <w:r w:rsidR="00095A75">
        <w:t xml:space="preserve">. </w:t>
      </w:r>
    </w:p>
    <w:p w14:paraId="4BEEC076" w14:textId="17741864" w:rsidR="00DD16EF" w:rsidRDefault="00DD16EF" w:rsidP="00790AD5">
      <w:pPr>
        <w:pStyle w:val="ListParagraph"/>
        <w:numPr>
          <w:ilvl w:val="0"/>
          <w:numId w:val="43"/>
        </w:numPr>
        <w:jc w:val="both"/>
      </w:pPr>
      <w:r>
        <w:t xml:space="preserve">Finally, the Country Office </w:t>
      </w:r>
      <w:r w:rsidR="00EE6E59">
        <w:t>in resource terms has</w:t>
      </w:r>
      <w:r>
        <w:t xml:space="preserve"> grown rather rapidly in size, driven mainly by substantial increase</w:t>
      </w:r>
      <w:r w:rsidR="00E13CCA">
        <w:t>s</w:t>
      </w:r>
      <w:r>
        <w:t xml:space="preserve"> in Global Fund resources which saw a five-fold increase from US$ 23 million to US$ 103 million. This</w:t>
      </w:r>
      <w:r w:rsidR="00B7688A">
        <w:t>, while welcome, at the same time</w:t>
      </w:r>
      <w:r w:rsidR="00EE6E59">
        <w:t>, such a rapid growth</w:t>
      </w:r>
      <w:r>
        <w:t xml:space="preserve"> </w:t>
      </w:r>
      <w:r w:rsidR="00B7688A">
        <w:t>obviously</w:t>
      </w:r>
      <w:r>
        <w:t xml:space="preserve"> will pose operational </w:t>
      </w:r>
      <w:r w:rsidR="00B7688A">
        <w:t>challenges</w:t>
      </w:r>
      <w:r w:rsidR="00E13CCA">
        <w:t>,</w:t>
      </w:r>
      <w:r>
        <w:t xml:space="preserve"> as well as </w:t>
      </w:r>
      <w:r w:rsidR="00B7688A">
        <w:t>introduce a significant degree of distortion in Country Office priorities.</w:t>
      </w:r>
      <w:r>
        <w:t xml:space="preserve">  </w:t>
      </w:r>
    </w:p>
    <w:p w14:paraId="10EDB2B8" w14:textId="4643FA75" w:rsidR="00C277A6" w:rsidRPr="003A0FE9" w:rsidRDefault="00C277A6" w:rsidP="003A0FE9">
      <w:pPr>
        <w:ind w:left="360"/>
        <w:jc w:val="both"/>
      </w:pPr>
      <w:r w:rsidRPr="003A0FE9">
        <w:rPr>
          <w:b/>
          <w:bCs/>
          <w:sz w:val="20"/>
          <w:szCs w:val="20"/>
        </w:rPr>
        <w:t xml:space="preserve">Table </w:t>
      </w:r>
      <w:r w:rsidR="00675CB2">
        <w:rPr>
          <w:b/>
          <w:bCs/>
          <w:sz w:val="20"/>
          <w:szCs w:val="20"/>
        </w:rPr>
        <w:t>12</w:t>
      </w:r>
      <w:r w:rsidRPr="003A0FE9">
        <w:rPr>
          <w:b/>
          <w:bCs/>
          <w:sz w:val="20"/>
          <w:szCs w:val="20"/>
        </w:rPr>
        <w:t>: UNDP Country Office Portfolios in selected Southern Africa Countries</w:t>
      </w:r>
    </w:p>
    <w:tbl>
      <w:tblPr>
        <w:tblW w:w="6400" w:type="dxa"/>
        <w:tblInd w:w="765" w:type="dxa"/>
        <w:tblCellMar>
          <w:left w:w="70" w:type="dxa"/>
          <w:right w:w="70" w:type="dxa"/>
        </w:tblCellMar>
        <w:tblLook w:val="04A0" w:firstRow="1" w:lastRow="0" w:firstColumn="1" w:lastColumn="0" w:noHBand="0" w:noVBand="1"/>
      </w:tblPr>
      <w:tblGrid>
        <w:gridCol w:w="1720"/>
        <w:gridCol w:w="1460"/>
        <w:gridCol w:w="960"/>
        <w:gridCol w:w="960"/>
        <w:gridCol w:w="1300"/>
      </w:tblGrid>
      <w:tr w:rsidR="00C277A6" w:rsidRPr="009A2FBE" w14:paraId="1B6D0682" w14:textId="77777777" w:rsidTr="00C907D5">
        <w:trPr>
          <w:trHeight w:val="880"/>
        </w:trPr>
        <w:tc>
          <w:tcPr>
            <w:tcW w:w="172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46B28476" w14:textId="77777777" w:rsidR="00C277A6" w:rsidRPr="009A2FBE" w:rsidRDefault="00C277A6" w:rsidP="00F51AF7">
            <w:pPr>
              <w:spacing w:after="0" w:line="240" w:lineRule="auto"/>
              <w:rPr>
                <w:rFonts w:eastAsia="Times New Roman" w:cstheme="minorHAnsi"/>
                <w:b/>
                <w:bCs/>
                <w:color w:val="000000"/>
                <w:sz w:val="20"/>
                <w:szCs w:val="20"/>
                <w:lang w:eastAsia="pt-PT"/>
              </w:rPr>
            </w:pPr>
            <w:r w:rsidRPr="009A2FBE">
              <w:rPr>
                <w:rFonts w:eastAsia="Times New Roman" w:cstheme="minorHAnsi"/>
                <w:b/>
                <w:bCs/>
                <w:color w:val="000000"/>
                <w:sz w:val="20"/>
                <w:szCs w:val="20"/>
                <w:lang w:eastAsia="pt-PT"/>
              </w:rPr>
              <w:t> </w:t>
            </w:r>
          </w:p>
        </w:tc>
        <w:tc>
          <w:tcPr>
            <w:tcW w:w="1460" w:type="dxa"/>
            <w:tcBorders>
              <w:top w:val="single" w:sz="8" w:space="0" w:color="auto"/>
              <w:left w:val="nil"/>
              <w:bottom w:val="single" w:sz="8" w:space="0" w:color="auto"/>
              <w:right w:val="single" w:sz="4" w:space="0" w:color="auto"/>
            </w:tcBorders>
            <w:shd w:val="clear" w:color="auto" w:fill="auto"/>
            <w:noWrap/>
            <w:vAlign w:val="center"/>
            <w:hideMark/>
          </w:tcPr>
          <w:p w14:paraId="49906F25" w14:textId="77777777" w:rsidR="00C277A6" w:rsidRPr="009A2FBE" w:rsidRDefault="00C277A6" w:rsidP="00F51AF7">
            <w:pPr>
              <w:spacing w:after="0" w:line="240" w:lineRule="auto"/>
              <w:rPr>
                <w:rFonts w:eastAsia="Times New Roman" w:cstheme="minorHAnsi"/>
                <w:b/>
                <w:bCs/>
                <w:color w:val="000000"/>
                <w:sz w:val="20"/>
                <w:szCs w:val="20"/>
                <w:lang w:eastAsia="pt-PT"/>
              </w:rPr>
            </w:pPr>
            <w:r w:rsidRPr="009A2FBE">
              <w:rPr>
                <w:rFonts w:eastAsia="Times New Roman" w:cstheme="minorHAnsi"/>
                <w:b/>
                <w:bCs/>
                <w:color w:val="000000"/>
                <w:sz w:val="20"/>
                <w:szCs w:val="20"/>
                <w:lang w:eastAsia="pt-PT"/>
              </w:rPr>
              <w:t>Budget</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14:paraId="609A39C7" w14:textId="4EF50E1D" w:rsidR="00C277A6" w:rsidRPr="009A2FBE" w:rsidRDefault="00C277A6" w:rsidP="00F51AF7">
            <w:pPr>
              <w:spacing w:after="0" w:line="240" w:lineRule="auto"/>
              <w:rPr>
                <w:rFonts w:eastAsia="Times New Roman" w:cstheme="minorHAnsi"/>
                <w:b/>
                <w:bCs/>
                <w:color w:val="000000"/>
                <w:sz w:val="20"/>
                <w:szCs w:val="20"/>
                <w:lang w:eastAsia="pt-PT"/>
              </w:rPr>
            </w:pPr>
            <w:r>
              <w:rPr>
                <w:rFonts w:eastAsia="Times New Roman" w:cstheme="minorHAnsi"/>
                <w:b/>
                <w:bCs/>
                <w:color w:val="000000"/>
                <w:sz w:val="20"/>
                <w:szCs w:val="20"/>
                <w:lang w:eastAsia="pt-PT"/>
              </w:rPr>
              <w:t xml:space="preserve">No. of </w:t>
            </w:r>
            <w:r w:rsidRPr="009A2FBE">
              <w:rPr>
                <w:rFonts w:eastAsia="Times New Roman" w:cstheme="minorHAnsi"/>
                <w:b/>
                <w:bCs/>
                <w:color w:val="000000"/>
                <w:sz w:val="20"/>
                <w:szCs w:val="20"/>
                <w:lang w:eastAsia="pt-PT"/>
              </w:rPr>
              <w:t>Project</w:t>
            </w:r>
            <w:r>
              <w:rPr>
                <w:rFonts w:eastAsia="Times New Roman" w:cstheme="minorHAnsi"/>
                <w:b/>
                <w:bCs/>
                <w:color w:val="000000"/>
                <w:sz w:val="20"/>
                <w:szCs w:val="20"/>
                <w:lang w:eastAsia="pt-PT"/>
              </w:rPr>
              <w:t>s</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14:paraId="17A75E70" w14:textId="622C30FB" w:rsidR="00C277A6" w:rsidRPr="009A2FBE" w:rsidRDefault="00C277A6" w:rsidP="00F51AF7">
            <w:pPr>
              <w:spacing w:after="0" w:line="240" w:lineRule="auto"/>
              <w:rPr>
                <w:rFonts w:eastAsia="Times New Roman" w:cstheme="minorHAnsi"/>
                <w:b/>
                <w:bCs/>
                <w:color w:val="000000"/>
                <w:sz w:val="20"/>
                <w:szCs w:val="20"/>
                <w:lang w:eastAsia="pt-PT"/>
              </w:rPr>
            </w:pPr>
            <w:r>
              <w:rPr>
                <w:rFonts w:eastAsia="Times New Roman" w:cstheme="minorHAnsi"/>
                <w:b/>
                <w:bCs/>
                <w:color w:val="000000"/>
                <w:sz w:val="20"/>
                <w:szCs w:val="20"/>
                <w:lang w:eastAsia="pt-PT"/>
              </w:rPr>
              <w:t xml:space="preserve">No. of </w:t>
            </w:r>
            <w:r w:rsidRPr="009A2FBE">
              <w:rPr>
                <w:rFonts w:eastAsia="Times New Roman" w:cstheme="minorHAnsi"/>
                <w:b/>
                <w:bCs/>
                <w:color w:val="000000"/>
                <w:sz w:val="20"/>
                <w:szCs w:val="20"/>
                <w:lang w:eastAsia="pt-PT"/>
              </w:rPr>
              <w:t>Donor</w:t>
            </w:r>
            <w:r>
              <w:rPr>
                <w:rFonts w:eastAsia="Times New Roman" w:cstheme="minorHAnsi"/>
                <w:b/>
                <w:bCs/>
                <w:color w:val="000000"/>
                <w:sz w:val="20"/>
                <w:szCs w:val="20"/>
                <w:lang w:eastAsia="pt-PT"/>
              </w:rPr>
              <w:t>s</w:t>
            </w:r>
          </w:p>
        </w:tc>
        <w:tc>
          <w:tcPr>
            <w:tcW w:w="1300" w:type="dxa"/>
            <w:tcBorders>
              <w:top w:val="single" w:sz="8" w:space="0" w:color="auto"/>
              <w:left w:val="nil"/>
              <w:bottom w:val="single" w:sz="8" w:space="0" w:color="auto"/>
              <w:right w:val="single" w:sz="4" w:space="0" w:color="auto"/>
            </w:tcBorders>
            <w:shd w:val="clear" w:color="auto" w:fill="auto"/>
            <w:vAlign w:val="bottom"/>
            <w:hideMark/>
          </w:tcPr>
          <w:p w14:paraId="0ADEABAF" w14:textId="5B41E1CE" w:rsidR="00C277A6" w:rsidRPr="009A2FBE" w:rsidRDefault="00C277A6" w:rsidP="00F51AF7">
            <w:pPr>
              <w:spacing w:after="0" w:line="240" w:lineRule="auto"/>
              <w:jc w:val="center"/>
              <w:rPr>
                <w:rFonts w:eastAsia="Times New Roman" w:cstheme="minorHAnsi"/>
                <w:b/>
                <w:bCs/>
                <w:color w:val="000000"/>
                <w:sz w:val="20"/>
                <w:szCs w:val="20"/>
                <w:lang w:eastAsia="pt-PT"/>
              </w:rPr>
            </w:pPr>
            <w:r w:rsidRPr="009A2FBE">
              <w:rPr>
                <w:rFonts w:eastAsia="Times New Roman" w:cstheme="minorHAnsi"/>
                <w:b/>
                <w:bCs/>
                <w:color w:val="000000"/>
                <w:sz w:val="20"/>
                <w:szCs w:val="20"/>
                <w:lang w:eastAsia="pt-PT"/>
              </w:rPr>
              <w:t>Average per project</w:t>
            </w:r>
          </w:p>
        </w:tc>
      </w:tr>
      <w:tr w:rsidR="00C277A6" w:rsidRPr="009A2FBE" w14:paraId="2992312A" w14:textId="77777777" w:rsidTr="00C907D5">
        <w:trPr>
          <w:trHeight w:val="290"/>
        </w:trPr>
        <w:tc>
          <w:tcPr>
            <w:tcW w:w="1720" w:type="dxa"/>
            <w:tcBorders>
              <w:top w:val="nil"/>
              <w:left w:val="single" w:sz="4" w:space="0" w:color="auto"/>
              <w:bottom w:val="nil"/>
              <w:right w:val="single" w:sz="4" w:space="0" w:color="auto"/>
            </w:tcBorders>
            <w:shd w:val="clear" w:color="auto" w:fill="auto"/>
            <w:noWrap/>
            <w:vAlign w:val="bottom"/>
            <w:hideMark/>
          </w:tcPr>
          <w:p w14:paraId="409F69F7" w14:textId="77777777" w:rsidR="00C277A6" w:rsidRPr="009A2FBE" w:rsidRDefault="00C277A6" w:rsidP="00F51AF7">
            <w:pPr>
              <w:spacing w:after="0" w:line="240" w:lineRule="auto"/>
              <w:rPr>
                <w:rFonts w:eastAsia="Times New Roman" w:cstheme="minorHAnsi"/>
                <w:color w:val="000000"/>
                <w:sz w:val="20"/>
                <w:szCs w:val="20"/>
                <w:lang w:eastAsia="pt-PT"/>
              </w:rPr>
            </w:pPr>
            <w:r w:rsidRPr="009A2FBE">
              <w:rPr>
                <w:rFonts w:eastAsia="Times New Roman" w:cstheme="minorHAnsi"/>
                <w:color w:val="000000"/>
                <w:sz w:val="20"/>
                <w:szCs w:val="20"/>
                <w:lang w:eastAsia="pt-PT"/>
              </w:rPr>
              <w:t>Angola</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3EB1002C" w14:textId="77777777" w:rsidR="00C277A6" w:rsidRPr="009A2FBE" w:rsidRDefault="00C277A6" w:rsidP="00F51AF7">
            <w:pPr>
              <w:spacing w:after="0" w:line="240" w:lineRule="auto"/>
              <w:jc w:val="right"/>
              <w:rPr>
                <w:rFonts w:eastAsia="Times New Roman" w:cstheme="minorHAnsi"/>
                <w:color w:val="444444"/>
                <w:sz w:val="20"/>
                <w:szCs w:val="20"/>
                <w:lang w:eastAsia="pt-PT"/>
              </w:rPr>
            </w:pPr>
            <w:r w:rsidRPr="009A2FBE">
              <w:rPr>
                <w:rFonts w:eastAsia="Times New Roman" w:cstheme="minorHAnsi"/>
                <w:color w:val="444444"/>
                <w:sz w:val="20"/>
                <w:szCs w:val="20"/>
                <w:lang w:eastAsia="pt-PT"/>
              </w:rPr>
              <w:t>$64,80</w:t>
            </w:r>
          </w:p>
        </w:tc>
        <w:tc>
          <w:tcPr>
            <w:tcW w:w="960" w:type="dxa"/>
            <w:tcBorders>
              <w:top w:val="nil"/>
              <w:left w:val="nil"/>
              <w:bottom w:val="single" w:sz="4" w:space="0" w:color="auto"/>
              <w:right w:val="single" w:sz="4" w:space="0" w:color="auto"/>
            </w:tcBorders>
            <w:shd w:val="clear" w:color="auto" w:fill="auto"/>
            <w:noWrap/>
            <w:vAlign w:val="bottom"/>
            <w:hideMark/>
          </w:tcPr>
          <w:p w14:paraId="39D61F02" w14:textId="77777777" w:rsidR="00C277A6" w:rsidRPr="009A2FBE" w:rsidRDefault="00C277A6" w:rsidP="00F51AF7">
            <w:pPr>
              <w:spacing w:after="0" w:line="240" w:lineRule="auto"/>
              <w:jc w:val="right"/>
              <w:rPr>
                <w:rFonts w:eastAsia="Times New Roman" w:cstheme="minorHAnsi"/>
                <w:color w:val="000000"/>
                <w:sz w:val="20"/>
                <w:szCs w:val="20"/>
                <w:lang w:eastAsia="pt-PT"/>
              </w:rPr>
            </w:pPr>
            <w:r w:rsidRPr="009A2FBE">
              <w:rPr>
                <w:rFonts w:eastAsia="Times New Roman" w:cstheme="minorHAnsi"/>
                <w:color w:val="000000"/>
                <w:sz w:val="20"/>
                <w:szCs w:val="20"/>
                <w:lang w:eastAsia="pt-PT"/>
              </w:rPr>
              <w:t>23</w:t>
            </w:r>
          </w:p>
        </w:tc>
        <w:tc>
          <w:tcPr>
            <w:tcW w:w="960" w:type="dxa"/>
            <w:tcBorders>
              <w:top w:val="nil"/>
              <w:left w:val="nil"/>
              <w:bottom w:val="single" w:sz="4" w:space="0" w:color="auto"/>
              <w:right w:val="single" w:sz="4" w:space="0" w:color="auto"/>
            </w:tcBorders>
            <w:shd w:val="clear" w:color="auto" w:fill="auto"/>
            <w:noWrap/>
            <w:vAlign w:val="bottom"/>
            <w:hideMark/>
          </w:tcPr>
          <w:p w14:paraId="667051F6" w14:textId="77777777" w:rsidR="00C277A6" w:rsidRPr="009A2FBE" w:rsidRDefault="00C277A6" w:rsidP="00F51AF7">
            <w:pPr>
              <w:spacing w:after="0" w:line="240" w:lineRule="auto"/>
              <w:jc w:val="right"/>
              <w:rPr>
                <w:rFonts w:eastAsia="Times New Roman" w:cstheme="minorHAnsi"/>
                <w:color w:val="000000"/>
                <w:sz w:val="20"/>
                <w:szCs w:val="20"/>
                <w:lang w:eastAsia="pt-PT"/>
              </w:rPr>
            </w:pPr>
            <w:r w:rsidRPr="009A2FBE">
              <w:rPr>
                <w:rFonts w:eastAsia="Times New Roman" w:cstheme="minorHAnsi"/>
                <w:color w:val="000000"/>
                <w:sz w:val="20"/>
                <w:szCs w:val="20"/>
                <w:lang w:eastAsia="pt-PT"/>
              </w:rPr>
              <w:t>18</w:t>
            </w:r>
          </w:p>
        </w:tc>
        <w:tc>
          <w:tcPr>
            <w:tcW w:w="1300" w:type="dxa"/>
            <w:tcBorders>
              <w:top w:val="nil"/>
              <w:left w:val="nil"/>
              <w:bottom w:val="single" w:sz="4" w:space="0" w:color="auto"/>
              <w:right w:val="single" w:sz="4" w:space="0" w:color="auto"/>
            </w:tcBorders>
            <w:shd w:val="clear" w:color="auto" w:fill="auto"/>
            <w:noWrap/>
            <w:vAlign w:val="bottom"/>
            <w:hideMark/>
          </w:tcPr>
          <w:p w14:paraId="7E053A15" w14:textId="77777777" w:rsidR="00C277A6" w:rsidRPr="009A2FBE" w:rsidRDefault="00C277A6" w:rsidP="00F51AF7">
            <w:pPr>
              <w:spacing w:after="0" w:line="240" w:lineRule="auto"/>
              <w:jc w:val="right"/>
              <w:rPr>
                <w:rFonts w:eastAsia="Times New Roman" w:cstheme="minorHAnsi"/>
                <w:color w:val="000000"/>
                <w:sz w:val="20"/>
                <w:szCs w:val="20"/>
                <w:lang w:eastAsia="pt-PT"/>
              </w:rPr>
            </w:pPr>
            <w:r w:rsidRPr="009A2FBE">
              <w:rPr>
                <w:rFonts w:eastAsia="Times New Roman" w:cstheme="minorHAnsi"/>
                <w:color w:val="000000"/>
                <w:sz w:val="20"/>
                <w:szCs w:val="20"/>
                <w:lang w:eastAsia="pt-PT"/>
              </w:rPr>
              <w:t>$2,82</w:t>
            </w:r>
          </w:p>
        </w:tc>
      </w:tr>
      <w:tr w:rsidR="00C277A6" w:rsidRPr="009A2FBE" w14:paraId="4762BEE7" w14:textId="77777777" w:rsidTr="00C907D5">
        <w:trPr>
          <w:trHeight w:val="290"/>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4E3B5" w14:textId="77777777" w:rsidR="00C277A6" w:rsidRPr="009A2FBE" w:rsidRDefault="00C277A6" w:rsidP="00F51AF7">
            <w:pPr>
              <w:spacing w:after="0" w:line="240" w:lineRule="auto"/>
              <w:rPr>
                <w:rFonts w:eastAsia="Times New Roman" w:cstheme="minorHAnsi"/>
                <w:color w:val="000000"/>
                <w:sz w:val="20"/>
                <w:szCs w:val="20"/>
                <w:lang w:eastAsia="pt-PT"/>
              </w:rPr>
            </w:pPr>
            <w:r w:rsidRPr="009A2FBE">
              <w:rPr>
                <w:rFonts w:eastAsia="Times New Roman" w:cstheme="minorHAnsi"/>
                <w:color w:val="000000"/>
                <w:sz w:val="20"/>
                <w:szCs w:val="20"/>
                <w:lang w:eastAsia="pt-PT"/>
              </w:rPr>
              <w:t>Botswana</w:t>
            </w:r>
          </w:p>
        </w:tc>
        <w:tc>
          <w:tcPr>
            <w:tcW w:w="1460" w:type="dxa"/>
            <w:tcBorders>
              <w:top w:val="nil"/>
              <w:left w:val="nil"/>
              <w:bottom w:val="single" w:sz="4" w:space="0" w:color="auto"/>
              <w:right w:val="single" w:sz="4" w:space="0" w:color="auto"/>
            </w:tcBorders>
            <w:shd w:val="clear" w:color="auto" w:fill="auto"/>
            <w:noWrap/>
            <w:vAlign w:val="bottom"/>
            <w:hideMark/>
          </w:tcPr>
          <w:p w14:paraId="67509395" w14:textId="77777777" w:rsidR="00C277A6" w:rsidRPr="009A2FBE" w:rsidRDefault="00C277A6" w:rsidP="00F51AF7">
            <w:pPr>
              <w:spacing w:after="0" w:line="240" w:lineRule="auto"/>
              <w:jc w:val="right"/>
              <w:rPr>
                <w:rFonts w:eastAsia="Times New Roman" w:cstheme="minorHAnsi"/>
                <w:color w:val="444444"/>
                <w:sz w:val="20"/>
                <w:szCs w:val="20"/>
                <w:lang w:eastAsia="pt-PT"/>
              </w:rPr>
            </w:pPr>
            <w:r w:rsidRPr="009A2FBE">
              <w:rPr>
                <w:rFonts w:eastAsia="Times New Roman" w:cstheme="minorHAnsi"/>
                <w:color w:val="444444"/>
                <w:sz w:val="20"/>
                <w:szCs w:val="20"/>
                <w:lang w:eastAsia="pt-PT"/>
              </w:rPr>
              <w:t>$19,17</w:t>
            </w:r>
          </w:p>
        </w:tc>
        <w:tc>
          <w:tcPr>
            <w:tcW w:w="960" w:type="dxa"/>
            <w:tcBorders>
              <w:top w:val="nil"/>
              <w:left w:val="nil"/>
              <w:bottom w:val="single" w:sz="4" w:space="0" w:color="auto"/>
              <w:right w:val="single" w:sz="4" w:space="0" w:color="auto"/>
            </w:tcBorders>
            <w:shd w:val="clear" w:color="auto" w:fill="auto"/>
            <w:noWrap/>
            <w:vAlign w:val="bottom"/>
            <w:hideMark/>
          </w:tcPr>
          <w:p w14:paraId="7AF85727" w14:textId="77777777" w:rsidR="00C277A6" w:rsidRPr="009A2FBE" w:rsidRDefault="00C277A6" w:rsidP="00F51AF7">
            <w:pPr>
              <w:spacing w:after="0" w:line="240" w:lineRule="auto"/>
              <w:jc w:val="right"/>
              <w:rPr>
                <w:rFonts w:eastAsia="Times New Roman" w:cstheme="minorHAnsi"/>
                <w:color w:val="000000"/>
                <w:sz w:val="20"/>
                <w:szCs w:val="20"/>
                <w:lang w:eastAsia="pt-PT"/>
              </w:rPr>
            </w:pPr>
            <w:r w:rsidRPr="009A2FBE">
              <w:rPr>
                <w:rFonts w:eastAsia="Times New Roman" w:cstheme="minorHAnsi"/>
                <w:color w:val="000000"/>
                <w:sz w:val="20"/>
                <w:szCs w:val="20"/>
                <w:lang w:eastAsia="pt-PT"/>
              </w:rPr>
              <w:t>16</w:t>
            </w:r>
          </w:p>
        </w:tc>
        <w:tc>
          <w:tcPr>
            <w:tcW w:w="960" w:type="dxa"/>
            <w:tcBorders>
              <w:top w:val="nil"/>
              <w:left w:val="nil"/>
              <w:bottom w:val="single" w:sz="4" w:space="0" w:color="auto"/>
              <w:right w:val="single" w:sz="4" w:space="0" w:color="auto"/>
            </w:tcBorders>
            <w:shd w:val="clear" w:color="auto" w:fill="auto"/>
            <w:noWrap/>
            <w:vAlign w:val="bottom"/>
            <w:hideMark/>
          </w:tcPr>
          <w:p w14:paraId="24347D43" w14:textId="77777777" w:rsidR="00C277A6" w:rsidRPr="009A2FBE" w:rsidRDefault="00C277A6" w:rsidP="00F51AF7">
            <w:pPr>
              <w:spacing w:after="0" w:line="240" w:lineRule="auto"/>
              <w:jc w:val="right"/>
              <w:rPr>
                <w:rFonts w:eastAsia="Times New Roman" w:cstheme="minorHAnsi"/>
                <w:color w:val="000000"/>
                <w:sz w:val="20"/>
                <w:szCs w:val="20"/>
                <w:lang w:eastAsia="pt-PT"/>
              </w:rPr>
            </w:pPr>
            <w:r w:rsidRPr="009A2FBE">
              <w:rPr>
                <w:rFonts w:eastAsia="Times New Roman" w:cstheme="minorHAnsi"/>
                <w:color w:val="000000"/>
                <w:sz w:val="20"/>
                <w:szCs w:val="20"/>
                <w:lang w:eastAsia="pt-PT"/>
              </w:rPr>
              <w:t>11</w:t>
            </w:r>
          </w:p>
        </w:tc>
        <w:tc>
          <w:tcPr>
            <w:tcW w:w="1300" w:type="dxa"/>
            <w:tcBorders>
              <w:top w:val="nil"/>
              <w:left w:val="nil"/>
              <w:bottom w:val="single" w:sz="4" w:space="0" w:color="auto"/>
              <w:right w:val="single" w:sz="4" w:space="0" w:color="auto"/>
            </w:tcBorders>
            <w:shd w:val="clear" w:color="auto" w:fill="auto"/>
            <w:noWrap/>
            <w:vAlign w:val="bottom"/>
            <w:hideMark/>
          </w:tcPr>
          <w:p w14:paraId="0CB64431" w14:textId="77777777" w:rsidR="00C277A6" w:rsidRPr="009A2FBE" w:rsidRDefault="00C277A6" w:rsidP="00F51AF7">
            <w:pPr>
              <w:spacing w:after="0" w:line="240" w:lineRule="auto"/>
              <w:jc w:val="right"/>
              <w:rPr>
                <w:rFonts w:eastAsia="Times New Roman" w:cstheme="minorHAnsi"/>
                <w:color w:val="000000"/>
                <w:sz w:val="20"/>
                <w:szCs w:val="20"/>
                <w:lang w:eastAsia="pt-PT"/>
              </w:rPr>
            </w:pPr>
            <w:r w:rsidRPr="009A2FBE">
              <w:rPr>
                <w:rFonts w:eastAsia="Times New Roman" w:cstheme="minorHAnsi"/>
                <w:color w:val="000000"/>
                <w:sz w:val="20"/>
                <w:szCs w:val="20"/>
                <w:lang w:eastAsia="pt-PT"/>
              </w:rPr>
              <w:t>$1,20</w:t>
            </w:r>
          </w:p>
        </w:tc>
      </w:tr>
      <w:tr w:rsidR="00C277A6" w:rsidRPr="009A2FBE" w14:paraId="3942669E" w14:textId="77777777" w:rsidTr="00C907D5">
        <w:trPr>
          <w:trHeight w:val="29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3242791D" w14:textId="672AC8AA" w:rsidR="00C277A6" w:rsidRPr="009A2FBE" w:rsidRDefault="00C277A6" w:rsidP="00F51AF7">
            <w:pPr>
              <w:spacing w:after="0" w:line="240" w:lineRule="auto"/>
              <w:rPr>
                <w:rFonts w:eastAsia="Times New Roman" w:cstheme="minorHAnsi"/>
                <w:color w:val="000000"/>
                <w:sz w:val="20"/>
                <w:szCs w:val="20"/>
                <w:lang w:eastAsia="pt-PT"/>
              </w:rPr>
            </w:pPr>
            <w:r w:rsidRPr="009A2FBE">
              <w:rPr>
                <w:rFonts w:eastAsia="Times New Roman" w:cstheme="minorHAnsi"/>
                <w:color w:val="000000"/>
                <w:sz w:val="20"/>
                <w:szCs w:val="20"/>
                <w:lang w:eastAsia="pt-PT"/>
              </w:rPr>
              <w:t>DR</w:t>
            </w:r>
            <w:r>
              <w:rPr>
                <w:rFonts w:eastAsia="Times New Roman" w:cstheme="minorHAnsi"/>
                <w:color w:val="000000"/>
                <w:sz w:val="20"/>
                <w:szCs w:val="20"/>
                <w:lang w:eastAsia="pt-PT"/>
              </w:rPr>
              <w:t xml:space="preserve"> </w:t>
            </w:r>
            <w:r w:rsidRPr="009A2FBE">
              <w:rPr>
                <w:rFonts w:eastAsia="Times New Roman" w:cstheme="minorHAnsi"/>
                <w:color w:val="000000"/>
                <w:sz w:val="20"/>
                <w:szCs w:val="20"/>
                <w:lang w:eastAsia="pt-PT"/>
              </w:rPr>
              <w:t>Congo</w:t>
            </w:r>
          </w:p>
        </w:tc>
        <w:tc>
          <w:tcPr>
            <w:tcW w:w="1460" w:type="dxa"/>
            <w:tcBorders>
              <w:top w:val="nil"/>
              <w:left w:val="nil"/>
              <w:bottom w:val="single" w:sz="4" w:space="0" w:color="auto"/>
              <w:right w:val="single" w:sz="4" w:space="0" w:color="auto"/>
            </w:tcBorders>
            <w:shd w:val="clear" w:color="auto" w:fill="auto"/>
            <w:noWrap/>
            <w:vAlign w:val="bottom"/>
            <w:hideMark/>
          </w:tcPr>
          <w:p w14:paraId="3B2D152B" w14:textId="77777777" w:rsidR="00C277A6" w:rsidRPr="009A2FBE" w:rsidRDefault="00C277A6" w:rsidP="00F51AF7">
            <w:pPr>
              <w:spacing w:after="0" w:line="240" w:lineRule="auto"/>
              <w:jc w:val="right"/>
              <w:rPr>
                <w:rFonts w:eastAsia="Times New Roman" w:cstheme="minorHAnsi"/>
                <w:color w:val="444444"/>
                <w:sz w:val="20"/>
                <w:szCs w:val="20"/>
                <w:lang w:eastAsia="pt-PT"/>
              </w:rPr>
            </w:pPr>
            <w:r w:rsidRPr="009A2FBE">
              <w:rPr>
                <w:rFonts w:eastAsia="Times New Roman" w:cstheme="minorHAnsi"/>
                <w:color w:val="444444"/>
                <w:sz w:val="20"/>
                <w:szCs w:val="20"/>
                <w:lang w:eastAsia="pt-PT"/>
              </w:rPr>
              <w:t>$190,87</w:t>
            </w:r>
          </w:p>
        </w:tc>
        <w:tc>
          <w:tcPr>
            <w:tcW w:w="960" w:type="dxa"/>
            <w:tcBorders>
              <w:top w:val="nil"/>
              <w:left w:val="nil"/>
              <w:bottom w:val="single" w:sz="4" w:space="0" w:color="auto"/>
              <w:right w:val="single" w:sz="4" w:space="0" w:color="auto"/>
            </w:tcBorders>
            <w:shd w:val="clear" w:color="auto" w:fill="auto"/>
            <w:noWrap/>
            <w:vAlign w:val="bottom"/>
            <w:hideMark/>
          </w:tcPr>
          <w:p w14:paraId="3623D3D2" w14:textId="77777777" w:rsidR="00C277A6" w:rsidRPr="009A2FBE" w:rsidRDefault="00C277A6" w:rsidP="00F51AF7">
            <w:pPr>
              <w:spacing w:after="0" w:line="240" w:lineRule="auto"/>
              <w:jc w:val="right"/>
              <w:rPr>
                <w:rFonts w:eastAsia="Times New Roman" w:cstheme="minorHAnsi"/>
                <w:color w:val="000000"/>
                <w:sz w:val="20"/>
                <w:szCs w:val="20"/>
                <w:lang w:eastAsia="pt-PT"/>
              </w:rPr>
            </w:pPr>
            <w:r w:rsidRPr="009A2FBE">
              <w:rPr>
                <w:rFonts w:eastAsia="Times New Roman" w:cstheme="minorHAnsi"/>
                <w:color w:val="000000"/>
                <w:sz w:val="20"/>
                <w:szCs w:val="20"/>
                <w:lang w:eastAsia="pt-PT"/>
              </w:rPr>
              <w:t>60</w:t>
            </w:r>
          </w:p>
        </w:tc>
        <w:tc>
          <w:tcPr>
            <w:tcW w:w="960" w:type="dxa"/>
            <w:tcBorders>
              <w:top w:val="nil"/>
              <w:left w:val="nil"/>
              <w:bottom w:val="single" w:sz="4" w:space="0" w:color="auto"/>
              <w:right w:val="single" w:sz="4" w:space="0" w:color="auto"/>
            </w:tcBorders>
            <w:shd w:val="clear" w:color="auto" w:fill="auto"/>
            <w:noWrap/>
            <w:vAlign w:val="bottom"/>
            <w:hideMark/>
          </w:tcPr>
          <w:p w14:paraId="1781DF35" w14:textId="77777777" w:rsidR="00C277A6" w:rsidRPr="009A2FBE" w:rsidRDefault="00C277A6" w:rsidP="00F51AF7">
            <w:pPr>
              <w:spacing w:after="0" w:line="240" w:lineRule="auto"/>
              <w:jc w:val="right"/>
              <w:rPr>
                <w:rFonts w:eastAsia="Times New Roman" w:cstheme="minorHAnsi"/>
                <w:color w:val="000000"/>
                <w:sz w:val="20"/>
                <w:szCs w:val="20"/>
                <w:lang w:eastAsia="pt-PT"/>
              </w:rPr>
            </w:pPr>
            <w:r w:rsidRPr="009A2FBE">
              <w:rPr>
                <w:rFonts w:eastAsia="Times New Roman" w:cstheme="minorHAnsi"/>
                <w:color w:val="000000"/>
                <w:sz w:val="20"/>
                <w:szCs w:val="20"/>
                <w:lang w:eastAsia="pt-PT"/>
              </w:rPr>
              <w:t>41</w:t>
            </w:r>
          </w:p>
        </w:tc>
        <w:tc>
          <w:tcPr>
            <w:tcW w:w="1300" w:type="dxa"/>
            <w:tcBorders>
              <w:top w:val="nil"/>
              <w:left w:val="nil"/>
              <w:bottom w:val="single" w:sz="4" w:space="0" w:color="auto"/>
              <w:right w:val="single" w:sz="4" w:space="0" w:color="auto"/>
            </w:tcBorders>
            <w:shd w:val="clear" w:color="auto" w:fill="auto"/>
            <w:noWrap/>
            <w:vAlign w:val="bottom"/>
            <w:hideMark/>
          </w:tcPr>
          <w:p w14:paraId="6C5CA568" w14:textId="77777777" w:rsidR="00C277A6" w:rsidRPr="009A2FBE" w:rsidRDefault="00C277A6" w:rsidP="00F51AF7">
            <w:pPr>
              <w:spacing w:after="0" w:line="240" w:lineRule="auto"/>
              <w:jc w:val="right"/>
              <w:rPr>
                <w:rFonts w:eastAsia="Times New Roman" w:cstheme="minorHAnsi"/>
                <w:color w:val="000000"/>
                <w:sz w:val="20"/>
                <w:szCs w:val="20"/>
                <w:lang w:eastAsia="pt-PT"/>
              </w:rPr>
            </w:pPr>
            <w:r w:rsidRPr="009A2FBE">
              <w:rPr>
                <w:rFonts w:eastAsia="Times New Roman" w:cstheme="minorHAnsi"/>
                <w:color w:val="000000"/>
                <w:sz w:val="20"/>
                <w:szCs w:val="20"/>
                <w:lang w:eastAsia="pt-PT"/>
              </w:rPr>
              <w:t>$3,18</w:t>
            </w:r>
          </w:p>
        </w:tc>
      </w:tr>
      <w:tr w:rsidR="00C277A6" w:rsidRPr="009A2FBE" w14:paraId="41FA45A8" w14:textId="77777777" w:rsidTr="00C907D5">
        <w:trPr>
          <w:trHeight w:val="29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43677B2A" w14:textId="77777777" w:rsidR="00C277A6" w:rsidRPr="009A2FBE" w:rsidRDefault="00C277A6" w:rsidP="00F51AF7">
            <w:pPr>
              <w:spacing w:after="0" w:line="240" w:lineRule="auto"/>
              <w:rPr>
                <w:rFonts w:eastAsia="Times New Roman" w:cstheme="minorHAnsi"/>
                <w:color w:val="000000"/>
                <w:sz w:val="20"/>
                <w:szCs w:val="20"/>
                <w:lang w:eastAsia="pt-PT"/>
              </w:rPr>
            </w:pPr>
            <w:r w:rsidRPr="009A2FBE">
              <w:rPr>
                <w:rFonts w:eastAsia="Times New Roman" w:cstheme="minorHAnsi"/>
                <w:color w:val="000000"/>
                <w:sz w:val="20"/>
                <w:szCs w:val="20"/>
                <w:lang w:eastAsia="pt-PT"/>
              </w:rPr>
              <w:t xml:space="preserve">eSwatini </w:t>
            </w:r>
          </w:p>
        </w:tc>
        <w:tc>
          <w:tcPr>
            <w:tcW w:w="1460" w:type="dxa"/>
            <w:tcBorders>
              <w:top w:val="nil"/>
              <w:left w:val="nil"/>
              <w:bottom w:val="single" w:sz="4" w:space="0" w:color="auto"/>
              <w:right w:val="single" w:sz="4" w:space="0" w:color="auto"/>
            </w:tcBorders>
            <w:shd w:val="clear" w:color="auto" w:fill="auto"/>
            <w:noWrap/>
            <w:vAlign w:val="bottom"/>
            <w:hideMark/>
          </w:tcPr>
          <w:p w14:paraId="73ECC3D6" w14:textId="77777777" w:rsidR="00C277A6" w:rsidRPr="009A2FBE" w:rsidRDefault="00C277A6" w:rsidP="00F51AF7">
            <w:pPr>
              <w:spacing w:after="0" w:line="240" w:lineRule="auto"/>
              <w:jc w:val="right"/>
              <w:rPr>
                <w:rFonts w:eastAsia="Times New Roman" w:cstheme="minorHAnsi"/>
                <w:color w:val="444444"/>
                <w:sz w:val="20"/>
                <w:szCs w:val="20"/>
                <w:lang w:eastAsia="pt-PT"/>
              </w:rPr>
            </w:pPr>
            <w:r w:rsidRPr="009A2FBE">
              <w:rPr>
                <w:rFonts w:eastAsia="Times New Roman" w:cstheme="minorHAnsi"/>
                <w:color w:val="444444"/>
                <w:sz w:val="20"/>
                <w:szCs w:val="20"/>
                <w:lang w:eastAsia="pt-PT"/>
              </w:rPr>
              <w:t>$8,82</w:t>
            </w:r>
          </w:p>
        </w:tc>
        <w:tc>
          <w:tcPr>
            <w:tcW w:w="960" w:type="dxa"/>
            <w:tcBorders>
              <w:top w:val="nil"/>
              <w:left w:val="nil"/>
              <w:bottom w:val="single" w:sz="4" w:space="0" w:color="auto"/>
              <w:right w:val="single" w:sz="4" w:space="0" w:color="auto"/>
            </w:tcBorders>
            <w:shd w:val="clear" w:color="auto" w:fill="auto"/>
            <w:noWrap/>
            <w:vAlign w:val="bottom"/>
            <w:hideMark/>
          </w:tcPr>
          <w:p w14:paraId="7554C74D" w14:textId="77777777" w:rsidR="00C277A6" w:rsidRPr="009A2FBE" w:rsidRDefault="00C277A6" w:rsidP="00F51AF7">
            <w:pPr>
              <w:spacing w:after="0" w:line="240" w:lineRule="auto"/>
              <w:jc w:val="right"/>
              <w:rPr>
                <w:rFonts w:eastAsia="Times New Roman" w:cstheme="minorHAnsi"/>
                <w:color w:val="000000"/>
                <w:sz w:val="20"/>
                <w:szCs w:val="20"/>
                <w:lang w:eastAsia="pt-PT"/>
              </w:rPr>
            </w:pPr>
            <w:r w:rsidRPr="009A2FBE">
              <w:rPr>
                <w:rFonts w:eastAsia="Times New Roman" w:cstheme="minorHAnsi"/>
                <w:color w:val="000000"/>
                <w:sz w:val="20"/>
                <w:szCs w:val="20"/>
                <w:lang w:eastAsia="pt-PT"/>
              </w:rPr>
              <w:t>15</w:t>
            </w:r>
          </w:p>
        </w:tc>
        <w:tc>
          <w:tcPr>
            <w:tcW w:w="960" w:type="dxa"/>
            <w:tcBorders>
              <w:top w:val="nil"/>
              <w:left w:val="nil"/>
              <w:bottom w:val="single" w:sz="4" w:space="0" w:color="auto"/>
              <w:right w:val="single" w:sz="4" w:space="0" w:color="auto"/>
            </w:tcBorders>
            <w:shd w:val="clear" w:color="auto" w:fill="auto"/>
            <w:noWrap/>
            <w:vAlign w:val="bottom"/>
            <w:hideMark/>
          </w:tcPr>
          <w:p w14:paraId="506ECBF5" w14:textId="77777777" w:rsidR="00C277A6" w:rsidRPr="009A2FBE" w:rsidRDefault="00C277A6" w:rsidP="00F51AF7">
            <w:pPr>
              <w:spacing w:after="0" w:line="240" w:lineRule="auto"/>
              <w:jc w:val="right"/>
              <w:rPr>
                <w:rFonts w:eastAsia="Times New Roman" w:cstheme="minorHAnsi"/>
                <w:color w:val="000000"/>
                <w:sz w:val="20"/>
                <w:szCs w:val="20"/>
                <w:lang w:eastAsia="pt-PT"/>
              </w:rPr>
            </w:pPr>
            <w:r w:rsidRPr="009A2FBE">
              <w:rPr>
                <w:rFonts w:eastAsia="Times New Roman" w:cstheme="minorHAnsi"/>
                <w:color w:val="000000"/>
                <w:sz w:val="20"/>
                <w:szCs w:val="20"/>
                <w:lang w:eastAsia="pt-PT"/>
              </w:rPr>
              <w:t>11</w:t>
            </w:r>
          </w:p>
        </w:tc>
        <w:tc>
          <w:tcPr>
            <w:tcW w:w="1300" w:type="dxa"/>
            <w:tcBorders>
              <w:top w:val="nil"/>
              <w:left w:val="nil"/>
              <w:bottom w:val="single" w:sz="4" w:space="0" w:color="auto"/>
              <w:right w:val="single" w:sz="4" w:space="0" w:color="auto"/>
            </w:tcBorders>
            <w:shd w:val="clear" w:color="auto" w:fill="auto"/>
            <w:noWrap/>
            <w:vAlign w:val="bottom"/>
            <w:hideMark/>
          </w:tcPr>
          <w:p w14:paraId="459360ED" w14:textId="77777777" w:rsidR="00C277A6" w:rsidRPr="009A2FBE" w:rsidRDefault="00C277A6" w:rsidP="00F51AF7">
            <w:pPr>
              <w:spacing w:after="0" w:line="240" w:lineRule="auto"/>
              <w:jc w:val="right"/>
              <w:rPr>
                <w:rFonts w:eastAsia="Times New Roman" w:cstheme="minorHAnsi"/>
                <w:color w:val="000000"/>
                <w:sz w:val="20"/>
                <w:szCs w:val="20"/>
                <w:lang w:eastAsia="pt-PT"/>
              </w:rPr>
            </w:pPr>
            <w:r w:rsidRPr="009A2FBE">
              <w:rPr>
                <w:rFonts w:eastAsia="Times New Roman" w:cstheme="minorHAnsi"/>
                <w:color w:val="000000"/>
                <w:sz w:val="20"/>
                <w:szCs w:val="20"/>
                <w:lang w:eastAsia="pt-PT"/>
              </w:rPr>
              <w:t>$0,59</w:t>
            </w:r>
          </w:p>
        </w:tc>
      </w:tr>
      <w:tr w:rsidR="00C277A6" w:rsidRPr="009A2FBE" w14:paraId="17E2E52D" w14:textId="77777777" w:rsidTr="00C907D5">
        <w:trPr>
          <w:trHeight w:val="29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394F048A" w14:textId="77777777" w:rsidR="00C277A6" w:rsidRPr="009A2FBE" w:rsidRDefault="00C277A6" w:rsidP="00F51AF7">
            <w:pPr>
              <w:spacing w:after="0" w:line="240" w:lineRule="auto"/>
              <w:rPr>
                <w:rFonts w:eastAsia="Times New Roman" w:cstheme="minorHAnsi"/>
                <w:color w:val="000000"/>
                <w:sz w:val="20"/>
                <w:szCs w:val="20"/>
                <w:lang w:eastAsia="pt-PT"/>
              </w:rPr>
            </w:pPr>
            <w:r w:rsidRPr="009A2FBE">
              <w:rPr>
                <w:rFonts w:eastAsia="Times New Roman" w:cstheme="minorHAnsi"/>
                <w:color w:val="000000"/>
                <w:sz w:val="20"/>
                <w:szCs w:val="20"/>
                <w:lang w:eastAsia="pt-PT"/>
              </w:rPr>
              <w:t>Lesotho</w:t>
            </w:r>
          </w:p>
        </w:tc>
        <w:tc>
          <w:tcPr>
            <w:tcW w:w="1460" w:type="dxa"/>
            <w:tcBorders>
              <w:top w:val="nil"/>
              <w:left w:val="nil"/>
              <w:bottom w:val="single" w:sz="4" w:space="0" w:color="auto"/>
              <w:right w:val="single" w:sz="4" w:space="0" w:color="auto"/>
            </w:tcBorders>
            <w:shd w:val="clear" w:color="auto" w:fill="auto"/>
            <w:noWrap/>
            <w:vAlign w:val="bottom"/>
            <w:hideMark/>
          </w:tcPr>
          <w:p w14:paraId="276DF90D" w14:textId="77777777" w:rsidR="00C277A6" w:rsidRPr="009A2FBE" w:rsidRDefault="00C277A6" w:rsidP="00F51AF7">
            <w:pPr>
              <w:spacing w:after="0" w:line="240" w:lineRule="auto"/>
              <w:jc w:val="right"/>
              <w:rPr>
                <w:rFonts w:eastAsia="Times New Roman" w:cstheme="minorHAnsi"/>
                <w:color w:val="444444"/>
                <w:sz w:val="20"/>
                <w:szCs w:val="20"/>
                <w:lang w:eastAsia="pt-PT"/>
              </w:rPr>
            </w:pPr>
            <w:r w:rsidRPr="009A2FBE">
              <w:rPr>
                <w:rFonts w:eastAsia="Times New Roman" w:cstheme="minorHAnsi"/>
                <w:color w:val="444444"/>
                <w:sz w:val="20"/>
                <w:szCs w:val="20"/>
                <w:lang w:eastAsia="pt-PT"/>
              </w:rPr>
              <w:t>$15,38</w:t>
            </w:r>
          </w:p>
        </w:tc>
        <w:tc>
          <w:tcPr>
            <w:tcW w:w="960" w:type="dxa"/>
            <w:tcBorders>
              <w:top w:val="nil"/>
              <w:left w:val="nil"/>
              <w:bottom w:val="single" w:sz="4" w:space="0" w:color="auto"/>
              <w:right w:val="single" w:sz="4" w:space="0" w:color="auto"/>
            </w:tcBorders>
            <w:shd w:val="clear" w:color="auto" w:fill="auto"/>
            <w:noWrap/>
            <w:vAlign w:val="bottom"/>
            <w:hideMark/>
          </w:tcPr>
          <w:p w14:paraId="0D4316A5" w14:textId="77777777" w:rsidR="00C277A6" w:rsidRPr="009A2FBE" w:rsidRDefault="00C277A6" w:rsidP="00F51AF7">
            <w:pPr>
              <w:spacing w:after="0" w:line="240" w:lineRule="auto"/>
              <w:jc w:val="right"/>
              <w:rPr>
                <w:rFonts w:eastAsia="Times New Roman" w:cstheme="minorHAnsi"/>
                <w:color w:val="000000"/>
                <w:sz w:val="20"/>
                <w:szCs w:val="20"/>
                <w:lang w:eastAsia="pt-PT"/>
              </w:rPr>
            </w:pPr>
            <w:r w:rsidRPr="009A2FBE">
              <w:rPr>
                <w:rFonts w:eastAsia="Times New Roman" w:cstheme="minorHAnsi"/>
                <w:color w:val="000000"/>
                <w:sz w:val="20"/>
                <w:szCs w:val="20"/>
                <w:lang w:eastAsia="pt-PT"/>
              </w:rPr>
              <w:t>18</w:t>
            </w:r>
          </w:p>
        </w:tc>
        <w:tc>
          <w:tcPr>
            <w:tcW w:w="960" w:type="dxa"/>
            <w:tcBorders>
              <w:top w:val="nil"/>
              <w:left w:val="nil"/>
              <w:bottom w:val="single" w:sz="4" w:space="0" w:color="auto"/>
              <w:right w:val="single" w:sz="4" w:space="0" w:color="auto"/>
            </w:tcBorders>
            <w:shd w:val="clear" w:color="auto" w:fill="auto"/>
            <w:noWrap/>
            <w:vAlign w:val="bottom"/>
            <w:hideMark/>
          </w:tcPr>
          <w:p w14:paraId="61C8778E" w14:textId="77777777" w:rsidR="00C277A6" w:rsidRPr="009A2FBE" w:rsidRDefault="00C277A6" w:rsidP="00F51AF7">
            <w:pPr>
              <w:spacing w:after="0" w:line="240" w:lineRule="auto"/>
              <w:jc w:val="right"/>
              <w:rPr>
                <w:rFonts w:eastAsia="Times New Roman" w:cstheme="minorHAnsi"/>
                <w:color w:val="000000"/>
                <w:sz w:val="20"/>
                <w:szCs w:val="20"/>
                <w:lang w:eastAsia="pt-PT"/>
              </w:rPr>
            </w:pPr>
            <w:r w:rsidRPr="009A2FBE">
              <w:rPr>
                <w:rFonts w:eastAsia="Times New Roman" w:cstheme="minorHAnsi"/>
                <w:color w:val="000000"/>
                <w:sz w:val="20"/>
                <w:szCs w:val="20"/>
                <w:lang w:eastAsia="pt-PT"/>
              </w:rPr>
              <w:t>13</w:t>
            </w:r>
          </w:p>
        </w:tc>
        <w:tc>
          <w:tcPr>
            <w:tcW w:w="1300" w:type="dxa"/>
            <w:tcBorders>
              <w:top w:val="nil"/>
              <w:left w:val="nil"/>
              <w:bottom w:val="single" w:sz="4" w:space="0" w:color="auto"/>
              <w:right w:val="single" w:sz="4" w:space="0" w:color="auto"/>
            </w:tcBorders>
            <w:shd w:val="clear" w:color="auto" w:fill="auto"/>
            <w:noWrap/>
            <w:vAlign w:val="bottom"/>
            <w:hideMark/>
          </w:tcPr>
          <w:p w14:paraId="629F6497" w14:textId="77777777" w:rsidR="00C277A6" w:rsidRPr="009A2FBE" w:rsidRDefault="00C277A6" w:rsidP="00F51AF7">
            <w:pPr>
              <w:spacing w:after="0" w:line="240" w:lineRule="auto"/>
              <w:jc w:val="right"/>
              <w:rPr>
                <w:rFonts w:eastAsia="Times New Roman" w:cstheme="minorHAnsi"/>
                <w:color w:val="000000"/>
                <w:sz w:val="20"/>
                <w:szCs w:val="20"/>
                <w:lang w:eastAsia="pt-PT"/>
              </w:rPr>
            </w:pPr>
            <w:r w:rsidRPr="009A2FBE">
              <w:rPr>
                <w:rFonts w:eastAsia="Times New Roman" w:cstheme="minorHAnsi"/>
                <w:color w:val="000000"/>
                <w:sz w:val="20"/>
                <w:szCs w:val="20"/>
                <w:lang w:eastAsia="pt-PT"/>
              </w:rPr>
              <w:t>$0,85</w:t>
            </w:r>
          </w:p>
        </w:tc>
      </w:tr>
      <w:tr w:rsidR="00C277A6" w:rsidRPr="009A2FBE" w14:paraId="289FDC96" w14:textId="77777777" w:rsidTr="00C907D5">
        <w:trPr>
          <w:trHeight w:val="29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767EAD89" w14:textId="77777777" w:rsidR="00C277A6" w:rsidRPr="009A2FBE" w:rsidRDefault="00C277A6" w:rsidP="00F51AF7">
            <w:pPr>
              <w:spacing w:after="0" w:line="240" w:lineRule="auto"/>
              <w:rPr>
                <w:rFonts w:eastAsia="Times New Roman" w:cstheme="minorHAnsi"/>
                <w:color w:val="000000"/>
                <w:sz w:val="20"/>
                <w:szCs w:val="20"/>
                <w:lang w:eastAsia="pt-PT"/>
              </w:rPr>
            </w:pPr>
            <w:r w:rsidRPr="009A2FBE">
              <w:rPr>
                <w:rFonts w:eastAsia="Times New Roman" w:cstheme="minorHAnsi"/>
                <w:color w:val="000000"/>
                <w:sz w:val="20"/>
                <w:szCs w:val="20"/>
                <w:lang w:eastAsia="pt-PT"/>
              </w:rPr>
              <w:t>Malawi</w:t>
            </w:r>
          </w:p>
        </w:tc>
        <w:tc>
          <w:tcPr>
            <w:tcW w:w="1460" w:type="dxa"/>
            <w:tcBorders>
              <w:top w:val="nil"/>
              <w:left w:val="nil"/>
              <w:bottom w:val="single" w:sz="4" w:space="0" w:color="auto"/>
              <w:right w:val="single" w:sz="4" w:space="0" w:color="auto"/>
            </w:tcBorders>
            <w:shd w:val="clear" w:color="auto" w:fill="auto"/>
            <w:noWrap/>
            <w:vAlign w:val="bottom"/>
            <w:hideMark/>
          </w:tcPr>
          <w:p w14:paraId="74D457D4" w14:textId="77777777" w:rsidR="00C277A6" w:rsidRPr="009A2FBE" w:rsidRDefault="00C277A6" w:rsidP="00F51AF7">
            <w:pPr>
              <w:spacing w:after="0" w:line="240" w:lineRule="auto"/>
              <w:jc w:val="right"/>
              <w:rPr>
                <w:rFonts w:eastAsia="Times New Roman" w:cstheme="minorHAnsi"/>
                <w:color w:val="444444"/>
                <w:sz w:val="20"/>
                <w:szCs w:val="20"/>
                <w:lang w:eastAsia="pt-PT"/>
              </w:rPr>
            </w:pPr>
            <w:r w:rsidRPr="009A2FBE">
              <w:rPr>
                <w:rFonts w:eastAsia="Times New Roman" w:cstheme="minorHAnsi"/>
                <w:color w:val="444444"/>
                <w:sz w:val="20"/>
                <w:szCs w:val="20"/>
                <w:lang w:eastAsia="pt-PT"/>
              </w:rPr>
              <w:t>$76,70</w:t>
            </w:r>
          </w:p>
        </w:tc>
        <w:tc>
          <w:tcPr>
            <w:tcW w:w="960" w:type="dxa"/>
            <w:tcBorders>
              <w:top w:val="nil"/>
              <w:left w:val="nil"/>
              <w:bottom w:val="single" w:sz="4" w:space="0" w:color="auto"/>
              <w:right w:val="single" w:sz="4" w:space="0" w:color="auto"/>
            </w:tcBorders>
            <w:shd w:val="clear" w:color="auto" w:fill="auto"/>
            <w:noWrap/>
            <w:vAlign w:val="bottom"/>
            <w:hideMark/>
          </w:tcPr>
          <w:p w14:paraId="0567EEAB" w14:textId="77777777" w:rsidR="00C277A6" w:rsidRPr="009A2FBE" w:rsidRDefault="00C277A6" w:rsidP="00F51AF7">
            <w:pPr>
              <w:spacing w:after="0" w:line="240" w:lineRule="auto"/>
              <w:jc w:val="right"/>
              <w:rPr>
                <w:rFonts w:eastAsia="Times New Roman" w:cstheme="minorHAnsi"/>
                <w:color w:val="000000"/>
                <w:sz w:val="20"/>
                <w:szCs w:val="20"/>
                <w:lang w:eastAsia="pt-PT"/>
              </w:rPr>
            </w:pPr>
            <w:r w:rsidRPr="009A2FBE">
              <w:rPr>
                <w:rFonts w:eastAsia="Times New Roman" w:cstheme="minorHAnsi"/>
                <w:color w:val="000000"/>
                <w:sz w:val="20"/>
                <w:szCs w:val="20"/>
                <w:lang w:eastAsia="pt-PT"/>
              </w:rPr>
              <w:t>32</w:t>
            </w:r>
          </w:p>
        </w:tc>
        <w:tc>
          <w:tcPr>
            <w:tcW w:w="960" w:type="dxa"/>
            <w:tcBorders>
              <w:top w:val="nil"/>
              <w:left w:val="nil"/>
              <w:bottom w:val="single" w:sz="4" w:space="0" w:color="auto"/>
              <w:right w:val="single" w:sz="4" w:space="0" w:color="auto"/>
            </w:tcBorders>
            <w:shd w:val="clear" w:color="auto" w:fill="auto"/>
            <w:noWrap/>
            <w:vAlign w:val="bottom"/>
            <w:hideMark/>
          </w:tcPr>
          <w:p w14:paraId="7F3BB97C" w14:textId="77777777" w:rsidR="00C277A6" w:rsidRPr="009A2FBE" w:rsidRDefault="00C277A6" w:rsidP="00F51AF7">
            <w:pPr>
              <w:spacing w:after="0" w:line="240" w:lineRule="auto"/>
              <w:jc w:val="right"/>
              <w:rPr>
                <w:rFonts w:eastAsia="Times New Roman" w:cstheme="minorHAnsi"/>
                <w:color w:val="000000"/>
                <w:sz w:val="20"/>
                <w:szCs w:val="20"/>
                <w:lang w:eastAsia="pt-PT"/>
              </w:rPr>
            </w:pPr>
            <w:r w:rsidRPr="009A2FBE">
              <w:rPr>
                <w:rFonts w:eastAsia="Times New Roman" w:cstheme="minorHAnsi"/>
                <w:color w:val="000000"/>
                <w:sz w:val="20"/>
                <w:szCs w:val="20"/>
                <w:lang w:eastAsia="pt-PT"/>
              </w:rPr>
              <w:t>21</w:t>
            </w:r>
          </w:p>
        </w:tc>
        <w:tc>
          <w:tcPr>
            <w:tcW w:w="1300" w:type="dxa"/>
            <w:tcBorders>
              <w:top w:val="nil"/>
              <w:left w:val="nil"/>
              <w:bottom w:val="single" w:sz="4" w:space="0" w:color="auto"/>
              <w:right w:val="single" w:sz="4" w:space="0" w:color="auto"/>
            </w:tcBorders>
            <w:shd w:val="clear" w:color="auto" w:fill="auto"/>
            <w:noWrap/>
            <w:vAlign w:val="bottom"/>
            <w:hideMark/>
          </w:tcPr>
          <w:p w14:paraId="3147C00F" w14:textId="77777777" w:rsidR="00C277A6" w:rsidRPr="009A2FBE" w:rsidRDefault="00C277A6" w:rsidP="00F51AF7">
            <w:pPr>
              <w:spacing w:after="0" w:line="240" w:lineRule="auto"/>
              <w:jc w:val="right"/>
              <w:rPr>
                <w:rFonts w:eastAsia="Times New Roman" w:cstheme="minorHAnsi"/>
                <w:color w:val="000000"/>
                <w:sz w:val="20"/>
                <w:szCs w:val="20"/>
                <w:lang w:eastAsia="pt-PT"/>
              </w:rPr>
            </w:pPr>
            <w:r w:rsidRPr="009A2FBE">
              <w:rPr>
                <w:rFonts w:eastAsia="Times New Roman" w:cstheme="minorHAnsi"/>
                <w:color w:val="000000"/>
                <w:sz w:val="20"/>
                <w:szCs w:val="20"/>
                <w:lang w:eastAsia="pt-PT"/>
              </w:rPr>
              <w:t>$2,40</w:t>
            </w:r>
          </w:p>
        </w:tc>
      </w:tr>
      <w:tr w:rsidR="00C277A6" w:rsidRPr="009A2FBE" w14:paraId="68D24ED5" w14:textId="77777777" w:rsidTr="00C907D5">
        <w:trPr>
          <w:trHeight w:val="290"/>
        </w:trPr>
        <w:tc>
          <w:tcPr>
            <w:tcW w:w="1720" w:type="dxa"/>
            <w:tcBorders>
              <w:top w:val="nil"/>
              <w:left w:val="single" w:sz="4" w:space="0" w:color="auto"/>
              <w:bottom w:val="nil"/>
              <w:right w:val="single" w:sz="4" w:space="0" w:color="auto"/>
            </w:tcBorders>
            <w:shd w:val="clear" w:color="auto" w:fill="auto"/>
            <w:noWrap/>
            <w:vAlign w:val="bottom"/>
            <w:hideMark/>
          </w:tcPr>
          <w:p w14:paraId="17DE37DE" w14:textId="77777777" w:rsidR="00C277A6" w:rsidRPr="009A2FBE" w:rsidRDefault="00C277A6" w:rsidP="00F51AF7">
            <w:pPr>
              <w:spacing w:after="0" w:line="240" w:lineRule="auto"/>
              <w:rPr>
                <w:rFonts w:eastAsia="Times New Roman" w:cstheme="minorHAnsi"/>
                <w:color w:val="000000"/>
                <w:sz w:val="20"/>
                <w:szCs w:val="20"/>
                <w:lang w:eastAsia="pt-PT"/>
              </w:rPr>
            </w:pPr>
            <w:r w:rsidRPr="009A2FBE">
              <w:rPr>
                <w:rFonts w:eastAsia="Times New Roman" w:cstheme="minorHAnsi"/>
                <w:color w:val="000000"/>
                <w:sz w:val="20"/>
                <w:szCs w:val="20"/>
                <w:lang w:eastAsia="pt-PT"/>
              </w:rPr>
              <w:t>Mozambique</w:t>
            </w:r>
          </w:p>
        </w:tc>
        <w:tc>
          <w:tcPr>
            <w:tcW w:w="1460" w:type="dxa"/>
            <w:tcBorders>
              <w:top w:val="nil"/>
              <w:left w:val="nil"/>
              <w:bottom w:val="single" w:sz="4" w:space="0" w:color="auto"/>
              <w:right w:val="single" w:sz="4" w:space="0" w:color="auto"/>
            </w:tcBorders>
            <w:shd w:val="clear" w:color="auto" w:fill="auto"/>
            <w:noWrap/>
            <w:vAlign w:val="bottom"/>
            <w:hideMark/>
          </w:tcPr>
          <w:p w14:paraId="4311FD2A" w14:textId="77777777" w:rsidR="00C277A6" w:rsidRPr="009A2FBE" w:rsidRDefault="00C277A6" w:rsidP="00F51AF7">
            <w:pPr>
              <w:spacing w:after="0" w:line="240" w:lineRule="auto"/>
              <w:jc w:val="right"/>
              <w:rPr>
                <w:rFonts w:eastAsia="Times New Roman" w:cstheme="minorHAnsi"/>
                <w:color w:val="444444"/>
                <w:sz w:val="20"/>
                <w:szCs w:val="20"/>
                <w:lang w:eastAsia="pt-PT"/>
              </w:rPr>
            </w:pPr>
            <w:r w:rsidRPr="009A2FBE">
              <w:rPr>
                <w:rFonts w:eastAsia="Times New Roman" w:cstheme="minorHAnsi"/>
                <w:color w:val="444444"/>
                <w:sz w:val="20"/>
                <w:szCs w:val="20"/>
                <w:lang w:eastAsia="pt-PT"/>
              </w:rPr>
              <w:t>$81,63</w:t>
            </w:r>
          </w:p>
        </w:tc>
        <w:tc>
          <w:tcPr>
            <w:tcW w:w="960" w:type="dxa"/>
            <w:tcBorders>
              <w:top w:val="nil"/>
              <w:left w:val="nil"/>
              <w:bottom w:val="single" w:sz="4" w:space="0" w:color="auto"/>
              <w:right w:val="single" w:sz="4" w:space="0" w:color="auto"/>
            </w:tcBorders>
            <w:shd w:val="clear" w:color="auto" w:fill="auto"/>
            <w:noWrap/>
            <w:vAlign w:val="bottom"/>
            <w:hideMark/>
          </w:tcPr>
          <w:p w14:paraId="7D267E58" w14:textId="77777777" w:rsidR="00C277A6" w:rsidRPr="009A2FBE" w:rsidRDefault="00C277A6" w:rsidP="00F51AF7">
            <w:pPr>
              <w:spacing w:after="0" w:line="240" w:lineRule="auto"/>
              <w:jc w:val="right"/>
              <w:rPr>
                <w:rFonts w:eastAsia="Times New Roman" w:cstheme="minorHAnsi"/>
                <w:color w:val="000000"/>
                <w:sz w:val="20"/>
                <w:szCs w:val="20"/>
                <w:lang w:eastAsia="pt-PT"/>
              </w:rPr>
            </w:pPr>
            <w:r w:rsidRPr="009A2FBE">
              <w:rPr>
                <w:rFonts w:eastAsia="Times New Roman" w:cstheme="minorHAnsi"/>
                <w:color w:val="000000"/>
                <w:sz w:val="20"/>
                <w:szCs w:val="20"/>
                <w:lang w:eastAsia="pt-PT"/>
              </w:rPr>
              <w:t>27</w:t>
            </w:r>
          </w:p>
        </w:tc>
        <w:tc>
          <w:tcPr>
            <w:tcW w:w="960" w:type="dxa"/>
            <w:tcBorders>
              <w:top w:val="nil"/>
              <w:left w:val="nil"/>
              <w:bottom w:val="single" w:sz="4" w:space="0" w:color="auto"/>
              <w:right w:val="single" w:sz="4" w:space="0" w:color="auto"/>
            </w:tcBorders>
            <w:shd w:val="clear" w:color="auto" w:fill="auto"/>
            <w:noWrap/>
            <w:vAlign w:val="bottom"/>
            <w:hideMark/>
          </w:tcPr>
          <w:p w14:paraId="48C9F665" w14:textId="77777777" w:rsidR="00C277A6" w:rsidRPr="009A2FBE" w:rsidRDefault="00C277A6" w:rsidP="00F51AF7">
            <w:pPr>
              <w:spacing w:after="0" w:line="240" w:lineRule="auto"/>
              <w:jc w:val="right"/>
              <w:rPr>
                <w:rFonts w:eastAsia="Times New Roman" w:cstheme="minorHAnsi"/>
                <w:color w:val="000000"/>
                <w:sz w:val="20"/>
                <w:szCs w:val="20"/>
                <w:lang w:eastAsia="pt-PT"/>
              </w:rPr>
            </w:pPr>
            <w:r w:rsidRPr="009A2FBE">
              <w:rPr>
                <w:rFonts w:eastAsia="Times New Roman" w:cstheme="minorHAnsi"/>
                <w:color w:val="000000"/>
                <w:sz w:val="20"/>
                <w:szCs w:val="20"/>
                <w:lang w:eastAsia="pt-PT"/>
              </w:rPr>
              <w:t>21</w:t>
            </w:r>
          </w:p>
        </w:tc>
        <w:tc>
          <w:tcPr>
            <w:tcW w:w="1300" w:type="dxa"/>
            <w:tcBorders>
              <w:top w:val="nil"/>
              <w:left w:val="nil"/>
              <w:bottom w:val="single" w:sz="4" w:space="0" w:color="auto"/>
              <w:right w:val="single" w:sz="4" w:space="0" w:color="auto"/>
            </w:tcBorders>
            <w:shd w:val="clear" w:color="auto" w:fill="auto"/>
            <w:noWrap/>
            <w:vAlign w:val="bottom"/>
            <w:hideMark/>
          </w:tcPr>
          <w:p w14:paraId="06FE676C" w14:textId="77777777" w:rsidR="00C277A6" w:rsidRPr="009A2FBE" w:rsidRDefault="00C277A6" w:rsidP="00F51AF7">
            <w:pPr>
              <w:spacing w:after="0" w:line="240" w:lineRule="auto"/>
              <w:jc w:val="right"/>
              <w:rPr>
                <w:rFonts w:eastAsia="Times New Roman" w:cstheme="minorHAnsi"/>
                <w:color w:val="000000"/>
                <w:sz w:val="20"/>
                <w:szCs w:val="20"/>
                <w:lang w:eastAsia="pt-PT"/>
              </w:rPr>
            </w:pPr>
            <w:r w:rsidRPr="009A2FBE">
              <w:rPr>
                <w:rFonts w:eastAsia="Times New Roman" w:cstheme="minorHAnsi"/>
                <w:color w:val="000000"/>
                <w:sz w:val="20"/>
                <w:szCs w:val="20"/>
                <w:lang w:eastAsia="pt-PT"/>
              </w:rPr>
              <w:t>$3,02</w:t>
            </w:r>
          </w:p>
        </w:tc>
      </w:tr>
      <w:tr w:rsidR="00C277A6" w:rsidRPr="009A2FBE" w14:paraId="1CA3ACF7" w14:textId="77777777" w:rsidTr="00C907D5">
        <w:trPr>
          <w:trHeight w:val="290"/>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72ED9" w14:textId="77777777" w:rsidR="00C277A6" w:rsidRPr="009A2FBE" w:rsidRDefault="00C277A6" w:rsidP="00F51AF7">
            <w:pPr>
              <w:spacing w:after="0" w:line="240" w:lineRule="auto"/>
              <w:rPr>
                <w:rFonts w:eastAsia="Times New Roman" w:cstheme="minorHAnsi"/>
                <w:color w:val="000000"/>
                <w:sz w:val="20"/>
                <w:szCs w:val="20"/>
                <w:lang w:eastAsia="pt-PT"/>
              </w:rPr>
            </w:pPr>
            <w:r w:rsidRPr="009A2FBE">
              <w:rPr>
                <w:rFonts w:eastAsia="Times New Roman" w:cstheme="minorHAnsi"/>
                <w:color w:val="000000"/>
                <w:sz w:val="20"/>
                <w:szCs w:val="20"/>
                <w:lang w:eastAsia="pt-PT"/>
              </w:rPr>
              <w:t>Namibia</w:t>
            </w:r>
          </w:p>
        </w:tc>
        <w:tc>
          <w:tcPr>
            <w:tcW w:w="1460" w:type="dxa"/>
            <w:tcBorders>
              <w:top w:val="nil"/>
              <w:left w:val="nil"/>
              <w:bottom w:val="single" w:sz="4" w:space="0" w:color="auto"/>
              <w:right w:val="single" w:sz="4" w:space="0" w:color="auto"/>
            </w:tcBorders>
            <w:shd w:val="clear" w:color="auto" w:fill="auto"/>
            <w:noWrap/>
            <w:vAlign w:val="bottom"/>
            <w:hideMark/>
          </w:tcPr>
          <w:p w14:paraId="653D2321" w14:textId="77777777" w:rsidR="00C277A6" w:rsidRPr="009A2FBE" w:rsidRDefault="00C277A6" w:rsidP="00F51AF7">
            <w:pPr>
              <w:spacing w:after="0" w:line="240" w:lineRule="auto"/>
              <w:jc w:val="right"/>
              <w:rPr>
                <w:rFonts w:eastAsia="Times New Roman" w:cstheme="minorHAnsi"/>
                <w:color w:val="444444"/>
                <w:sz w:val="20"/>
                <w:szCs w:val="20"/>
                <w:lang w:eastAsia="pt-PT"/>
              </w:rPr>
            </w:pPr>
            <w:r w:rsidRPr="009A2FBE">
              <w:rPr>
                <w:rFonts w:eastAsia="Times New Roman" w:cstheme="minorHAnsi"/>
                <w:color w:val="444444"/>
                <w:sz w:val="20"/>
                <w:szCs w:val="20"/>
                <w:lang w:eastAsia="pt-PT"/>
              </w:rPr>
              <w:t>$16,49</w:t>
            </w:r>
          </w:p>
        </w:tc>
        <w:tc>
          <w:tcPr>
            <w:tcW w:w="960" w:type="dxa"/>
            <w:tcBorders>
              <w:top w:val="nil"/>
              <w:left w:val="nil"/>
              <w:bottom w:val="single" w:sz="4" w:space="0" w:color="auto"/>
              <w:right w:val="single" w:sz="4" w:space="0" w:color="auto"/>
            </w:tcBorders>
            <w:shd w:val="clear" w:color="auto" w:fill="auto"/>
            <w:noWrap/>
            <w:vAlign w:val="bottom"/>
            <w:hideMark/>
          </w:tcPr>
          <w:p w14:paraId="567698D1" w14:textId="77777777" w:rsidR="00C277A6" w:rsidRPr="009A2FBE" w:rsidRDefault="00C277A6" w:rsidP="00F51AF7">
            <w:pPr>
              <w:spacing w:after="0" w:line="240" w:lineRule="auto"/>
              <w:jc w:val="right"/>
              <w:rPr>
                <w:rFonts w:eastAsia="Times New Roman" w:cstheme="minorHAnsi"/>
                <w:color w:val="000000"/>
                <w:sz w:val="20"/>
                <w:szCs w:val="20"/>
                <w:lang w:eastAsia="pt-PT"/>
              </w:rPr>
            </w:pPr>
            <w:r w:rsidRPr="009A2FBE">
              <w:rPr>
                <w:rFonts w:eastAsia="Times New Roman" w:cstheme="minorHAnsi"/>
                <w:color w:val="000000"/>
                <w:sz w:val="20"/>
                <w:szCs w:val="20"/>
                <w:lang w:eastAsia="pt-PT"/>
              </w:rPr>
              <w:t>18</w:t>
            </w:r>
          </w:p>
        </w:tc>
        <w:tc>
          <w:tcPr>
            <w:tcW w:w="960" w:type="dxa"/>
            <w:tcBorders>
              <w:top w:val="nil"/>
              <w:left w:val="nil"/>
              <w:bottom w:val="single" w:sz="4" w:space="0" w:color="auto"/>
              <w:right w:val="single" w:sz="4" w:space="0" w:color="auto"/>
            </w:tcBorders>
            <w:shd w:val="clear" w:color="auto" w:fill="auto"/>
            <w:noWrap/>
            <w:vAlign w:val="bottom"/>
            <w:hideMark/>
          </w:tcPr>
          <w:p w14:paraId="1ED17A3F" w14:textId="77777777" w:rsidR="00C277A6" w:rsidRPr="009A2FBE" w:rsidRDefault="00C277A6" w:rsidP="00F51AF7">
            <w:pPr>
              <w:spacing w:after="0" w:line="240" w:lineRule="auto"/>
              <w:jc w:val="right"/>
              <w:rPr>
                <w:rFonts w:eastAsia="Times New Roman" w:cstheme="minorHAnsi"/>
                <w:color w:val="000000"/>
                <w:sz w:val="20"/>
                <w:szCs w:val="20"/>
                <w:lang w:eastAsia="pt-PT"/>
              </w:rPr>
            </w:pPr>
            <w:r w:rsidRPr="009A2FBE">
              <w:rPr>
                <w:rFonts w:eastAsia="Times New Roman" w:cstheme="minorHAnsi"/>
                <w:color w:val="000000"/>
                <w:sz w:val="20"/>
                <w:szCs w:val="20"/>
                <w:lang w:eastAsia="pt-PT"/>
              </w:rPr>
              <w:t>16</w:t>
            </w:r>
          </w:p>
        </w:tc>
        <w:tc>
          <w:tcPr>
            <w:tcW w:w="1300" w:type="dxa"/>
            <w:tcBorders>
              <w:top w:val="nil"/>
              <w:left w:val="nil"/>
              <w:bottom w:val="single" w:sz="4" w:space="0" w:color="auto"/>
              <w:right w:val="single" w:sz="4" w:space="0" w:color="auto"/>
            </w:tcBorders>
            <w:shd w:val="clear" w:color="auto" w:fill="auto"/>
            <w:noWrap/>
            <w:vAlign w:val="bottom"/>
            <w:hideMark/>
          </w:tcPr>
          <w:p w14:paraId="654B8113" w14:textId="77777777" w:rsidR="00C277A6" w:rsidRPr="009A2FBE" w:rsidRDefault="00C277A6" w:rsidP="00F51AF7">
            <w:pPr>
              <w:spacing w:after="0" w:line="240" w:lineRule="auto"/>
              <w:jc w:val="right"/>
              <w:rPr>
                <w:rFonts w:eastAsia="Times New Roman" w:cstheme="minorHAnsi"/>
                <w:color w:val="000000"/>
                <w:sz w:val="20"/>
                <w:szCs w:val="20"/>
                <w:lang w:eastAsia="pt-PT"/>
              </w:rPr>
            </w:pPr>
            <w:r w:rsidRPr="009A2FBE">
              <w:rPr>
                <w:rFonts w:eastAsia="Times New Roman" w:cstheme="minorHAnsi"/>
                <w:color w:val="000000"/>
                <w:sz w:val="20"/>
                <w:szCs w:val="20"/>
                <w:lang w:eastAsia="pt-PT"/>
              </w:rPr>
              <w:t>$0,92</w:t>
            </w:r>
          </w:p>
        </w:tc>
      </w:tr>
      <w:tr w:rsidR="00C277A6" w:rsidRPr="009A2FBE" w14:paraId="53980A00" w14:textId="77777777" w:rsidTr="00C907D5">
        <w:trPr>
          <w:trHeight w:val="29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4E2F4B42" w14:textId="77777777" w:rsidR="00C277A6" w:rsidRPr="009A2FBE" w:rsidRDefault="00C277A6" w:rsidP="00F51AF7">
            <w:pPr>
              <w:spacing w:after="0" w:line="240" w:lineRule="auto"/>
              <w:rPr>
                <w:rFonts w:eastAsia="Times New Roman" w:cstheme="minorHAnsi"/>
                <w:color w:val="000000"/>
                <w:sz w:val="20"/>
                <w:szCs w:val="20"/>
                <w:lang w:eastAsia="pt-PT"/>
              </w:rPr>
            </w:pPr>
            <w:r w:rsidRPr="009A2FBE">
              <w:rPr>
                <w:rFonts w:eastAsia="Times New Roman" w:cstheme="minorHAnsi"/>
                <w:color w:val="000000"/>
                <w:sz w:val="20"/>
                <w:szCs w:val="20"/>
                <w:lang w:eastAsia="pt-PT"/>
              </w:rPr>
              <w:t>South Africa</w:t>
            </w:r>
          </w:p>
        </w:tc>
        <w:tc>
          <w:tcPr>
            <w:tcW w:w="1460" w:type="dxa"/>
            <w:tcBorders>
              <w:top w:val="nil"/>
              <w:left w:val="nil"/>
              <w:bottom w:val="single" w:sz="4" w:space="0" w:color="auto"/>
              <w:right w:val="single" w:sz="4" w:space="0" w:color="auto"/>
            </w:tcBorders>
            <w:shd w:val="clear" w:color="auto" w:fill="auto"/>
            <w:noWrap/>
            <w:vAlign w:val="bottom"/>
            <w:hideMark/>
          </w:tcPr>
          <w:p w14:paraId="0767006A" w14:textId="77777777" w:rsidR="00C277A6" w:rsidRPr="009A2FBE" w:rsidRDefault="00C277A6" w:rsidP="00F51AF7">
            <w:pPr>
              <w:spacing w:after="0" w:line="240" w:lineRule="auto"/>
              <w:jc w:val="right"/>
              <w:rPr>
                <w:rFonts w:eastAsia="Times New Roman" w:cstheme="minorHAnsi"/>
                <w:color w:val="444444"/>
                <w:sz w:val="20"/>
                <w:szCs w:val="20"/>
                <w:lang w:eastAsia="pt-PT"/>
              </w:rPr>
            </w:pPr>
            <w:r w:rsidRPr="009A2FBE">
              <w:rPr>
                <w:rFonts w:eastAsia="Times New Roman" w:cstheme="minorHAnsi"/>
                <w:color w:val="444444"/>
                <w:sz w:val="20"/>
                <w:szCs w:val="20"/>
                <w:lang w:eastAsia="pt-PT"/>
              </w:rPr>
              <w:t>$27,44</w:t>
            </w:r>
          </w:p>
        </w:tc>
        <w:tc>
          <w:tcPr>
            <w:tcW w:w="960" w:type="dxa"/>
            <w:tcBorders>
              <w:top w:val="nil"/>
              <w:left w:val="nil"/>
              <w:bottom w:val="single" w:sz="4" w:space="0" w:color="auto"/>
              <w:right w:val="single" w:sz="4" w:space="0" w:color="auto"/>
            </w:tcBorders>
            <w:shd w:val="clear" w:color="auto" w:fill="auto"/>
            <w:noWrap/>
            <w:vAlign w:val="bottom"/>
            <w:hideMark/>
          </w:tcPr>
          <w:p w14:paraId="107A34BA" w14:textId="77777777" w:rsidR="00C277A6" w:rsidRPr="009A2FBE" w:rsidRDefault="00C277A6" w:rsidP="00F51AF7">
            <w:pPr>
              <w:spacing w:after="0" w:line="240" w:lineRule="auto"/>
              <w:jc w:val="right"/>
              <w:rPr>
                <w:rFonts w:eastAsia="Times New Roman" w:cstheme="minorHAnsi"/>
                <w:color w:val="000000"/>
                <w:sz w:val="20"/>
                <w:szCs w:val="20"/>
                <w:lang w:eastAsia="pt-PT"/>
              </w:rPr>
            </w:pPr>
            <w:r w:rsidRPr="009A2FBE">
              <w:rPr>
                <w:rFonts w:eastAsia="Times New Roman" w:cstheme="minorHAnsi"/>
                <w:color w:val="000000"/>
                <w:sz w:val="20"/>
                <w:szCs w:val="20"/>
                <w:lang w:eastAsia="pt-PT"/>
              </w:rPr>
              <w:t>22</w:t>
            </w:r>
          </w:p>
        </w:tc>
        <w:tc>
          <w:tcPr>
            <w:tcW w:w="960" w:type="dxa"/>
            <w:tcBorders>
              <w:top w:val="nil"/>
              <w:left w:val="nil"/>
              <w:bottom w:val="single" w:sz="4" w:space="0" w:color="auto"/>
              <w:right w:val="single" w:sz="4" w:space="0" w:color="auto"/>
            </w:tcBorders>
            <w:shd w:val="clear" w:color="auto" w:fill="auto"/>
            <w:noWrap/>
            <w:vAlign w:val="bottom"/>
            <w:hideMark/>
          </w:tcPr>
          <w:p w14:paraId="3B457D6A" w14:textId="77777777" w:rsidR="00C277A6" w:rsidRPr="009A2FBE" w:rsidRDefault="00C277A6" w:rsidP="00F51AF7">
            <w:pPr>
              <w:spacing w:after="0" w:line="240" w:lineRule="auto"/>
              <w:jc w:val="right"/>
              <w:rPr>
                <w:rFonts w:eastAsia="Times New Roman" w:cstheme="minorHAnsi"/>
                <w:color w:val="000000"/>
                <w:sz w:val="20"/>
                <w:szCs w:val="20"/>
                <w:lang w:eastAsia="pt-PT"/>
              </w:rPr>
            </w:pPr>
            <w:r w:rsidRPr="009A2FBE">
              <w:rPr>
                <w:rFonts w:eastAsia="Times New Roman" w:cstheme="minorHAnsi"/>
                <w:color w:val="000000"/>
                <w:sz w:val="20"/>
                <w:szCs w:val="20"/>
                <w:lang w:eastAsia="pt-PT"/>
              </w:rPr>
              <w:t>15</w:t>
            </w:r>
          </w:p>
        </w:tc>
        <w:tc>
          <w:tcPr>
            <w:tcW w:w="1300" w:type="dxa"/>
            <w:tcBorders>
              <w:top w:val="nil"/>
              <w:left w:val="nil"/>
              <w:bottom w:val="single" w:sz="4" w:space="0" w:color="auto"/>
              <w:right w:val="single" w:sz="4" w:space="0" w:color="auto"/>
            </w:tcBorders>
            <w:shd w:val="clear" w:color="auto" w:fill="auto"/>
            <w:noWrap/>
            <w:vAlign w:val="bottom"/>
            <w:hideMark/>
          </w:tcPr>
          <w:p w14:paraId="73E92E09" w14:textId="77777777" w:rsidR="00C277A6" w:rsidRPr="009A2FBE" w:rsidRDefault="00C277A6" w:rsidP="00F51AF7">
            <w:pPr>
              <w:spacing w:after="0" w:line="240" w:lineRule="auto"/>
              <w:jc w:val="right"/>
              <w:rPr>
                <w:rFonts w:eastAsia="Times New Roman" w:cstheme="minorHAnsi"/>
                <w:color w:val="000000"/>
                <w:sz w:val="20"/>
                <w:szCs w:val="20"/>
                <w:lang w:eastAsia="pt-PT"/>
              </w:rPr>
            </w:pPr>
            <w:r w:rsidRPr="009A2FBE">
              <w:rPr>
                <w:rFonts w:eastAsia="Times New Roman" w:cstheme="minorHAnsi"/>
                <w:color w:val="000000"/>
                <w:sz w:val="20"/>
                <w:szCs w:val="20"/>
                <w:lang w:eastAsia="pt-PT"/>
              </w:rPr>
              <w:t>$1,25</w:t>
            </w:r>
          </w:p>
        </w:tc>
      </w:tr>
      <w:tr w:rsidR="00C277A6" w:rsidRPr="009A2FBE" w14:paraId="4E60FA41" w14:textId="77777777" w:rsidTr="00C907D5">
        <w:trPr>
          <w:trHeight w:val="29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0AC49039" w14:textId="77777777" w:rsidR="00C277A6" w:rsidRPr="009A2FBE" w:rsidRDefault="00C277A6" w:rsidP="00F51AF7">
            <w:pPr>
              <w:spacing w:after="0" w:line="240" w:lineRule="auto"/>
              <w:rPr>
                <w:rFonts w:eastAsia="Times New Roman" w:cstheme="minorHAnsi"/>
                <w:color w:val="000000"/>
                <w:sz w:val="20"/>
                <w:szCs w:val="20"/>
                <w:lang w:eastAsia="pt-PT"/>
              </w:rPr>
            </w:pPr>
            <w:r w:rsidRPr="009A2FBE">
              <w:rPr>
                <w:rFonts w:eastAsia="Times New Roman" w:cstheme="minorHAnsi"/>
                <w:color w:val="000000"/>
                <w:sz w:val="20"/>
                <w:szCs w:val="20"/>
                <w:lang w:eastAsia="pt-PT"/>
              </w:rPr>
              <w:t>Tanzania</w:t>
            </w:r>
          </w:p>
        </w:tc>
        <w:tc>
          <w:tcPr>
            <w:tcW w:w="1460" w:type="dxa"/>
            <w:tcBorders>
              <w:top w:val="nil"/>
              <w:left w:val="nil"/>
              <w:bottom w:val="single" w:sz="4" w:space="0" w:color="auto"/>
              <w:right w:val="single" w:sz="4" w:space="0" w:color="auto"/>
            </w:tcBorders>
            <w:shd w:val="clear" w:color="auto" w:fill="auto"/>
            <w:noWrap/>
            <w:vAlign w:val="bottom"/>
            <w:hideMark/>
          </w:tcPr>
          <w:p w14:paraId="31DD959A" w14:textId="77777777" w:rsidR="00C277A6" w:rsidRPr="009A2FBE" w:rsidRDefault="00C277A6" w:rsidP="00F51AF7">
            <w:pPr>
              <w:spacing w:after="0" w:line="240" w:lineRule="auto"/>
              <w:jc w:val="right"/>
              <w:rPr>
                <w:rFonts w:eastAsia="Times New Roman" w:cstheme="minorHAnsi"/>
                <w:color w:val="444444"/>
                <w:sz w:val="20"/>
                <w:szCs w:val="20"/>
                <w:lang w:eastAsia="pt-PT"/>
              </w:rPr>
            </w:pPr>
            <w:r w:rsidRPr="009A2FBE">
              <w:rPr>
                <w:rFonts w:eastAsia="Times New Roman" w:cstheme="minorHAnsi"/>
                <w:color w:val="444444"/>
                <w:sz w:val="20"/>
                <w:szCs w:val="20"/>
                <w:lang w:eastAsia="pt-PT"/>
              </w:rPr>
              <w:t>$63,17</w:t>
            </w:r>
          </w:p>
        </w:tc>
        <w:tc>
          <w:tcPr>
            <w:tcW w:w="960" w:type="dxa"/>
            <w:tcBorders>
              <w:top w:val="nil"/>
              <w:left w:val="nil"/>
              <w:bottom w:val="single" w:sz="4" w:space="0" w:color="auto"/>
              <w:right w:val="single" w:sz="4" w:space="0" w:color="auto"/>
            </w:tcBorders>
            <w:shd w:val="clear" w:color="auto" w:fill="auto"/>
            <w:noWrap/>
            <w:vAlign w:val="bottom"/>
            <w:hideMark/>
          </w:tcPr>
          <w:p w14:paraId="340DD5F4" w14:textId="77777777" w:rsidR="00C277A6" w:rsidRPr="009A2FBE" w:rsidRDefault="00C277A6" w:rsidP="00F51AF7">
            <w:pPr>
              <w:spacing w:after="0" w:line="240" w:lineRule="auto"/>
              <w:jc w:val="right"/>
              <w:rPr>
                <w:rFonts w:eastAsia="Times New Roman" w:cstheme="minorHAnsi"/>
                <w:color w:val="000000"/>
                <w:sz w:val="20"/>
                <w:szCs w:val="20"/>
                <w:lang w:eastAsia="pt-PT"/>
              </w:rPr>
            </w:pPr>
            <w:r w:rsidRPr="009A2FBE">
              <w:rPr>
                <w:rFonts w:eastAsia="Times New Roman" w:cstheme="minorHAnsi"/>
                <w:color w:val="000000"/>
                <w:sz w:val="20"/>
                <w:szCs w:val="20"/>
                <w:lang w:eastAsia="pt-PT"/>
              </w:rPr>
              <w:t>37</w:t>
            </w:r>
          </w:p>
        </w:tc>
        <w:tc>
          <w:tcPr>
            <w:tcW w:w="960" w:type="dxa"/>
            <w:tcBorders>
              <w:top w:val="nil"/>
              <w:left w:val="nil"/>
              <w:bottom w:val="single" w:sz="4" w:space="0" w:color="auto"/>
              <w:right w:val="single" w:sz="4" w:space="0" w:color="auto"/>
            </w:tcBorders>
            <w:shd w:val="clear" w:color="auto" w:fill="auto"/>
            <w:noWrap/>
            <w:vAlign w:val="bottom"/>
            <w:hideMark/>
          </w:tcPr>
          <w:p w14:paraId="11D5BE98" w14:textId="77777777" w:rsidR="00C277A6" w:rsidRPr="009A2FBE" w:rsidRDefault="00C277A6" w:rsidP="00F51AF7">
            <w:pPr>
              <w:spacing w:after="0" w:line="240" w:lineRule="auto"/>
              <w:jc w:val="right"/>
              <w:rPr>
                <w:rFonts w:eastAsia="Times New Roman" w:cstheme="minorHAnsi"/>
                <w:color w:val="000000"/>
                <w:sz w:val="20"/>
                <w:szCs w:val="20"/>
                <w:lang w:eastAsia="pt-PT"/>
              </w:rPr>
            </w:pPr>
            <w:r w:rsidRPr="009A2FBE">
              <w:rPr>
                <w:rFonts w:eastAsia="Times New Roman" w:cstheme="minorHAnsi"/>
                <w:color w:val="000000"/>
                <w:sz w:val="20"/>
                <w:szCs w:val="20"/>
                <w:lang w:eastAsia="pt-PT"/>
              </w:rPr>
              <w:t>35</w:t>
            </w:r>
          </w:p>
        </w:tc>
        <w:tc>
          <w:tcPr>
            <w:tcW w:w="1300" w:type="dxa"/>
            <w:tcBorders>
              <w:top w:val="nil"/>
              <w:left w:val="nil"/>
              <w:bottom w:val="single" w:sz="4" w:space="0" w:color="auto"/>
              <w:right w:val="single" w:sz="4" w:space="0" w:color="auto"/>
            </w:tcBorders>
            <w:shd w:val="clear" w:color="auto" w:fill="auto"/>
            <w:noWrap/>
            <w:vAlign w:val="bottom"/>
            <w:hideMark/>
          </w:tcPr>
          <w:p w14:paraId="4FFD9599" w14:textId="77777777" w:rsidR="00C277A6" w:rsidRPr="009A2FBE" w:rsidRDefault="00C277A6" w:rsidP="00F51AF7">
            <w:pPr>
              <w:spacing w:after="0" w:line="240" w:lineRule="auto"/>
              <w:jc w:val="right"/>
              <w:rPr>
                <w:rFonts w:eastAsia="Times New Roman" w:cstheme="minorHAnsi"/>
                <w:color w:val="000000"/>
                <w:sz w:val="20"/>
                <w:szCs w:val="20"/>
                <w:lang w:eastAsia="pt-PT"/>
              </w:rPr>
            </w:pPr>
            <w:r w:rsidRPr="009A2FBE">
              <w:rPr>
                <w:rFonts w:eastAsia="Times New Roman" w:cstheme="minorHAnsi"/>
                <w:color w:val="000000"/>
                <w:sz w:val="20"/>
                <w:szCs w:val="20"/>
                <w:lang w:eastAsia="pt-PT"/>
              </w:rPr>
              <w:t>$1,71</w:t>
            </w:r>
          </w:p>
        </w:tc>
      </w:tr>
      <w:tr w:rsidR="00C277A6" w:rsidRPr="009A2FBE" w14:paraId="041C7D8A" w14:textId="77777777" w:rsidTr="00C907D5">
        <w:trPr>
          <w:trHeight w:val="29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796D6A20" w14:textId="77777777" w:rsidR="00C277A6" w:rsidRPr="009A2FBE" w:rsidRDefault="00C277A6" w:rsidP="00F51AF7">
            <w:pPr>
              <w:spacing w:after="0" w:line="240" w:lineRule="auto"/>
              <w:rPr>
                <w:rFonts w:eastAsia="Times New Roman" w:cstheme="minorHAnsi"/>
                <w:color w:val="000000"/>
                <w:sz w:val="20"/>
                <w:szCs w:val="20"/>
                <w:lang w:eastAsia="pt-PT"/>
              </w:rPr>
            </w:pPr>
            <w:r w:rsidRPr="009A2FBE">
              <w:rPr>
                <w:rFonts w:eastAsia="Times New Roman" w:cstheme="minorHAnsi"/>
                <w:color w:val="000000"/>
                <w:sz w:val="20"/>
                <w:szCs w:val="20"/>
                <w:lang w:eastAsia="pt-PT"/>
              </w:rPr>
              <w:t>Zambia</w:t>
            </w:r>
          </w:p>
        </w:tc>
        <w:tc>
          <w:tcPr>
            <w:tcW w:w="1460" w:type="dxa"/>
            <w:tcBorders>
              <w:top w:val="nil"/>
              <w:left w:val="nil"/>
              <w:bottom w:val="single" w:sz="4" w:space="0" w:color="auto"/>
              <w:right w:val="single" w:sz="4" w:space="0" w:color="auto"/>
            </w:tcBorders>
            <w:shd w:val="clear" w:color="auto" w:fill="auto"/>
            <w:noWrap/>
            <w:vAlign w:val="bottom"/>
            <w:hideMark/>
          </w:tcPr>
          <w:p w14:paraId="758D37A5" w14:textId="77777777" w:rsidR="00C277A6" w:rsidRPr="009A2FBE" w:rsidRDefault="00C277A6" w:rsidP="00F51AF7">
            <w:pPr>
              <w:spacing w:after="0" w:line="240" w:lineRule="auto"/>
              <w:jc w:val="right"/>
              <w:rPr>
                <w:rFonts w:eastAsia="Times New Roman" w:cstheme="minorHAnsi"/>
                <w:color w:val="444444"/>
                <w:sz w:val="20"/>
                <w:szCs w:val="20"/>
                <w:lang w:eastAsia="pt-PT"/>
              </w:rPr>
            </w:pPr>
            <w:r w:rsidRPr="009A2FBE">
              <w:rPr>
                <w:rFonts w:eastAsia="Times New Roman" w:cstheme="minorHAnsi"/>
                <w:color w:val="444444"/>
                <w:sz w:val="20"/>
                <w:szCs w:val="20"/>
                <w:lang w:eastAsia="pt-PT"/>
              </w:rPr>
              <w:t>$45,66</w:t>
            </w:r>
          </w:p>
        </w:tc>
        <w:tc>
          <w:tcPr>
            <w:tcW w:w="960" w:type="dxa"/>
            <w:tcBorders>
              <w:top w:val="nil"/>
              <w:left w:val="nil"/>
              <w:bottom w:val="single" w:sz="4" w:space="0" w:color="auto"/>
              <w:right w:val="single" w:sz="4" w:space="0" w:color="auto"/>
            </w:tcBorders>
            <w:shd w:val="clear" w:color="auto" w:fill="auto"/>
            <w:noWrap/>
            <w:vAlign w:val="bottom"/>
            <w:hideMark/>
          </w:tcPr>
          <w:p w14:paraId="28009CA3" w14:textId="77777777" w:rsidR="00C277A6" w:rsidRPr="009A2FBE" w:rsidRDefault="00C277A6" w:rsidP="00F51AF7">
            <w:pPr>
              <w:spacing w:after="0" w:line="240" w:lineRule="auto"/>
              <w:jc w:val="right"/>
              <w:rPr>
                <w:rFonts w:eastAsia="Times New Roman" w:cstheme="minorHAnsi"/>
                <w:color w:val="000000"/>
                <w:sz w:val="20"/>
                <w:szCs w:val="20"/>
                <w:lang w:eastAsia="pt-PT"/>
              </w:rPr>
            </w:pPr>
            <w:r w:rsidRPr="009A2FBE">
              <w:rPr>
                <w:rFonts w:eastAsia="Times New Roman" w:cstheme="minorHAnsi"/>
                <w:color w:val="000000"/>
                <w:sz w:val="20"/>
                <w:szCs w:val="20"/>
                <w:lang w:eastAsia="pt-PT"/>
              </w:rPr>
              <w:t>28</w:t>
            </w:r>
          </w:p>
        </w:tc>
        <w:tc>
          <w:tcPr>
            <w:tcW w:w="960" w:type="dxa"/>
            <w:tcBorders>
              <w:top w:val="nil"/>
              <w:left w:val="nil"/>
              <w:bottom w:val="single" w:sz="4" w:space="0" w:color="auto"/>
              <w:right w:val="single" w:sz="4" w:space="0" w:color="auto"/>
            </w:tcBorders>
            <w:shd w:val="clear" w:color="auto" w:fill="auto"/>
            <w:noWrap/>
            <w:vAlign w:val="bottom"/>
            <w:hideMark/>
          </w:tcPr>
          <w:p w14:paraId="3A85EE7C" w14:textId="77777777" w:rsidR="00C277A6" w:rsidRPr="009A2FBE" w:rsidRDefault="00C277A6" w:rsidP="00F51AF7">
            <w:pPr>
              <w:spacing w:after="0" w:line="240" w:lineRule="auto"/>
              <w:jc w:val="right"/>
              <w:rPr>
                <w:rFonts w:eastAsia="Times New Roman" w:cstheme="minorHAnsi"/>
                <w:color w:val="000000"/>
                <w:sz w:val="20"/>
                <w:szCs w:val="20"/>
                <w:lang w:eastAsia="pt-PT"/>
              </w:rPr>
            </w:pPr>
            <w:r w:rsidRPr="009A2FBE">
              <w:rPr>
                <w:rFonts w:eastAsia="Times New Roman" w:cstheme="minorHAnsi"/>
                <w:color w:val="000000"/>
                <w:sz w:val="20"/>
                <w:szCs w:val="20"/>
                <w:lang w:eastAsia="pt-PT"/>
              </w:rPr>
              <w:t>38</w:t>
            </w:r>
          </w:p>
        </w:tc>
        <w:tc>
          <w:tcPr>
            <w:tcW w:w="1300" w:type="dxa"/>
            <w:tcBorders>
              <w:top w:val="nil"/>
              <w:left w:val="nil"/>
              <w:bottom w:val="single" w:sz="4" w:space="0" w:color="auto"/>
              <w:right w:val="single" w:sz="4" w:space="0" w:color="auto"/>
            </w:tcBorders>
            <w:shd w:val="clear" w:color="auto" w:fill="auto"/>
            <w:noWrap/>
            <w:vAlign w:val="bottom"/>
            <w:hideMark/>
          </w:tcPr>
          <w:p w14:paraId="3F1AD9A6" w14:textId="77777777" w:rsidR="00C277A6" w:rsidRPr="009A2FBE" w:rsidRDefault="00C277A6" w:rsidP="00F51AF7">
            <w:pPr>
              <w:spacing w:after="0" w:line="240" w:lineRule="auto"/>
              <w:jc w:val="right"/>
              <w:rPr>
                <w:rFonts w:eastAsia="Times New Roman" w:cstheme="minorHAnsi"/>
                <w:color w:val="000000"/>
                <w:sz w:val="20"/>
                <w:szCs w:val="20"/>
                <w:lang w:eastAsia="pt-PT"/>
              </w:rPr>
            </w:pPr>
            <w:r w:rsidRPr="009A2FBE">
              <w:rPr>
                <w:rFonts w:eastAsia="Times New Roman" w:cstheme="minorHAnsi"/>
                <w:color w:val="000000"/>
                <w:sz w:val="20"/>
                <w:szCs w:val="20"/>
                <w:lang w:eastAsia="pt-PT"/>
              </w:rPr>
              <w:t>$1,63</w:t>
            </w:r>
          </w:p>
        </w:tc>
      </w:tr>
      <w:tr w:rsidR="00C277A6" w:rsidRPr="009A2FBE" w14:paraId="0A23539C" w14:textId="77777777" w:rsidTr="00C907D5">
        <w:trPr>
          <w:trHeight w:val="300"/>
        </w:trPr>
        <w:tc>
          <w:tcPr>
            <w:tcW w:w="1720" w:type="dxa"/>
            <w:tcBorders>
              <w:top w:val="nil"/>
              <w:left w:val="single" w:sz="4" w:space="0" w:color="auto"/>
              <w:bottom w:val="single" w:sz="8" w:space="0" w:color="auto"/>
              <w:right w:val="single" w:sz="4" w:space="0" w:color="auto"/>
            </w:tcBorders>
            <w:shd w:val="clear" w:color="auto" w:fill="auto"/>
            <w:noWrap/>
            <w:vAlign w:val="bottom"/>
            <w:hideMark/>
          </w:tcPr>
          <w:p w14:paraId="5408CE81" w14:textId="77777777" w:rsidR="00C277A6" w:rsidRPr="009A2FBE" w:rsidRDefault="00C277A6" w:rsidP="00F51AF7">
            <w:pPr>
              <w:spacing w:after="0" w:line="240" w:lineRule="auto"/>
              <w:rPr>
                <w:rFonts w:eastAsia="Times New Roman" w:cstheme="minorHAnsi"/>
                <w:color w:val="000000"/>
                <w:sz w:val="20"/>
                <w:szCs w:val="20"/>
                <w:lang w:eastAsia="pt-PT"/>
              </w:rPr>
            </w:pPr>
            <w:r w:rsidRPr="009A2FBE">
              <w:rPr>
                <w:rFonts w:eastAsia="Times New Roman" w:cstheme="minorHAnsi"/>
                <w:color w:val="000000"/>
                <w:sz w:val="20"/>
                <w:szCs w:val="20"/>
                <w:lang w:eastAsia="pt-PT"/>
              </w:rPr>
              <w:t>Zimbabwe</w:t>
            </w:r>
          </w:p>
        </w:tc>
        <w:tc>
          <w:tcPr>
            <w:tcW w:w="1460" w:type="dxa"/>
            <w:tcBorders>
              <w:top w:val="nil"/>
              <w:left w:val="nil"/>
              <w:bottom w:val="single" w:sz="8" w:space="0" w:color="auto"/>
              <w:right w:val="single" w:sz="4" w:space="0" w:color="auto"/>
            </w:tcBorders>
            <w:shd w:val="clear" w:color="auto" w:fill="auto"/>
            <w:noWrap/>
            <w:vAlign w:val="bottom"/>
            <w:hideMark/>
          </w:tcPr>
          <w:p w14:paraId="70E70D9E" w14:textId="77777777" w:rsidR="00C277A6" w:rsidRPr="009A2FBE" w:rsidRDefault="00C277A6" w:rsidP="00F51AF7">
            <w:pPr>
              <w:spacing w:after="0" w:line="240" w:lineRule="auto"/>
              <w:jc w:val="right"/>
              <w:rPr>
                <w:rFonts w:eastAsia="Times New Roman" w:cstheme="minorHAnsi"/>
                <w:color w:val="444444"/>
                <w:sz w:val="20"/>
                <w:szCs w:val="20"/>
                <w:lang w:eastAsia="pt-PT"/>
              </w:rPr>
            </w:pPr>
            <w:r w:rsidRPr="009A2FBE">
              <w:rPr>
                <w:rFonts w:eastAsia="Times New Roman" w:cstheme="minorHAnsi"/>
                <w:color w:val="444444"/>
                <w:sz w:val="20"/>
                <w:szCs w:val="20"/>
                <w:lang w:eastAsia="pt-PT"/>
              </w:rPr>
              <w:t>$406,89</w:t>
            </w:r>
          </w:p>
        </w:tc>
        <w:tc>
          <w:tcPr>
            <w:tcW w:w="960" w:type="dxa"/>
            <w:tcBorders>
              <w:top w:val="nil"/>
              <w:left w:val="nil"/>
              <w:bottom w:val="single" w:sz="8" w:space="0" w:color="auto"/>
              <w:right w:val="single" w:sz="4" w:space="0" w:color="auto"/>
            </w:tcBorders>
            <w:shd w:val="clear" w:color="auto" w:fill="auto"/>
            <w:noWrap/>
            <w:vAlign w:val="bottom"/>
            <w:hideMark/>
          </w:tcPr>
          <w:p w14:paraId="52B75B44" w14:textId="77777777" w:rsidR="00C277A6" w:rsidRPr="009A2FBE" w:rsidRDefault="00C277A6" w:rsidP="00F51AF7">
            <w:pPr>
              <w:spacing w:after="0" w:line="240" w:lineRule="auto"/>
              <w:jc w:val="right"/>
              <w:rPr>
                <w:rFonts w:eastAsia="Times New Roman" w:cstheme="minorHAnsi"/>
                <w:color w:val="000000"/>
                <w:sz w:val="20"/>
                <w:szCs w:val="20"/>
                <w:lang w:eastAsia="pt-PT"/>
              </w:rPr>
            </w:pPr>
            <w:r w:rsidRPr="009A2FBE">
              <w:rPr>
                <w:rFonts w:eastAsia="Times New Roman" w:cstheme="minorHAnsi"/>
                <w:color w:val="000000"/>
                <w:sz w:val="20"/>
                <w:szCs w:val="20"/>
                <w:lang w:eastAsia="pt-PT"/>
              </w:rPr>
              <w:t>30</w:t>
            </w:r>
          </w:p>
        </w:tc>
        <w:tc>
          <w:tcPr>
            <w:tcW w:w="960" w:type="dxa"/>
            <w:tcBorders>
              <w:top w:val="nil"/>
              <w:left w:val="nil"/>
              <w:bottom w:val="single" w:sz="8" w:space="0" w:color="auto"/>
              <w:right w:val="single" w:sz="4" w:space="0" w:color="auto"/>
            </w:tcBorders>
            <w:shd w:val="clear" w:color="auto" w:fill="auto"/>
            <w:noWrap/>
            <w:vAlign w:val="bottom"/>
            <w:hideMark/>
          </w:tcPr>
          <w:p w14:paraId="5F351B30" w14:textId="77777777" w:rsidR="00C277A6" w:rsidRPr="009A2FBE" w:rsidRDefault="00C277A6" w:rsidP="00F51AF7">
            <w:pPr>
              <w:spacing w:after="0" w:line="240" w:lineRule="auto"/>
              <w:jc w:val="right"/>
              <w:rPr>
                <w:rFonts w:eastAsia="Times New Roman" w:cstheme="minorHAnsi"/>
                <w:color w:val="000000"/>
                <w:sz w:val="20"/>
                <w:szCs w:val="20"/>
                <w:lang w:eastAsia="pt-PT"/>
              </w:rPr>
            </w:pPr>
            <w:r w:rsidRPr="009A2FBE">
              <w:rPr>
                <w:rFonts w:eastAsia="Times New Roman" w:cstheme="minorHAnsi"/>
                <w:color w:val="000000"/>
                <w:sz w:val="20"/>
                <w:szCs w:val="20"/>
                <w:lang w:eastAsia="pt-PT"/>
              </w:rPr>
              <w:t>26</w:t>
            </w:r>
          </w:p>
        </w:tc>
        <w:tc>
          <w:tcPr>
            <w:tcW w:w="1300" w:type="dxa"/>
            <w:tcBorders>
              <w:top w:val="nil"/>
              <w:left w:val="nil"/>
              <w:bottom w:val="single" w:sz="8" w:space="0" w:color="auto"/>
              <w:right w:val="single" w:sz="4" w:space="0" w:color="auto"/>
            </w:tcBorders>
            <w:shd w:val="clear" w:color="auto" w:fill="auto"/>
            <w:noWrap/>
            <w:vAlign w:val="bottom"/>
            <w:hideMark/>
          </w:tcPr>
          <w:p w14:paraId="1360F853" w14:textId="77777777" w:rsidR="00C277A6" w:rsidRPr="009A2FBE" w:rsidRDefault="00C277A6" w:rsidP="00F51AF7">
            <w:pPr>
              <w:spacing w:after="0" w:line="240" w:lineRule="auto"/>
              <w:jc w:val="right"/>
              <w:rPr>
                <w:rFonts w:eastAsia="Times New Roman" w:cstheme="minorHAnsi"/>
                <w:color w:val="000000"/>
                <w:sz w:val="20"/>
                <w:szCs w:val="20"/>
                <w:lang w:eastAsia="pt-PT"/>
              </w:rPr>
            </w:pPr>
            <w:r w:rsidRPr="009A2FBE">
              <w:rPr>
                <w:rFonts w:eastAsia="Times New Roman" w:cstheme="minorHAnsi"/>
                <w:color w:val="000000"/>
                <w:sz w:val="20"/>
                <w:szCs w:val="20"/>
                <w:lang w:eastAsia="pt-PT"/>
              </w:rPr>
              <w:t>$13,56</w:t>
            </w:r>
          </w:p>
        </w:tc>
      </w:tr>
    </w:tbl>
    <w:p w14:paraId="41FD56C4" w14:textId="53762111" w:rsidR="00C277A6" w:rsidRDefault="00C277A6" w:rsidP="00C277A6">
      <w:pPr>
        <w:jc w:val="both"/>
      </w:pPr>
    </w:p>
    <w:p w14:paraId="741EAF13" w14:textId="5FB9BC34" w:rsidR="008C4FD4" w:rsidRPr="00095A75" w:rsidRDefault="00FD00B9" w:rsidP="008342DD">
      <w:pPr>
        <w:pStyle w:val="Heading3"/>
        <w:jc w:val="both"/>
        <w:rPr>
          <w:rFonts w:asciiTheme="minorHAnsi" w:hAnsiTheme="minorHAnsi" w:cstheme="minorHAnsi"/>
          <w:sz w:val="22"/>
          <w:szCs w:val="22"/>
        </w:rPr>
      </w:pPr>
      <w:bookmarkStart w:id="68" w:name="_Toc88741816"/>
      <w:r>
        <w:rPr>
          <w:rFonts w:asciiTheme="minorHAnsi" w:hAnsiTheme="minorHAnsi" w:cstheme="minorHAnsi"/>
          <w:sz w:val="22"/>
          <w:szCs w:val="22"/>
        </w:rPr>
        <w:t>4</w:t>
      </w:r>
      <w:r w:rsidR="00095A75" w:rsidRPr="00095A75">
        <w:rPr>
          <w:rFonts w:asciiTheme="minorHAnsi" w:hAnsiTheme="minorHAnsi" w:cstheme="minorHAnsi"/>
          <w:sz w:val="22"/>
          <w:szCs w:val="22"/>
        </w:rPr>
        <w:t>.8.2. Exogenous Factors</w:t>
      </w:r>
      <w:bookmarkEnd w:id="68"/>
    </w:p>
    <w:p w14:paraId="0893340D" w14:textId="5AFA9EC6" w:rsidR="00095A75" w:rsidRDefault="008342DD" w:rsidP="008342DD">
      <w:pPr>
        <w:jc w:val="both"/>
      </w:pPr>
      <w:r>
        <w:t>The factors outside of UNDP’s control, include:</w:t>
      </w:r>
    </w:p>
    <w:p w14:paraId="3E791648" w14:textId="36A7EA21" w:rsidR="00CB37AE" w:rsidRDefault="001C3BE0" w:rsidP="00790AD5">
      <w:pPr>
        <w:pStyle w:val="ListParagraph"/>
        <w:numPr>
          <w:ilvl w:val="0"/>
          <w:numId w:val="44"/>
        </w:numPr>
        <w:jc w:val="both"/>
      </w:pPr>
      <w:r>
        <w:t>The changes following the elections of 2017 that brought about a new government with a strong reform agenda has had consequences in terms of institutional realignment</w:t>
      </w:r>
      <w:r w:rsidR="004A4832">
        <w:t xml:space="preserve"> (e.g., merger of some Ministries)</w:t>
      </w:r>
      <w:r>
        <w:t>, changes in priorities and leadership of state structures continues</w:t>
      </w:r>
      <w:r w:rsidR="00862076">
        <w:t xml:space="preserve"> to have far-reaching effects on Angolan society </w:t>
      </w:r>
      <w:r w:rsidR="00CB37AE">
        <w:t>and impact</w:t>
      </w:r>
      <w:r>
        <w:t xml:space="preserve"> on and determine how UNDP implements the CPD;  </w:t>
      </w:r>
    </w:p>
    <w:p w14:paraId="0DB1406E" w14:textId="77777777" w:rsidR="004A4832" w:rsidRDefault="00CB37AE" w:rsidP="00790AD5">
      <w:pPr>
        <w:pStyle w:val="ListParagraph"/>
        <w:numPr>
          <w:ilvl w:val="0"/>
          <w:numId w:val="44"/>
        </w:numPr>
        <w:jc w:val="both"/>
      </w:pPr>
      <w:r>
        <w:t>Effecting policy changes in a context such as Angola is a result of long-term systematic efforts and often changes are incremental;</w:t>
      </w:r>
    </w:p>
    <w:p w14:paraId="7AD19BBA" w14:textId="308D25A6" w:rsidR="001C3BE0" w:rsidRDefault="004A4832" w:rsidP="00790AD5">
      <w:pPr>
        <w:pStyle w:val="ListParagraph"/>
        <w:numPr>
          <w:ilvl w:val="0"/>
          <w:numId w:val="44"/>
        </w:numPr>
        <w:jc w:val="both"/>
      </w:pPr>
      <w:r>
        <w:t>Economic contraction and impact on state budget which resulted in government not allocating resources to implement agreed priorities (e.g., the DRM strategy)</w:t>
      </w:r>
      <w:r w:rsidR="001C3BE0">
        <w:t xml:space="preserve">   </w:t>
      </w:r>
    </w:p>
    <w:p w14:paraId="0A5E196D" w14:textId="34D79F72" w:rsidR="008342DD" w:rsidRDefault="008342DD" w:rsidP="00790AD5">
      <w:pPr>
        <w:pStyle w:val="ListParagraph"/>
        <w:numPr>
          <w:ilvl w:val="0"/>
          <w:numId w:val="44"/>
        </w:numPr>
        <w:jc w:val="both"/>
      </w:pPr>
      <w:r>
        <w:t>Covid -19 which has had adverse effects on the implementation of activities as a result of measures Government has put in place – see section</w:t>
      </w:r>
      <w:r w:rsidR="00E237AF">
        <w:t>s 4.5.1 and 4.5.2</w:t>
      </w:r>
      <w:r w:rsidR="004A4832">
        <w:t xml:space="preserve">. the impacts were at three levels: (i) UNDP overall; (ii) </w:t>
      </w:r>
      <w:r w:rsidR="000D588D">
        <w:t>in-country within projects; and (III) inability to procure goods and services from outside</w:t>
      </w:r>
      <w:r>
        <w:t>;</w:t>
      </w:r>
    </w:p>
    <w:p w14:paraId="6D7A69AF" w14:textId="4238754B" w:rsidR="008342DD" w:rsidRDefault="002B77D9" w:rsidP="00790AD5">
      <w:pPr>
        <w:pStyle w:val="ListParagraph"/>
        <w:numPr>
          <w:ilvl w:val="0"/>
          <w:numId w:val="44"/>
        </w:numPr>
        <w:jc w:val="both"/>
      </w:pPr>
      <w:r>
        <w:t>Weak c</w:t>
      </w:r>
      <w:r w:rsidR="008342DD">
        <w:t>apacities of national institutions and inadequate human resources which still r</w:t>
      </w:r>
      <w:r>
        <w:t>eflect</w:t>
      </w:r>
      <w:r w:rsidR="008342DD">
        <w:t xml:space="preserve"> the legacy of </w:t>
      </w:r>
      <w:r w:rsidR="008F2AB3">
        <w:t>m</w:t>
      </w:r>
      <w:r w:rsidR="008342DD">
        <w:t xml:space="preserve">any years of war. The situation is further compounded by administrative measures </w:t>
      </w:r>
      <w:r w:rsidR="008342DD">
        <w:lastRenderedPageBreak/>
        <w:t xml:space="preserve">resulting in institutional realignments and </w:t>
      </w:r>
      <w:r>
        <w:t xml:space="preserve">frequent </w:t>
      </w:r>
      <w:r w:rsidR="008342DD">
        <w:t>changes in personnel in the public administration.</w:t>
      </w:r>
    </w:p>
    <w:p w14:paraId="1D87FBDF" w14:textId="661E948D" w:rsidR="008342DD" w:rsidRDefault="00B7688A" w:rsidP="00790AD5">
      <w:pPr>
        <w:pStyle w:val="ListParagraph"/>
        <w:numPr>
          <w:ilvl w:val="0"/>
          <w:numId w:val="44"/>
        </w:numPr>
        <w:jc w:val="both"/>
      </w:pPr>
      <w:r>
        <w:t>Challenges</w:t>
      </w:r>
      <w:r w:rsidR="008342DD">
        <w:t xml:space="preserve"> around availability of quality data to support evidence-based policy formulation.</w:t>
      </w:r>
    </w:p>
    <w:p w14:paraId="3E35CA4D" w14:textId="39BDD563" w:rsidR="00E13CCA" w:rsidRDefault="00E13CCA" w:rsidP="00F47E25">
      <w:pPr>
        <w:jc w:val="both"/>
      </w:pPr>
      <w:r>
        <w:t xml:space="preserve">Finally, </w:t>
      </w:r>
      <w:r w:rsidR="00F47E25">
        <w:t xml:space="preserve">an overriding challenge is that </w:t>
      </w:r>
      <w:r>
        <w:t xml:space="preserve">Angola is a </w:t>
      </w:r>
      <w:r w:rsidR="00F47E25">
        <w:t>v</w:t>
      </w:r>
      <w:r>
        <w:t xml:space="preserve">ast </w:t>
      </w:r>
      <w:r w:rsidR="00F47E25">
        <w:t>country</w:t>
      </w:r>
      <w:r>
        <w:t xml:space="preserve"> with a big economy. The 2</w:t>
      </w:r>
      <w:r w:rsidR="00EE6E59">
        <w:t>019</w:t>
      </w:r>
      <w:r>
        <w:t xml:space="preserve"> GDP was </w:t>
      </w:r>
      <w:r w:rsidR="00F47E25">
        <w:t>estimated</w:t>
      </w:r>
      <w:r>
        <w:t xml:space="preserve"> at US$84 billion and government budget of approximately US$ 15 billion</w:t>
      </w:r>
      <w:r w:rsidR="00F47E25">
        <w:t>. It is a dauting task to really craft a programme that can have the desired impact with so limited resources.</w:t>
      </w:r>
      <w:r>
        <w:t xml:space="preserve"> </w:t>
      </w:r>
    </w:p>
    <w:p w14:paraId="2AAC111A" w14:textId="61B14D99" w:rsidR="00C150A0" w:rsidRPr="000031C1" w:rsidRDefault="00773E94" w:rsidP="00790AD5">
      <w:pPr>
        <w:pStyle w:val="Heading2"/>
        <w:numPr>
          <w:ilvl w:val="1"/>
          <w:numId w:val="53"/>
        </w:numPr>
      </w:pPr>
      <w:bookmarkStart w:id="69" w:name="_Hlk88574406"/>
      <w:bookmarkStart w:id="70" w:name="_Toc88741817"/>
      <w:r>
        <w:rPr>
          <w:rFonts w:asciiTheme="minorHAnsi" w:hAnsiTheme="minorHAnsi" w:cstheme="minorHAnsi"/>
          <w:sz w:val="22"/>
          <w:szCs w:val="22"/>
        </w:rPr>
        <w:t xml:space="preserve">Human Resources, </w:t>
      </w:r>
      <w:r w:rsidR="00C36D88">
        <w:rPr>
          <w:rFonts w:asciiTheme="minorHAnsi" w:hAnsiTheme="minorHAnsi" w:cstheme="minorHAnsi"/>
          <w:sz w:val="22"/>
          <w:szCs w:val="22"/>
        </w:rPr>
        <w:t>Operations</w:t>
      </w:r>
      <w:r w:rsidR="000031C1">
        <w:rPr>
          <w:rFonts w:asciiTheme="minorHAnsi" w:hAnsiTheme="minorHAnsi" w:cstheme="minorHAnsi"/>
          <w:sz w:val="22"/>
          <w:szCs w:val="22"/>
        </w:rPr>
        <w:t xml:space="preserve"> Support</w:t>
      </w:r>
      <w:r w:rsidR="008A08AF">
        <w:rPr>
          <w:rFonts w:asciiTheme="minorHAnsi" w:hAnsiTheme="minorHAnsi" w:cstheme="minorHAnsi"/>
          <w:sz w:val="22"/>
          <w:szCs w:val="22"/>
        </w:rPr>
        <w:t xml:space="preserve"> and Quality Assurance</w:t>
      </w:r>
      <w:bookmarkEnd w:id="70"/>
      <w:r w:rsidR="000031C1">
        <w:rPr>
          <w:rFonts w:asciiTheme="minorHAnsi" w:hAnsiTheme="minorHAnsi" w:cstheme="minorHAnsi"/>
          <w:sz w:val="22"/>
          <w:szCs w:val="22"/>
        </w:rPr>
        <w:t xml:space="preserve">                                         </w:t>
      </w:r>
    </w:p>
    <w:p w14:paraId="61CE2206" w14:textId="3BFC3A8A" w:rsidR="003E7C6D" w:rsidRDefault="00C150A0" w:rsidP="00790AD5">
      <w:pPr>
        <w:pStyle w:val="Heading3"/>
        <w:numPr>
          <w:ilvl w:val="2"/>
          <w:numId w:val="53"/>
        </w:numPr>
        <w:rPr>
          <w:rFonts w:asciiTheme="minorHAnsi" w:hAnsiTheme="minorHAnsi" w:cstheme="minorHAnsi"/>
          <w:sz w:val="22"/>
          <w:szCs w:val="22"/>
        </w:rPr>
      </w:pPr>
      <w:bookmarkStart w:id="71" w:name="_Toc88741818"/>
      <w:r w:rsidRPr="00C150A0">
        <w:rPr>
          <w:rFonts w:asciiTheme="minorHAnsi" w:hAnsiTheme="minorHAnsi" w:cstheme="minorHAnsi"/>
          <w:sz w:val="22"/>
          <w:szCs w:val="22"/>
        </w:rPr>
        <w:t>Human Resources</w:t>
      </w:r>
      <w:r w:rsidR="003E7C6D">
        <w:rPr>
          <w:rFonts w:asciiTheme="minorHAnsi" w:hAnsiTheme="minorHAnsi" w:cstheme="minorHAnsi"/>
          <w:sz w:val="22"/>
          <w:szCs w:val="22"/>
        </w:rPr>
        <w:t xml:space="preserve"> and Operations</w:t>
      </w:r>
      <w:bookmarkEnd w:id="71"/>
    </w:p>
    <w:p w14:paraId="11F21B59" w14:textId="77777777" w:rsidR="005A3C22" w:rsidRDefault="008A08AF" w:rsidP="004A3128">
      <w:pPr>
        <w:jc w:val="both"/>
      </w:pPr>
      <w:r>
        <w:t xml:space="preserve">In terms of human resources, </w:t>
      </w:r>
      <w:r w:rsidR="00E96D7B">
        <w:t>the UNDP Country Office has 64 staff in the various categories. At the top are the Resident Representative and the Deputy RR. At the programme level, they are supported by team leads</w:t>
      </w:r>
      <w:r w:rsidR="00B42289">
        <w:t>/programme specialists</w:t>
      </w:r>
      <w:r w:rsidR="00E96D7B">
        <w:t xml:space="preserve"> for the three programme clusters</w:t>
      </w:r>
      <w:r w:rsidR="00B42289">
        <w:t xml:space="preserve">, </w:t>
      </w:r>
      <w:r w:rsidR="00E96D7B">
        <w:t>a Global Fund Coordinator</w:t>
      </w:r>
      <w:r w:rsidR="00B42289">
        <w:t xml:space="preserve"> and a Gender Focal Point</w:t>
      </w:r>
      <w:r w:rsidR="00E96D7B">
        <w:t xml:space="preserve">. </w:t>
      </w:r>
      <w:r w:rsidR="00B42289">
        <w:t xml:space="preserve">The office also a team dedicated to M&amp;E and quality assurance. </w:t>
      </w:r>
      <w:r w:rsidR="00E96D7B">
        <w:t>The work of the Cluster leads is supported by a team of programme</w:t>
      </w:r>
      <w:r w:rsidR="00B42289">
        <w:t xml:space="preserve"> assistants who under current arrangements are not assigned to specific clusters.</w:t>
      </w:r>
      <w:r w:rsidR="00E96D7B">
        <w:t xml:space="preserve"> </w:t>
      </w:r>
      <w:r w:rsidR="00B42289">
        <w:t>There is a full finance and administration team in place to provide operational and administrative support to the office.</w:t>
      </w:r>
      <w:r w:rsidR="005A3C22">
        <w:t xml:space="preserve"> The costs for all these positions are sourced from either core resources, or projects or cost shared with agencies.</w:t>
      </w:r>
    </w:p>
    <w:p w14:paraId="050A908D" w14:textId="5AEB88EA" w:rsidR="005A3C22" w:rsidRPr="005A3C22" w:rsidRDefault="005A3C22" w:rsidP="005A3C22">
      <w:pPr>
        <w:pStyle w:val="ydp12c3f86dyiv8936149905ydp1d6b1c4byiv2685864340ydp41d5e575yiv0035526655ydpc45f258bmsolistparagraph"/>
        <w:jc w:val="both"/>
        <w:rPr>
          <w:rFonts w:asciiTheme="minorHAnsi" w:hAnsiTheme="minorHAnsi" w:cstheme="minorHAnsi"/>
          <w:sz w:val="18"/>
          <w:szCs w:val="18"/>
        </w:rPr>
      </w:pPr>
      <w:r>
        <w:t xml:space="preserve">There are a number of challenges faced by the Country Office in terms of human resources such as inadequacy and challenges in getting staff with the right profiles due to the </w:t>
      </w:r>
      <w:r>
        <w:rPr>
          <w:rFonts w:asciiTheme="minorHAnsi" w:hAnsiTheme="minorHAnsi" w:cstheme="minorHAnsi"/>
        </w:rPr>
        <w:t>q</w:t>
      </w:r>
      <w:r w:rsidRPr="005A3C22">
        <w:rPr>
          <w:rFonts w:asciiTheme="minorHAnsi" w:hAnsiTheme="minorHAnsi" w:cstheme="minorHAnsi"/>
        </w:rPr>
        <w:t>uality of applicants in relation to the post being recruited for.</w:t>
      </w:r>
      <w:r>
        <w:rPr>
          <w:rFonts w:asciiTheme="minorHAnsi" w:hAnsiTheme="minorHAnsi" w:cstheme="minorHAnsi"/>
        </w:rPr>
        <w:t xml:space="preserve"> A common complaint of staff is a </w:t>
      </w:r>
      <w:r w:rsidR="00F15960">
        <w:rPr>
          <w:rFonts w:asciiTheme="minorHAnsi" w:hAnsiTheme="minorHAnsi" w:cstheme="minorHAnsi"/>
        </w:rPr>
        <w:t>heavy workload</w:t>
      </w:r>
      <w:r w:rsidR="00F94D19">
        <w:rPr>
          <w:rFonts w:asciiTheme="minorHAnsi" w:hAnsiTheme="minorHAnsi" w:cstheme="minorHAnsi"/>
        </w:rPr>
        <w:t>; understaffing and too many projects under each staff due to too many small projects</w:t>
      </w:r>
      <w:r w:rsidR="00F15960">
        <w:rPr>
          <w:rFonts w:asciiTheme="minorHAnsi" w:hAnsiTheme="minorHAnsi" w:cstheme="minorHAnsi"/>
        </w:rPr>
        <w:t xml:space="preserve">. </w:t>
      </w:r>
      <w:r w:rsidR="00F94D19">
        <w:rPr>
          <w:rFonts w:asciiTheme="minorHAnsi" w:hAnsiTheme="minorHAnsi" w:cstheme="minorHAnsi"/>
        </w:rPr>
        <w:t>As a result, s</w:t>
      </w:r>
      <w:r w:rsidR="00F15960">
        <w:rPr>
          <w:rFonts w:asciiTheme="minorHAnsi" w:hAnsiTheme="minorHAnsi" w:cstheme="minorHAnsi"/>
        </w:rPr>
        <w:t>upport to Cluster Leads is also insufficient obliging them to spend valuable time attending to routine matters better handled at lower levels, which cuts into their ability to engage high level government counterparts in policy dialogue and rendering technical advice.</w:t>
      </w:r>
      <w:r w:rsidR="00F94D19">
        <w:rPr>
          <w:rFonts w:asciiTheme="minorHAnsi" w:hAnsiTheme="minorHAnsi" w:cstheme="minorHAnsi"/>
        </w:rPr>
        <w:t xml:space="preserve"> </w:t>
      </w:r>
    </w:p>
    <w:p w14:paraId="73FCF96A" w14:textId="4087E41A" w:rsidR="008A08AF" w:rsidRDefault="00F15960" w:rsidP="004A3128">
      <w:pPr>
        <w:jc w:val="both"/>
      </w:pPr>
      <w:r>
        <w:t>S</w:t>
      </w:r>
      <w:r w:rsidR="003E7C6D" w:rsidRPr="004A3128">
        <w:t xml:space="preserve">takeholders’ feedback </w:t>
      </w:r>
      <w:r>
        <w:t xml:space="preserve">with respect to country office operations </w:t>
      </w:r>
      <w:r w:rsidR="003E7C6D" w:rsidRPr="004A3128">
        <w:t>pointed to UNDP delays in finance and</w:t>
      </w:r>
      <w:r w:rsidR="003E7C6D" w:rsidRPr="004A3128">
        <w:rPr>
          <w:sz w:val="18"/>
          <w:szCs w:val="18"/>
        </w:rPr>
        <w:t xml:space="preserve"> </w:t>
      </w:r>
      <w:r w:rsidR="003E7C6D">
        <w:t>procurements requests which were often detrimental to project implementation. These have affected both national counterpar</w:t>
      </w:r>
      <w:r w:rsidR="004A3128">
        <w:t>ts as well as UNDP staff working on projects in the provinces. The problem however does not rest entirely on UNDP as Implementing Partners are also to blame due to non-respect of UNDP procedures and delays in submission of required documentation. Although training has been provided by UNDP on the procedures, the frequent changes in staff means that UNDP should on a continuing basis be providing induction to new IP staff if and when needed</w:t>
      </w:r>
      <w:r w:rsidR="008A08AF">
        <w:t>.</w:t>
      </w:r>
    </w:p>
    <w:p w14:paraId="08A3877B" w14:textId="3705142A" w:rsidR="008A08AF" w:rsidRDefault="008A08AF" w:rsidP="00F94D19">
      <w:pPr>
        <w:jc w:val="both"/>
        <w:rPr>
          <w:rFonts w:eastAsia="Times New Roman" w:cstheme="minorHAnsi"/>
          <w:lang w:val="en-US"/>
        </w:rPr>
      </w:pPr>
      <w:r>
        <w:t>Similarly, several challenges are faced with regards to procurement, such as:</w:t>
      </w:r>
      <w:r w:rsidR="00F94D19">
        <w:t xml:space="preserve"> </w:t>
      </w:r>
      <w:r w:rsidR="00F94D19" w:rsidRPr="008A08AF">
        <w:rPr>
          <w:rFonts w:eastAsia="Times New Roman" w:cstheme="minorHAnsi"/>
          <w:lang w:val="en-US"/>
        </w:rPr>
        <w:t>requests</w:t>
      </w:r>
      <w:r w:rsidRPr="008A08AF">
        <w:rPr>
          <w:rFonts w:eastAsia="Times New Roman" w:cstheme="minorHAnsi"/>
          <w:lang w:val="en-US"/>
        </w:rPr>
        <w:t xml:space="preserve"> to Procurement mostly at last minute, implying a reactive approach instead of a strategic approach to procurement processes</w:t>
      </w:r>
      <w:r w:rsidR="00F94D19">
        <w:rPr>
          <w:rFonts w:eastAsia="Times New Roman" w:cstheme="minorHAnsi"/>
          <w:lang w:val="en-US"/>
        </w:rPr>
        <w:t xml:space="preserve">; </w:t>
      </w:r>
      <w:r w:rsidRPr="008A08AF">
        <w:rPr>
          <w:rFonts w:eastAsia="Times New Roman" w:cstheme="minorHAnsi"/>
          <w:lang w:val="en-US"/>
        </w:rPr>
        <w:t>payments mostly resulting in successive claims of late payments by vendors</w:t>
      </w:r>
      <w:r w:rsidR="00F94D19">
        <w:rPr>
          <w:rFonts w:eastAsia="Times New Roman" w:cstheme="minorHAnsi"/>
          <w:lang w:val="en-US"/>
        </w:rPr>
        <w:t>; r</w:t>
      </w:r>
      <w:r w:rsidRPr="008A08AF">
        <w:rPr>
          <w:rFonts w:eastAsia="Times New Roman" w:cstheme="minorHAnsi"/>
          <w:lang w:val="en-US"/>
        </w:rPr>
        <w:t>econciliation of payments to vendors</w:t>
      </w:r>
      <w:r w:rsidR="00F94D19">
        <w:rPr>
          <w:rFonts w:eastAsia="Times New Roman" w:cstheme="minorHAnsi"/>
          <w:lang w:val="en-US"/>
        </w:rPr>
        <w:t>; v</w:t>
      </w:r>
      <w:r w:rsidRPr="008A08AF">
        <w:rPr>
          <w:rFonts w:eastAsia="Times New Roman" w:cstheme="minorHAnsi"/>
          <w:lang w:val="en-US"/>
        </w:rPr>
        <w:t>endor management: urgent requests to have vendors created. Delayed creation and approval resulting in late issuance of contracts to vendors</w:t>
      </w:r>
      <w:r w:rsidR="00F94D19">
        <w:rPr>
          <w:rFonts w:eastAsia="Times New Roman" w:cstheme="minorHAnsi"/>
          <w:lang w:val="en-US"/>
        </w:rPr>
        <w:t>; and c</w:t>
      </w:r>
      <w:r w:rsidRPr="008A08AF">
        <w:rPr>
          <w:rFonts w:eastAsia="Times New Roman" w:cstheme="minorHAnsi"/>
          <w:lang w:val="en-US"/>
        </w:rPr>
        <w:t xml:space="preserve">ustoms Clearances: </w:t>
      </w:r>
      <w:r>
        <w:rPr>
          <w:rFonts w:eastAsia="Times New Roman" w:cstheme="minorHAnsi"/>
          <w:lang w:val="en-US"/>
        </w:rPr>
        <w:t>d</w:t>
      </w:r>
      <w:r w:rsidRPr="008A08AF">
        <w:rPr>
          <w:rFonts w:eastAsia="Times New Roman" w:cstheme="minorHAnsi"/>
          <w:lang w:val="en-US"/>
        </w:rPr>
        <w:t>elayed processing of requests with Government Authorities resulting in additional costs and demurrages</w:t>
      </w:r>
      <w:r w:rsidR="00F94D19">
        <w:rPr>
          <w:rFonts w:eastAsia="Times New Roman" w:cstheme="minorHAnsi"/>
          <w:lang w:val="en-US"/>
        </w:rPr>
        <w:t>.</w:t>
      </w:r>
    </w:p>
    <w:p w14:paraId="584422E0" w14:textId="34DAC23C" w:rsidR="00F94D19" w:rsidRPr="00F94D19" w:rsidRDefault="00F94D19" w:rsidP="00F94D19">
      <w:pPr>
        <w:jc w:val="both"/>
      </w:pPr>
      <w:r>
        <w:rPr>
          <w:rFonts w:cstheme="minorHAnsi"/>
        </w:rPr>
        <w:t xml:space="preserve">The UNDP Country Office was last restructured in 2015. There </w:t>
      </w:r>
      <w:r w:rsidR="00CF520A">
        <w:rPr>
          <w:rFonts w:cstheme="minorHAnsi"/>
        </w:rPr>
        <w:t xml:space="preserve">would be </w:t>
      </w:r>
      <w:r>
        <w:rPr>
          <w:rFonts w:cstheme="minorHAnsi"/>
        </w:rPr>
        <w:t xml:space="preserve">a need </w:t>
      </w:r>
      <w:r w:rsidR="00CF520A">
        <w:rPr>
          <w:rFonts w:cstheme="minorHAnsi"/>
        </w:rPr>
        <w:t xml:space="preserve">to </w:t>
      </w:r>
      <w:r>
        <w:rPr>
          <w:rFonts w:cstheme="minorHAnsi"/>
        </w:rPr>
        <w:t xml:space="preserve">review </w:t>
      </w:r>
      <w:r w:rsidR="00CF520A">
        <w:rPr>
          <w:rFonts w:cstheme="minorHAnsi"/>
        </w:rPr>
        <w:t xml:space="preserve">the office organizational set up and procedures </w:t>
      </w:r>
      <w:r>
        <w:rPr>
          <w:rFonts w:cstheme="minorHAnsi"/>
        </w:rPr>
        <w:t xml:space="preserve">to </w:t>
      </w:r>
      <w:r w:rsidR="00CF520A">
        <w:rPr>
          <w:rFonts w:cstheme="minorHAnsi"/>
        </w:rPr>
        <w:t xml:space="preserve">address these challenges and other challenges, and </w:t>
      </w:r>
      <w:r>
        <w:rPr>
          <w:rFonts w:cstheme="minorHAnsi"/>
        </w:rPr>
        <w:t>streamline delivery and instil greater efficiency.</w:t>
      </w:r>
    </w:p>
    <w:p w14:paraId="605D9371" w14:textId="2D75E18A" w:rsidR="00550D51" w:rsidRPr="00C150A0" w:rsidRDefault="00FD00B9" w:rsidP="008C4FD4">
      <w:pPr>
        <w:pStyle w:val="Heading3"/>
        <w:rPr>
          <w:rFonts w:asciiTheme="minorHAnsi" w:hAnsiTheme="minorHAnsi" w:cstheme="minorHAnsi"/>
          <w:sz w:val="22"/>
          <w:szCs w:val="22"/>
        </w:rPr>
      </w:pPr>
      <w:bookmarkStart w:id="72" w:name="_Toc88741819"/>
      <w:r>
        <w:rPr>
          <w:rFonts w:asciiTheme="minorHAnsi" w:hAnsiTheme="minorHAnsi" w:cstheme="minorHAnsi"/>
          <w:sz w:val="22"/>
          <w:szCs w:val="22"/>
        </w:rPr>
        <w:lastRenderedPageBreak/>
        <w:t>4</w:t>
      </w:r>
      <w:r w:rsidR="008C4FD4">
        <w:rPr>
          <w:rFonts w:asciiTheme="minorHAnsi" w:hAnsiTheme="minorHAnsi" w:cstheme="minorHAnsi"/>
          <w:sz w:val="22"/>
          <w:szCs w:val="22"/>
        </w:rPr>
        <w:t xml:space="preserve">.9.2 </w:t>
      </w:r>
      <w:r w:rsidR="00F15960">
        <w:rPr>
          <w:rFonts w:asciiTheme="minorHAnsi" w:hAnsiTheme="minorHAnsi" w:cstheme="minorHAnsi"/>
          <w:sz w:val="22"/>
          <w:szCs w:val="22"/>
        </w:rPr>
        <w:t>Quality Assurance Mechanisms</w:t>
      </w:r>
      <w:bookmarkEnd w:id="72"/>
      <w:r w:rsidR="00F15960">
        <w:rPr>
          <w:rFonts w:asciiTheme="minorHAnsi" w:hAnsiTheme="minorHAnsi" w:cstheme="minorHAnsi"/>
          <w:sz w:val="22"/>
          <w:szCs w:val="22"/>
        </w:rPr>
        <w:t xml:space="preserve"> </w:t>
      </w:r>
    </w:p>
    <w:p w14:paraId="257CF43E" w14:textId="77777777" w:rsidR="0089379E" w:rsidRDefault="00F15960" w:rsidP="0089379E">
      <w:pPr>
        <w:jc w:val="both"/>
      </w:pPr>
      <w:r>
        <w:t>The UNDP country office has reasonably functioning quality assurance and programme management mechanisms.</w:t>
      </w:r>
      <w:r w:rsidR="0089379E">
        <w:t xml:space="preserve"> </w:t>
      </w:r>
      <w:r w:rsidR="007A4D90">
        <w:t xml:space="preserve">For quality assurance, the Country office has three RBM/Communications analysts and two assistants to support the </w:t>
      </w:r>
      <w:r w:rsidR="001F3FC1">
        <w:t>office</w:t>
      </w:r>
      <w:r w:rsidR="007A4D90">
        <w:t xml:space="preserve"> in carrying out M&amp;E functions and develop Integrated Work Plans (IWP). </w:t>
      </w:r>
      <w:r w:rsidR="001F3FC1">
        <w:t xml:space="preserve">These cascade from </w:t>
      </w:r>
      <w:r w:rsidR="00F8489B">
        <w:t>the UNDP</w:t>
      </w:r>
      <w:r w:rsidR="001F3FC1">
        <w:t xml:space="preserve"> Regional Outputs to the CPD to programme and project levels. The process also involves preparation of financial and procurement plans. </w:t>
      </w:r>
    </w:p>
    <w:p w14:paraId="60427F87" w14:textId="44EC026B" w:rsidR="007A4D90" w:rsidRDefault="001F3FC1" w:rsidP="0089379E">
      <w:pPr>
        <w:jc w:val="both"/>
      </w:pPr>
      <w:r>
        <w:t>The planning, implementation and monitoring process follows the following steps:</w:t>
      </w:r>
    </w:p>
    <w:p w14:paraId="1E5D535D" w14:textId="77777777" w:rsidR="001F3FC1" w:rsidRDefault="001F3FC1" w:rsidP="00790AD5">
      <w:pPr>
        <w:pStyle w:val="ListParagraph"/>
        <w:numPr>
          <w:ilvl w:val="0"/>
          <w:numId w:val="59"/>
        </w:numPr>
        <w:jc w:val="both"/>
      </w:pPr>
      <w:r>
        <w:t>An annual retreat at the end of the year to agree on the strategic outputs for the coming year;</w:t>
      </w:r>
    </w:p>
    <w:p w14:paraId="5AB8BBE7" w14:textId="77777777" w:rsidR="00F8489B" w:rsidRDefault="001F3FC1" w:rsidP="00790AD5">
      <w:pPr>
        <w:pStyle w:val="ListParagraph"/>
        <w:numPr>
          <w:ilvl w:val="0"/>
          <w:numId w:val="59"/>
        </w:numPr>
        <w:jc w:val="both"/>
      </w:pPr>
      <w:r>
        <w:t>Strategy and delivery meetings involving heads of units</w:t>
      </w:r>
      <w:r w:rsidR="00F8489B">
        <w:t xml:space="preserve"> that are held twice yearly;</w:t>
      </w:r>
    </w:p>
    <w:p w14:paraId="6D209A99" w14:textId="702589D1" w:rsidR="00F8489B" w:rsidRDefault="00F8489B" w:rsidP="00790AD5">
      <w:pPr>
        <w:pStyle w:val="ListParagraph"/>
        <w:numPr>
          <w:ilvl w:val="0"/>
          <w:numId w:val="59"/>
        </w:numPr>
        <w:jc w:val="both"/>
      </w:pPr>
      <w:r>
        <w:t>Programme level meetings held twice monthly.</w:t>
      </w:r>
    </w:p>
    <w:p w14:paraId="0287EABC" w14:textId="77777777" w:rsidR="00F8489B" w:rsidRDefault="00F8489B" w:rsidP="00F8489B">
      <w:pPr>
        <w:jc w:val="both"/>
      </w:pPr>
      <w:r>
        <w:t>To facilitate communication and visibility of the office, the RBM/Communications team also maintains the Country Office website, and twitter and facebook (meta) accounts.</w:t>
      </w:r>
    </w:p>
    <w:p w14:paraId="454C21E2" w14:textId="2BB8C7A1" w:rsidR="00A33912" w:rsidRDefault="00A33912" w:rsidP="00A33912">
      <w:pPr>
        <w:jc w:val="both"/>
      </w:pPr>
      <w:r>
        <w:t>Quality assurance at the project level is assured through the mandatory setting up of a Project Board or Steering Committee whose responsibility is to provide strategic guidance and the general supervision of the project. The committee meets once a year and at the end of the project and when the partners deem it necessary to assess lessons learned, concerns about quality and management actions, discuss opportunities to scale up the project and to capitalize the results and lessons learned from the project.</w:t>
      </w:r>
    </w:p>
    <w:p w14:paraId="0EE6AF63" w14:textId="2789565F" w:rsidR="001F3FC1" w:rsidRDefault="00A33912" w:rsidP="00A33912">
      <w:pPr>
        <w:jc w:val="both"/>
      </w:pPr>
      <w:r>
        <w:t xml:space="preserve">All projects also have a Project Management Unit (PMU) headed by a Project Manager and depending on the nature of the project, focal points and the entities involved. The </w:t>
      </w:r>
      <w:r w:rsidR="00C76057">
        <w:t>PMU</w:t>
      </w:r>
      <w:r>
        <w:t xml:space="preserve"> is responsible for carrying out the project with the support of the heads of the UNDP clusters to ensure the quality of the project.</w:t>
      </w:r>
      <w:r w:rsidR="00C76057">
        <w:t xml:space="preserve"> </w:t>
      </w:r>
      <w:r>
        <w:t>With this management structure, UNDP aims to ensure synergies, transparency, national relevance, coordination and quality of implementation and contribution to national</w:t>
      </w:r>
      <w:r w:rsidR="00C76057">
        <w:t>. These have been judged to be working well.</w:t>
      </w:r>
      <w:r w:rsidR="001F3FC1">
        <w:t xml:space="preserve">  </w:t>
      </w:r>
    </w:p>
    <w:p w14:paraId="3AE6383A" w14:textId="77777777" w:rsidR="00CF520A" w:rsidRDefault="00CF520A" w:rsidP="008F627E"/>
    <w:p w14:paraId="6D963BEC" w14:textId="77777777" w:rsidR="00CF520A" w:rsidRDefault="00CF520A" w:rsidP="008F627E"/>
    <w:p w14:paraId="690DF767" w14:textId="77777777" w:rsidR="00F15960" w:rsidRDefault="00F15960" w:rsidP="008F627E"/>
    <w:bookmarkEnd w:id="69"/>
    <w:p w14:paraId="02C0D764" w14:textId="7FBF4D86" w:rsidR="00F15960" w:rsidRDefault="00F15960" w:rsidP="008F627E">
      <w:pPr>
        <w:sectPr w:rsidR="00F15960" w:rsidSect="00C36D88">
          <w:pgSz w:w="12240" w:h="15840"/>
          <w:pgMar w:top="1440" w:right="1440" w:bottom="1440" w:left="1440" w:header="720" w:footer="720" w:gutter="0"/>
          <w:cols w:space="720"/>
          <w:docGrid w:linePitch="360"/>
        </w:sectPr>
      </w:pPr>
    </w:p>
    <w:p w14:paraId="53EC4B60" w14:textId="56D6288C" w:rsidR="00B35046" w:rsidRDefault="00FD00B9" w:rsidP="00B35046">
      <w:pPr>
        <w:pStyle w:val="Heading1"/>
        <w:rPr>
          <w:rFonts w:asciiTheme="minorHAnsi" w:hAnsiTheme="minorHAnsi" w:cstheme="minorHAnsi"/>
          <w:sz w:val="22"/>
          <w:szCs w:val="22"/>
        </w:rPr>
      </w:pPr>
      <w:bookmarkStart w:id="73" w:name="_Toc88741820"/>
      <w:r>
        <w:rPr>
          <w:rFonts w:asciiTheme="minorHAnsi" w:hAnsiTheme="minorHAnsi" w:cstheme="minorHAnsi"/>
          <w:sz w:val="22"/>
          <w:szCs w:val="22"/>
        </w:rPr>
        <w:lastRenderedPageBreak/>
        <w:t>5</w:t>
      </w:r>
      <w:r w:rsidR="00B35046">
        <w:rPr>
          <w:rFonts w:asciiTheme="minorHAnsi" w:hAnsiTheme="minorHAnsi" w:cstheme="minorHAnsi"/>
          <w:sz w:val="22"/>
          <w:szCs w:val="22"/>
        </w:rPr>
        <w:t>.</w:t>
      </w:r>
      <w:r w:rsidR="00B35046" w:rsidRPr="00B35046">
        <w:rPr>
          <w:rFonts w:asciiTheme="minorHAnsi" w:hAnsiTheme="minorHAnsi" w:cstheme="minorHAnsi"/>
          <w:sz w:val="22"/>
          <w:szCs w:val="22"/>
        </w:rPr>
        <w:t xml:space="preserve"> </w:t>
      </w:r>
      <w:r w:rsidR="00B35046" w:rsidRPr="009133E8">
        <w:rPr>
          <w:rFonts w:asciiTheme="minorHAnsi" w:hAnsiTheme="minorHAnsi" w:cstheme="minorHAnsi"/>
          <w:sz w:val="22"/>
          <w:szCs w:val="22"/>
        </w:rPr>
        <w:t xml:space="preserve">Conclusions </w:t>
      </w:r>
      <w:r w:rsidR="00B35046">
        <w:rPr>
          <w:rFonts w:asciiTheme="minorHAnsi" w:hAnsiTheme="minorHAnsi" w:cstheme="minorHAnsi"/>
          <w:sz w:val="22"/>
          <w:szCs w:val="22"/>
        </w:rPr>
        <w:t>and Lessons</w:t>
      </w:r>
      <w:bookmarkEnd w:id="73"/>
    </w:p>
    <w:p w14:paraId="2B147F63" w14:textId="77777777" w:rsidR="00B35046" w:rsidRPr="006D302C" w:rsidRDefault="00B35046" w:rsidP="00B35046">
      <w:pPr>
        <w:pStyle w:val="Heading2"/>
        <w:rPr>
          <w:rFonts w:asciiTheme="minorHAnsi" w:hAnsiTheme="minorHAnsi" w:cstheme="minorHAnsi"/>
          <w:sz w:val="22"/>
          <w:szCs w:val="22"/>
        </w:rPr>
      </w:pPr>
      <w:bookmarkStart w:id="74" w:name="_Toc88741821"/>
      <w:r>
        <w:rPr>
          <w:rFonts w:asciiTheme="minorHAnsi" w:hAnsiTheme="minorHAnsi" w:cstheme="minorHAnsi"/>
          <w:sz w:val="22"/>
          <w:szCs w:val="22"/>
        </w:rPr>
        <w:t>5</w:t>
      </w:r>
      <w:r w:rsidRPr="006D302C">
        <w:rPr>
          <w:rFonts w:asciiTheme="minorHAnsi" w:hAnsiTheme="minorHAnsi" w:cstheme="minorHAnsi"/>
          <w:sz w:val="22"/>
          <w:szCs w:val="22"/>
        </w:rPr>
        <w:t>.1 Conclusions</w:t>
      </w:r>
      <w:bookmarkEnd w:id="74"/>
    </w:p>
    <w:p w14:paraId="4C67C6D1" w14:textId="77777777" w:rsidR="00B35046" w:rsidRDefault="00B35046" w:rsidP="00B35046">
      <w:pPr>
        <w:jc w:val="both"/>
      </w:pPr>
      <w:r>
        <w:t>The main conclusions of the evaluation are presented under the following six (6) areas: relevance; effectiveness; efficiency; partnerships; cross-cutting areas of gender and capacity development; and UNDP country office operations.</w:t>
      </w:r>
    </w:p>
    <w:p w14:paraId="44430F33" w14:textId="77777777" w:rsidR="00B35046" w:rsidRPr="008B3EB6" w:rsidRDefault="00B35046" w:rsidP="00B35046">
      <w:pPr>
        <w:jc w:val="both"/>
        <w:rPr>
          <w:b/>
          <w:bCs/>
        </w:rPr>
      </w:pPr>
      <w:r w:rsidRPr="008B3EB6">
        <w:rPr>
          <w:b/>
          <w:bCs/>
        </w:rPr>
        <w:t>Relevance</w:t>
      </w:r>
    </w:p>
    <w:p w14:paraId="5BAAF81C" w14:textId="7938EA5D" w:rsidR="00B35046" w:rsidRDefault="00B35046" w:rsidP="00790AD5">
      <w:pPr>
        <w:pStyle w:val="ListParagraph"/>
        <w:numPr>
          <w:ilvl w:val="0"/>
          <w:numId w:val="42"/>
        </w:numPr>
        <w:jc w:val="both"/>
      </w:pPr>
      <w:r>
        <w:t xml:space="preserve">The UNDP Country Programme for the period 2020-2022 is judged to be highly relevant. It is firmly anchored and responds to the priorities identified in Angola’s National Development </w:t>
      </w:r>
      <w:r w:rsidR="00EE6E59">
        <w:t xml:space="preserve">Plan </w:t>
      </w:r>
      <w:r>
        <w:t>(2018-2022). Through its three programmatic interventions the CPD is directly addressing five out of the six axes of the National Development Plan. Similarly, the UNDP CPD has been found to be closely aligned to Angola’s United Nations Sustainable Development Framework (UNSDF 2018-2022). Finally, the country programme is firmly in line with the UNDP Corporate Strategic Plan (2018-2021). The common thread through all of these is Agenda 2030 which is a central guiding framework for the work of UNDP in Angola.</w:t>
      </w:r>
    </w:p>
    <w:p w14:paraId="48FD292E" w14:textId="022C237A" w:rsidR="00B35046" w:rsidRDefault="00B35046" w:rsidP="00790AD5">
      <w:pPr>
        <w:pStyle w:val="ListParagraph"/>
        <w:numPr>
          <w:ilvl w:val="0"/>
          <w:numId w:val="42"/>
        </w:numPr>
        <w:jc w:val="both"/>
      </w:pPr>
      <w:r>
        <w:t>However, Angola is a vast country rich in natural resources and is Africa’s third largest economy with a GDP of US$ 84 billion in 2019 and an annual government budget of US$15 billion. The challenges are equally vast and complex. Given such a context how best can UNDP have maximum impact? The fact that the programme could only muster some US$ 2 million to address poverty in a country of 30 million out of whom over 50% are multidimensionally poor is a stark reminder that UNDP’s means fall way short of its ambition and the scale of the problem to address.</w:t>
      </w:r>
    </w:p>
    <w:p w14:paraId="3321AFD7" w14:textId="77777777" w:rsidR="00B35046" w:rsidRDefault="00B35046" w:rsidP="00790AD5">
      <w:pPr>
        <w:pStyle w:val="ListParagraph"/>
        <w:numPr>
          <w:ilvl w:val="0"/>
          <w:numId w:val="42"/>
        </w:numPr>
        <w:jc w:val="both"/>
      </w:pPr>
      <w:r>
        <w:t xml:space="preserve">Furthermore, UNDP has apparently not yet fully internalized the implications of the graduation of Angola into a Middle-Income Country in its work. UNDP, indeed the entire UN system in Angola needs a strategic re-positioning in the context of such a development. </w:t>
      </w:r>
    </w:p>
    <w:p w14:paraId="2E6394B0" w14:textId="1CFB9762" w:rsidR="00B35046" w:rsidRDefault="00B35046" w:rsidP="00790AD5">
      <w:pPr>
        <w:pStyle w:val="ListParagraph"/>
        <w:numPr>
          <w:ilvl w:val="0"/>
          <w:numId w:val="42"/>
        </w:numPr>
        <w:jc w:val="both"/>
      </w:pPr>
      <w:r>
        <w:t>Notwithstanding the above, UND</w:t>
      </w:r>
      <w:r w:rsidR="00FC7267">
        <w:t>P with</w:t>
      </w:r>
      <w:r>
        <w:t xml:space="preserve"> its two-pronged approach of combining upstream policy work with supporting sub-national actors as manifested by its work on disaster risk reduction and Global Fund activities, </w:t>
      </w:r>
      <w:r w:rsidR="00FC7267">
        <w:t>is</w:t>
      </w:r>
      <w:r>
        <w:t xml:space="preserve"> further enhanc</w:t>
      </w:r>
      <w:r w:rsidR="00FC7267">
        <w:t>ing</w:t>
      </w:r>
      <w:r>
        <w:t xml:space="preserve"> the relevance of its work</w:t>
      </w:r>
      <w:r w:rsidR="001A4864">
        <w:t>; it provides an opportunity to link UNDP progra</w:t>
      </w:r>
      <w:r w:rsidR="005E48D2">
        <w:t>mm</w:t>
      </w:r>
      <w:r w:rsidR="001A4864">
        <w:t xml:space="preserve">es at the </w:t>
      </w:r>
      <w:r w:rsidR="005E48D2">
        <w:t>provincial</w:t>
      </w:r>
      <w:r w:rsidR="001A4864">
        <w:t xml:space="preserve"> le</w:t>
      </w:r>
      <w:r w:rsidR="005E48D2">
        <w:t>v</w:t>
      </w:r>
      <w:r w:rsidR="001A4864">
        <w:t xml:space="preserve">el and respond to grassroots needs. </w:t>
      </w:r>
      <w:r>
        <w:t xml:space="preserve">However, the purpose of such an approach must be clearly articulated. As noted in the UNSDF “from the point of view of strategies for the downstream or support for the supply of services, innovative models and experiences will be tested, and if successful will be extended to the rest of the country. The implementation of the pilot projects will be focussed on generating ownership, at a central as well as a local level”.   </w:t>
      </w:r>
    </w:p>
    <w:p w14:paraId="3D4BE5A6" w14:textId="77777777" w:rsidR="00B35046" w:rsidRPr="008B3EB6" w:rsidRDefault="00B35046" w:rsidP="00B35046">
      <w:pPr>
        <w:jc w:val="both"/>
        <w:rPr>
          <w:b/>
          <w:bCs/>
        </w:rPr>
      </w:pPr>
      <w:r w:rsidRPr="008B3EB6">
        <w:rPr>
          <w:b/>
          <w:bCs/>
        </w:rPr>
        <w:t>Effectiveness</w:t>
      </w:r>
    </w:p>
    <w:p w14:paraId="23B5F69C" w14:textId="157EFEA2" w:rsidR="00B35046" w:rsidRPr="00FC7267" w:rsidRDefault="00B35046" w:rsidP="00790AD5">
      <w:pPr>
        <w:pStyle w:val="ListParagraph"/>
        <w:numPr>
          <w:ilvl w:val="0"/>
          <w:numId w:val="42"/>
        </w:numPr>
        <w:jc w:val="both"/>
      </w:pPr>
      <w:r w:rsidRPr="003B527F">
        <w:rPr>
          <w:rFonts w:cstheme="minorHAnsi"/>
        </w:rPr>
        <w:t xml:space="preserve">UNDP has made </w:t>
      </w:r>
      <w:r>
        <w:rPr>
          <w:rFonts w:cstheme="minorHAnsi"/>
        </w:rPr>
        <w:t xml:space="preserve">some </w:t>
      </w:r>
      <w:r w:rsidRPr="003B527F">
        <w:rPr>
          <w:rFonts w:cstheme="minorHAnsi"/>
        </w:rPr>
        <w:t>progress in achieving what it set out to do in the Country Programme Document approved by the Executive Board.  Despite the impact of Covid-19 pandemic</w:t>
      </w:r>
      <w:r w:rsidR="00FC7267">
        <w:rPr>
          <w:rFonts w:cstheme="minorHAnsi"/>
        </w:rPr>
        <w:t>,</w:t>
      </w:r>
      <w:r w:rsidRPr="003B527F">
        <w:rPr>
          <w:rFonts w:cstheme="minorHAnsi"/>
        </w:rPr>
        <w:t xml:space="preserve"> which </w:t>
      </w:r>
      <w:r>
        <w:rPr>
          <w:rFonts w:cstheme="minorHAnsi"/>
        </w:rPr>
        <w:t>had</w:t>
      </w:r>
      <w:r w:rsidRPr="003B527F">
        <w:rPr>
          <w:rFonts w:cstheme="minorHAnsi"/>
        </w:rPr>
        <w:t xml:space="preserve"> a major disruptive influence on programme implementation, overall, the programme is on track to meet the targets set</w:t>
      </w:r>
      <w:r>
        <w:rPr>
          <w:rFonts w:cstheme="minorHAnsi"/>
        </w:rPr>
        <w:t>, albeit with some difficulty</w:t>
      </w:r>
      <w:r w:rsidRPr="003B527F">
        <w:rPr>
          <w:rFonts w:cstheme="minorHAnsi"/>
        </w:rPr>
        <w:t xml:space="preserve">. </w:t>
      </w:r>
      <w:r>
        <w:rPr>
          <w:rFonts w:cstheme="minorHAnsi"/>
        </w:rPr>
        <w:t>S</w:t>
      </w:r>
      <w:r w:rsidRPr="003B527F">
        <w:rPr>
          <w:rFonts w:cstheme="minorHAnsi"/>
        </w:rPr>
        <w:t>ome significant development outcomes can be attributed to UNDP, such as:</w:t>
      </w:r>
      <w:r>
        <w:rPr>
          <w:rFonts w:cstheme="minorHAnsi"/>
        </w:rPr>
        <w:t xml:space="preserve"> the domestication of the Multidimensional Poverty Index as an evidenced-based policy tool which is being used with effect for the prioritization of budget allocations;  a demonstrated competence and track record in mobilizing and managing significant Global Fund resources; support to the government of Angola’s governance reform agenda in the areas of anti-corruption, human rights, political participation of women and strengthening local governance</w:t>
      </w:r>
      <w:r w:rsidR="00FC7267">
        <w:rPr>
          <w:rFonts w:cstheme="minorHAnsi"/>
        </w:rPr>
        <w:t>, including the important advances in participatory budgeting</w:t>
      </w:r>
      <w:r>
        <w:rPr>
          <w:rFonts w:cstheme="minorHAnsi"/>
        </w:rPr>
        <w:t xml:space="preserve">; and the sustainable management of Angola’s environment and </w:t>
      </w:r>
      <w:r>
        <w:rPr>
          <w:rFonts w:cstheme="minorHAnsi"/>
        </w:rPr>
        <w:lastRenderedPageBreak/>
        <w:t>natural resources and addressing Climate Change</w:t>
      </w:r>
      <w:r w:rsidR="00FC7267">
        <w:rPr>
          <w:rFonts w:cstheme="minorHAnsi"/>
        </w:rPr>
        <w:t xml:space="preserve"> and issues of resilience among poor communities in southern Angola</w:t>
      </w:r>
      <w:r>
        <w:rPr>
          <w:rFonts w:cstheme="minorHAnsi"/>
        </w:rPr>
        <w:t xml:space="preserve">. </w:t>
      </w:r>
    </w:p>
    <w:p w14:paraId="68CF7FE3" w14:textId="77777777" w:rsidR="00454997" w:rsidRDefault="00FC7267" w:rsidP="00790AD5">
      <w:pPr>
        <w:pStyle w:val="ListParagraph"/>
        <w:numPr>
          <w:ilvl w:val="0"/>
          <w:numId w:val="42"/>
        </w:numPr>
        <w:jc w:val="both"/>
      </w:pPr>
      <w:r>
        <w:rPr>
          <w:rFonts w:cstheme="minorHAnsi"/>
        </w:rPr>
        <w:t xml:space="preserve">By its </w:t>
      </w:r>
      <w:r w:rsidR="006E090E">
        <w:rPr>
          <w:rFonts w:cstheme="minorHAnsi"/>
        </w:rPr>
        <w:t>focus</w:t>
      </w:r>
      <w:r>
        <w:rPr>
          <w:rFonts w:cstheme="minorHAnsi"/>
        </w:rPr>
        <w:t xml:space="preserve"> on </w:t>
      </w:r>
      <w:r w:rsidR="006E090E">
        <w:t xml:space="preserve">poor, illiterate women working in the informal markets and sectors of the economy, youth, people living with HIV and AIDs, LBGT, sex workers and MSMs, as well as prisoners and </w:t>
      </w:r>
      <w:r w:rsidR="00C978A5">
        <w:t>deprived</w:t>
      </w:r>
      <w:r w:rsidR="006E090E">
        <w:t xml:space="preserve"> </w:t>
      </w:r>
      <w:r w:rsidR="00C978A5">
        <w:t>c</w:t>
      </w:r>
      <w:r w:rsidR="006E090E">
        <w:t>o</w:t>
      </w:r>
      <w:r w:rsidR="00C978A5">
        <w:t>mm</w:t>
      </w:r>
      <w:r w:rsidR="006E090E">
        <w:t xml:space="preserve">unities in </w:t>
      </w:r>
      <w:r w:rsidR="00C978A5">
        <w:t>southern</w:t>
      </w:r>
      <w:r w:rsidR="006E090E">
        <w:t xml:space="preserve"> Angola who </w:t>
      </w:r>
      <w:r w:rsidR="00C978A5">
        <w:t>have</w:t>
      </w:r>
      <w:r w:rsidR="006E090E">
        <w:t xml:space="preserve"> been </w:t>
      </w:r>
      <w:r w:rsidR="00C978A5">
        <w:t>severely</w:t>
      </w:r>
      <w:r w:rsidR="006E090E">
        <w:t xml:space="preserve"> </w:t>
      </w:r>
      <w:r w:rsidR="00C978A5">
        <w:t>impacted</w:t>
      </w:r>
      <w:r w:rsidR="006E090E">
        <w:t xml:space="preserve"> by repeated droughts, UNDP has firmly and successfully embedded the philosophy of “Leave no one Behind” in its work</w:t>
      </w:r>
      <w:r w:rsidR="00C978A5">
        <w:t>.</w:t>
      </w:r>
    </w:p>
    <w:p w14:paraId="43FB4114" w14:textId="52E030B8" w:rsidR="00FC7267" w:rsidRPr="003B527F" w:rsidRDefault="00454997" w:rsidP="00790AD5">
      <w:pPr>
        <w:pStyle w:val="ListParagraph"/>
        <w:numPr>
          <w:ilvl w:val="0"/>
          <w:numId w:val="42"/>
        </w:numPr>
        <w:jc w:val="both"/>
      </w:pPr>
      <w:r>
        <w:t xml:space="preserve">In all its work, UNDP has maintained a steady and deepening commitment and </w:t>
      </w:r>
      <w:r w:rsidR="001A2289">
        <w:t xml:space="preserve">taken </w:t>
      </w:r>
      <w:r>
        <w:t>a lead role in ensuring that the SDGs are effectively mainstreamed in Angola’s development policy frameworks, sector strategies and programmes</w:t>
      </w:r>
      <w:r w:rsidR="00C978A5">
        <w:t xml:space="preserve"> </w:t>
      </w:r>
    </w:p>
    <w:p w14:paraId="16C28854" w14:textId="77777777" w:rsidR="00B35046" w:rsidRPr="008B3EB6" w:rsidRDefault="00B35046" w:rsidP="00B35046">
      <w:pPr>
        <w:jc w:val="both"/>
        <w:rPr>
          <w:b/>
          <w:bCs/>
        </w:rPr>
      </w:pPr>
      <w:r w:rsidRPr="008B3EB6">
        <w:rPr>
          <w:b/>
          <w:bCs/>
        </w:rPr>
        <w:t>Efficiency</w:t>
      </w:r>
    </w:p>
    <w:p w14:paraId="3FF4C732" w14:textId="18578C12" w:rsidR="00B35046" w:rsidRPr="002523D1" w:rsidRDefault="00C978A5" w:rsidP="00790AD5">
      <w:pPr>
        <w:pStyle w:val="ListParagraph"/>
        <w:numPr>
          <w:ilvl w:val="0"/>
          <w:numId w:val="42"/>
        </w:numPr>
        <w:jc w:val="both"/>
        <w:rPr>
          <w:b/>
          <w:bCs/>
          <w:i/>
          <w:iCs/>
        </w:rPr>
      </w:pPr>
      <w:r>
        <w:t>Over the two years of CPD implementation</w:t>
      </w:r>
      <w:r w:rsidR="00B35046">
        <w:t>,</w:t>
      </w:r>
      <w:r>
        <w:t xml:space="preserve"> UNDP had an</w:t>
      </w:r>
      <w:r w:rsidR="00B35046">
        <w:t xml:space="preserve"> average programme delivery of 38%, no doubt affected by Covid-19</w:t>
      </w:r>
      <w:r>
        <w:t>. UNDP therefore needs to improve on its delivery performance, which is judged as</w:t>
      </w:r>
      <w:r w:rsidR="00B35046">
        <w:t xml:space="preserve"> less than optimal. Moreover, when performance is compared with 11 other countries in the Southern Africa region, UNDP Angola ranks at the bottom. Although there are positive indications that the pace and rhythm of programme implementation is picking up, UNDP should address some of the structural causes affecting Country Office operations. </w:t>
      </w:r>
    </w:p>
    <w:p w14:paraId="2C8AAA59" w14:textId="2CBD0933" w:rsidR="00B35046" w:rsidRPr="00DC3C27" w:rsidRDefault="00B35046" w:rsidP="00790AD5">
      <w:pPr>
        <w:pStyle w:val="ListParagraph"/>
        <w:numPr>
          <w:ilvl w:val="0"/>
          <w:numId w:val="42"/>
        </w:numPr>
        <w:jc w:val="both"/>
        <w:rPr>
          <w:b/>
          <w:bCs/>
          <w:i/>
          <w:iCs/>
        </w:rPr>
      </w:pPr>
      <w:r>
        <w:t>When assessed in terms of capacity to leverage resources, UNDP has proved to be highly efficient</w:t>
      </w:r>
      <w:r w:rsidR="00C978A5">
        <w:t xml:space="preserve">; </w:t>
      </w:r>
      <w:r w:rsidRPr="003B527F">
        <w:rPr>
          <w:b/>
          <w:bCs/>
          <w:i/>
          <w:iCs/>
        </w:rPr>
        <w:t xml:space="preserve">UNDP leverage fourteen US dollars for every US dollar of core resources.  </w:t>
      </w:r>
      <w:r>
        <w:t xml:space="preserve">Similarly, when programme expenditures are judged against results achieved, the Country Office has done reasonably well. </w:t>
      </w:r>
    </w:p>
    <w:p w14:paraId="5EB5E25C" w14:textId="137397ED" w:rsidR="00B35046" w:rsidRPr="003B527F" w:rsidRDefault="00454997" w:rsidP="00790AD5">
      <w:pPr>
        <w:pStyle w:val="ListParagraph"/>
        <w:numPr>
          <w:ilvl w:val="0"/>
          <w:numId w:val="42"/>
        </w:numPr>
        <w:jc w:val="both"/>
        <w:rPr>
          <w:b/>
          <w:bCs/>
          <w:i/>
          <w:iCs/>
        </w:rPr>
      </w:pPr>
      <w:r>
        <w:t xml:space="preserve">However, on the other hand, UNDP Angola </w:t>
      </w:r>
      <w:r w:rsidR="00B35046">
        <w:t xml:space="preserve">has a disproportionate percentage of its resources devoted to Global Fund activities.   This presents a skewed picture that is not reflective of national development priorities.  While not deliberate, UNDP should take steps to foster greater linkages between Global Fund activities and the rest of the Country Programme. Moreover, UNDP should </w:t>
      </w:r>
      <w:r w:rsidR="00DF277E">
        <w:t xml:space="preserve">redouble its efforts to </w:t>
      </w:r>
      <w:r w:rsidR="00B35046">
        <w:t>build national capacities to ensure that government is in a position to take over the PR role</w:t>
      </w:r>
      <w:r>
        <w:t xml:space="preserve"> at an appropriate time in the future,</w:t>
      </w:r>
      <w:r w:rsidR="00DF277E">
        <w:t xml:space="preserve"> and therefore begin reflection on an exit strategy.</w:t>
      </w:r>
    </w:p>
    <w:p w14:paraId="02B9CEF3" w14:textId="77777777" w:rsidR="00B35046" w:rsidRPr="008B3EB6" w:rsidRDefault="00B35046" w:rsidP="00B35046">
      <w:pPr>
        <w:rPr>
          <w:b/>
          <w:bCs/>
        </w:rPr>
      </w:pPr>
      <w:r w:rsidRPr="008B3EB6">
        <w:rPr>
          <w:b/>
          <w:bCs/>
        </w:rPr>
        <w:t>Partnerships and Resource Mobilization</w:t>
      </w:r>
    </w:p>
    <w:p w14:paraId="2D44E67E" w14:textId="022EA61F" w:rsidR="00B35046" w:rsidRDefault="00B35046" w:rsidP="00790AD5">
      <w:pPr>
        <w:pStyle w:val="ListParagraph"/>
        <w:numPr>
          <w:ilvl w:val="0"/>
          <w:numId w:val="42"/>
        </w:numPr>
        <w:jc w:val="both"/>
      </w:pPr>
      <w:r w:rsidRPr="005A2DD2">
        <w:t xml:space="preserve">UNDP </w:t>
      </w:r>
      <w:r>
        <w:t>is well regarded overall as a trusted partner by national stakeholders</w:t>
      </w:r>
      <w:r w:rsidR="001A2289">
        <w:t>,</w:t>
      </w:r>
      <w:r>
        <w:t xml:space="preserve"> </w:t>
      </w:r>
      <w:r w:rsidRPr="005A2DD2">
        <w:t xml:space="preserve">as </w:t>
      </w:r>
      <w:r>
        <w:t xml:space="preserve">well as by other actors in Angola. UNDP is valued for its technical and advisory capacity and therefore is also increasing being used by donor partners – bilateral and multilateral - as well by government to channel resources to address important development challenges Angola faces. However, </w:t>
      </w:r>
      <w:r w:rsidR="001A2289">
        <w:t xml:space="preserve">outside of Global and GEF, </w:t>
      </w:r>
      <w:r>
        <w:t xml:space="preserve">this is yet to translate into significant resources </w:t>
      </w:r>
      <w:r w:rsidR="001A2289">
        <w:t>for the country programme</w:t>
      </w:r>
      <w:r>
        <w:t xml:space="preserve">. </w:t>
      </w:r>
    </w:p>
    <w:p w14:paraId="474B3BAE" w14:textId="749A339D" w:rsidR="00B35046" w:rsidRDefault="00B35046" w:rsidP="00790AD5">
      <w:pPr>
        <w:pStyle w:val="ListParagraph"/>
        <w:numPr>
          <w:ilvl w:val="0"/>
          <w:numId w:val="42"/>
        </w:numPr>
        <w:jc w:val="both"/>
      </w:pPr>
      <w:r>
        <w:t>While UNDP has developed a resource mobilization strategy and has been fairly successful in leveraging funds, there appears to be no clear strategy and action plan on how to boost cost-sharing with Government of Angola</w:t>
      </w:r>
      <w:r w:rsidR="007A7938">
        <w:rPr>
          <w:rStyle w:val="FootnoteReference"/>
        </w:rPr>
        <w:footnoteReference w:id="38"/>
      </w:r>
      <w:r>
        <w:t>. Other than vertical funds such as GEF and the Global Fund, this avenue appears to be one of the most promising for UNDP to acquire the resources needed to support its work in Angola. However, this is not without its risks; relying mainly on government cost sharing could result in loss of autonomy in programming and risk relegating UNDP to the role of a mere execution agency for government</w:t>
      </w:r>
      <w:r w:rsidR="00F61524">
        <w:t>, and diminished visibility for UNDP</w:t>
      </w:r>
      <w:r>
        <w:t>.</w:t>
      </w:r>
    </w:p>
    <w:p w14:paraId="2C3D4CC4" w14:textId="77777777" w:rsidR="00B35046" w:rsidRDefault="00B35046" w:rsidP="00790AD5">
      <w:pPr>
        <w:pStyle w:val="ListParagraph"/>
        <w:numPr>
          <w:ilvl w:val="0"/>
          <w:numId w:val="42"/>
        </w:numPr>
        <w:jc w:val="both"/>
      </w:pPr>
      <w:r>
        <w:lastRenderedPageBreak/>
        <w:t xml:space="preserve">While the issue of resources is quite important, at the same time it is also vital to bear in mind what the UN system stands for in Angola. As clearly articulated in the UNSDF “The main reason for the UN presence in Angola is not to finance projects – even though it can make important contributions in this area - but to finance processes with great impact on the development of the country, including the supply of high-level technical support, innovation and the capacity building of national staff, as well as leveraging national and international resources to achieve the national development goals”.    </w:t>
      </w:r>
    </w:p>
    <w:p w14:paraId="46B6CAC7" w14:textId="200B9E61" w:rsidR="00B35046" w:rsidRDefault="00B35046" w:rsidP="00790AD5">
      <w:pPr>
        <w:pStyle w:val="ListParagraph"/>
        <w:numPr>
          <w:ilvl w:val="0"/>
          <w:numId w:val="42"/>
        </w:numPr>
        <w:jc w:val="both"/>
      </w:pPr>
      <w:r>
        <w:t>As part of its SDG integrator role UNDP Angola assumed technical leadership in developing the SERP, positioning UNDP as a key player both within the UN system and the government on COVID-19 pandemic response. This underscores the strong role and contribution UNDP is making in the implementation of the UNSDF</w:t>
      </w:r>
      <w:r w:rsidR="001A2289">
        <w:t xml:space="preserve"> and the work of the UN in Angola.</w:t>
      </w:r>
      <w:r>
        <w:t xml:space="preserve"> </w:t>
      </w:r>
    </w:p>
    <w:p w14:paraId="6D8E0A62" w14:textId="77777777" w:rsidR="00B35046" w:rsidRPr="008B3EB6" w:rsidRDefault="00B35046" w:rsidP="00B35046">
      <w:pPr>
        <w:jc w:val="both"/>
        <w:rPr>
          <w:b/>
          <w:bCs/>
        </w:rPr>
      </w:pPr>
      <w:r w:rsidRPr="008B3EB6">
        <w:rPr>
          <w:b/>
          <w:bCs/>
        </w:rPr>
        <w:t>Cross/cutting issues</w:t>
      </w:r>
    </w:p>
    <w:p w14:paraId="7D31467C" w14:textId="13700DF5" w:rsidR="00B35046" w:rsidRDefault="00B35046" w:rsidP="00790AD5">
      <w:pPr>
        <w:pStyle w:val="ListParagraph"/>
        <w:numPr>
          <w:ilvl w:val="0"/>
          <w:numId w:val="42"/>
        </w:numPr>
        <w:jc w:val="both"/>
      </w:pPr>
      <w:r>
        <w:t xml:space="preserve">UNDP has made some progress </w:t>
      </w:r>
      <w:r w:rsidR="001A2289">
        <w:t>in advancing</w:t>
      </w:r>
      <w:r>
        <w:t xml:space="preserve"> gender issues and women’s empowerment in Angola. </w:t>
      </w:r>
      <w:r w:rsidR="001A2289">
        <w:t xml:space="preserve">The work done on participatory budgeting, </w:t>
      </w:r>
      <w:r w:rsidR="00A32FBA">
        <w:t>women’s</w:t>
      </w:r>
      <w:r w:rsidR="001A2289">
        <w:t xml:space="preserve"> political representation and addressing </w:t>
      </w:r>
      <w:r w:rsidR="00A32FBA">
        <w:t>poverty</w:t>
      </w:r>
      <w:r w:rsidR="001A2289">
        <w:t xml:space="preserve"> and </w:t>
      </w:r>
      <w:r w:rsidR="00A32FBA">
        <w:t>inclusion</w:t>
      </w:r>
      <w:r w:rsidR="001A2289">
        <w:t xml:space="preserve"> through work in the informal </w:t>
      </w:r>
      <w:r w:rsidR="00A32FBA">
        <w:t>sector</w:t>
      </w:r>
      <w:r w:rsidR="001A2289">
        <w:t xml:space="preserve">, as well as </w:t>
      </w:r>
      <w:r w:rsidR="00A32FBA">
        <w:t>c</w:t>
      </w:r>
      <w:r w:rsidR="001A2289">
        <w:t xml:space="preserve">atering to the needs of drought </w:t>
      </w:r>
      <w:r w:rsidR="00A32FBA">
        <w:t>v</w:t>
      </w:r>
      <w:r w:rsidR="001A2289">
        <w:t>i</w:t>
      </w:r>
      <w:r w:rsidR="00A32FBA">
        <w:t>c</w:t>
      </w:r>
      <w:r w:rsidR="001A2289">
        <w:t>ti</w:t>
      </w:r>
      <w:r w:rsidR="00A32FBA">
        <w:t>ms</w:t>
      </w:r>
      <w:r w:rsidR="001A2289">
        <w:t xml:space="preserve"> </w:t>
      </w:r>
      <w:r w:rsidR="00A32FBA">
        <w:t>m</w:t>
      </w:r>
      <w:r w:rsidR="001A2289">
        <w:t xml:space="preserve">ost of who are </w:t>
      </w:r>
      <w:r w:rsidR="00A32FBA">
        <w:t xml:space="preserve">women, is illustrative. </w:t>
      </w:r>
      <w:r>
        <w:t>However, UNDP’s work has not been sufficiently transformative. The just started work of the country office on the Gender Seal could make a qualitative difference in how gender is addressed by UNDP Angola.</w:t>
      </w:r>
    </w:p>
    <w:p w14:paraId="666A1109" w14:textId="77777777" w:rsidR="00B35046" w:rsidRDefault="00B35046" w:rsidP="00790AD5">
      <w:pPr>
        <w:pStyle w:val="ListParagraph"/>
        <w:numPr>
          <w:ilvl w:val="0"/>
          <w:numId w:val="42"/>
        </w:numPr>
        <w:jc w:val="both"/>
      </w:pPr>
      <w:r>
        <w:t xml:space="preserve">Capacity development is woven into all aspects of UNDP’s work in Angola and the organization is making positive contributions to building national capacities across all its programmes. However, the focus has essentially been either on policies or on training and skills development. There has been less attention given to organisational strengthening to enable Angola’s public sector institutions deliver policies and services more effectively. UNDP should address how it can support government implement the NDP policy 19 on modernization of Angola public administration and decentralization. As stated in the UNSDF “A key focus of the United Nations during the next few years will be to support the process of decentralisation of the Angolan State, which will involve the creation of local authorities and the effective transfer of responsibilities from the Central Administration to the municipalities in terms of local governance”. </w:t>
      </w:r>
    </w:p>
    <w:p w14:paraId="0E1C6834" w14:textId="77777777" w:rsidR="00B35046" w:rsidRDefault="00B35046" w:rsidP="00790AD5">
      <w:pPr>
        <w:pStyle w:val="ListParagraph"/>
        <w:numPr>
          <w:ilvl w:val="0"/>
          <w:numId w:val="42"/>
        </w:numPr>
        <w:jc w:val="both"/>
      </w:pPr>
      <w:r>
        <w:t>Covid – 19 has had a major impact on UNDP’s work in Angola as in other countries. Although many measures were put in place, these were insufficient to fully mitigate the adverse consequences of the pandemic. Consequently, delivery of programmes suffered and this in turn has slowed down the achievement of the outcomes.</w:t>
      </w:r>
    </w:p>
    <w:p w14:paraId="72D655E0" w14:textId="77777777" w:rsidR="00B35046" w:rsidRPr="008B3EB6" w:rsidRDefault="00B35046" w:rsidP="00B35046">
      <w:pPr>
        <w:jc w:val="both"/>
        <w:rPr>
          <w:b/>
          <w:bCs/>
        </w:rPr>
      </w:pPr>
      <w:r w:rsidRPr="008B3EB6">
        <w:rPr>
          <w:b/>
          <w:bCs/>
        </w:rPr>
        <w:t>Country Office Operations</w:t>
      </w:r>
    </w:p>
    <w:p w14:paraId="17BF0F81" w14:textId="3725901C" w:rsidR="00B35046" w:rsidRDefault="00B35046" w:rsidP="00790AD5">
      <w:pPr>
        <w:pStyle w:val="ListParagraph"/>
        <w:numPr>
          <w:ilvl w:val="0"/>
          <w:numId w:val="57"/>
        </w:numPr>
        <w:jc w:val="both"/>
      </w:pPr>
      <w:r>
        <w:t xml:space="preserve">The UNDP country Office appears to have in place sufficient quality assurance mechanisms to support its work. However, the function is not sufficiently staffed. </w:t>
      </w:r>
      <w:r w:rsidR="00A32FBA">
        <w:t>UNDP c</w:t>
      </w:r>
      <w:r>
        <w:t>ountry office operations are generally perceived by stakeholders as slow and bureaucratic with many delays in operations which, is putting UNDP’s reputation at risk.</w:t>
      </w:r>
    </w:p>
    <w:p w14:paraId="3316D21F" w14:textId="55F0F39F" w:rsidR="00B35046" w:rsidRDefault="00B35046" w:rsidP="00790AD5">
      <w:pPr>
        <w:pStyle w:val="ListParagraph"/>
        <w:numPr>
          <w:ilvl w:val="0"/>
          <w:numId w:val="57"/>
        </w:numPr>
        <w:jc w:val="both"/>
      </w:pPr>
      <w:r>
        <w:t>The UNDP Country Office appears to be understaffed which partly explains the operational bottlenecks referred to above. Human resources of the office need to be optimized so that the twin tasks of providing government (and other partners) with top/class policy and technical advice on the one hand, and smooth operational efficiency on the other, are both adequately fulfilled and not compromised.</w:t>
      </w:r>
    </w:p>
    <w:p w14:paraId="0D87C548" w14:textId="77777777" w:rsidR="00B35046" w:rsidRPr="006D302C" w:rsidRDefault="00B35046" w:rsidP="00B35046">
      <w:pPr>
        <w:pStyle w:val="Heading2"/>
        <w:rPr>
          <w:rFonts w:asciiTheme="minorHAnsi" w:hAnsiTheme="minorHAnsi" w:cstheme="minorHAnsi"/>
          <w:sz w:val="22"/>
          <w:szCs w:val="22"/>
        </w:rPr>
      </w:pPr>
      <w:bookmarkStart w:id="75" w:name="_Toc88741822"/>
      <w:r>
        <w:rPr>
          <w:rFonts w:asciiTheme="minorHAnsi" w:hAnsiTheme="minorHAnsi" w:cstheme="minorHAnsi"/>
          <w:sz w:val="22"/>
          <w:szCs w:val="22"/>
        </w:rPr>
        <w:lastRenderedPageBreak/>
        <w:t>5</w:t>
      </w:r>
      <w:r w:rsidRPr="006D302C">
        <w:rPr>
          <w:rFonts w:asciiTheme="minorHAnsi" w:hAnsiTheme="minorHAnsi" w:cstheme="minorHAnsi"/>
          <w:sz w:val="22"/>
          <w:szCs w:val="22"/>
        </w:rPr>
        <w:t>.2</w:t>
      </w:r>
      <w:r>
        <w:rPr>
          <w:rFonts w:asciiTheme="minorHAnsi" w:hAnsiTheme="minorHAnsi" w:cstheme="minorHAnsi"/>
          <w:sz w:val="22"/>
          <w:szCs w:val="22"/>
        </w:rPr>
        <w:t xml:space="preserve"> </w:t>
      </w:r>
      <w:r w:rsidRPr="006D302C">
        <w:rPr>
          <w:rFonts w:asciiTheme="minorHAnsi" w:hAnsiTheme="minorHAnsi" w:cstheme="minorHAnsi"/>
          <w:sz w:val="22"/>
          <w:szCs w:val="22"/>
        </w:rPr>
        <w:t>Lessons Learnt</w:t>
      </w:r>
      <w:bookmarkEnd w:id="75"/>
    </w:p>
    <w:p w14:paraId="2CA822B7" w14:textId="2751D66D" w:rsidR="00B35046" w:rsidRDefault="00B35046" w:rsidP="00790AD5">
      <w:pPr>
        <w:pStyle w:val="ListParagraph"/>
        <w:numPr>
          <w:ilvl w:val="0"/>
          <w:numId w:val="48"/>
        </w:numPr>
        <w:jc w:val="both"/>
      </w:pPr>
      <w:r>
        <w:t xml:space="preserve">UNDP’s traditional comparative advantage is to focus on supporting policy work upstream and building national capacity. This is particularly important in a context of dwindling core resources and diminishing prospects </w:t>
      </w:r>
      <w:r w:rsidR="00A32FBA">
        <w:t>for</w:t>
      </w:r>
      <w:r>
        <w:t xml:space="preserve"> significant bilateral funding. However, in order to have meaningful impact on people, upstream policy work </w:t>
      </w:r>
      <w:r w:rsidR="00E708F2">
        <w:t>could</w:t>
      </w:r>
      <w:r>
        <w:t xml:space="preserve"> be judiciously combined with carefully targeted downstream work. The MDPI of Angola clearly shows that multidimensional poverty is </w:t>
      </w:r>
      <w:r w:rsidR="00E708F2">
        <w:t xml:space="preserve">highest </w:t>
      </w:r>
      <w:r>
        <w:t>at provincial level, and to fight poverty there needs to be decisive action at that level. The balance to strike will depend on the prevailing circumstances, notably ability to secure the needed resources.</w:t>
      </w:r>
    </w:p>
    <w:p w14:paraId="49488BDD" w14:textId="43349441" w:rsidR="00B35046" w:rsidRDefault="00B35046" w:rsidP="00790AD5">
      <w:pPr>
        <w:pStyle w:val="ListParagraph"/>
        <w:numPr>
          <w:ilvl w:val="0"/>
          <w:numId w:val="48"/>
        </w:numPr>
        <w:jc w:val="both"/>
      </w:pPr>
      <w:r>
        <w:t xml:space="preserve">In a country such as Angola which has graduated to MIC status, vigorous reflection </w:t>
      </w:r>
      <w:r w:rsidR="00E708F2">
        <w:t>is</w:t>
      </w:r>
      <w:r>
        <w:t xml:space="preserve"> needed to strategically re-position the organisation to render it more relevant. Doing business as usual is not an option.</w:t>
      </w:r>
    </w:p>
    <w:p w14:paraId="7F2A7EC3" w14:textId="77777777" w:rsidR="00B35046" w:rsidRDefault="00B35046" w:rsidP="00790AD5">
      <w:pPr>
        <w:pStyle w:val="ListParagraph"/>
        <w:numPr>
          <w:ilvl w:val="0"/>
          <w:numId w:val="48"/>
        </w:numPr>
        <w:jc w:val="both"/>
      </w:pPr>
      <w:r>
        <w:t xml:space="preserve">The work done on Multidimensional poverty in Angola demonstrates that UNDP by introducing robust analytical policy tools such as this one can potentially have far greater impact on development outcomes than through simply implementing projects, important as these are. </w:t>
      </w:r>
    </w:p>
    <w:p w14:paraId="1C4E0B1C" w14:textId="77777777" w:rsidR="00B35046" w:rsidRDefault="00B35046" w:rsidP="00790AD5">
      <w:pPr>
        <w:pStyle w:val="ListParagraph"/>
        <w:numPr>
          <w:ilvl w:val="0"/>
          <w:numId w:val="48"/>
        </w:numPr>
        <w:jc w:val="both"/>
        <w:sectPr w:rsidR="00B35046" w:rsidSect="00C36D88">
          <w:pgSz w:w="12240" w:h="15840"/>
          <w:pgMar w:top="1440" w:right="1440" w:bottom="1440" w:left="1440" w:header="720" w:footer="720" w:gutter="0"/>
          <w:cols w:space="720"/>
          <w:docGrid w:linePitch="360"/>
        </w:sectPr>
      </w:pPr>
      <w:r>
        <w:t xml:space="preserve">To be effective, UNDP needs to sharpen both its policy and technical capacities, while at the same time enhancing and streamlining its operational processes and procedures; both are important and are mutually supportive.  </w:t>
      </w:r>
    </w:p>
    <w:p w14:paraId="790CE5D8" w14:textId="77777777" w:rsidR="00B35046" w:rsidRPr="007A5A64" w:rsidRDefault="00B35046" w:rsidP="00B35046">
      <w:pPr>
        <w:pStyle w:val="Heading1"/>
        <w:rPr>
          <w:rFonts w:asciiTheme="minorHAnsi" w:hAnsiTheme="minorHAnsi" w:cstheme="minorHAnsi"/>
          <w:sz w:val="22"/>
          <w:szCs w:val="22"/>
        </w:rPr>
      </w:pPr>
      <w:bookmarkStart w:id="76" w:name="_Toc88741823"/>
      <w:r>
        <w:rPr>
          <w:rFonts w:asciiTheme="minorHAnsi" w:hAnsiTheme="minorHAnsi" w:cstheme="minorHAnsi"/>
          <w:sz w:val="22"/>
          <w:szCs w:val="22"/>
        </w:rPr>
        <w:lastRenderedPageBreak/>
        <w:t>7</w:t>
      </w:r>
      <w:r w:rsidRPr="007A5A64">
        <w:rPr>
          <w:rFonts w:asciiTheme="minorHAnsi" w:hAnsiTheme="minorHAnsi" w:cstheme="minorHAnsi"/>
          <w:sz w:val="22"/>
          <w:szCs w:val="22"/>
        </w:rPr>
        <w:t>. Recommendations</w:t>
      </w:r>
      <w:bookmarkEnd w:id="76"/>
    </w:p>
    <w:p w14:paraId="7EDA83E7" w14:textId="67D1206C" w:rsidR="00B35046" w:rsidRDefault="00B35046" w:rsidP="00B35046">
      <w:pPr>
        <w:jc w:val="both"/>
      </w:pPr>
      <w:r>
        <w:t>The evaluation makes 1</w:t>
      </w:r>
      <w:r w:rsidR="0060744D">
        <w:t>4</w:t>
      </w:r>
      <w:r>
        <w:t xml:space="preserve"> recommendations organized thematically.</w:t>
      </w:r>
    </w:p>
    <w:p w14:paraId="20033F9D" w14:textId="77777777" w:rsidR="00B35046" w:rsidRPr="004C1475" w:rsidRDefault="00B35046" w:rsidP="00B35046">
      <w:pPr>
        <w:jc w:val="both"/>
        <w:rPr>
          <w:b/>
          <w:bCs/>
        </w:rPr>
      </w:pPr>
      <w:r>
        <w:rPr>
          <w:b/>
          <w:bCs/>
        </w:rPr>
        <w:t>GENERAL RECOMMENDATIONS</w:t>
      </w:r>
    </w:p>
    <w:p w14:paraId="37AC25E7" w14:textId="77777777" w:rsidR="00B35046" w:rsidRDefault="00B35046" w:rsidP="00790AD5">
      <w:pPr>
        <w:pStyle w:val="ListParagraph"/>
        <w:numPr>
          <w:ilvl w:val="0"/>
          <w:numId w:val="49"/>
        </w:numPr>
        <w:jc w:val="both"/>
      </w:pPr>
      <w:r w:rsidRPr="00097349">
        <w:rPr>
          <w:b/>
          <w:bCs/>
          <w:i/>
          <w:iCs/>
        </w:rPr>
        <w:t>Recommendation one</w:t>
      </w:r>
      <w:r>
        <w:t>: UNDP should maintain the current focus of the Country Programme on: poverty and inclusive growth; environment, Climate Change and building resilience; and governance, going into the next country programming cycle. The specific details would however, be determined by the policy choices and orientations that will be agreed in the next National Development Plan of Angola.</w:t>
      </w:r>
    </w:p>
    <w:p w14:paraId="6236EDC7" w14:textId="18D4284D" w:rsidR="00B35046" w:rsidRDefault="00B35046" w:rsidP="00790AD5">
      <w:pPr>
        <w:pStyle w:val="ListParagraph"/>
        <w:numPr>
          <w:ilvl w:val="0"/>
          <w:numId w:val="49"/>
        </w:numPr>
        <w:jc w:val="both"/>
      </w:pPr>
      <w:r>
        <w:rPr>
          <w:b/>
          <w:bCs/>
          <w:i/>
          <w:iCs/>
        </w:rPr>
        <w:t>Recommendation two</w:t>
      </w:r>
      <w:r w:rsidRPr="004C1475">
        <w:t>:</w:t>
      </w:r>
      <w:r>
        <w:t xml:space="preserve"> UNDP should develop a re-positioning strategy to render it more relevant and effective in the new context of Angola as a Middle-Income Country. Such a strategic rethink should be undertaken as a first critical step in the development of the new UNDP Country Programme.   UNDP Angola can fortunately draw upon UNDP’s vast network of country offices world-wide and the related experiences to craft such a re-positioning strategy. Of particular focus should be</w:t>
      </w:r>
      <w:r w:rsidR="006661AB">
        <w:t xml:space="preserve"> on</w:t>
      </w:r>
      <w:r>
        <w:t xml:space="preserve"> innovative resource mobilization and optimization strategies </w:t>
      </w:r>
      <w:r w:rsidR="006661AB">
        <w:t xml:space="preserve">that </w:t>
      </w:r>
      <w:r>
        <w:t xml:space="preserve">would be required to support the work of UNDP in Angola, including measures to secure cost-sharing resources from </w:t>
      </w:r>
      <w:r w:rsidR="006661AB">
        <w:t xml:space="preserve">the </w:t>
      </w:r>
      <w:r>
        <w:t>government of Angola.</w:t>
      </w:r>
    </w:p>
    <w:p w14:paraId="704CC37B" w14:textId="5BDB05F5" w:rsidR="00B35046" w:rsidRDefault="00B35046" w:rsidP="00790AD5">
      <w:pPr>
        <w:pStyle w:val="ListParagraph"/>
        <w:numPr>
          <w:ilvl w:val="0"/>
          <w:numId w:val="49"/>
        </w:numPr>
        <w:jc w:val="both"/>
      </w:pPr>
      <w:r>
        <w:rPr>
          <w:b/>
          <w:bCs/>
          <w:i/>
          <w:iCs/>
        </w:rPr>
        <w:t>Recommendation three:</w:t>
      </w:r>
      <w:r>
        <w:t xml:space="preserve"> UNDP should progressively consolidate the current trend of bolstering its </w:t>
      </w:r>
      <w:r w:rsidR="008B0367">
        <w:t xml:space="preserve">work and </w:t>
      </w:r>
      <w:r>
        <w:t>presence in the provinces as more experience is gained. This move should build upon the work that Global Fund has started in Benguela and Cuanza Sul, as well as the FREZAN project being implemented in southern Angola.</w:t>
      </w:r>
    </w:p>
    <w:p w14:paraId="4BF43DDE" w14:textId="77777777" w:rsidR="00B35046" w:rsidRDefault="00B35046" w:rsidP="00790AD5">
      <w:pPr>
        <w:pStyle w:val="ListParagraph"/>
        <w:numPr>
          <w:ilvl w:val="0"/>
          <w:numId w:val="49"/>
        </w:numPr>
        <w:jc w:val="both"/>
      </w:pPr>
      <w:r>
        <w:rPr>
          <w:b/>
          <w:bCs/>
          <w:i/>
          <w:iCs/>
        </w:rPr>
        <w:t>Recommendation four:</w:t>
      </w:r>
      <w:r>
        <w:t xml:space="preserve"> UNDP should review its staffing, structure and operations with a view to responding more effectively to recommendations 2 and 3 above. UNDP will, in the new context, be valued more for its policy and technical competence and operational efficiency and both need to be top-class. UNDP’s presence in the provinces will not yield the desired results unless operational efficiency is improved. Likewise, UNDP will not be a credible partner for government cost-sharing or secure donor funding unless it can demonstrate efficiency in its operations.</w:t>
      </w:r>
    </w:p>
    <w:p w14:paraId="4D13A1A0" w14:textId="77777777" w:rsidR="00111C90" w:rsidRDefault="00B35046" w:rsidP="00790AD5">
      <w:pPr>
        <w:pStyle w:val="ListParagraph"/>
        <w:numPr>
          <w:ilvl w:val="0"/>
          <w:numId w:val="49"/>
        </w:numPr>
        <w:jc w:val="both"/>
      </w:pPr>
      <w:r>
        <w:rPr>
          <w:b/>
          <w:bCs/>
          <w:i/>
          <w:iCs/>
        </w:rPr>
        <w:t>Recommendation five:</w:t>
      </w:r>
      <w:r>
        <w:t xml:space="preserve"> UNDP should adopt a portfolio approach in the new programme cycle to ensure greater impact, improve operational efficiency and maximize use of its human resources. This will require the merging of many of the small projects into larger ones in order to achieve economies of scale.  This should also be viewed as an important opportunity to foster programme interlinkages.</w:t>
      </w:r>
      <w:r w:rsidR="008B0425">
        <w:t xml:space="preserve"> UNDP should therefore engage donors on</w:t>
      </w:r>
      <w:r w:rsidR="00E708F2">
        <w:t xml:space="preserve"> the</w:t>
      </w:r>
      <w:r w:rsidR="008B0425">
        <w:t xml:space="preserve"> portfolio </w:t>
      </w:r>
      <w:r w:rsidR="00E708F2">
        <w:t>consolidation initiative and use UNDP country program resources to advance this agenda</w:t>
      </w:r>
      <w:r w:rsidR="00111C90">
        <w:t>.</w:t>
      </w:r>
    </w:p>
    <w:p w14:paraId="73F654F9" w14:textId="0C8B8123" w:rsidR="00B35046" w:rsidRDefault="00111C90" w:rsidP="00790AD5">
      <w:pPr>
        <w:pStyle w:val="ListParagraph"/>
        <w:numPr>
          <w:ilvl w:val="0"/>
          <w:numId w:val="49"/>
        </w:numPr>
        <w:jc w:val="both"/>
      </w:pPr>
      <w:r w:rsidRPr="00111C90">
        <w:rPr>
          <w:b/>
          <w:bCs/>
          <w:i/>
          <w:iCs/>
        </w:rPr>
        <w:t>Recommendation six:</w:t>
      </w:r>
      <w:r>
        <w:t xml:space="preserve"> </w:t>
      </w:r>
      <w:r w:rsidR="00E708F2">
        <w:t xml:space="preserve"> </w:t>
      </w:r>
      <w:r w:rsidR="008B0425">
        <w:t xml:space="preserve">  </w:t>
      </w:r>
      <w:r w:rsidR="005E48D2">
        <w:t xml:space="preserve">conclusion number 6 has highlighted the fact that the poor and marginalized, including mostly women are an important constituency/beneficiary of UNDP’s work. Many </w:t>
      </w:r>
      <w:proofErr w:type="gramStart"/>
      <w:r w:rsidR="005E48D2">
        <w:t>work</w:t>
      </w:r>
      <w:proofErr w:type="gramEnd"/>
      <w:r w:rsidR="005E48D2">
        <w:t xml:space="preserve"> in the informal economy and are poorly protected from major crisis</w:t>
      </w:r>
      <w:r w:rsidR="00BA0DD7">
        <w:t xml:space="preserve">. </w:t>
      </w:r>
      <w:r>
        <w:t>The social protection system remains fragmented and has been affected by a progressive reduction of budgeted expenditure in recent years. Existing social protection spending is weakly targeted and largely ineffective as it is mostly limited to specific groups (e.g., public sector retirees, war veterans) and does not reach most of those in need.</w:t>
      </w:r>
      <w:r w:rsidR="00BA0DD7">
        <w:t xml:space="preserve"> UNDP should invest, in closely with partnerships, in putting in place effective social protection and social safety net.</w:t>
      </w:r>
    </w:p>
    <w:p w14:paraId="6C613AAB" w14:textId="21F129C3" w:rsidR="00BA0DD7" w:rsidRDefault="00BA0DD7" w:rsidP="00BA0DD7">
      <w:pPr>
        <w:jc w:val="both"/>
      </w:pPr>
    </w:p>
    <w:p w14:paraId="3BDBE59F" w14:textId="77777777" w:rsidR="00BA0DD7" w:rsidRDefault="00BA0DD7" w:rsidP="00BA0DD7">
      <w:pPr>
        <w:jc w:val="both"/>
      </w:pPr>
    </w:p>
    <w:p w14:paraId="4C26C0CE" w14:textId="77777777" w:rsidR="00B35046" w:rsidRDefault="00B35046" w:rsidP="00B35046">
      <w:pPr>
        <w:jc w:val="both"/>
        <w:rPr>
          <w:b/>
          <w:bCs/>
        </w:rPr>
      </w:pPr>
      <w:r w:rsidRPr="00857ECA">
        <w:rPr>
          <w:b/>
          <w:bCs/>
        </w:rPr>
        <w:lastRenderedPageBreak/>
        <w:t>POVERTY</w:t>
      </w:r>
      <w:r>
        <w:rPr>
          <w:b/>
          <w:bCs/>
        </w:rPr>
        <w:t xml:space="preserve"> AND INCLUSIVE GROWTH</w:t>
      </w:r>
    </w:p>
    <w:p w14:paraId="05BF6B7E" w14:textId="01D71A65" w:rsidR="00B35046" w:rsidRPr="004C63A0" w:rsidRDefault="00B35046" w:rsidP="00790AD5">
      <w:pPr>
        <w:pStyle w:val="ListParagraph"/>
        <w:numPr>
          <w:ilvl w:val="0"/>
          <w:numId w:val="49"/>
        </w:numPr>
        <w:jc w:val="both"/>
        <w:rPr>
          <w:b/>
          <w:bCs/>
        </w:rPr>
      </w:pPr>
      <w:r>
        <w:rPr>
          <w:b/>
          <w:bCs/>
          <w:i/>
          <w:iCs/>
        </w:rPr>
        <w:t>Recommendation s</w:t>
      </w:r>
      <w:r w:rsidR="00BA0DD7">
        <w:rPr>
          <w:b/>
          <w:bCs/>
          <w:i/>
          <w:iCs/>
        </w:rPr>
        <w:t>even</w:t>
      </w:r>
      <w:r>
        <w:rPr>
          <w:b/>
          <w:bCs/>
          <w:i/>
          <w:iCs/>
        </w:rPr>
        <w:t xml:space="preserve">: </w:t>
      </w:r>
      <w:r>
        <w:t>UNDP should continue and consolidate its work on the SDG platform and mainstreaming the SDGs into sector policies, strategies and programmes. A solid start has already been made and in particular drawing in the private sector civil society, and creating a powerful platform for dialogue, advocacy and joint action. This is an area that UNDP is extremely as a convener and integrator</w:t>
      </w:r>
      <w:r w:rsidR="004D7610">
        <w:t xml:space="preserve"> is good at</w:t>
      </w:r>
      <w:r>
        <w:t>.</w:t>
      </w:r>
    </w:p>
    <w:p w14:paraId="1B8B6D49" w14:textId="29E1C02D" w:rsidR="00B35046" w:rsidRPr="00C35D8B" w:rsidRDefault="00B35046" w:rsidP="00790AD5">
      <w:pPr>
        <w:pStyle w:val="ListParagraph"/>
        <w:numPr>
          <w:ilvl w:val="0"/>
          <w:numId w:val="49"/>
        </w:numPr>
        <w:jc w:val="both"/>
        <w:rPr>
          <w:b/>
          <w:bCs/>
        </w:rPr>
      </w:pPr>
      <w:r>
        <w:rPr>
          <w:b/>
          <w:bCs/>
          <w:i/>
          <w:iCs/>
        </w:rPr>
        <w:t xml:space="preserve">Recommendation </w:t>
      </w:r>
      <w:r w:rsidR="00BA0DD7">
        <w:rPr>
          <w:b/>
          <w:bCs/>
          <w:i/>
          <w:iCs/>
        </w:rPr>
        <w:t>eight</w:t>
      </w:r>
      <w:r>
        <w:rPr>
          <w:b/>
          <w:bCs/>
          <w:i/>
          <w:iCs/>
        </w:rPr>
        <w:t xml:space="preserve">: </w:t>
      </w:r>
      <w:r>
        <w:t xml:space="preserve">UNDP’s work on employment and the informal economy, which largely affects women, is a new and ground-breaking venture for the organisation in Angola and should be </w:t>
      </w:r>
      <w:r w:rsidR="00EB59B8">
        <w:t>continued</w:t>
      </w:r>
      <w:r>
        <w:t>. This work is likely to be a continuing policy priority for government.  Moreover, the emphasis on poor and illiterate women and youth are very much in line with the concept of LNOB. In the next phase, UNDP should</w:t>
      </w:r>
      <w:r w:rsidR="00682030">
        <w:t>,</w:t>
      </w:r>
      <w:r>
        <w:t xml:space="preserve"> </w:t>
      </w:r>
      <w:r w:rsidR="00EB59B8">
        <w:t xml:space="preserve">in addition </w:t>
      </w:r>
      <w:r w:rsidR="00682030">
        <w:t xml:space="preserve">place </w:t>
      </w:r>
      <w:r>
        <w:t xml:space="preserve">more </w:t>
      </w:r>
      <w:r w:rsidR="00682030">
        <w:t xml:space="preserve">emphasis </w:t>
      </w:r>
      <w:r>
        <w:t xml:space="preserve">on </w:t>
      </w:r>
      <w:r w:rsidR="00EB59B8">
        <w:t>forging</w:t>
      </w:r>
      <w:r>
        <w:t xml:space="preserve"> the linkages and partnerships and facilitating the mobilization of resources required to significantly scale up this work. </w:t>
      </w:r>
    </w:p>
    <w:p w14:paraId="4EEC38F3" w14:textId="1360963C" w:rsidR="00B35046" w:rsidRPr="00E2624C" w:rsidRDefault="00B35046" w:rsidP="00790AD5">
      <w:pPr>
        <w:pStyle w:val="ListParagraph"/>
        <w:numPr>
          <w:ilvl w:val="0"/>
          <w:numId w:val="49"/>
        </w:numPr>
        <w:jc w:val="both"/>
        <w:rPr>
          <w:b/>
          <w:bCs/>
        </w:rPr>
      </w:pPr>
      <w:r>
        <w:rPr>
          <w:b/>
          <w:bCs/>
          <w:i/>
          <w:iCs/>
        </w:rPr>
        <w:t xml:space="preserve">Recommendation </w:t>
      </w:r>
      <w:r w:rsidR="00BA0DD7">
        <w:rPr>
          <w:b/>
          <w:bCs/>
          <w:i/>
          <w:iCs/>
        </w:rPr>
        <w:t>nine</w:t>
      </w:r>
      <w:r>
        <w:rPr>
          <w:b/>
          <w:bCs/>
          <w:i/>
          <w:iCs/>
        </w:rPr>
        <w:t>:</w:t>
      </w:r>
      <w:r>
        <w:rPr>
          <w:b/>
          <w:bCs/>
        </w:rPr>
        <w:t xml:space="preserve"> </w:t>
      </w:r>
      <w:r>
        <w:t>UNDP should expedite implementation of the Global Fund NFM3 grant</w:t>
      </w:r>
      <w:r w:rsidR="00682030">
        <w:t xml:space="preserve"> by</w:t>
      </w:r>
      <w:r>
        <w:t xml:space="preserve"> mov</w:t>
      </w:r>
      <w:r w:rsidR="00682030">
        <w:t>ing</w:t>
      </w:r>
      <w:r>
        <w:t xml:space="preserve"> rapidly to put in place the field structures, staffing and the coordination mechanisms necessary for the smooth implementation of the grant at the field and central levels. The PMU should be strengthened by recruitment of experienced programme and M&amp;E staff to complement existing ones, a</w:t>
      </w:r>
      <w:r w:rsidR="00682030">
        <w:t>s well as</w:t>
      </w:r>
      <w:r>
        <w:t xml:space="preserve"> specialists in TB and Malaria who should be placed within the respective national programmes for efficiency, effectiveness and ownership.   </w:t>
      </w:r>
    </w:p>
    <w:p w14:paraId="57519B4B" w14:textId="6B6C4033" w:rsidR="00B35046" w:rsidRPr="002141EB" w:rsidRDefault="00B35046" w:rsidP="00790AD5">
      <w:pPr>
        <w:pStyle w:val="ListParagraph"/>
        <w:numPr>
          <w:ilvl w:val="0"/>
          <w:numId w:val="49"/>
        </w:numPr>
        <w:jc w:val="both"/>
        <w:rPr>
          <w:b/>
          <w:bCs/>
        </w:rPr>
      </w:pPr>
      <w:r>
        <w:rPr>
          <w:b/>
          <w:bCs/>
          <w:i/>
          <w:iCs/>
        </w:rPr>
        <w:t xml:space="preserve">Recommendation </w:t>
      </w:r>
      <w:r w:rsidR="00BA0DD7">
        <w:rPr>
          <w:b/>
          <w:bCs/>
          <w:i/>
          <w:iCs/>
        </w:rPr>
        <w:t>ten</w:t>
      </w:r>
      <w:r>
        <w:rPr>
          <w:b/>
          <w:bCs/>
          <w:i/>
          <w:iCs/>
        </w:rPr>
        <w:t>:</w:t>
      </w:r>
      <w:r>
        <w:rPr>
          <w:b/>
          <w:bCs/>
        </w:rPr>
        <w:t xml:space="preserve">  </w:t>
      </w:r>
      <w:r>
        <w:t xml:space="preserve">UNDP should make efforts to better integrate the Global Fund activities with those under the poverty cluster, as well as the with the two other clusters of the Country Programme.  This Country Office should </w:t>
      </w:r>
      <w:r w:rsidR="006115A9">
        <w:t xml:space="preserve">also </w:t>
      </w:r>
      <w:r>
        <w:t xml:space="preserve">develop an exit strategy and a detailed action plan on how it will build national capacity for an eventual transfer of PR responsibility to government </w:t>
      </w:r>
      <w:r w:rsidR="006115A9">
        <w:t xml:space="preserve">in preparation for that eventually </w:t>
      </w:r>
      <w:r>
        <w:t xml:space="preserve">at the appropriate time.  </w:t>
      </w:r>
    </w:p>
    <w:p w14:paraId="70BF5DFD" w14:textId="77777777" w:rsidR="00B35046" w:rsidRPr="00A5596E" w:rsidRDefault="00B35046" w:rsidP="00B35046">
      <w:pPr>
        <w:jc w:val="both"/>
        <w:rPr>
          <w:b/>
          <w:bCs/>
        </w:rPr>
      </w:pPr>
      <w:r>
        <w:rPr>
          <w:b/>
          <w:bCs/>
        </w:rPr>
        <w:t>ENVIRONMENT, CLIMATE CHANGE, DISASTER RISK REDUCTION &amp; BUILDING RESILIENCE</w:t>
      </w:r>
    </w:p>
    <w:p w14:paraId="7885B9A1" w14:textId="76BB23FC" w:rsidR="00B35046" w:rsidRPr="00A5596E" w:rsidRDefault="00B35046" w:rsidP="00790AD5">
      <w:pPr>
        <w:pStyle w:val="ListParagraph"/>
        <w:numPr>
          <w:ilvl w:val="0"/>
          <w:numId w:val="49"/>
        </w:numPr>
        <w:jc w:val="both"/>
        <w:rPr>
          <w:b/>
          <w:bCs/>
        </w:rPr>
      </w:pPr>
      <w:r>
        <w:rPr>
          <w:b/>
          <w:bCs/>
          <w:i/>
          <w:iCs/>
        </w:rPr>
        <w:t xml:space="preserve">Recommendation </w:t>
      </w:r>
      <w:r w:rsidR="00BA0DD7">
        <w:rPr>
          <w:b/>
          <w:bCs/>
          <w:i/>
          <w:iCs/>
        </w:rPr>
        <w:t>eleven</w:t>
      </w:r>
      <w:r>
        <w:rPr>
          <w:b/>
          <w:bCs/>
          <w:i/>
          <w:iCs/>
        </w:rPr>
        <w:t>:</w:t>
      </w:r>
      <w:r>
        <w:rPr>
          <w:b/>
          <w:bCs/>
        </w:rPr>
        <w:t xml:space="preserve"> </w:t>
      </w:r>
      <w:r>
        <w:t xml:space="preserve">UNDP should continue to support Angola’s efforts to sustainably manage her biodiversity and natural resources; in addition to fulfilling global environmental responsibilities, this could also be an important tool for economic diversification. UNDP should give priority to assisting Angola embark on a low carbon growth, which has not been given sufficient attention beyond support to the formulation of the Climate Change Strategy and revision of the NDC. Work </w:t>
      </w:r>
      <w:r w:rsidR="006115A9">
        <w:t>on</w:t>
      </w:r>
      <w:r>
        <w:t xml:space="preserve"> renewables and other </w:t>
      </w:r>
      <w:r w:rsidR="006115A9">
        <w:t xml:space="preserve">related </w:t>
      </w:r>
      <w:r>
        <w:t xml:space="preserve">areas will be of particular importance, and UNDP with its global network is well positioned to facilitate access to knowledge, technologies and finance. </w:t>
      </w:r>
    </w:p>
    <w:p w14:paraId="3D2F461B" w14:textId="1A7BB10D" w:rsidR="00B35046" w:rsidRPr="007477C4" w:rsidRDefault="00B35046" w:rsidP="00790AD5">
      <w:pPr>
        <w:pStyle w:val="ListParagraph"/>
        <w:numPr>
          <w:ilvl w:val="0"/>
          <w:numId w:val="49"/>
        </w:numPr>
        <w:jc w:val="both"/>
        <w:rPr>
          <w:b/>
          <w:bCs/>
        </w:rPr>
      </w:pPr>
      <w:r>
        <w:rPr>
          <w:b/>
          <w:bCs/>
          <w:i/>
          <w:iCs/>
        </w:rPr>
        <w:t xml:space="preserve"> Recommendation </w:t>
      </w:r>
      <w:r w:rsidR="0060744D">
        <w:rPr>
          <w:b/>
          <w:bCs/>
          <w:i/>
          <w:iCs/>
        </w:rPr>
        <w:t>twelve</w:t>
      </w:r>
      <w:r>
        <w:rPr>
          <w:b/>
          <w:bCs/>
          <w:i/>
          <w:iCs/>
        </w:rPr>
        <w:t xml:space="preserve">: </w:t>
      </w:r>
      <w:r>
        <w:t xml:space="preserve">UNDP should continue supporting the government of Angola’s DRM strategy, </w:t>
      </w:r>
      <w:r w:rsidR="006115A9">
        <w:t xml:space="preserve">and </w:t>
      </w:r>
      <w:r>
        <w:t xml:space="preserve">work with government </w:t>
      </w:r>
      <w:r w:rsidR="006115A9">
        <w:t xml:space="preserve">and other partners </w:t>
      </w:r>
      <w:r>
        <w:t xml:space="preserve">to ensure that </w:t>
      </w:r>
      <w:r w:rsidR="006115A9">
        <w:t>resources to implement the strategy are</w:t>
      </w:r>
      <w:r>
        <w:t xml:space="preserve"> prioritized in the national budget</w:t>
      </w:r>
      <w:r w:rsidR="006115A9">
        <w:t>,</w:t>
      </w:r>
      <w:r>
        <w:t xml:space="preserve"> and work to build capacities </w:t>
      </w:r>
      <w:r w:rsidR="006115A9">
        <w:t xml:space="preserve">for resilience </w:t>
      </w:r>
      <w:r>
        <w:t xml:space="preserve">at provincial and community levels.  </w:t>
      </w:r>
    </w:p>
    <w:p w14:paraId="59A153F2" w14:textId="77777777" w:rsidR="00B35046" w:rsidRPr="007477C4" w:rsidRDefault="00B35046" w:rsidP="00B35046">
      <w:pPr>
        <w:jc w:val="both"/>
        <w:rPr>
          <w:b/>
          <w:bCs/>
        </w:rPr>
      </w:pPr>
      <w:r>
        <w:rPr>
          <w:b/>
          <w:bCs/>
        </w:rPr>
        <w:t>GOVERNANCE</w:t>
      </w:r>
    </w:p>
    <w:p w14:paraId="1D1E5876" w14:textId="4187EBA4" w:rsidR="00B35046" w:rsidRPr="007477C4" w:rsidRDefault="00B35046" w:rsidP="00790AD5">
      <w:pPr>
        <w:pStyle w:val="ListParagraph"/>
        <w:numPr>
          <w:ilvl w:val="0"/>
          <w:numId w:val="49"/>
        </w:numPr>
        <w:jc w:val="both"/>
        <w:rPr>
          <w:b/>
          <w:bCs/>
        </w:rPr>
      </w:pPr>
      <w:r>
        <w:rPr>
          <w:b/>
          <w:bCs/>
          <w:i/>
          <w:iCs/>
        </w:rPr>
        <w:t>Recommendation t</w:t>
      </w:r>
      <w:r w:rsidR="0060744D">
        <w:rPr>
          <w:b/>
          <w:bCs/>
          <w:i/>
          <w:iCs/>
        </w:rPr>
        <w:t>hirteen</w:t>
      </w:r>
      <w:r>
        <w:rPr>
          <w:b/>
          <w:bCs/>
          <w:i/>
          <w:iCs/>
        </w:rPr>
        <w:t>:</w:t>
      </w:r>
      <w:r>
        <w:t xml:space="preserve"> UNDP </w:t>
      </w:r>
      <w:r w:rsidR="006115A9">
        <w:t xml:space="preserve">should </w:t>
      </w:r>
      <w:r>
        <w:t>support the modernization of Angola’s public administration and decentralization, and consolidate its work on human rights and women’s political participation. Resources should be secured to s</w:t>
      </w:r>
      <w:r w:rsidR="00084638">
        <w:t>c</w:t>
      </w:r>
      <w:r>
        <w:t>ale up the pilots on participatory budgeting as this</w:t>
      </w:r>
      <w:r w:rsidR="00084638">
        <w:t xml:space="preserve"> will</w:t>
      </w:r>
      <w:r>
        <w:t xml:space="preserve"> help prepare municipalities and provinces for decentralisation and </w:t>
      </w:r>
      <w:r w:rsidR="00084638">
        <w:t xml:space="preserve">foster greater </w:t>
      </w:r>
      <w:r>
        <w:t xml:space="preserve">citizen’s engagement in public policies. </w:t>
      </w:r>
    </w:p>
    <w:p w14:paraId="30346FC6" w14:textId="77777777" w:rsidR="00B35046" w:rsidRPr="007477C4" w:rsidRDefault="00B35046" w:rsidP="00B35046">
      <w:pPr>
        <w:jc w:val="both"/>
        <w:rPr>
          <w:b/>
          <w:bCs/>
        </w:rPr>
      </w:pPr>
      <w:r>
        <w:rPr>
          <w:b/>
          <w:bCs/>
        </w:rPr>
        <w:lastRenderedPageBreak/>
        <w:t xml:space="preserve">GENDER </w:t>
      </w:r>
    </w:p>
    <w:p w14:paraId="7CA1AF0C" w14:textId="595A1B6C" w:rsidR="00B35046" w:rsidRDefault="00B35046" w:rsidP="00790AD5">
      <w:pPr>
        <w:pStyle w:val="ListParagraph"/>
        <w:numPr>
          <w:ilvl w:val="0"/>
          <w:numId w:val="49"/>
        </w:numPr>
        <w:jc w:val="both"/>
        <w:sectPr w:rsidR="00B35046" w:rsidSect="00C36D88">
          <w:pgSz w:w="12240" w:h="15840"/>
          <w:pgMar w:top="1440" w:right="1440" w:bottom="1440" w:left="1440" w:header="720" w:footer="720" w:gutter="0"/>
          <w:cols w:space="720"/>
          <w:docGrid w:linePitch="360"/>
        </w:sectPr>
      </w:pPr>
      <w:r>
        <w:rPr>
          <w:b/>
          <w:bCs/>
          <w:i/>
          <w:iCs/>
        </w:rPr>
        <w:t xml:space="preserve">Recommendation </w:t>
      </w:r>
      <w:r w:rsidR="0060744D">
        <w:rPr>
          <w:b/>
          <w:bCs/>
          <w:i/>
          <w:iCs/>
        </w:rPr>
        <w:t>fourteen</w:t>
      </w:r>
      <w:r>
        <w:rPr>
          <w:b/>
          <w:bCs/>
          <w:i/>
          <w:iCs/>
        </w:rPr>
        <w:t>:</w:t>
      </w:r>
      <w:r>
        <w:t xml:space="preserve"> UNDP should design and implement a comprehensive gender flagship programme that integrates poverty, governance and environment Climate Change concerns. Such an integrator programme should also link upstream policy action with downstream activities and be of national scope and scale. Gender mainstreaming has largely not resulted in </w:t>
      </w:r>
      <w:r w:rsidR="00084638">
        <w:t xml:space="preserve">the </w:t>
      </w:r>
      <w:r>
        <w:t xml:space="preserve">transformative results </w:t>
      </w:r>
      <w:r w:rsidR="00084638">
        <w:t xml:space="preserve">anticipated, </w:t>
      </w:r>
      <w:r>
        <w:t xml:space="preserve">partly because gender is often not </w:t>
      </w:r>
      <w:r w:rsidR="00084638">
        <w:t>a</w:t>
      </w:r>
      <w:r>
        <w:t xml:space="preserve"> </w:t>
      </w:r>
      <w:r w:rsidR="00084638">
        <w:t>c</w:t>
      </w:r>
      <w:r>
        <w:t xml:space="preserve">ore objective of the programmes targeted and </w:t>
      </w:r>
      <w:r w:rsidR="00084638">
        <w:t xml:space="preserve">when included in programmes </w:t>
      </w:r>
      <w:r>
        <w:t xml:space="preserve">often do not address the multidimensional and complex challenges faced by women. </w:t>
      </w:r>
      <w:r w:rsidR="00084638">
        <w:t>T</w:t>
      </w:r>
      <w:r>
        <w:t xml:space="preserve">his </w:t>
      </w:r>
      <w:r w:rsidR="00084638">
        <w:t xml:space="preserve">initiative </w:t>
      </w:r>
      <w:r>
        <w:t xml:space="preserve">will require enhanced gender capacities in the Country Office beyond the current focal point arrangement. The initiative </w:t>
      </w:r>
      <w:r w:rsidR="00084638">
        <w:t>c</w:t>
      </w:r>
      <w:r>
        <w:t xml:space="preserve">ould </w:t>
      </w:r>
      <w:r w:rsidR="004D7610">
        <w:t xml:space="preserve">be spearheaded by the Gender Focal Team set up in connection with the Gender Seal Award and </w:t>
      </w:r>
      <w:r>
        <w:t>linked to the proposed work plan and activities</w:t>
      </w:r>
      <w:r w:rsidR="004D7610">
        <w:t>.</w:t>
      </w:r>
      <w:r>
        <w:t xml:space="preserve"> </w:t>
      </w:r>
    </w:p>
    <w:p w14:paraId="33CCB43E" w14:textId="42FAFE2B" w:rsidR="004E56B3" w:rsidRPr="001728A0" w:rsidRDefault="00B94F31" w:rsidP="001728A0">
      <w:pPr>
        <w:pStyle w:val="Heading1"/>
        <w:rPr>
          <w:rFonts w:asciiTheme="minorHAnsi" w:hAnsiTheme="minorHAnsi" w:cstheme="minorHAnsi"/>
          <w:sz w:val="22"/>
          <w:szCs w:val="22"/>
        </w:rPr>
      </w:pPr>
      <w:bookmarkStart w:id="77" w:name="_Toc88741824"/>
      <w:r w:rsidRPr="001728A0">
        <w:rPr>
          <w:rFonts w:asciiTheme="minorHAnsi" w:hAnsiTheme="minorHAnsi" w:cstheme="minorHAnsi"/>
          <w:sz w:val="22"/>
          <w:szCs w:val="22"/>
        </w:rPr>
        <w:lastRenderedPageBreak/>
        <w:t xml:space="preserve">Annex </w:t>
      </w:r>
      <w:r w:rsidR="001728A0" w:rsidRPr="001728A0">
        <w:rPr>
          <w:rFonts w:asciiTheme="minorHAnsi" w:hAnsiTheme="minorHAnsi" w:cstheme="minorHAnsi"/>
          <w:sz w:val="22"/>
          <w:szCs w:val="22"/>
        </w:rPr>
        <w:t>1</w:t>
      </w:r>
      <w:r w:rsidRPr="001728A0">
        <w:rPr>
          <w:rFonts w:asciiTheme="minorHAnsi" w:hAnsiTheme="minorHAnsi" w:cstheme="minorHAnsi"/>
          <w:sz w:val="22"/>
          <w:szCs w:val="22"/>
        </w:rPr>
        <w:t>: List of UNDP Projects by cluster and Budget Expenditures</w:t>
      </w:r>
      <w:bookmarkEnd w:id="77"/>
    </w:p>
    <w:tbl>
      <w:tblPr>
        <w:tblStyle w:val="TableGrid"/>
        <w:tblpPr w:leftFromText="180" w:rightFromText="180" w:vertAnchor="text" w:horzAnchor="margin" w:tblpXSpec="center" w:tblpY="122"/>
        <w:tblW w:w="147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37"/>
        <w:gridCol w:w="6516"/>
        <w:gridCol w:w="1554"/>
        <w:gridCol w:w="1413"/>
        <w:gridCol w:w="1442"/>
        <w:gridCol w:w="1413"/>
        <w:gridCol w:w="925"/>
        <w:gridCol w:w="867"/>
      </w:tblGrid>
      <w:tr w:rsidR="0019446E" w14:paraId="64B217F9" w14:textId="77777777" w:rsidTr="0019446E">
        <w:trPr>
          <w:tblHeader/>
        </w:trPr>
        <w:tc>
          <w:tcPr>
            <w:tcW w:w="637" w:type="dxa"/>
            <w:vMerge w:val="restart"/>
            <w:shd w:val="clear" w:color="000000" w:fill="BDD6EE"/>
            <w:vAlign w:val="center"/>
          </w:tcPr>
          <w:p w14:paraId="0F3F0406" w14:textId="77777777" w:rsidR="0019446E" w:rsidRPr="00CB6EC6" w:rsidRDefault="0019446E" w:rsidP="0019446E">
            <w:pPr>
              <w:jc w:val="center"/>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Nbr</w:t>
            </w:r>
          </w:p>
        </w:tc>
        <w:tc>
          <w:tcPr>
            <w:tcW w:w="6516" w:type="dxa"/>
            <w:vMerge w:val="restart"/>
            <w:shd w:val="clear" w:color="000000" w:fill="BDD6EE"/>
            <w:vAlign w:val="center"/>
          </w:tcPr>
          <w:p w14:paraId="7F8A0868" w14:textId="77777777" w:rsidR="0019446E" w:rsidRPr="00CB6EC6" w:rsidRDefault="0019446E" w:rsidP="0019446E">
            <w:pPr>
              <w:jc w:val="center"/>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Project</w:t>
            </w:r>
          </w:p>
        </w:tc>
        <w:tc>
          <w:tcPr>
            <w:tcW w:w="2967" w:type="dxa"/>
            <w:gridSpan w:val="2"/>
            <w:shd w:val="clear" w:color="000000" w:fill="BDD6EE"/>
            <w:vAlign w:val="center"/>
          </w:tcPr>
          <w:p w14:paraId="6D7180C1" w14:textId="77777777" w:rsidR="0019446E" w:rsidRPr="00CB6EC6" w:rsidRDefault="0019446E" w:rsidP="0019446E">
            <w:pPr>
              <w:jc w:val="center"/>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Budget</w:t>
            </w:r>
          </w:p>
        </w:tc>
        <w:tc>
          <w:tcPr>
            <w:tcW w:w="2855" w:type="dxa"/>
            <w:gridSpan w:val="2"/>
            <w:shd w:val="clear" w:color="000000" w:fill="BDD6EE"/>
            <w:vAlign w:val="center"/>
          </w:tcPr>
          <w:p w14:paraId="3665596F" w14:textId="77777777" w:rsidR="0019446E" w:rsidRDefault="0019446E" w:rsidP="0019446E">
            <w:pPr>
              <w:jc w:val="center"/>
              <w:rPr>
                <w:rFonts w:ascii="Calibri" w:eastAsia="Times New Roman" w:hAnsi="Calibri" w:cs="Calibri"/>
                <w:b/>
                <w:bCs/>
                <w:color w:val="000000"/>
                <w:lang w:eastAsia="pt-PT"/>
              </w:rPr>
            </w:pPr>
          </w:p>
          <w:p w14:paraId="6924D1C3" w14:textId="77777777" w:rsidR="0019446E" w:rsidRPr="00CB6EC6" w:rsidRDefault="0019446E" w:rsidP="0019446E">
            <w:pPr>
              <w:jc w:val="center"/>
              <w:rPr>
                <w:rFonts w:ascii="Calibri" w:eastAsia="Times New Roman" w:hAnsi="Calibri" w:cs="Calibri"/>
                <w:b/>
                <w:bCs/>
                <w:color w:val="000000"/>
                <w:lang w:eastAsia="pt-PT"/>
              </w:rPr>
            </w:pPr>
            <w:r>
              <w:rPr>
                <w:rFonts w:ascii="Calibri" w:eastAsia="Times New Roman" w:hAnsi="Calibri" w:cs="Calibri"/>
                <w:b/>
                <w:bCs/>
                <w:color w:val="000000"/>
                <w:lang w:eastAsia="pt-PT"/>
              </w:rPr>
              <w:t>Expenditures</w:t>
            </w:r>
          </w:p>
        </w:tc>
        <w:tc>
          <w:tcPr>
            <w:tcW w:w="1792" w:type="dxa"/>
            <w:gridSpan w:val="2"/>
            <w:shd w:val="clear" w:color="000000" w:fill="BDD6EE"/>
            <w:vAlign w:val="center"/>
          </w:tcPr>
          <w:p w14:paraId="449008E5" w14:textId="77777777" w:rsidR="0019446E" w:rsidRPr="00CB6EC6" w:rsidRDefault="0019446E" w:rsidP="0019446E">
            <w:pPr>
              <w:jc w:val="center"/>
              <w:rPr>
                <w:rFonts w:ascii="Calibri" w:eastAsia="Times New Roman" w:hAnsi="Calibri" w:cs="Calibri"/>
                <w:b/>
                <w:bCs/>
                <w:color w:val="000000"/>
                <w:lang w:eastAsia="pt-PT"/>
              </w:rPr>
            </w:pPr>
            <w:r>
              <w:rPr>
                <w:rFonts w:ascii="Calibri" w:eastAsia="Times New Roman" w:hAnsi="Calibri" w:cs="Calibri"/>
                <w:b/>
                <w:bCs/>
                <w:color w:val="000000"/>
                <w:lang w:eastAsia="pt-PT"/>
              </w:rPr>
              <w:t>Implementation Rate</w:t>
            </w:r>
          </w:p>
        </w:tc>
      </w:tr>
      <w:tr w:rsidR="0019446E" w14:paraId="20A780DA" w14:textId="77777777" w:rsidTr="0019446E">
        <w:trPr>
          <w:tblHeader/>
        </w:trPr>
        <w:tc>
          <w:tcPr>
            <w:tcW w:w="637" w:type="dxa"/>
            <w:vMerge/>
            <w:vAlign w:val="center"/>
          </w:tcPr>
          <w:p w14:paraId="1F4EA30B" w14:textId="77777777" w:rsidR="0019446E" w:rsidRPr="00CB6EC6" w:rsidRDefault="0019446E" w:rsidP="0019446E">
            <w:pPr>
              <w:rPr>
                <w:rFonts w:ascii="Calibri" w:eastAsia="Times New Roman" w:hAnsi="Calibri" w:cs="Calibri"/>
                <w:b/>
                <w:bCs/>
                <w:color w:val="000000"/>
                <w:lang w:eastAsia="pt-PT"/>
              </w:rPr>
            </w:pPr>
          </w:p>
        </w:tc>
        <w:tc>
          <w:tcPr>
            <w:tcW w:w="6516" w:type="dxa"/>
            <w:vMerge/>
            <w:vAlign w:val="center"/>
          </w:tcPr>
          <w:p w14:paraId="26D1B2F1" w14:textId="77777777" w:rsidR="0019446E" w:rsidRPr="00CB6EC6" w:rsidRDefault="0019446E" w:rsidP="0019446E">
            <w:pPr>
              <w:rPr>
                <w:rFonts w:ascii="Calibri" w:eastAsia="Times New Roman" w:hAnsi="Calibri" w:cs="Calibri"/>
                <w:b/>
                <w:bCs/>
                <w:color w:val="000000"/>
                <w:lang w:eastAsia="pt-PT"/>
              </w:rPr>
            </w:pPr>
          </w:p>
        </w:tc>
        <w:tc>
          <w:tcPr>
            <w:tcW w:w="1554" w:type="dxa"/>
            <w:shd w:val="clear" w:color="000000" w:fill="BDD6EE"/>
            <w:vAlign w:val="center"/>
          </w:tcPr>
          <w:p w14:paraId="55CA8823" w14:textId="77777777" w:rsidR="0019446E" w:rsidRPr="00CB6EC6" w:rsidRDefault="0019446E" w:rsidP="0019446E">
            <w:pPr>
              <w:jc w:val="center"/>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2020</w:t>
            </w:r>
          </w:p>
        </w:tc>
        <w:tc>
          <w:tcPr>
            <w:tcW w:w="1413" w:type="dxa"/>
            <w:shd w:val="clear" w:color="000000" w:fill="BDD6EE"/>
            <w:vAlign w:val="center"/>
          </w:tcPr>
          <w:p w14:paraId="55D59695" w14:textId="77777777" w:rsidR="0019446E" w:rsidRPr="00CB6EC6" w:rsidRDefault="0019446E" w:rsidP="0019446E">
            <w:pPr>
              <w:jc w:val="center"/>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2021</w:t>
            </w:r>
          </w:p>
        </w:tc>
        <w:tc>
          <w:tcPr>
            <w:tcW w:w="1442" w:type="dxa"/>
            <w:shd w:val="clear" w:color="000000" w:fill="BDD6EE"/>
            <w:vAlign w:val="center"/>
          </w:tcPr>
          <w:p w14:paraId="7DFEB33C" w14:textId="77777777" w:rsidR="0019446E" w:rsidRPr="00CB6EC6" w:rsidRDefault="0019446E" w:rsidP="0019446E">
            <w:pPr>
              <w:jc w:val="center"/>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2020</w:t>
            </w:r>
          </w:p>
        </w:tc>
        <w:tc>
          <w:tcPr>
            <w:tcW w:w="1413" w:type="dxa"/>
            <w:shd w:val="clear" w:color="auto" w:fill="B8CCE4" w:themeFill="accent1" w:themeFillTint="66"/>
            <w:vAlign w:val="center"/>
          </w:tcPr>
          <w:p w14:paraId="2F2EEE39" w14:textId="77777777" w:rsidR="0019446E" w:rsidRPr="00CB6EC6" w:rsidRDefault="0019446E" w:rsidP="0019446E">
            <w:pPr>
              <w:jc w:val="center"/>
              <w:rPr>
                <w:rFonts w:ascii="Calibri" w:eastAsia="Times New Roman" w:hAnsi="Calibri" w:cs="Calibri"/>
                <w:b/>
                <w:bCs/>
                <w:color w:val="000000"/>
                <w:lang w:eastAsia="pt-PT"/>
              </w:rPr>
            </w:pPr>
            <w:r>
              <w:rPr>
                <w:rFonts w:ascii="Calibri" w:eastAsia="Times New Roman" w:hAnsi="Calibri" w:cs="Calibri"/>
                <w:b/>
                <w:bCs/>
                <w:color w:val="000000"/>
                <w:lang w:eastAsia="pt-PT"/>
              </w:rPr>
              <w:t>2021</w:t>
            </w:r>
          </w:p>
        </w:tc>
        <w:tc>
          <w:tcPr>
            <w:tcW w:w="925" w:type="dxa"/>
            <w:shd w:val="clear" w:color="auto" w:fill="B8CCE4" w:themeFill="accent1" w:themeFillTint="66"/>
            <w:vAlign w:val="center"/>
          </w:tcPr>
          <w:p w14:paraId="3675CA10" w14:textId="77777777" w:rsidR="0019446E" w:rsidRPr="00CB6EC6" w:rsidRDefault="0019446E" w:rsidP="0019446E">
            <w:pPr>
              <w:jc w:val="center"/>
              <w:rPr>
                <w:rFonts w:ascii="Calibri" w:eastAsia="Times New Roman" w:hAnsi="Calibri" w:cs="Calibri"/>
                <w:b/>
                <w:bCs/>
                <w:color w:val="000000"/>
                <w:lang w:eastAsia="pt-PT"/>
              </w:rPr>
            </w:pPr>
            <w:r>
              <w:rPr>
                <w:rFonts w:ascii="Calibri" w:eastAsia="Times New Roman" w:hAnsi="Calibri" w:cs="Calibri"/>
                <w:b/>
                <w:bCs/>
                <w:color w:val="000000"/>
                <w:lang w:eastAsia="pt-PT"/>
              </w:rPr>
              <w:t>2020</w:t>
            </w:r>
          </w:p>
        </w:tc>
        <w:tc>
          <w:tcPr>
            <w:tcW w:w="867" w:type="dxa"/>
            <w:shd w:val="clear" w:color="000000" w:fill="BDD6EE"/>
            <w:vAlign w:val="center"/>
          </w:tcPr>
          <w:p w14:paraId="5FD59AFB" w14:textId="77777777" w:rsidR="0019446E" w:rsidRPr="00CB6EC6" w:rsidRDefault="0019446E" w:rsidP="0019446E">
            <w:pPr>
              <w:jc w:val="center"/>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202</w:t>
            </w:r>
            <w:r>
              <w:rPr>
                <w:rFonts w:ascii="Calibri" w:eastAsia="Times New Roman" w:hAnsi="Calibri" w:cs="Calibri"/>
                <w:b/>
                <w:bCs/>
                <w:color w:val="000000"/>
                <w:lang w:eastAsia="pt-PT"/>
              </w:rPr>
              <w:t>1</w:t>
            </w:r>
          </w:p>
        </w:tc>
      </w:tr>
      <w:tr w:rsidR="0019446E" w14:paraId="2F022BCA" w14:textId="77777777" w:rsidTr="0019446E">
        <w:tc>
          <w:tcPr>
            <w:tcW w:w="637" w:type="dxa"/>
            <w:shd w:val="clear" w:color="auto" w:fill="auto"/>
            <w:vAlign w:val="center"/>
          </w:tcPr>
          <w:p w14:paraId="5506F3BA" w14:textId="77777777" w:rsidR="0019446E" w:rsidRPr="00CB6EC6" w:rsidRDefault="0019446E" w:rsidP="0019446E">
            <w:pPr>
              <w:jc w:val="both"/>
              <w:rPr>
                <w:rFonts w:ascii="Calibri" w:eastAsia="Times New Roman" w:hAnsi="Calibri" w:cs="Calibri"/>
                <w:color w:val="000000"/>
                <w:lang w:eastAsia="pt-PT"/>
              </w:rPr>
            </w:pPr>
            <w:r w:rsidRPr="00CB6EC6">
              <w:rPr>
                <w:rFonts w:ascii="Calibri" w:eastAsia="Times New Roman" w:hAnsi="Calibri" w:cs="Calibri"/>
                <w:color w:val="000000"/>
                <w:lang w:eastAsia="pt-PT"/>
              </w:rPr>
              <w:t> </w:t>
            </w:r>
          </w:p>
        </w:tc>
        <w:tc>
          <w:tcPr>
            <w:tcW w:w="6516" w:type="dxa"/>
            <w:shd w:val="clear" w:color="auto" w:fill="auto"/>
            <w:vAlign w:val="center"/>
          </w:tcPr>
          <w:p w14:paraId="06C0F9D2" w14:textId="77777777" w:rsidR="0019446E" w:rsidRPr="00CB6EC6" w:rsidRDefault="0019446E" w:rsidP="0019446E">
            <w:pPr>
              <w:jc w:val="both"/>
              <w:rPr>
                <w:rFonts w:ascii="Calibri" w:eastAsia="Times New Roman" w:hAnsi="Calibri" w:cs="Calibri"/>
                <w:color w:val="000000"/>
                <w:lang w:eastAsia="pt-PT"/>
              </w:rPr>
            </w:pPr>
            <w:r w:rsidRPr="00CB6EC6">
              <w:rPr>
                <w:rFonts w:ascii="Calibri" w:eastAsia="Times New Roman" w:hAnsi="Calibri" w:cs="Calibri"/>
                <w:color w:val="000000"/>
                <w:lang w:eastAsia="pt-PT"/>
              </w:rPr>
              <w:t> </w:t>
            </w:r>
          </w:p>
        </w:tc>
        <w:tc>
          <w:tcPr>
            <w:tcW w:w="1554" w:type="dxa"/>
            <w:shd w:val="clear" w:color="auto" w:fill="auto"/>
            <w:vAlign w:val="center"/>
          </w:tcPr>
          <w:p w14:paraId="343C9933" w14:textId="77777777" w:rsidR="0019446E" w:rsidRPr="00CB6EC6" w:rsidRDefault="0019446E" w:rsidP="0019446E">
            <w:pPr>
              <w:jc w:val="both"/>
              <w:rPr>
                <w:rFonts w:ascii="Calibri" w:eastAsia="Times New Roman" w:hAnsi="Calibri" w:cs="Calibri"/>
                <w:color w:val="000000"/>
                <w:lang w:eastAsia="pt-PT"/>
              </w:rPr>
            </w:pPr>
            <w:r w:rsidRPr="00CB6EC6">
              <w:rPr>
                <w:rFonts w:ascii="Calibri" w:eastAsia="Times New Roman" w:hAnsi="Calibri" w:cs="Calibri"/>
                <w:color w:val="000000"/>
                <w:lang w:eastAsia="pt-PT"/>
              </w:rPr>
              <w:t> </w:t>
            </w:r>
          </w:p>
        </w:tc>
        <w:tc>
          <w:tcPr>
            <w:tcW w:w="1413" w:type="dxa"/>
            <w:shd w:val="clear" w:color="auto" w:fill="auto"/>
            <w:vAlign w:val="center"/>
          </w:tcPr>
          <w:p w14:paraId="13CDFDF1" w14:textId="77777777" w:rsidR="0019446E" w:rsidRPr="00CB6EC6" w:rsidRDefault="0019446E" w:rsidP="0019446E">
            <w:pPr>
              <w:jc w:val="both"/>
              <w:rPr>
                <w:rFonts w:ascii="Calibri" w:eastAsia="Times New Roman" w:hAnsi="Calibri" w:cs="Calibri"/>
                <w:color w:val="000000"/>
                <w:lang w:eastAsia="pt-PT"/>
              </w:rPr>
            </w:pPr>
            <w:r w:rsidRPr="00CB6EC6">
              <w:rPr>
                <w:rFonts w:ascii="Calibri" w:eastAsia="Times New Roman" w:hAnsi="Calibri" w:cs="Calibri"/>
                <w:color w:val="000000"/>
                <w:lang w:eastAsia="pt-PT"/>
              </w:rPr>
              <w:t> </w:t>
            </w:r>
          </w:p>
        </w:tc>
        <w:tc>
          <w:tcPr>
            <w:tcW w:w="1442" w:type="dxa"/>
            <w:shd w:val="clear" w:color="auto" w:fill="auto"/>
            <w:vAlign w:val="center"/>
          </w:tcPr>
          <w:p w14:paraId="6093B3CE" w14:textId="77777777" w:rsidR="0019446E" w:rsidRPr="00CB6EC6" w:rsidRDefault="0019446E" w:rsidP="0019446E">
            <w:pPr>
              <w:jc w:val="both"/>
              <w:rPr>
                <w:rFonts w:ascii="Calibri" w:eastAsia="Times New Roman" w:hAnsi="Calibri" w:cs="Calibri"/>
                <w:color w:val="000000"/>
                <w:lang w:eastAsia="pt-PT"/>
              </w:rPr>
            </w:pPr>
            <w:r w:rsidRPr="00CB6EC6">
              <w:rPr>
                <w:rFonts w:ascii="Calibri" w:eastAsia="Times New Roman" w:hAnsi="Calibri" w:cs="Calibri"/>
                <w:color w:val="000000"/>
                <w:lang w:eastAsia="pt-PT"/>
              </w:rPr>
              <w:t> </w:t>
            </w:r>
          </w:p>
        </w:tc>
        <w:tc>
          <w:tcPr>
            <w:tcW w:w="1413" w:type="dxa"/>
            <w:shd w:val="clear" w:color="auto" w:fill="auto"/>
            <w:vAlign w:val="center"/>
          </w:tcPr>
          <w:p w14:paraId="1D65DAF4" w14:textId="77777777" w:rsidR="0019446E" w:rsidRPr="00CB6EC6" w:rsidRDefault="0019446E" w:rsidP="0019446E">
            <w:pPr>
              <w:jc w:val="both"/>
              <w:rPr>
                <w:rFonts w:ascii="Calibri" w:eastAsia="Times New Roman" w:hAnsi="Calibri" w:cs="Calibri"/>
                <w:color w:val="000000"/>
                <w:lang w:eastAsia="pt-PT"/>
              </w:rPr>
            </w:pPr>
            <w:r w:rsidRPr="00CB6EC6">
              <w:rPr>
                <w:rFonts w:ascii="Calibri" w:eastAsia="Times New Roman" w:hAnsi="Calibri" w:cs="Calibri"/>
                <w:color w:val="000000"/>
                <w:lang w:eastAsia="pt-PT"/>
              </w:rPr>
              <w:t> </w:t>
            </w:r>
          </w:p>
        </w:tc>
        <w:tc>
          <w:tcPr>
            <w:tcW w:w="925" w:type="dxa"/>
            <w:shd w:val="clear" w:color="auto" w:fill="auto"/>
            <w:vAlign w:val="center"/>
          </w:tcPr>
          <w:p w14:paraId="678D7271" w14:textId="77777777" w:rsidR="0019446E" w:rsidRPr="00CB6EC6" w:rsidRDefault="0019446E" w:rsidP="0019446E">
            <w:pPr>
              <w:jc w:val="both"/>
              <w:rPr>
                <w:rFonts w:ascii="Calibri" w:eastAsia="Times New Roman" w:hAnsi="Calibri" w:cs="Calibri"/>
                <w:color w:val="000000"/>
                <w:lang w:eastAsia="pt-PT"/>
              </w:rPr>
            </w:pPr>
            <w:r w:rsidRPr="00CB6EC6">
              <w:rPr>
                <w:rFonts w:ascii="Calibri" w:eastAsia="Times New Roman" w:hAnsi="Calibri" w:cs="Calibri"/>
                <w:color w:val="000000"/>
                <w:lang w:eastAsia="pt-PT"/>
              </w:rPr>
              <w:t> </w:t>
            </w:r>
          </w:p>
        </w:tc>
        <w:tc>
          <w:tcPr>
            <w:tcW w:w="867" w:type="dxa"/>
            <w:shd w:val="clear" w:color="auto" w:fill="auto"/>
            <w:vAlign w:val="center"/>
          </w:tcPr>
          <w:p w14:paraId="386C54E8" w14:textId="77777777" w:rsidR="0019446E" w:rsidRPr="00CB6EC6" w:rsidRDefault="0019446E" w:rsidP="0019446E">
            <w:pPr>
              <w:jc w:val="both"/>
              <w:rPr>
                <w:rFonts w:ascii="Calibri" w:eastAsia="Times New Roman" w:hAnsi="Calibri" w:cs="Calibri"/>
                <w:color w:val="000000"/>
                <w:lang w:eastAsia="pt-PT"/>
              </w:rPr>
            </w:pPr>
            <w:r w:rsidRPr="00CB6EC6">
              <w:rPr>
                <w:rFonts w:ascii="Calibri" w:eastAsia="Times New Roman" w:hAnsi="Calibri" w:cs="Calibri"/>
                <w:color w:val="000000"/>
                <w:lang w:eastAsia="pt-PT"/>
              </w:rPr>
              <w:t> </w:t>
            </w:r>
          </w:p>
        </w:tc>
      </w:tr>
      <w:tr w:rsidR="0019446E" w14:paraId="4BFD5E42" w14:textId="77777777" w:rsidTr="0019446E">
        <w:tc>
          <w:tcPr>
            <w:tcW w:w="637" w:type="dxa"/>
            <w:shd w:val="clear" w:color="auto" w:fill="auto"/>
            <w:vAlign w:val="center"/>
          </w:tcPr>
          <w:p w14:paraId="0156A041" w14:textId="77777777" w:rsidR="0019446E" w:rsidRPr="00CB6EC6" w:rsidRDefault="0019446E" w:rsidP="0019446E">
            <w:pPr>
              <w:jc w:val="right"/>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I</w:t>
            </w:r>
          </w:p>
        </w:tc>
        <w:tc>
          <w:tcPr>
            <w:tcW w:w="6516" w:type="dxa"/>
            <w:shd w:val="clear" w:color="auto" w:fill="auto"/>
            <w:vAlign w:val="center"/>
          </w:tcPr>
          <w:p w14:paraId="734E961B" w14:textId="77777777" w:rsidR="0019446E" w:rsidRPr="00CB6EC6" w:rsidRDefault="0019446E" w:rsidP="0019446E">
            <w:pPr>
              <w:jc w:val="both"/>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Sustainable Development and Inclusive Growth Unit</w:t>
            </w:r>
          </w:p>
        </w:tc>
        <w:tc>
          <w:tcPr>
            <w:tcW w:w="1554" w:type="dxa"/>
            <w:shd w:val="clear" w:color="auto" w:fill="auto"/>
            <w:vAlign w:val="center"/>
          </w:tcPr>
          <w:p w14:paraId="28E1885E" w14:textId="77777777" w:rsidR="0019446E" w:rsidRPr="00CB6EC6" w:rsidRDefault="0019446E" w:rsidP="0019446E">
            <w:pPr>
              <w:jc w:val="both"/>
              <w:rPr>
                <w:rFonts w:ascii="Calibri" w:eastAsia="Times New Roman" w:hAnsi="Calibri" w:cs="Calibri"/>
                <w:b/>
                <w:bCs/>
                <w:color w:val="000000"/>
                <w:lang w:eastAsia="pt-PT"/>
              </w:rPr>
            </w:pPr>
          </w:p>
        </w:tc>
        <w:tc>
          <w:tcPr>
            <w:tcW w:w="1413" w:type="dxa"/>
            <w:shd w:val="clear" w:color="auto" w:fill="auto"/>
            <w:vAlign w:val="center"/>
          </w:tcPr>
          <w:p w14:paraId="6F393538" w14:textId="77777777" w:rsidR="0019446E" w:rsidRPr="00CB6EC6" w:rsidRDefault="0019446E" w:rsidP="0019446E">
            <w:pPr>
              <w:jc w:val="both"/>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 </w:t>
            </w:r>
          </w:p>
        </w:tc>
        <w:tc>
          <w:tcPr>
            <w:tcW w:w="1442" w:type="dxa"/>
            <w:shd w:val="clear" w:color="auto" w:fill="auto"/>
            <w:vAlign w:val="center"/>
          </w:tcPr>
          <w:p w14:paraId="00BB9298" w14:textId="77777777" w:rsidR="0019446E" w:rsidRPr="00CB6EC6" w:rsidRDefault="0019446E" w:rsidP="0019446E">
            <w:pPr>
              <w:jc w:val="both"/>
              <w:rPr>
                <w:rFonts w:ascii="Calibri" w:eastAsia="Times New Roman" w:hAnsi="Calibri" w:cs="Calibri"/>
                <w:b/>
                <w:bCs/>
                <w:color w:val="000000"/>
                <w:lang w:eastAsia="pt-PT"/>
              </w:rPr>
            </w:pPr>
          </w:p>
        </w:tc>
        <w:tc>
          <w:tcPr>
            <w:tcW w:w="1413" w:type="dxa"/>
            <w:shd w:val="clear" w:color="auto" w:fill="auto"/>
            <w:vAlign w:val="center"/>
          </w:tcPr>
          <w:p w14:paraId="36F37E67" w14:textId="77777777" w:rsidR="0019446E" w:rsidRPr="00CB6EC6" w:rsidRDefault="0019446E" w:rsidP="0019446E">
            <w:pPr>
              <w:jc w:val="both"/>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 </w:t>
            </w:r>
          </w:p>
        </w:tc>
        <w:tc>
          <w:tcPr>
            <w:tcW w:w="925" w:type="dxa"/>
            <w:shd w:val="clear" w:color="auto" w:fill="auto"/>
          </w:tcPr>
          <w:p w14:paraId="3644FD34" w14:textId="77777777" w:rsidR="0019446E" w:rsidRPr="00CB6EC6" w:rsidRDefault="0019446E" w:rsidP="0019446E">
            <w:pPr>
              <w:jc w:val="both"/>
              <w:rPr>
                <w:rFonts w:ascii="Calibri" w:eastAsia="Times New Roman" w:hAnsi="Calibri" w:cs="Calibri"/>
                <w:b/>
                <w:bCs/>
                <w:color w:val="000000"/>
                <w:lang w:eastAsia="pt-PT"/>
              </w:rPr>
            </w:pPr>
          </w:p>
        </w:tc>
        <w:tc>
          <w:tcPr>
            <w:tcW w:w="867" w:type="dxa"/>
            <w:shd w:val="clear" w:color="auto" w:fill="auto"/>
            <w:vAlign w:val="center"/>
          </w:tcPr>
          <w:p w14:paraId="0FB27349" w14:textId="77777777" w:rsidR="0019446E" w:rsidRPr="00CB6EC6" w:rsidRDefault="0019446E" w:rsidP="0019446E">
            <w:pPr>
              <w:jc w:val="both"/>
              <w:rPr>
                <w:rFonts w:ascii="Calibri" w:eastAsia="Times New Roman" w:hAnsi="Calibri" w:cs="Calibri"/>
                <w:b/>
                <w:bCs/>
                <w:color w:val="000000"/>
                <w:lang w:eastAsia="pt-PT"/>
              </w:rPr>
            </w:pPr>
          </w:p>
        </w:tc>
      </w:tr>
      <w:tr w:rsidR="0019446E" w14:paraId="77B77BA3" w14:textId="77777777" w:rsidTr="0019446E">
        <w:tc>
          <w:tcPr>
            <w:tcW w:w="637" w:type="dxa"/>
            <w:shd w:val="clear" w:color="auto" w:fill="auto"/>
            <w:vAlign w:val="center"/>
          </w:tcPr>
          <w:p w14:paraId="5215E04B"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1.1</w:t>
            </w:r>
          </w:p>
        </w:tc>
        <w:tc>
          <w:tcPr>
            <w:tcW w:w="6516" w:type="dxa"/>
            <w:shd w:val="clear" w:color="000000" w:fill="FFFFFF"/>
            <w:vAlign w:val="center"/>
          </w:tcPr>
          <w:p w14:paraId="2C4A80AD" w14:textId="77777777" w:rsidR="0019446E" w:rsidRPr="00CB6EC6" w:rsidRDefault="0019446E" w:rsidP="0019446E">
            <w:pPr>
              <w:rPr>
                <w:rFonts w:ascii="Calibri" w:eastAsia="Times New Roman" w:hAnsi="Calibri" w:cs="Calibri"/>
                <w:color w:val="000000"/>
                <w:lang w:eastAsia="pt-PT"/>
              </w:rPr>
            </w:pPr>
            <w:r w:rsidRPr="00CB6EC6">
              <w:rPr>
                <w:rFonts w:ascii="Calibri" w:eastAsia="Times New Roman" w:hAnsi="Calibri" w:cs="Calibri"/>
                <w:color w:val="000000"/>
                <w:lang w:eastAsia="pt-PT"/>
              </w:rPr>
              <w:t>Technical Assistance Economic Diversification</w:t>
            </w:r>
          </w:p>
        </w:tc>
        <w:tc>
          <w:tcPr>
            <w:tcW w:w="1554" w:type="dxa"/>
            <w:shd w:val="clear" w:color="auto" w:fill="auto"/>
            <w:vAlign w:val="center"/>
          </w:tcPr>
          <w:p w14:paraId="4137481C"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xml:space="preserve">$125 000 </w:t>
            </w:r>
          </w:p>
        </w:tc>
        <w:tc>
          <w:tcPr>
            <w:tcW w:w="1413" w:type="dxa"/>
            <w:shd w:val="clear" w:color="auto" w:fill="auto"/>
            <w:vAlign w:val="center"/>
          </w:tcPr>
          <w:p w14:paraId="00D63D28"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xml:space="preserve">$70 000 </w:t>
            </w:r>
          </w:p>
        </w:tc>
        <w:tc>
          <w:tcPr>
            <w:tcW w:w="1442" w:type="dxa"/>
            <w:shd w:val="clear" w:color="auto" w:fill="auto"/>
            <w:vAlign w:val="center"/>
          </w:tcPr>
          <w:p w14:paraId="35F4D8FC"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xml:space="preserve">$97 089 </w:t>
            </w:r>
          </w:p>
        </w:tc>
        <w:tc>
          <w:tcPr>
            <w:tcW w:w="1413" w:type="dxa"/>
            <w:shd w:val="clear" w:color="auto" w:fill="auto"/>
            <w:vAlign w:val="center"/>
          </w:tcPr>
          <w:p w14:paraId="0D3510E5"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FF0000"/>
                <w:lang w:eastAsia="pt-PT"/>
              </w:rPr>
              <w:t>($3 956)</w:t>
            </w:r>
          </w:p>
        </w:tc>
        <w:tc>
          <w:tcPr>
            <w:tcW w:w="925" w:type="dxa"/>
            <w:shd w:val="clear" w:color="000000" w:fill="FFFFFF"/>
            <w:vAlign w:val="center"/>
          </w:tcPr>
          <w:p w14:paraId="47D5DBDC" w14:textId="77777777" w:rsidR="0019446E" w:rsidRPr="00CB6EC6" w:rsidRDefault="0019446E" w:rsidP="0019446E">
            <w:pPr>
              <w:jc w:val="center"/>
              <w:rPr>
                <w:rFonts w:ascii="Calibri" w:eastAsia="Times New Roman" w:hAnsi="Calibri" w:cs="Calibri"/>
                <w:color w:val="1D2228"/>
                <w:lang w:eastAsia="pt-PT"/>
              </w:rPr>
            </w:pPr>
            <w:r w:rsidRPr="00CB6EC6">
              <w:rPr>
                <w:rFonts w:ascii="Calibri" w:eastAsia="Times New Roman" w:hAnsi="Calibri" w:cs="Calibri"/>
                <w:color w:val="1D2228"/>
                <w:lang w:eastAsia="pt-PT"/>
              </w:rPr>
              <w:t>78%</w:t>
            </w:r>
          </w:p>
        </w:tc>
        <w:tc>
          <w:tcPr>
            <w:tcW w:w="867" w:type="dxa"/>
            <w:shd w:val="clear" w:color="auto" w:fill="auto"/>
            <w:vAlign w:val="center"/>
          </w:tcPr>
          <w:p w14:paraId="72606960"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-6%</w:t>
            </w:r>
          </w:p>
        </w:tc>
      </w:tr>
      <w:tr w:rsidR="0019446E" w14:paraId="20EA799E" w14:textId="77777777" w:rsidTr="0019446E">
        <w:tc>
          <w:tcPr>
            <w:tcW w:w="637" w:type="dxa"/>
            <w:shd w:val="clear" w:color="auto" w:fill="auto"/>
            <w:vAlign w:val="center"/>
          </w:tcPr>
          <w:p w14:paraId="550F0E7B"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1.2</w:t>
            </w:r>
          </w:p>
        </w:tc>
        <w:tc>
          <w:tcPr>
            <w:tcW w:w="6516" w:type="dxa"/>
            <w:shd w:val="clear" w:color="000000" w:fill="FFFFFF"/>
            <w:vAlign w:val="center"/>
          </w:tcPr>
          <w:p w14:paraId="3DAB5EAC" w14:textId="77777777" w:rsidR="0019446E" w:rsidRPr="00CB6EC6" w:rsidRDefault="0019446E" w:rsidP="0019446E">
            <w:pPr>
              <w:rPr>
                <w:rFonts w:ascii="Calibri" w:eastAsia="Times New Roman" w:hAnsi="Calibri" w:cs="Calibri"/>
                <w:color w:val="000000"/>
                <w:lang w:eastAsia="pt-PT"/>
              </w:rPr>
            </w:pPr>
            <w:r w:rsidRPr="00CB6EC6">
              <w:rPr>
                <w:rFonts w:ascii="Calibri" w:eastAsia="Times New Roman" w:hAnsi="Calibri" w:cs="Calibri"/>
                <w:color w:val="000000"/>
                <w:lang w:eastAsia="pt-PT"/>
              </w:rPr>
              <w:t>AGO COVID-19 Econ. Social Impact</w:t>
            </w:r>
          </w:p>
        </w:tc>
        <w:tc>
          <w:tcPr>
            <w:tcW w:w="1554" w:type="dxa"/>
            <w:shd w:val="clear" w:color="auto" w:fill="auto"/>
            <w:vAlign w:val="center"/>
          </w:tcPr>
          <w:p w14:paraId="725BCC17"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xml:space="preserve">$100 000 </w:t>
            </w:r>
          </w:p>
        </w:tc>
        <w:tc>
          <w:tcPr>
            <w:tcW w:w="1413" w:type="dxa"/>
            <w:shd w:val="clear" w:color="auto" w:fill="auto"/>
            <w:vAlign w:val="center"/>
          </w:tcPr>
          <w:p w14:paraId="46B185DE"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xml:space="preserve">$500 000 </w:t>
            </w:r>
          </w:p>
        </w:tc>
        <w:tc>
          <w:tcPr>
            <w:tcW w:w="1442" w:type="dxa"/>
            <w:shd w:val="clear" w:color="auto" w:fill="auto"/>
            <w:vAlign w:val="center"/>
          </w:tcPr>
          <w:p w14:paraId="236964B3" w14:textId="77777777" w:rsidR="0019446E" w:rsidRPr="00CB6EC6" w:rsidRDefault="0019446E" w:rsidP="0019446E">
            <w:pPr>
              <w:jc w:val="right"/>
              <w:rPr>
                <w:rFonts w:ascii="Calibri" w:eastAsia="Times New Roman" w:hAnsi="Calibri" w:cs="Calibri"/>
                <w:color w:val="000000"/>
                <w:lang w:eastAsia="pt-PT"/>
              </w:rPr>
            </w:pPr>
            <w:r>
              <w:rPr>
                <w:rFonts w:ascii="Calibri" w:eastAsia="Times New Roman" w:hAnsi="Calibri" w:cs="Calibri"/>
                <w:color w:val="000000"/>
                <w:lang w:eastAsia="pt-PT"/>
              </w:rPr>
              <w:t>0</w:t>
            </w:r>
            <w:r w:rsidRPr="00CB6EC6">
              <w:rPr>
                <w:rFonts w:ascii="Calibri" w:eastAsia="Times New Roman" w:hAnsi="Calibri" w:cs="Calibri"/>
                <w:color w:val="000000"/>
                <w:lang w:eastAsia="pt-PT"/>
              </w:rPr>
              <w:t> </w:t>
            </w:r>
          </w:p>
        </w:tc>
        <w:tc>
          <w:tcPr>
            <w:tcW w:w="1413" w:type="dxa"/>
            <w:shd w:val="clear" w:color="auto" w:fill="auto"/>
            <w:vAlign w:val="center"/>
          </w:tcPr>
          <w:p w14:paraId="1D48F2B5"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xml:space="preserve">$157 793 </w:t>
            </w:r>
          </w:p>
        </w:tc>
        <w:tc>
          <w:tcPr>
            <w:tcW w:w="925" w:type="dxa"/>
            <w:shd w:val="clear" w:color="000000" w:fill="FFFFFF"/>
            <w:vAlign w:val="center"/>
          </w:tcPr>
          <w:p w14:paraId="1293CEC4" w14:textId="77777777" w:rsidR="0019446E" w:rsidRPr="00CB6EC6" w:rsidRDefault="0019446E" w:rsidP="0019446E">
            <w:pPr>
              <w:jc w:val="center"/>
              <w:rPr>
                <w:rFonts w:ascii="Calibri" w:eastAsia="Times New Roman" w:hAnsi="Calibri" w:cs="Calibri"/>
                <w:color w:val="1D2228"/>
                <w:lang w:eastAsia="pt-PT"/>
              </w:rPr>
            </w:pPr>
            <w:r w:rsidRPr="00CB6EC6">
              <w:rPr>
                <w:rFonts w:ascii="Calibri" w:eastAsia="Times New Roman" w:hAnsi="Calibri" w:cs="Calibri"/>
                <w:color w:val="1D2228"/>
                <w:lang w:eastAsia="pt-PT"/>
              </w:rPr>
              <w:t>0%</w:t>
            </w:r>
          </w:p>
        </w:tc>
        <w:tc>
          <w:tcPr>
            <w:tcW w:w="867" w:type="dxa"/>
            <w:shd w:val="clear" w:color="auto" w:fill="auto"/>
            <w:vAlign w:val="center"/>
          </w:tcPr>
          <w:p w14:paraId="4B6FF3D8"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32%</w:t>
            </w:r>
          </w:p>
        </w:tc>
      </w:tr>
      <w:tr w:rsidR="0019446E" w14:paraId="6199B231" w14:textId="77777777" w:rsidTr="0019446E">
        <w:tc>
          <w:tcPr>
            <w:tcW w:w="637" w:type="dxa"/>
            <w:shd w:val="clear" w:color="auto" w:fill="auto"/>
            <w:vAlign w:val="center"/>
          </w:tcPr>
          <w:p w14:paraId="5E485533"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1.3</w:t>
            </w:r>
          </w:p>
        </w:tc>
        <w:tc>
          <w:tcPr>
            <w:tcW w:w="6516" w:type="dxa"/>
            <w:shd w:val="clear" w:color="000000" w:fill="FFFFFF"/>
            <w:vAlign w:val="center"/>
          </w:tcPr>
          <w:p w14:paraId="17F96537" w14:textId="77777777" w:rsidR="0019446E" w:rsidRPr="00CB6EC6" w:rsidRDefault="0019446E" w:rsidP="0019446E">
            <w:pPr>
              <w:rPr>
                <w:rFonts w:ascii="Calibri" w:eastAsia="Times New Roman" w:hAnsi="Calibri" w:cs="Calibri"/>
                <w:color w:val="000000"/>
                <w:lang w:eastAsia="pt-PT"/>
              </w:rPr>
            </w:pPr>
            <w:r w:rsidRPr="00CB6EC6">
              <w:rPr>
                <w:rFonts w:ascii="Calibri" w:eastAsia="Times New Roman" w:hAnsi="Calibri" w:cs="Calibri"/>
                <w:color w:val="000000"/>
                <w:lang w:eastAsia="pt-PT"/>
              </w:rPr>
              <w:t>Turkey- UNDP Partnership</w:t>
            </w:r>
          </w:p>
        </w:tc>
        <w:tc>
          <w:tcPr>
            <w:tcW w:w="1554" w:type="dxa"/>
            <w:shd w:val="clear" w:color="auto" w:fill="auto"/>
            <w:vAlign w:val="center"/>
          </w:tcPr>
          <w:p w14:paraId="55ACA0BB"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xml:space="preserve">$43 202 </w:t>
            </w:r>
          </w:p>
        </w:tc>
        <w:tc>
          <w:tcPr>
            <w:tcW w:w="1413" w:type="dxa"/>
            <w:shd w:val="clear" w:color="auto" w:fill="auto"/>
            <w:vAlign w:val="center"/>
          </w:tcPr>
          <w:p w14:paraId="5A9F1726"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xml:space="preserve">$56 412 </w:t>
            </w:r>
          </w:p>
        </w:tc>
        <w:tc>
          <w:tcPr>
            <w:tcW w:w="1442" w:type="dxa"/>
            <w:shd w:val="clear" w:color="auto" w:fill="auto"/>
            <w:vAlign w:val="center"/>
          </w:tcPr>
          <w:p w14:paraId="2447F841"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xml:space="preserve">$42 948 </w:t>
            </w:r>
          </w:p>
        </w:tc>
        <w:tc>
          <w:tcPr>
            <w:tcW w:w="1413" w:type="dxa"/>
            <w:shd w:val="clear" w:color="auto" w:fill="auto"/>
            <w:vAlign w:val="center"/>
          </w:tcPr>
          <w:p w14:paraId="780B9B38"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xml:space="preserve">$1 905 </w:t>
            </w:r>
          </w:p>
        </w:tc>
        <w:tc>
          <w:tcPr>
            <w:tcW w:w="925" w:type="dxa"/>
            <w:shd w:val="clear" w:color="000000" w:fill="FFFFFF"/>
            <w:vAlign w:val="center"/>
          </w:tcPr>
          <w:p w14:paraId="704EA9BA" w14:textId="77777777" w:rsidR="0019446E" w:rsidRPr="00CB6EC6" w:rsidRDefault="0019446E" w:rsidP="0019446E">
            <w:pPr>
              <w:jc w:val="center"/>
              <w:rPr>
                <w:rFonts w:ascii="Calibri" w:eastAsia="Times New Roman" w:hAnsi="Calibri" w:cs="Calibri"/>
                <w:color w:val="1D2228"/>
                <w:lang w:eastAsia="pt-PT"/>
              </w:rPr>
            </w:pPr>
            <w:r w:rsidRPr="00CB6EC6">
              <w:rPr>
                <w:rFonts w:ascii="Calibri" w:eastAsia="Times New Roman" w:hAnsi="Calibri" w:cs="Calibri"/>
                <w:color w:val="1D2228"/>
                <w:lang w:eastAsia="pt-PT"/>
              </w:rPr>
              <w:t>99%</w:t>
            </w:r>
          </w:p>
        </w:tc>
        <w:tc>
          <w:tcPr>
            <w:tcW w:w="867" w:type="dxa"/>
            <w:shd w:val="clear" w:color="auto" w:fill="auto"/>
            <w:vAlign w:val="center"/>
          </w:tcPr>
          <w:p w14:paraId="14D2447A"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3%</w:t>
            </w:r>
          </w:p>
        </w:tc>
      </w:tr>
      <w:tr w:rsidR="0019446E" w14:paraId="59A6E4CB" w14:textId="77777777" w:rsidTr="0019446E">
        <w:tc>
          <w:tcPr>
            <w:tcW w:w="637" w:type="dxa"/>
            <w:shd w:val="clear" w:color="auto" w:fill="auto"/>
            <w:vAlign w:val="center"/>
          </w:tcPr>
          <w:p w14:paraId="6055F2A4"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1.4</w:t>
            </w:r>
          </w:p>
        </w:tc>
        <w:tc>
          <w:tcPr>
            <w:tcW w:w="6516" w:type="dxa"/>
            <w:shd w:val="clear" w:color="000000" w:fill="FFFFFF"/>
            <w:vAlign w:val="center"/>
          </w:tcPr>
          <w:p w14:paraId="5C4A6C8C" w14:textId="77777777" w:rsidR="0019446E" w:rsidRPr="00CB6EC6" w:rsidRDefault="0019446E" w:rsidP="0019446E">
            <w:pPr>
              <w:rPr>
                <w:rFonts w:ascii="Calibri" w:eastAsia="Times New Roman" w:hAnsi="Calibri" w:cs="Calibri"/>
                <w:color w:val="1D2228"/>
                <w:lang w:eastAsia="pt-PT"/>
              </w:rPr>
            </w:pPr>
            <w:r w:rsidRPr="00CB6EC6">
              <w:rPr>
                <w:rFonts w:ascii="Calibri" w:eastAsia="Times New Roman" w:hAnsi="Calibri" w:cs="Calibri"/>
                <w:color w:val="1D2228"/>
                <w:lang w:eastAsia="pt-PT"/>
              </w:rPr>
              <w:t>Building back better post COVID-19. Enhancing skill development and job creation for the youth in Angola</w:t>
            </w:r>
          </w:p>
        </w:tc>
        <w:tc>
          <w:tcPr>
            <w:tcW w:w="1554" w:type="dxa"/>
            <w:shd w:val="clear" w:color="auto" w:fill="auto"/>
            <w:vAlign w:val="center"/>
          </w:tcPr>
          <w:p w14:paraId="2E331113"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xml:space="preserve">$150 000 </w:t>
            </w:r>
          </w:p>
        </w:tc>
        <w:tc>
          <w:tcPr>
            <w:tcW w:w="1413" w:type="dxa"/>
            <w:shd w:val="clear" w:color="auto" w:fill="auto"/>
            <w:vAlign w:val="center"/>
          </w:tcPr>
          <w:p w14:paraId="7822D40D"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xml:space="preserve">$110 000 </w:t>
            </w:r>
          </w:p>
        </w:tc>
        <w:tc>
          <w:tcPr>
            <w:tcW w:w="1442" w:type="dxa"/>
            <w:shd w:val="clear" w:color="auto" w:fill="auto"/>
            <w:vAlign w:val="center"/>
          </w:tcPr>
          <w:p w14:paraId="6B2DE1DE"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xml:space="preserve">$145 933 </w:t>
            </w:r>
          </w:p>
        </w:tc>
        <w:tc>
          <w:tcPr>
            <w:tcW w:w="1413" w:type="dxa"/>
            <w:shd w:val="clear" w:color="auto" w:fill="auto"/>
            <w:vAlign w:val="center"/>
          </w:tcPr>
          <w:p w14:paraId="5A3EF842"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xml:space="preserve">$64 904 </w:t>
            </w:r>
          </w:p>
        </w:tc>
        <w:tc>
          <w:tcPr>
            <w:tcW w:w="925" w:type="dxa"/>
            <w:shd w:val="clear" w:color="000000" w:fill="FFFFFF"/>
            <w:vAlign w:val="center"/>
          </w:tcPr>
          <w:p w14:paraId="3CC6EA7F" w14:textId="77777777" w:rsidR="0019446E" w:rsidRPr="00CB6EC6" w:rsidRDefault="0019446E" w:rsidP="0019446E">
            <w:pPr>
              <w:jc w:val="center"/>
              <w:rPr>
                <w:rFonts w:ascii="Calibri" w:eastAsia="Times New Roman" w:hAnsi="Calibri" w:cs="Calibri"/>
                <w:color w:val="1D2228"/>
                <w:lang w:eastAsia="pt-PT"/>
              </w:rPr>
            </w:pPr>
            <w:r w:rsidRPr="00CB6EC6">
              <w:rPr>
                <w:rFonts w:ascii="Calibri" w:eastAsia="Times New Roman" w:hAnsi="Calibri" w:cs="Calibri"/>
                <w:color w:val="1D2228"/>
                <w:lang w:eastAsia="pt-PT"/>
              </w:rPr>
              <w:t>97%</w:t>
            </w:r>
          </w:p>
        </w:tc>
        <w:tc>
          <w:tcPr>
            <w:tcW w:w="867" w:type="dxa"/>
            <w:shd w:val="clear" w:color="auto" w:fill="auto"/>
            <w:vAlign w:val="center"/>
          </w:tcPr>
          <w:p w14:paraId="361EE0E8"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59%</w:t>
            </w:r>
          </w:p>
        </w:tc>
      </w:tr>
      <w:tr w:rsidR="0019446E" w14:paraId="19935360" w14:textId="77777777" w:rsidTr="0019446E">
        <w:tc>
          <w:tcPr>
            <w:tcW w:w="637" w:type="dxa"/>
            <w:shd w:val="clear" w:color="auto" w:fill="auto"/>
            <w:vAlign w:val="center"/>
          </w:tcPr>
          <w:p w14:paraId="72A428A5"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1.5</w:t>
            </w:r>
          </w:p>
        </w:tc>
        <w:tc>
          <w:tcPr>
            <w:tcW w:w="6516" w:type="dxa"/>
            <w:shd w:val="clear" w:color="000000" w:fill="FFFFFF"/>
            <w:vAlign w:val="center"/>
          </w:tcPr>
          <w:p w14:paraId="1EB8272C" w14:textId="77777777" w:rsidR="0019446E" w:rsidRPr="00CB6EC6" w:rsidRDefault="0019446E" w:rsidP="0019446E">
            <w:pPr>
              <w:rPr>
                <w:rFonts w:ascii="Calibri" w:eastAsia="Times New Roman" w:hAnsi="Calibri" w:cs="Calibri"/>
                <w:color w:val="1D2228"/>
                <w:lang w:eastAsia="pt-PT"/>
              </w:rPr>
            </w:pPr>
            <w:r w:rsidRPr="00CB6EC6">
              <w:rPr>
                <w:rFonts w:ascii="Calibri" w:eastAsia="Times New Roman" w:hAnsi="Calibri" w:cs="Calibri"/>
                <w:color w:val="1D2228"/>
                <w:lang w:eastAsia="pt-PT"/>
              </w:rPr>
              <w:t>Integrated Sustainable Development Goals</w:t>
            </w:r>
          </w:p>
        </w:tc>
        <w:tc>
          <w:tcPr>
            <w:tcW w:w="1554" w:type="dxa"/>
            <w:shd w:val="clear" w:color="auto" w:fill="auto"/>
            <w:vAlign w:val="center"/>
          </w:tcPr>
          <w:p w14:paraId="19C385C0"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w:t>
            </w:r>
            <w:r>
              <w:rPr>
                <w:rFonts w:ascii="Calibri" w:eastAsia="Times New Roman" w:hAnsi="Calibri" w:cs="Calibri"/>
                <w:color w:val="000000"/>
                <w:lang w:eastAsia="pt-PT"/>
              </w:rPr>
              <w:t>0</w:t>
            </w:r>
          </w:p>
        </w:tc>
        <w:tc>
          <w:tcPr>
            <w:tcW w:w="1413" w:type="dxa"/>
            <w:shd w:val="clear" w:color="auto" w:fill="auto"/>
            <w:vAlign w:val="center"/>
          </w:tcPr>
          <w:p w14:paraId="7CEEC427"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xml:space="preserve">$405 371 </w:t>
            </w:r>
          </w:p>
        </w:tc>
        <w:tc>
          <w:tcPr>
            <w:tcW w:w="1442" w:type="dxa"/>
            <w:shd w:val="clear" w:color="auto" w:fill="auto"/>
            <w:vAlign w:val="center"/>
          </w:tcPr>
          <w:p w14:paraId="6EE80F37" w14:textId="77777777" w:rsidR="0019446E" w:rsidRPr="00CB6EC6" w:rsidRDefault="0019446E" w:rsidP="0019446E">
            <w:pPr>
              <w:jc w:val="right"/>
              <w:rPr>
                <w:rFonts w:ascii="Calibri" w:eastAsia="Times New Roman" w:hAnsi="Calibri" w:cs="Calibri"/>
                <w:color w:val="000000"/>
                <w:lang w:eastAsia="pt-PT"/>
              </w:rPr>
            </w:pPr>
            <w:r>
              <w:rPr>
                <w:rFonts w:ascii="Calibri" w:eastAsia="Times New Roman" w:hAnsi="Calibri" w:cs="Calibri"/>
                <w:color w:val="000000"/>
                <w:lang w:eastAsia="pt-PT"/>
              </w:rPr>
              <w:t>0</w:t>
            </w:r>
            <w:r w:rsidRPr="00CB6EC6">
              <w:rPr>
                <w:rFonts w:ascii="Calibri" w:eastAsia="Times New Roman" w:hAnsi="Calibri" w:cs="Calibri"/>
                <w:color w:val="000000"/>
                <w:lang w:eastAsia="pt-PT"/>
              </w:rPr>
              <w:t> </w:t>
            </w:r>
          </w:p>
        </w:tc>
        <w:tc>
          <w:tcPr>
            <w:tcW w:w="1413" w:type="dxa"/>
            <w:shd w:val="clear" w:color="auto" w:fill="auto"/>
            <w:vAlign w:val="center"/>
          </w:tcPr>
          <w:p w14:paraId="579CA558"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xml:space="preserve">$181 329 </w:t>
            </w:r>
          </w:p>
        </w:tc>
        <w:tc>
          <w:tcPr>
            <w:tcW w:w="925" w:type="dxa"/>
            <w:shd w:val="clear" w:color="000000" w:fill="FFFFFF"/>
            <w:vAlign w:val="center"/>
          </w:tcPr>
          <w:p w14:paraId="2F7FFE41" w14:textId="77777777" w:rsidR="0019446E" w:rsidRPr="00CB6EC6" w:rsidRDefault="0019446E" w:rsidP="0019446E">
            <w:pPr>
              <w:jc w:val="center"/>
              <w:rPr>
                <w:rFonts w:ascii="Calibri" w:eastAsia="Times New Roman" w:hAnsi="Calibri" w:cs="Calibri"/>
                <w:color w:val="1D2228"/>
                <w:lang w:eastAsia="pt-PT"/>
              </w:rPr>
            </w:pPr>
            <w:r w:rsidRPr="00CB6EC6">
              <w:rPr>
                <w:rFonts w:ascii="Calibri" w:eastAsia="Times New Roman" w:hAnsi="Calibri" w:cs="Calibri"/>
                <w:color w:val="1D2228"/>
                <w:lang w:eastAsia="pt-PT"/>
              </w:rPr>
              <w:t> </w:t>
            </w:r>
          </w:p>
        </w:tc>
        <w:tc>
          <w:tcPr>
            <w:tcW w:w="867" w:type="dxa"/>
            <w:shd w:val="clear" w:color="auto" w:fill="auto"/>
            <w:vAlign w:val="center"/>
          </w:tcPr>
          <w:p w14:paraId="5C49E2EC"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45%</w:t>
            </w:r>
          </w:p>
        </w:tc>
      </w:tr>
      <w:tr w:rsidR="0019446E" w14:paraId="6AA89CDC" w14:textId="77777777" w:rsidTr="0019446E">
        <w:tc>
          <w:tcPr>
            <w:tcW w:w="637" w:type="dxa"/>
            <w:shd w:val="clear" w:color="auto" w:fill="auto"/>
            <w:vAlign w:val="center"/>
          </w:tcPr>
          <w:p w14:paraId="43F242F8"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1.6</w:t>
            </w:r>
          </w:p>
        </w:tc>
        <w:tc>
          <w:tcPr>
            <w:tcW w:w="6516" w:type="dxa"/>
            <w:shd w:val="clear" w:color="000000" w:fill="FFFFFF"/>
            <w:vAlign w:val="center"/>
          </w:tcPr>
          <w:p w14:paraId="40000DAB" w14:textId="77777777" w:rsidR="0019446E" w:rsidRPr="00CB6EC6" w:rsidRDefault="0019446E" w:rsidP="0019446E">
            <w:pPr>
              <w:rPr>
                <w:rFonts w:ascii="Calibri" w:eastAsia="Times New Roman" w:hAnsi="Calibri" w:cs="Calibri"/>
                <w:color w:val="202124"/>
                <w:lang w:eastAsia="pt-PT"/>
              </w:rPr>
            </w:pPr>
            <w:r w:rsidRPr="00CB6EC6">
              <w:rPr>
                <w:rFonts w:ascii="Calibri" w:eastAsia="Times New Roman" w:hAnsi="Calibri" w:cs="Calibri"/>
                <w:color w:val="202124"/>
                <w:lang w:eastAsia="pt-PT"/>
              </w:rPr>
              <w:t>Support for National Policies to Accelerate the SDGs</w:t>
            </w:r>
          </w:p>
        </w:tc>
        <w:tc>
          <w:tcPr>
            <w:tcW w:w="1554" w:type="dxa"/>
            <w:shd w:val="clear" w:color="auto" w:fill="auto"/>
            <w:vAlign w:val="center"/>
          </w:tcPr>
          <w:p w14:paraId="5D193056"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xml:space="preserve">$205 848 </w:t>
            </w:r>
          </w:p>
        </w:tc>
        <w:tc>
          <w:tcPr>
            <w:tcW w:w="1413" w:type="dxa"/>
            <w:shd w:val="clear" w:color="auto" w:fill="auto"/>
            <w:vAlign w:val="center"/>
          </w:tcPr>
          <w:p w14:paraId="2A603D91"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xml:space="preserve">$194 116 </w:t>
            </w:r>
          </w:p>
        </w:tc>
        <w:tc>
          <w:tcPr>
            <w:tcW w:w="1442" w:type="dxa"/>
            <w:shd w:val="clear" w:color="auto" w:fill="auto"/>
            <w:vAlign w:val="center"/>
          </w:tcPr>
          <w:p w14:paraId="4926B3D9"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xml:space="preserve">$184 401 </w:t>
            </w:r>
          </w:p>
        </w:tc>
        <w:tc>
          <w:tcPr>
            <w:tcW w:w="1413" w:type="dxa"/>
            <w:shd w:val="clear" w:color="auto" w:fill="auto"/>
            <w:vAlign w:val="center"/>
          </w:tcPr>
          <w:p w14:paraId="6CCE734E"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w:t>
            </w:r>
          </w:p>
        </w:tc>
        <w:tc>
          <w:tcPr>
            <w:tcW w:w="925" w:type="dxa"/>
            <w:shd w:val="clear" w:color="000000" w:fill="FFFFFF"/>
            <w:vAlign w:val="center"/>
          </w:tcPr>
          <w:p w14:paraId="472A719E" w14:textId="77777777" w:rsidR="0019446E" w:rsidRPr="00CB6EC6" w:rsidRDefault="0019446E" w:rsidP="0019446E">
            <w:pPr>
              <w:jc w:val="center"/>
              <w:rPr>
                <w:rFonts w:ascii="Calibri" w:eastAsia="Times New Roman" w:hAnsi="Calibri" w:cs="Calibri"/>
                <w:color w:val="1D2228"/>
                <w:lang w:eastAsia="pt-PT"/>
              </w:rPr>
            </w:pPr>
            <w:r w:rsidRPr="00CB6EC6">
              <w:rPr>
                <w:rFonts w:ascii="Calibri" w:eastAsia="Times New Roman" w:hAnsi="Calibri" w:cs="Calibri"/>
                <w:color w:val="1D2228"/>
                <w:lang w:eastAsia="pt-PT"/>
              </w:rPr>
              <w:t>90%</w:t>
            </w:r>
          </w:p>
        </w:tc>
        <w:tc>
          <w:tcPr>
            <w:tcW w:w="867" w:type="dxa"/>
            <w:shd w:val="clear" w:color="auto" w:fill="auto"/>
            <w:vAlign w:val="center"/>
          </w:tcPr>
          <w:p w14:paraId="4255A506"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0%</w:t>
            </w:r>
          </w:p>
        </w:tc>
      </w:tr>
      <w:tr w:rsidR="0019446E" w14:paraId="3B50AC72" w14:textId="77777777" w:rsidTr="0019446E">
        <w:tc>
          <w:tcPr>
            <w:tcW w:w="637" w:type="dxa"/>
            <w:shd w:val="clear" w:color="000000" w:fill="B4C6E7"/>
            <w:vAlign w:val="center"/>
          </w:tcPr>
          <w:p w14:paraId="6196A146"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w:t>
            </w:r>
          </w:p>
        </w:tc>
        <w:tc>
          <w:tcPr>
            <w:tcW w:w="6516" w:type="dxa"/>
            <w:shd w:val="clear" w:color="000000" w:fill="B4C6E7"/>
            <w:vAlign w:val="center"/>
          </w:tcPr>
          <w:p w14:paraId="6AB5F635" w14:textId="77777777" w:rsidR="0019446E" w:rsidRPr="00CB6EC6" w:rsidRDefault="0019446E" w:rsidP="0019446E">
            <w:pPr>
              <w:jc w:val="both"/>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SUB-TOTAL</w:t>
            </w:r>
          </w:p>
        </w:tc>
        <w:tc>
          <w:tcPr>
            <w:tcW w:w="1554" w:type="dxa"/>
            <w:shd w:val="clear" w:color="000000" w:fill="B4C6E7"/>
            <w:vAlign w:val="center"/>
          </w:tcPr>
          <w:p w14:paraId="61B35227" w14:textId="77777777" w:rsidR="0019446E" w:rsidRPr="00CB6EC6" w:rsidRDefault="0019446E" w:rsidP="0019446E">
            <w:pPr>
              <w:jc w:val="right"/>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$624 050</w:t>
            </w:r>
          </w:p>
        </w:tc>
        <w:tc>
          <w:tcPr>
            <w:tcW w:w="1413" w:type="dxa"/>
            <w:shd w:val="clear" w:color="000000" w:fill="B4C6E7"/>
            <w:vAlign w:val="center"/>
          </w:tcPr>
          <w:p w14:paraId="37638885" w14:textId="77777777" w:rsidR="0019446E" w:rsidRPr="00CB6EC6" w:rsidRDefault="0019446E" w:rsidP="0019446E">
            <w:pPr>
              <w:jc w:val="right"/>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$1 335 898</w:t>
            </w:r>
          </w:p>
        </w:tc>
        <w:tc>
          <w:tcPr>
            <w:tcW w:w="1442" w:type="dxa"/>
            <w:shd w:val="clear" w:color="000000" w:fill="B4C6E7"/>
            <w:vAlign w:val="center"/>
          </w:tcPr>
          <w:p w14:paraId="007934CE" w14:textId="77777777" w:rsidR="0019446E" w:rsidRPr="00CB6EC6" w:rsidRDefault="0019446E" w:rsidP="0019446E">
            <w:pPr>
              <w:jc w:val="right"/>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$470 370</w:t>
            </w:r>
          </w:p>
        </w:tc>
        <w:tc>
          <w:tcPr>
            <w:tcW w:w="1413" w:type="dxa"/>
            <w:shd w:val="clear" w:color="000000" w:fill="B4C6E7"/>
            <w:vAlign w:val="center"/>
          </w:tcPr>
          <w:p w14:paraId="44EB782F" w14:textId="77777777" w:rsidR="0019446E" w:rsidRPr="00CB6EC6" w:rsidRDefault="0019446E" w:rsidP="0019446E">
            <w:pPr>
              <w:jc w:val="right"/>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$401 975</w:t>
            </w:r>
          </w:p>
        </w:tc>
        <w:tc>
          <w:tcPr>
            <w:tcW w:w="925" w:type="dxa"/>
            <w:shd w:val="clear" w:color="000000" w:fill="B4C6E7"/>
            <w:vAlign w:val="center"/>
          </w:tcPr>
          <w:p w14:paraId="186E8981" w14:textId="77777777" w:rsidR="0019446E" w:rsidRPr="00CB6EC6" w:rsidRDefault="0019446E" w:rsidP="0019446E">
            <w:pPr>
              <w:jc w:val="right"/>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75%</w:t>
            </w:r>
          </w:p>
        </w:tc>
        <w:tc>
          <w:tcPr>
            <w:tcW w:w="867" w:type="dxa"/>
            <w:shd w:val="clear" w:color="000000" w:fill="B4C6E7"/>
            <w:vAlign w:val="center"/>
          </w:tcPr>
          <w:p w14:paraId="639DE46A" w14:textId="77777777" w:rsidR="0019446E" w:rsidRPr="00CB6EC6" w:rsidRDefault="0019446E" w:rsidP="0019446E">
            <w:pPr>
              <w:jc w:val="right"/>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30%</w:t>
            </w:r>
          </w:p>
        </w:tc>
      </w:tr>
      <w:tr w:rsidR="0019446E" w14:paraId="48B52E90" w14:textId="77777777" w:rsidTr="0019446E">
        <w:tc>
          <w:tcPr>
            <w:tcW w:w="637" w:type="dxa"/>
            <w:shd w:val="clear" w:color="auto" w:fill="auto"/>
            <w:vAlign w:val="center"/>
          </w:tcPr>
          <w:p w14:paraId="20F46782" w14:textId="77777777" w:rsidR="0019446E" w:rsidRPr="00CB6EC6" w:rsidRDefault="0019446E" w:rsidP="0019446E">
            <w:pPr>
              <w:jc w:val="center"/>
              <w:rPr>
                <w:rFonts w:ascii="Calibri" w:eastAsia="Times New Roman" w:hAnsi="Calibri" w:cs="Calibri"/>
                <w:color w:val="000000"/>
                <w:lang w:eastAsia="pt-PT"/>
              </w:rPr>
            </w:pPr>
            <w:r w:rsidRPr="00CB6EC6">
              <w:rPr>
                <w:rFonts w:ascii="Calibri" w:eastAsia="Times New Roman" w:hAnsi="Calibri" w:cs="Calibri"/>
                <w:color w:val="000000"/>
                <w:lang w:eastAsia="pt-PT"/>
              </w:rPr>
              <w:t> </w:t>
            </w:r>
          </w:p>
        </w:tc>
        <w:tc>
          <w:tcPr>
            <w:tcW w:w="6516" w:type="dxa"/>
            <w:shd w:val="clear" w:color="auto" w:fill="auto"/>
            <w:vAlign w:val="center"/>
          </w:tcPr>
          <w:p w14:paraId="5B33B4C0" w14:textId="77777777" w:rsidR="0019446E" w:rsidRPr="00CB6EC6" w:rsidRDefault="0019446E" w:rsidP="0019446E">
            <w:pPr>
              <w:jc w:val="center"/>
              <w:rPr>
                <w:rFonts w:ascii="Calibri" w:eastAsia="Times New Roman" w:hAnsi="Calibri" w:cs="Calibri"/>
                <w:color w:val="000000"/>
                <w:lang w:eastAsia="pt-PT"/>
              </w:rPr>
            </w:pPr>
            <w:r w:rsidRPr="00CB6EC6">
              <w:rPr>
                <w:rFonts w:ascii="Calibri" w:eastAsia="Times New Roman" w:hAnsi="Calibri" w:cs="Calibri"/>
                <w:color w:val="000000"/>
                <w:lang w:eastAsia="pt-PT"/>
              </w:rPr>
              <w:t> </w:t>
            </w:r>
          </w:p>
        </w:tc>
        <w:tc>
          <w:tcPr>
            <w:tcW w:w="1554" w:type="dxa"/>
            <w:shd w:val="clear" w:color="auto" w:fill="auto"/>
            <w:vAlign w:val="center"/>
          </w:tcPr>
          <w:p w14:paraId="69AA1160" w14:textId="77777777" w:rsidR="0019446E" w:rsidRPr="00CB6EC6" w:rsidRDefault="0019446E" w:rsidP="0019446E">
            <w:pPr>
              <w:jc w:val="center"/>
              <w:rPr>
                <w:rFonts w:ascii="Calibri" w:eastAsia="Times New Roman" w:hAnsi="Calibri" w:cs="Calibri"/>
                <w:color w:val="000000"/>
                <w:lang w:eastAsia="pt-PT"/>
              </w:rPr>
            </w:pPr>
            <w:r w:rsidRPr="00CB6EC6">
              <w:rPr>
                <w:rFonts w:ascii="Calibri" w:eastAsia="Times New Roman" w:hAnsi="Calibri" w:cs="Calibri"/>
                <w:color w:val="000000"/>
                <w:lang w:eastAsia="pt-PT"/>
              </w:rPr>
              <w:t> </w:t>
            </w:r>
          </w:p>
        </w:tc>
        <w:tc>
          <w:tcPr>
            <w:tcW w:w="1413" w:type="dxa"/>
            <w:shd w:val="clear" w:color="auto" w:fill="auto"/>
            <w:vAlign w:val="center"/>
          </w:tcPr>
          <w:p w14:paraId="3C6971BB" w14:textId="77777777" w:rsidR="0019446E" w:rsidRPr="00CB6EC6" w:rsidRDefault="0019446E" w:rsidP="0019446E">
            <w:pPr>
              <w:jc w:val="center"/>
              <w:rPr>
                <w:rFonts w:ascii="Calibri" w:eastAsia="Times New Roman" w:hAnsi="Calibri" w:cs="Calibri"/>
                <w:color w:val="000000"/>
                <w:lang w:eastAsia="pt-PT"/>
              </w:rPr>
            </w:pPr>
            <w:r w:rsidRPr="00CB6EC6">
              <w:rPr>
                <w:rFonts w:ascii="Calibri" w:eastAsia="Times New Roman" w:hAnsi="Calibri" w:cs="Calibri"/>
                <w:color w:val="000000"/>
                <w:lang w:eastAsia="pt-PT"/>
              </w:rPr>
              <w:t> </w:t>
            </w:r>
          </w:p>
        </w:tc>
        <w:tc>
          <w:tcPr>
            <w:tcW w:w="1442" w:type="dxa"/>
            <w:shd w:val="clear" w:color="auto" w:fill="auto"/>
            <w:vAlign w:val="center"/>
          </w:tcPr>
          <w:p w14:paraId="343CF551" w14:textId="77777777" w:rsidR="0019446E" w:rsidRPr="00CB6EC6" w:rsidRDefault="0019446E" w:rsidP="0019446E">
            <w:pPr>
              <w:jc w:val="center"/>
              <w:rPr>
                <w:rFonts w:ascii="Calibri" w:eastAsia="Times New Roman" w:hAnsi="Calibri" w:cs="Calibri"/>
                <w:color w:val="000000"/>
                <w:lang w:eastAsia="pt-PT"/>
              </w:rPr>
            </w:pPr>
            <w:r w:rsidRPr="00CB6EC6">
              <w:rPr>
                <w:rFonts w:ascii="Calibri" w:eastAsia="Times New Roman" w:hAnsi="Calibri" w:cs="Calibri"/>
                <w:color w:val="000000"/>
                <w:lang w:eastAsia="pt-PT"/>
              </w:rPr>
              <w:t> </w:t>
            </w:r>
          </w:p>
        </w:tc>
        <w:tc>
          <w:tcPr>
            <w:tcW w:w="1413" w:type="dxa"/>
            <w:shd w:val="clear" w:color="auto" w:fill="auto"/>
            <w:vAlign w:val="center"/>
          </w:tcPr>
          <w:p w14:paraId="219BEADC" w14:textId="77777777" w:rsidR="0019446E" w:rsidRPr="00CB6EC6" w:rsidRDefault="0019446E" w:rsidP="0019446E">
            <w:pPr>
              <w:jc w:val="center"/>
              <w:rPr>
                <w:rFonts w:ascii="Calibri" w:eastAsia="Times New Roman" w:hAnsi="Calibri" w:cs="Calibri"/>
                <w:color w:val="000000"/>
                <w:lang w:eastAsia="pt-PT"/>
              </w:rPr>
            </w:pPr>
            <w:r w:rsidRPr="00CB6EC6">
              <w:rPr>
                <w:rFonts w:ascii="Calibri" w:eastAsia="Times New Roman" w:hAnsi="Calibri" w:cs="Calibri"/>
                <w:color w:val="000000"/>
                <w:lang w:eastAsia="pt-PT"/>
              </w:rPr>
              <w:t> </w:t>
            </w:r>
          </w:p>
        </w:tc>
        <w:tc>
          <w:tcPr>
            <w:tcW w:w="925" w:type="dxa"/>
            <w:shd w:val="clear" w:color="auto" w:fill="auto"/>
            <w:vAlign w:val="center"/>
          </w:tcPr>
          <w:p w14:paraId="758DC9DE" w14:textId="77777777" w:rsidR="0019446E" w:rsidRPr="00CB6EC6" w:rsidRDefault="0019446E" w:rsidP="0019446E">
            <w:pPr>
              <w:jc w:val="center"/>
              <w:rPr>
                <w:rFonts w:ascii="Calibri" w:eastAsia="Times New Roman" w:hAnsi="Calibri" w:cs="Calibri"/>
                <w:color w:val="000000"/>
                <w:lang w:eastAsia="pt-PT"/>
              </w:rPr>
            </w:pPr>
            <w:r w:rsidRPr="00CB6EC6">
              <w:rPr>
                <w:rFonts w:ascii="Calibri" w:eastAsia="Times New Roman" w:hAnsi="Calibri" w:cs="Calibri"/>
                <w:color w:val="000000"/>
                <w:lang w:eastAsia="pt-PT"/>
              </w:rPr>
              <w:t> </w:t>
            </w:r>
          </w:p>
        </w:tc>
        <w:tc>
          <w:tcPr>
            <w:tcW w:w="867" w:type="dxa"/>
            <w:shd w:val="clear" w:color="auto" w:fill="auto"/>
            <w:vAlign w:val="center"/>
          </w:tcPr>
          <w:p w14:paraId="5B864295" w14:textId="77777777" w:rsidR="0019446E" w:rsidRPr="00CB6EC6" w:rsidRDefault="0019446E" w:rsidP="0019446E">
            <w:pPr>
              <w:jc w:val="center"/>
              <w:rPr>
                <w:rFonts w:ascii="Calibri" w:eastAsia="Times New Roman" w:hAnsi="Calibri" w:cs="Calibri"/>
                <w:color w:val="000000"/>
                <w:lang w:eastAsia="pt-PT"/>
              </w:rPr>
            </w:pPr>
            <w:r w:rsidRPr="00CB6EC6">
              <w:rPr>
                <w:rFonts w:ascii="Calibri" w:eastAsia="Times New Roman" w:hAnsi="Calibri" w:cs="Calibri"/>
                <w:color w:val="000000"/>
                <w:lang w:eastAsia="pt-PT"/>
              </w:rPr>
              <w:t> </w:t>
            </w:r>
          </w:p>
        </w:tc>
      </w:tr>
      <w:tr w:rsidR="0019446E" w14:paraId="022539FB" w14:textId="77777777" w:rsidTr="0019446E">
        <w:tc>
          <w:tcPr>
            <w:tcW w:w="637" w:type="dxa"/>
            <w:shd w:val="clear" w:color="auto" w:fill="auto"/>
            <w:vAlign w:val="center"/>
          </w:tcPr>
          <w:p w14:paraId="69C81B62" w14:textId="77777777" w:rsidR="0019446E" w:rsidRPr="00CB6EC6" w:rsidRDefault="0019446E" w:rsidP="0019446E">
            <w:pPr>
              <w:jc w:val="right"/>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II</w:t>
            </w:r>
          </w:p>
        </w:tc>
        <w:tc>
          <w:tcPr>
            <w:tcW w:w="6516" w:type="dxa"/>
            <w:shd w:val="clear" w:color="auto" w:fill="auto"/>
            <w:vAlign w:val="center"/>
          </w:tcPr>
          <w:p w14:paraId="3CCF6CF9" w14:textId="77777777" w:rsidR="0019446E" w:rsidRPr="00CB6EC6" w:rsidRDefault="0019446E" w:rsidP="0019446E">
            <w:pPr>
              <w:jc w:val="both"/>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Environment and Disaster Risk Reduction Unit</w:t>
            </w:r>
          </w:p>
        </w:tc>
        <w:tc>
          <w:tcPr>
            <w:tcW w:w="1554" w:type="dxa"/>
            <w:shd w:val="clear" w:color="auto" w:fill="auto"/>
            <w:vAlign w:val="center"/>
          </w:tcPr>
          <w:p w14:paraId="7C945549" w14:textId="77777777" w:rsidR="0019446E" w:rsidRPr="00CB6EC6" w:rsidRDefault="0019446E" w:rsidP="0019446E">
            <w:pPr>
              <w:jc w:val="both"/>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 </w:t>
            </w:r>
          </w:p>
        </w:tc>
        <w:tc>
          <w:tcPr>
            <w:tcW w:w="1413" w:type="dxa"/>
            <w:shd w:val="clear" w:color="auto" w:fill="auto"/>
            <w:vAlign w:val="center"/>
          </w:tcPr>
          <w:p w14:paraId="6198C0A3" w14:textId="77777777" w:rsidR="0019446E" w:rsidRPr="00CB6EC6" w:rsidRDefault="0019446E" w:rsidP="0019446E">
            <w:pPr>
              <w:jc w:val="both"/>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 </w:t>
            </w:r>
          </w:p>
        </w:tc>
        <w:tc>
          <w:tcPr>
            <w:tcW w:w="1442" w:type="dxa"/>
            <w:shd w:val="clear" w:color="auto" w:fill="auto"/>
            <w:vAlign w:val="center"/>
          </w:tcPr>
          <w:p w14:paraId="3C231571" w14:textId="77777777" w:rsidR="0019446E" w:rsidRPr="00CB6EC6" w:rsidRDefault="0019446E" w:rsidP="0019446E">
            <w:pPr>
              <w:jc w:val="both"/>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 </w:t>
            </w:r>
          </w:p>
        </w:tc>
        <w:tc>
          <w:tcPr>
            <w:tcW w:w="1413" w:type="dxa"/>
            <w:shd w:val="clear" w:color="auto" w:fill="auto"/>
            <w:vAlign w:val="center"/>
          </w:tcPr>
          <w:p w14:paraId="28FA5CEE" w14:textId="77777777" w:rsidR="0019446E" w:rsidRPr="00CB6EC6" w:rsidRDefault="0019446E" w:rsidP="0019446E">
            <w:pPr>
              <w:jc w:val="both"/>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 </w:t>
            </w:r>
          </w:p>
        </w:tc>
        <w:tc>
          <w:tcPr>
            <w:tcW w:w="925" w:type="dxa"/>
            <w:shd w:val="clear" w:color="auto" w:fill="auto"/>
            <w:vAlign w:val="center"/>
          </w:tcPr>
          <w:p w14:paraId="27CBD7E0" w14:textId="77777777" w:rsidR="0019446E" w:rsidRPr="00CB6EC6" w:rsidRDefault="0019446E" w:rsidP="0019446E">
            <w:pPr>
              <w:jc w:val="both"/>
              <w:rPr>
                <w:rFonts w:ascii="Calibri" w:eastAsia="Times New Roman" w:hAnsi="Calibri" w:cs="Calibri"/>
                <w:b/>
                <w:bCs/>
                <w:color w:val="000000"/>
                <w:lang w:eastAsia="pt-PT"/>
              </w:rPr>
            </w:pPr>
          </w:p>
        </w:tc>
        <w:tc>
          <w:tcPr>
            <w:tcW w:w="867" w:type="dxa"/>
            <w:shd w:val="clear" w:color="auto" w:fill="auto"/>
            <w:vAlign w:val="center"/>
          </w:tcPr>
          <w:p w14:paraId="522575CE" w14:textId="77777777" w:rsidR="0019446E" w:rsidRPr="00CB6EC6" w:rsidRDefault="0019446E" w:rsidP="0019446E">
            <w:pPr>
              <w:jc w:val="both"/>
              <w:rPr>
                <w:rFonts w:ascii="Calibri" w:eastAsia="Times New Roman" w:hAnsi="Calibri" w:cs="Calibri"/>
                <w:b/>
                <w:bCs/>
                <w:color w:val="000000"/>
                <w:lang w:eastAsia="pt-PT"/>
              </w:rPr>
            </w:pPr>
          </w:p>
        </w:tc>
      </w:tr>
      <w:tr w:rsidR="0019446E" w14:paraId="3F0AD778" w14:textId="77777777" w:rsidTr="0019446E">
        <w:tc>
          <w:tcPr>
            <w:tcW w:w="637" w:type="dxa"/>
            <w:shd w:val="clear" w:color="auto" w:fill="auto"/>
            <w:vAlign w:val="center"/>
          </w:tcPr>
          <w:p w14:paraId="692DF300"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2.1</w:t>
            </w:r>
          </w:p>
        </w:tc>
        <w:tc>
          <w:tcPr>
            <w:tcW w:w="6516" w:type="dxa"/>
            <w:shd w:val="clear" w:color="auto" w:fill="auto"/>
            <w:vAlign w:val="center"/>
          </w:tcPr>
          <w:p w14:paraId="22D03646" w14:textId="77777777" w:rsidR="0019446E" w:rsidRPr="00CB6EC6" w:rsidRDefault="0019446E" w:rsidP="0019446E">
            <w:pPr>
              <w:rPr>
                <w:rFonts w:ascii="Calibri" w:eastAsia="Times New Roman" w:hAnsi="Calibri" w:cs="Calibri"/>
                <w:color w:val="000000"/>
                <w:lang w:eastAsia="pt-PT"/>
              </w:rPr>
            </w:pPr>
            <w:r w:rsidRPr="00CB6EC6">
              <w:rPr>
                <w:rFonts w:ascii="Calibri" w:eastAsia="Times New Roman" w:hAnsi="Calibri" w:cs="Calibri"/>
                <w:color w:val="000000"/>
                <w:lang w:eastAsia="pt-PT"/>
              </w:rPr>
              <w:t>Strengthening Disaster Risk Management (DRM) institutional frameworks and capacities</w:t>
            </w:r>
          </w:p>
        </w:tc>
        <w:tc>
          <w:tcPr>
            <w:tcW w:w="1554" w:type="dxa"/>
            <w:shd w:val="clear" w:color="auto" w:fill="auto"/>
            <w:vAlign w:val="center"/>
          </w:tcPr>
          <w:p w14:paraId="28BEDBCB"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$1 180 627</w:t>
            </w:r>
          </w:p>
        </w:tc>
        <w:tc>
          <w:tcPr>
            <w:tcW w:w="1413" w:type="dxa"/>
            <w:shd w:val="clear" w:color="auto" w:fill="auto"/>
            <w:vAlign w:val="center"/>
          </w:tcPr>
          <w:p w14:paraId="3D02D5B6"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$1 823 732</w:t>
            </w:r>
          </w:p>
        </w:tc>
        <w:tc>
          <w:tcPr>
            <w:tcW w:w="1442" w:type="dxa"/>
            <w:shd w:val="clear" w:color="auto" w:fill="auto"/>
            <w:vAlign w:val="center"/>
          </w:tcPr>
          <w:p w14:paraId="30CD6E3A"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$978 024</w:t>
            </w:r>
          </w:p>
        </w:tc>
        <w:tc>
          <w:tcPr>
            <w:tcW w:w="1413" w:type="dxa"/>
            <w:shd w:val="clear" w:color="auto" w:fill="auto"/>
            <w:vAlign w:val="center"/>
          </w:tcPr>
          <w:p w14:paraId="540A6902"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$999 164</w:t>
            </w:r>
          </w:p>
        </w:tc>
        <w:tc>
          <w:tcPr>
            <w:tcW w:w="925" w:type="dxa"/>
            <w:shd w:val="clear" w:color="auto" w:fill="auto"/>
            <w:vAlign w:val="center"/>
          </w:tcPr>
          <w:p w14:paraId="2E6B4593" w14:textId="77777777" w:rsidR="0019446E" w:rsidRPr="00CB6EC6" w:rsidRDefault="0019446E" w:rsidP="0019446E">
            <w:pPr>
              <w:jc w:val="center"/>
              <w:rPr>
                <w:rFonts w:ascii="Calibri" w:eastAsia="Times New Roman" w:hAnsi="Calibri" w:cs="Calibri"/>
                <w:color w:val="1D2228"/>
                <w:lang w:eastAsia="pt-PT"/>
              </w:rPr>
            </w:pPr>
            <w:r w:rsidRPr="00CB6EC6">
              <w:rPr>
                <w:rFonts w:ascii="Calibri" w:eastAsia="Times New Roman" w:hAnsi="Calibri" w:cs="Calibri"/>
                <w:color w:val="1D2228"/>
                <w:lang w:eastAsia="pt-PT"/>
              </w:rPr>
              <w:t>83%</w:t>
            </w:r>
          </w:p>
        </w:tc>
        <w:tc>
          <w:tcPr>
            <w:tcW w:w="867" w:type="dxa"/>
            <w:shd w:val="clear" w:color="auto" w:fill="auto"/>
            <w:vAlign w:val="center"/>
          </w:tcPr>
          <w:p w14:paraId="6458D5B1"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55%</w:t>
            </w:r>
          </w:p>
        </w:tc>
      </w:tr>
      <w:tr w:rsidR="0019446E" w14:paraId="53408EBD" w14:textId="77777777" w:rsidTr="0019446E">
        <w:tc>
          <w:tcPr>
            <w:tcW w:w="637" w:type="dxa"/>
            <w:shd w:val="clear" w:color="auto" w:fill="auto"/>
            <w:vAlign w:val="center"/>
          </w:tcPr>
          <w:p w14:paraId="1DF8ED37"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2.2</w:t>
            </w:r>
          </w:p>
        </w:tc>
        <w:tc>
          <w:tcPr>
            <w:tcW w:w="6516" w:type="dxa"/>
            <w:shd w:val="clear" w:color="auto" w:fill="auto"/>
            <w:vAlign w:val="center"/>
          </w:tcPr>
          <w:p w14:paraId="71B1098E" w14:textId="77777777" w:rsidR="0019446E" w:rsidRPr="00CB6EC6" w:rsidRDefault="0019446E" w:rsidP="0019446E">
            <w:pPr>
              <w:rPr>
                <w:rFonts w:ascii="Calibri" w:eastAsia="Times New Roman" w:hAnsi="Calibri" w:cs="Calibri"/>
                <w:color w:val="000000"/>
                <w:lang w:eastAsia="pt-PT"/>
              </w:rPr>
            </w:pPr>
            <w:r w:rsidRPr="00CB6EC6">
              <w:rPr>
                <w:rFonts w:ascii="Calibri" w:eastAsia="Times New Roman" w:hAnsi="Calibri" w:cs="Calibri"/>
                <w:color w:val="000000"/>
                <w:lang w:eastAsia="pt-PT"/>
              </w:rPr>
              <w:t>Promoting climate-resilient development and enhanced adaptive capacity to withstand disaster risks in Angolan’s Cuvelai River Basin</w:t>
            </w:r>
          </w:p>
        </w:tc>
        <w:tc>
          <w:tcPr>
            <w:tcW w:w="1554" w:type="dxa"/>
            <w:shd w:val="clear" w:color="auto" w:fill="auto"/>
            <w:vAlign w:val="center"/>
          </w:tcPr>
          <w:p w14:paraId="2FC87DBB"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$3 832 931</w:t>
            </w:r>
          </w:p>
        </w:tc>
        <w:tc>
          <w:tcPr>
            <w:tcW w:w="1413" w:type="dxa"/>
            <w:shd w:val="clear" w:color="auto" w:fill="auto"/>
            <w:vAlign w:val="center"/>
          </w:tcPr>
          <w:p w14:paraId="398C2D33"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$3 659 515</w:t>
            </w:r>
          </w:p>
        </w:tc>
        <w:tc>
          <w:tcPr>
            <w:tcW w:w="1442" w:type="dxa"/>
            <w:shd w:val="clear" w:color="auto" w:fill="auto"/>
            <w:vAlign w:val="center"/>
          </w:tcPr>
          <w:p w14:paraId="51AED531"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$1 143 145</w:t>
            </w:r>
          </w:p>
        </w:tc>
        <w:tc>
          <w:tcPr>
            <w:tcW w:w="1413" w:type="dxa"/>
            <w:shd w:val="clear" w:color="auto" w:fill="auto"/>
            <w:vAlign w:val="center"/>
          </w:tcPr>
          <w:p w14:paraId="3B35A692"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$1 601 612</w:t>
            </w:r>
          </w:p>
        </w:tc>
        <w:tc>
          <w:tcPr>
            <w:tcW w:w="925" w:type="dxa"/>
            <w:shd w:val="clear" w:color="auto" w:fill="auto"/>
            <w:vAlign w:val="center"/>
          </w:tcPr>
          <w:p w14:paraId="14440CDA" w14:textId="77777777" w:rsidR="0019446E" w:rsidRPr="00CB6EC6" w:rsidRDefault="0019446E" w:rsidP="0019446E">
            <w:pPr>
              <w:jc w:val="center"/>
              <w:rPr>
                <w:rFonts w:ascii="Calibri" w:eastAsia="Times New Roman" w:hAnsi="Calibri" w:cs="Calibri"/>
                <w:color w:val="1D2228"/>
                <w:lang w:eastAsia="pt-PT"/>
              </w:rPr>
            </w:pPr>
            <w:r w:rsidRPr="00CB6EC6">
              <w:rPr>
                <w:rFonts w:ascii="Calibri" w:eastAsia="Times New Roman" w:hAnsi="Calibri" w:cs="Calibri"/>
                <w:color w:val="1D2228"/>
                <w:lang w:eastAsia="pt-PT"/>
              </w:rPr>
              <w:t>30%</w:t>
            </w:r>
          </w:p>
        </w:tc>
        <w:tc>
          <w:tcPr>
            <w:tcW w:w="867" w:type="dxa"/>
            <w:shd w:val="clear" w:color="auto" w:fill="auto"/>
            <w:vAlign w:val="center"/>
          </w:tcPr>
          <w:p w14:paraId="11ADCA8F"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44%</w:t>
            </w:r>
          </w:p>
        </w:tc>
      </w:tr>
      <w:tr w:rsidR="0019446E" w14:paraId="45BEB48E" w14:textId="77777777" w:rsidTr="0019446E">
        <w:tc>
          <w:tcPr>
            <w:tcW w:w="637" w:type="dxa"/>
            <w:shd w:val="clear" w:color="auto" w:fill="auto"/>
            <w:vAlign w:val="center"/>
          </w:tcPr>
          <w:p w14:paraId="6EB0CABD"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2.3</w:t>
            </w:r>
          </w:p>
        </w:tc>
        <w:tc>
          <w:tcPr>
            <w:tcW w:w="6516" w:type="dxa"/>
            <w:shd w:val="clear" w:color="auto" w:fill="auto"/>
            <w:vAlign w:val="center"/>
          </w:tcPr>
          <w:p w14:paraId="0F5EABF3" w14:textId="77777777" w:rsidR="0019446E" w:rsidRPr="00CB6EC6" w:rsidRDefault="0019446E" w:rsidP="0019446E">
            <w:pPr>
              <w:rPr>
                <w:rFonts w:ascii="Calibri" w:eastAsia="Times New Roman" w:hAnsi="Calibri" w:cs="Calibri"/>
                <w:color w:val="000000"/>
                <w:lang w:eastAsia="pt-PT"/>
              </w:rPr>
            </w:pPr>
            <w:r w:rsidRPr="00CB6EC6">
              <w:rPr>
                <w:rFonts w:ascii="Calibri" w:eastAsia="Times New Roman" w:hAnsi="Calibri" w:cs="Calibri"/>
                <w:color w:val="000000"/>
                <w:lang w:eastAsia="pt-PT"/>
              </w:rPr>
              <w:t>Addressing urgent coastal adaptation needs and capacity gaps in Angola</w:t>
            </w:r>
          </w:p>
        </w:tc>
        <w:tc>
          <w:tcPr>
            <w:tcW w:w="1554" w:type="dxa"/>
            <w:shd w:val="clear" w:color="auto" w:fill="auto"/>
            <w:vAlign w:val="center"/>
          </w:tcPr>
          <w:p w14:paraId="3DF74359" w14:textId="77777777" w:rsidR="0019446E" w:rsidRPr="00CB6EC6" w:rsidRDefault="0019446E" w:rsidP="0019446E">
            <w:pPr>
              <w:jc w:val="right"/>
              <w:rPr>
                <w:rFonts w:ascii="Calibri" w:eastAsia="Times New Roman" w:hAnsi="Calibri" w:cs="Calibri"/>
                <w:color w:val="000000"/>
                <w:lang w:eastAsia="pt-PT"/>
              </w:rPr>
            </w:pPr>
            <w:r>
              <w:rPr>
                <w:rFonts w:ascii="Calibri" w:eastAsia="Times New Roman" w:hAnsi="Calibri" w:cs="Calibri"/>
                <w:color w:val="000000"/>
                <w:lang w:eastAsia="pt-PT"/>
              </w:rPr>
              <w:t>0</w:t>
            </w:r>
            <w:r w:rsidRPr="00CB6EC6">
              <w:rPr>
                <w:rFonts w:ascii="Calibri" w:eastAsia="Times New Roman" w:hAnsi="Calibri" w:cs="Calibri"/>
                <w:color w:val="000000"/>
                <w:lang w:eastAsia="pt-PT"/>
              </w:rPr>
              <w:t> </w:t>
            </w:r>
          </w:p>
        </w:tc>
        <w:tc>
          <w:tcPr>
            <w:tcW w:w="1413" w:type="dxa"/>
            <w:shd w:val="clear" w:color="auto" w:fill="auto"/>
            <w:vAlign w:val="center"/>
          </w:tcPr>
          <w:p w14:paraId="51DF7E67"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$459 358</w:t>
            </w:r>
          </w:p>
        </w:tc>
        <w:tc>
          <w:tcPr>
            <w:tcW w:w="1442" w:type="dxa"/>
            <w:shd w:val="clear" w:color="auto" w:fill="auto"/>
            <w:vAlign w:val="center"/>
          </w:tcPr>
          <w:p w14:paraId="060123CB" w14:textId="77777777" w:rsidR="0019446E" w:rsidRPr="00CB6EC6" w:rsidRDefault="0019446E" w:rsidP="0019446E">
            <w:pPr>
              <w:jc w:val="right"/>
              <w:rPr>
                <w:rFonts w:ascii="Calibri" w:eastAsia="Times New Roman" w:hAnsi="Calibri" w:cs="Calibri"/>
                <w:color w:val="000000"/>
                <w:lang w:eastAsia="pt-PT"/>
              </w:rPr>
            </w:pPr>
            <w:r>
              <w:rPr>
                <w:rFonts w:ascii="Calibri" w:eastAsia="Times New Roman" w:hAnsi="Calibri" w:cs="Calibri"/>
                <w:color w:val="000000"/>
                <w:lang w:eastAsia="pt-PT"/>
              </w:rPr>
              <w:t>0</w:t>
            </w:r>
            <w:r w:rsidRPr="00CB6EC6">
              <w:rPr>
                <w:rFonts w:ascii="Calibri" w:eastAsia="Times New Roman" w:hAnsi="Calibri" w:cs="Calibri"/>
                <w:color w:val="000000"/>
                <w:lang w:eastAsia="pt-PT"/>
              </w:rPr>
              <w:t> </w:t>
            </w:r>
          </w:p>
        </w:tc>
        <w:tc>
          <w:tcPr>
            <w:tcW w:w="1413" w:type="dxa"/>
            <w:shd w:val="clear" w:color="auto" w:fill="auto"/>
            <w:vAlign w:val="center"/>
          </w:tcPr>
          <w:p w14:paraId="74C6C536"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$190 615</w:t>
            </w:r>
          </w:p>
        </w:tc>
        <w:tc>
          <w:tcPr>
            <w:tcW w:w="925" w:type="dxa"/>
            <w:shd w:val="clear" w:color="auto" w:fill="auto"/>
            <w:vAlign w:val="center"/>
          </w:tcPr>
          <w:p w14:paraId="088897BD" w14:textId="77777777" w:rsidR="0019446E" w:rsidRPr="00CB6EC6" w:rsidRDefault="0019446E" w:rsidP="0019446E">
            <w:pPr>
              <w:jc w:val="center"/>
              <w:rPr>
                <w:rFonts w:ascii="Calibri" w:eastAsia="Times New Roman" w:hAnsi="Calibri" w:cs="Calibri"/>
                <w:color w:val="1D2228"/>
                <w:lang w:eastAsia="pt-PT"/>
              </w:rPr>
            </w:pPr>
            <w:r>
              <w:rPr>
                <w:rFonts w:ascii="Calibri" w:eastAsia="Times New Roman" w:hAnsi="Calibri" w:cs="Calibri"/>
                <w:color w:val="1D2228"/>
                <w:lang w:eastAsia="pt-PT"/>
              </w:rPr>
              <w:t>0</w:t>
            </w:r>
            <w:r w:rsidRPr="00CB6EC6">
              <w:rPr>
                <w:rFonts w:ascii="Calibri" w:eastAsia="Times New Roman" w:hAnsi="Calibri" w:cs="Calibri"/>
                <w:color w:val="1D2228"/>
                <w:lang w:eastAsia="pt-PT"/>
              </w:rPr>
              <w:t> </w:t>
            </w:r>
          </w:p>
        </w:tc>
        <w:tc>
          <w:tcPr>
            <w:tcW w:w="867" w:type="dxa"/>
            <w:shd w:val="clear" w:color="auto" w:fill="auto"/>
            <w:vAlign w:val="center"/>
          </w:tcPr>
          <w:p w14:paraId="7B31EF85"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41%</w:t>
            </w:r>
          </w:p>
        </w:tc>
      </w:tr>
      <w:tr w:rsidR="0019446E" w14:paraId="625E3BBF" w14:textId="77777777" w:rsidTr="0019446E">
        <w:tc>
          <w:tcPr>
            <w:tcW w:w="637" w:type="dxa"/>
            <w:shd w:val="clear" w:color="auto" w:fill="auto"/>
            <w:vAlign w:val="center"/>
          </w:tcPr>
          <w:p w14:paraId="40219383"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2.4</w:t>
            </w:r>
          </w:p>
        </w:tc>
        <w:tc>
          <w:tcPr>
            <w:tcW w:w="6516" w:type="dxa"/>
            <w:shd w:val="clear" w:color="auto" w:fill="auto"/>
            <w:vAlign w:val="center"/>
          </w:tcPr>
          <w:p w14:paraId="6324DFF4" w14:textId="77777777" w:rsidR="0019446E" w:rsidRPr="00CB6EC6" w:rsidRDefault="0019446E" w:rsidP="0019446E">
            <w:pPr>
              <w:rPr>
                <w:rFonts w:ascii="Calibri" w:eastAsia="Times New Roman" w:hAnsi="Calibri" w:cs="Calibri"/>
                <w:color w:val="000000"/>
                <w:lang w:eastAsia="pt-PT"/>
              </w:rPr>
            </w:pPr>
            <w:r w:rsidRPr="00CB6EC6">
              <w:rPr>
                <w:rFonts w:ascii="Calibri" w:eastAsia="Times New Roman" w:hAnsi="Calibri" w:cs="Calibri"/>
                <w:color w:val="000000"/>
                <w:lang w:eastAsia="pt-PT"/>
              </w:rPr>
              <w:t>Promotion of Sustainable Charcoal in Angola through a Value Chain Approach</w:t>
            </w:r>
          </w:p>
        </w:tc>
        <w:tc>
          <w:tcPr>
            <w:tcW w:w="1554" w:type="dxa"/>
            <w:shd w:val="clear" w:color="auto" w:fill="auto"/>
            <w:vAlign w:val="center"/>
          </w:tcPr>
          <w:p w14:paraId="18B08BE7" w14:textId="77777777" w:rsidR="0019446E" w:rsidRPr="00CB6EC6" w:rsidRDefault="0019446E" w:rsidP="0019446E">
            <w:pPr>
              <w:jc w:val="right"/>
              <w:rPr>
                <w:rFonts w:ascii="Calibri" w:eastAsia="Times New Roman" w:hAnsi="Calibri" w:cs="Calibri"/>
                <w:color w:val="000000"/>
                <w:lang w:eastAsia="pt-PT"/>
              </w:rPr>
            </w:pPr>
            <w:r>
              <w:rPr>
                <w:rFonts w:ascii="Calibri" w:eastAsia="Times New Roman" w:hAnsi="Calibri" w:cs="Calibri"/>
                <w:color w:val="000000"/>
                <w:lang w:eastAsia="pt-PT"/>
              </w:rPr>
              <w:t>0</w:t>
            </w:r>
            <w:r w:rsidRPr="00CB6EC6">
              <w:rPr>
                <w:rFonts w:ascii="Calibri" w:eastAsia="Times New Roman" w:hAnsi="Calibri" w:cs="Calibri"/>
                <w:color w:val="000000"/>
                <w:lang w:eastAsia="pt-PT"/>
              </w:rPr>
              <w:t> </w:t>
            </w:r>
          </w:p>
        </w:tc>
        <w:tc>
          <w:tcPr>
            <w:tcW w:w="1413" w:type="dxa"/>
            <w:shd w:val="clear" w:color="auto" w:fill="auto"/>
            <w:vAlign w:val="center"/>
          </w:tcPr>
          <w:p w14:paraId="47F3E4D9"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$905 001</w:t>
            </w:r>
          </w:p>
        </w:tc>
        <w:tc>
          <w:tcPr>
            <w:tcW w:w="1442" w:type="dxa"/>
            <w:shd w:val="clear" w:color="auto" w:fill="auto"/>
            <w:vAlign w:val="center"/>
          </w:tcPr>
          <w:p w14:paraId="729F410E" w14:textId="77777777" w:rsidR="0019446E" w:rsidRPr="00CB6EC6" w:rsidRDefault="0019446E" w:rsidP="0019446E">
            <w:pPr>
              <w:jc w:val="right"/>
              <w:rPr>
                <w:rFonts w:ascii="Calibri" w:eastAsia="Times New Roman" w:hAnsi="Calibri" w:cs="Calibri"/>
                <w:color w:val="000000"/>
                <w:lang w:eastAsia="pt-PT"/>
              </w:rPr>
            </w:pPr>
            <w:r>
              <w:rPr>
                <w:rFonts w:ascii="Calibri" w:eastAsia="Times New Roman" w:hAnsi="Calibri" w:cs="Calibri"/>
                <w:color w:val="000000"/>
                <w:lang w:eastAsia="pt-PT"/>
              </w:rPr>
              <w:t>0</w:t>
            </w:r>
            <w:r w:rsidRPr="00CB6EC6">
              <w:rPr>
                <w:rFonts w:ascii="Calibri" w:eastAsia="Times New Roman" w:hAnsi="Calibri" w:cs="Calibri"/>
                <w:color w:val="000000"/>
                <w:lang w:eastAsia="pt-PT"/>
              </w:rPr>
              <w:t> </w:t>
            </w:r>
          </w:p>
        </w:tc>
        <w:tc>
          <w:tcPr>
            <w:tcW w:w="1413" w:type="dxa"/>
            <w:shd w:val="clear" w:color="auto" w:fill="auto"/>
            <w:vAlign w:val="center"/>
          </w:tcPr>
          <w:p w14:paraId="628FA953"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$437 355</w:t>
            </w:r>
          </w:p>
        </w:tc>
        <w:tc>
          <w:tcPr>
            <w:tcW w:w="925" w:type="dxa"/>
            <w:shd w:val="clear" w:color="auto" w:fill="auto"/>
            <w:vAlign w:val="center"/>
          </w:tcPr>
          <w:p w14:paraId="3C5FBD14" w14:textId="77777777" w:rsidR="0019446E" w:rsidRPr="00CB6EC6" w:rsidRDefault="0019446E" w:rsidP="0019446E">
            <w:pPr>
              <w:jc w:val="center"/>
              <w:rPr>
                <w:rFonts w:ascii="Calibri" w:eastAsia="Times New Roman" w:hAnsi="Calibri" w:cs="Calibri"/>
                <w:color w:val="1D2228"/>
                <w:lang w:eastAsia="pt-PT"/>
              </w:rPr>
            </w:pPr>
            <w:r w:rsidRPr="00CB6EC6">
              <w:rPr>
                <w:rFonts w:ascii="Calibri" w:eastAsia="Times New Roman" w:hAnsi="Calibri" w:cs="Calibri"/>
                <w:color w:val="1D2228"/>
                <w:lang w:eastAsia="pt-PT"/>
              </w:rPr>
              <w:t> </w:t>
            </w:r>
            <w:r>
              <w:rPr>
                <w:rFonts w:ascii="Calibri" w:eastAsia="Times New Roman" w:hAnsi="Calibri" w:cs="Calibri"/>
                <w:color w:val="1D2228"/>
                <w:lang w:eastAsia="pt-PT"/>
              </w:rPr>
              <w:t>0</w:t>
            </w:r>
          </w:p>
        </w:tc>
        <w:tc>
          <w:tcPr>
            <w:tcW w:w="867" w:type="dxa"/>
            <w:shd w:val="clear" w:color="auto" w:fill="auto"/>
            <w:vAlign w:val="center"/>
          </w:tcPr>
          <w:p w14:paraId="3FE57FA2"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48%</w:t>
            </w:r>
          </w:p>
        </w:tc>
      </w:tr>
      <w:tr w:rsidR="0019446E" w14:paraId="7C7B5585" w14:textId="77777777" w:rsidTr="0019446E">
        <w:tc>
          <w:tcPr>
            <w:tcW w:w="637" w:type="dxa"/>
            <w:shd w:val="clear" w:color="auto" w:fill="auto"/>
            <w:vAlign w:val="center"/>
          </w:tcPr>
          <w:p w14:paraId="5426FCAE"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2.5</w:t>
            </w:r>
          </w:p>
        </w:tc>
        <w:tc>
          <w:tcPr>
            <w:tcW w:w="6516" w:type="dxa"/>
            <w:shd w:val="clear" w:color="auto" w:fill="auto"/>
            <w:vAlign w:val="center"/>
          </w:tcPr>
          <w:p w14:paraId="76B8876F" w14:textId="578680E6" w:rsidR="0019446E" w:rsidRPr="00CB6EC6" w:rsidRDefault="0019446E" w:rsidP="0019446E">
            <w:pPr>
              <w:rPr>
                <w:rFonts w:ascii="Calibri" w:eastAsia="Times New Roman" w:hAnsi="Calibri" w:cs="Calibri"/>
                <w:color w:val="000000"/>
                <w:lang w:eastAsia="pt-PT"/>
              </w:rPr>
            </w:pPr>
            <w:r w:rsidRPr="00CB6EC6">
              <w:rPr>
                <w:rFonts w:ascii="Calibri" w:eastAsia="Times New Roman" w:hAnsi="Calibri" w:cs="Calibri"/>
                <w:color w:val="000000"/>
                <w:lang w:eastAsia="pt-PT"/>
              </w:rPr>
              <w:t xml:space="preserve">Expansion and </w:t>
            </w:r>
            <w:r w:rsidR="00C277A6" w:rsidRPr="00CB6EC6">
              <w:rPr>
                <w:rFonts w:ascii="Calibri" w:eastAsia="Times New Roman" w:hAnsi="Calibri" w:cs="Calibri"/>
                <w:color w:val="000000"/>
                <w:lang w:eastAsia="pt-PT"/>
              </w:rPr>
              <w:t>strengthening</w:t>
            </w:r>
            <w:r w:rsidRPr="00CB6EC6">
              <w:rPr>
                <w:rFonts w:ascii="Calibri" w:eastAsia="Times New Roman" w:hAnsi="Calibri" w:cs="Calibri"/>
                <w:color w:val="000000"/>
                <w:lang w:eastAsia="pt-PT"/>
              </w:rPr>
              <w:t xml:space="preserve"> of Angola’s Protected Area system</w:t>
            </w:r>
          </w:p>
        </w:tc>
        <w:tc>
          <w:tcPr>
            <w:tcW w:w="1554" w:type="dxa"/>
            <w:shd w:val="clear" w:color="auto" w:fill="auto"/>
            <w:vAlign w:val="center"/>
          </w:tcPr>
          <w:p w14:paraId="2030A091"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w:t>
            </w:r>
            <w:r>
              <w:rPr>
                <w:rFonts w:ascii="Calibri" w:eastAsia="Times New Roman" w:hAnsi="Calibri" w:cs="Calibri"/>
                <w:color w:val="000000"/>
                <w:lang w:eastAsia="pt-PT"/>
              </w:rPr>
              <w:t>0</w:t>
            </w:r>
          </w:p>
        </w:tc>
        <w:tc>
          <w:tcPr>
            <w:tcW w:w="1413" w:type="dxa"/>
            <w:shd w:val="clear" w:color="auto" w:fill="auto"/>
            <w:vAlign w:val="center"/>
          </w:tcPr>
          <w:p w14:paraId="048C9C3E"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w:t>
            </w:r>
            <w:r>
              <w:rPr>
                <w:rFonts w:ascii="Calibri" w:eastAsia="Times New Roman" w:hAnsi="Calibri" w:cs="Calibri"/>
                <w:color w:val="000000"/>
                <w:lang w:eastAsia="pt-PT"/>
              </w:rPr>
              <w:t>0</w:t>
            </w:r>
          </w:p>
        </w:tc>
        <w:tc>
          <w:tcPr>
            <w:tcW w:w="1442" w:type="dxa"/>
            <w:shd w:val="clear" w:color="auto" w:fill="auto"/>
            <w:vAlign w:val="center"/>
          </w:tcPr>
          <w:p w14:paraId="2152A787"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w:t>
            </w:r>
            <w:r>
              <w:rPr>
                <w:rFonts w:ascii="Calibri" w:eastAsia="Times New Roman" w:hAnsi="Calibri" w:cs="Calibri"/>
                <w:color w:val="000000"/>
                <w:lang w:eastAsia="pt-PT"/>
              </w:rPr>
              <w:t>0</w:t>
            </w:r>
          </w:p>
        </w:tc>
        <w:tc>
          <w:tcPr>
            <w:tcW w:w="1413" w:type="dxa"/>
            <w:shd w:val="clear" w:color="auto" w:fill="auto"/>
            <w:vAlign w:val="center"/>
          </w:tcPr>
          <w:p w14:paraId="7AF1B7F0"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w:t>
            </w:r>
            <w:r>
              <w:rPr>
                <w:rFonts w:ascii="Calibri" w:eastAsia="Times New Roman" w:hAnsi="Calibri" w:cs="Calibri"/>
                <w:color w:val="000000"/>
                <w:lang w:eastAsia="pt-PT"/>
              </w:rPr>
              <w:t>0</w:t>
            </w:r>
          </w:p>
        </w:tc>
        <w:tc>
          <w:tcPr>
            <w:tcW w:w="925" w:type="dxa"/>
            <w:shd w:val="clear" w:color="auto" w:fill="auto"/>
            <w:vAlign w:val="center"/>
          </w:tcPr>
          <w:p w14:paraId="262A607C" w14:textId="77777777" w:rsidR="0019446E" w:rsidRPr="00CB6EC6" w:rsidRDefault="0019446E" w:rsidP="0019446E">
            <w:pPr>
              <w:jc w:val="center"/>
              <w:rPr>
                <w:rFonts w:ascii="Calibri" w:eastAsia="Times New Roman" w:hAnsi="Calibri" w:cs="Calibri"/>
                <w:color w:val="1D2228"/>
                <w:lang w:eastAsia="pt-PT"/>
              </w:rPr>
            </w:pPr>
            <w:r w:rsidRPr="00CB6EC6">
              <w:rPr>
                <w:rFonts w:ascii="Calibri" w:eastAsia="Times New Roman" w:hAnsi="Calibri" w:cs="Calibri"/>
                <w:color w:val="1D2228"/>
                <w:lang w:eastAsia="pt-PT"/>
              </w:rPr>
              <w:t> </w:t>
            </w:r>
            <w:r>
              <w:rPr>
                <w:rFonts w:ascii="Calibri" w:eastAsia="Times New Roman" w:hAnsi="Calibri" w:cs="Calibri"/>
                <w:color w:val="1D2228"/>
                <w:lang w:eastAsia="pt-PT"/>
              </w:rPr>
              <w:t>0</w:t>
            </w:r>
          </w:p>
        </w:tc>
        <w:tc>
          <w:tcPr>
            <w:tcW w:w="867" w:type="dxa"/>
            <w:shd w:val="clear" w:color="auto" w:fill="auto"/>
            <w:vAlign w:val="center"/>
          </w:tcPr>
          <w:p w14:paraId="42C436E9"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w:t>
            </w:r>
          </w:p>
        </w:tc>
      </w:tr>
      <w:tr w:rsidR="0019446E" w14:paraId="03526146" w14:textId="77777777" w:rsidTr="0019446E">
        <w:tc>
          <w:tcPr>
            <w:tcW w:w="637" w:type="dxa"/>
            <w:shd w:val="clear" w:color="auto" w:fill="auto"/>
            <w:vAlign w:val="center"/>
          </w:tcPr>
          <w:p w14:paraId="228CB718"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2.6</w:t>
            </w:r>
          </w:p>
        </w:tc>
        <w:tc>
          <w:tcPr>
            <w:tcW w:w="6516" w:type="dxa"/>
            <w:shd w:val="clear" w:color="auto" w:fill="auto"/>
            <w:vAlign w:val="center"/>
          </w:tcPr>
          <w:p w14:paraId="0B58DD3A" w14:textId="77777777" w:rsidR="0019446E" w:rsidRPr="00CB6EC6" w:rsidRDefault="0019446E" w:rsidP="0019446E">
            <w:pPr>
              <w:rPr>
                <w:rFonts w:ascii="Calibri" w:eastAsia="Times New Roman" w:hAnsi="Calibri" w:cs="Calibri"/>
                <w:color w:val="000000"/>
                <w:lang w:eastAsia="pt-PT"/>
              </w:rPr>
            </w:pPr>
            <w:r w:rsidRPr="00CB6EC6">
              <w:rPr>
                <w:rFonts w:ascii="Calibri" w:eastAsia="Times New Roman" w:hAnsi="Calibri" w:cs="Calibri"/>
                <w:color w:val="000000"/>
                <w:lang w:eastAsia="pt-PT"/>
              </w:rPr>
              <w:t>Creation of Marine Protected Areas in Angola</w:t>
            </w:r>
          </w:p>
        </w:tc>
        <w:tc>
          <w:tcPr>
            <w:tcW w:w="1554" w:type="dxa"/>
            <w:shd w:val="clear" w:color="auto" w:fill="auto"/>
            <w:vAlign w:val="center"/>
          </w:tcPr>
          <w:p w14:paraId="6B2BB4D0"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$625 000</w:t>
            </w:r>
          </w:p>
        </w:tc>
        <w:tc>
          <w:tcPr>
            <w:tcW w:w="1413" w:type="dxa"/>
            <w:shd w:val="clear" w:color="auto" w:fill="auto"/>
            <w:vAlign w:val="center"/>
          </w:tcPr>
          <w:p w14:paraId="06C478FE"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$383 500</w:t>
            </w:r>
          </w:p>
        </w:tc>
        <w:tc>
          <w:tcPr>
            <w:tcW w:w="1442" w:type="dxa"/>
            <w:shd w:val="clear" w:color="auto" w:fill="auto"/>
            <w:vAlign w:val="center"/>
          </w:tcPr>
          <w:p w14:paraId="3A624B44"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$218 010</w:t>
            </w:r>
          </w:p>
        </w:tc>
        <w:tc>
          <w:tcPr>
            <w:tcW w:w="1413" w:type="dxa"/>
            <w:shd w:val="clear" w:color="auto" w:fill="auto"/>
            <w:vAlign w:val="center"/>
          </w:tcPr>
          <w:p w14:paraId="67EE42DF"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$185 454</w:t>
            </w:r>
          </w:p>
        </w:tc>
        <w:tc>
          <w:tcPr>
            <w:tcW w:w="925" w:type="dxa"/>
            <w:shd w:val="clear" w:color="auto" w:fill="auto"/>
            <w:vAlign w:val="center"/>
          </w:tcPr>
          <w:p w14:paraId="3A8856AE" w14:textId="77777777" w:rsidR="0019446E" w:rsidRPr="00CB6EC6" w:rsidRDefault="0019446E" w:rsidP="0019446E">
            <w:pPr>
              <w:jc w:val="center"/>
              <w:rPr>
                <w:rFonts w:ascii="Calibri" w:eastAsia="Times New Roman" w:hAnsi="Calibri" w:cs="Calibri"/>
                <w:color w:val="1D2228"/>
                <w:lang w:eastAsia="pt-PT"/>
              </w:rPr>
            </w:pPr>
            <w:r w:rsidRPr="00CB6EC6">
              <w:rPr>
                <w:rFonts w:ascii="Calibri" w:eastAsia="Times New Roman" w:hAnsi="Calibri" w:cs="Calibri"/>
                <w:color w:val="1D2228"/>
                <w:lang w:eastAsia="pt-PT"/>
              </w:rPr>
              <w:t>35%</w:t>
            </w:r>
          </w:p>
        </w:tc>
        <w:tc>
          <w:tcPr>
            <w:tcW w:w="867" w:type="dxa"/>
            <w:shd w:val="clear" w:color="auto" w:fill="auto"/>
            <w:vAlign w:val="center"/>
          </w:tcPr>
          <w:p w14:paraId="1B7219BE"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48%</w:t>
            </w:r>
          </w:p>
        </w:tc>
      </w:tr>
      <w:tr w:rsidR="0019446E" w14:paraId="2A9D7190" w14:textId="77777777" w:rsidTr="0019446E">
        <w:tc>
          <w:tcPr>
            <w:tcW w:w="637" w:type="dxa"/>
            <w:shd w:val="clear" w:color="auto" w:fill="auto"/>
            <w:vAlign w:val="center"/>
          </w:tcPr>
          <w:p w14:paraId="0A6A6657"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2.7</w:t>
            </w:r>
          </w:p>
        </w:tc>
        <w:tc>
          <w:tcPr>
            <w:tcW w:w="6516" w:type="dxa"/>
            <w:shd w:val="clear" w:color="auto" w:fill="auto"/>
            <w:vAlign w:val="center"/>
          </w:tcPr>
          <w:p w14:paraId="2EE4DC05" w14:textId="77777777" w:rsidR="0019446E" w:rsidRPr="00CB6EC6" w:rsidRDefault="0019446E" w:rsidP="0019446E">
            <w:pPr>
              <w:rPr>
                <w:rFonts w:ascii="Calibri" w:eastAsia="Times New Roman" w:hAnsi="Calibri" w:cs="Calibri"/>
                <w:color w:val="000000"/>
                <w:lang w:eastAsia="pt-PT"/>
              </w:rPr>
            </w:pPr>
            <w:r w:rsidRPr="00CB6EC6">
              <w:rPr>
                <w:rFonts w:ascii="Calibri" w:eastAsia="Times New Roman" w:hAnsi="Calibri" w:cs="Calibri"/>
                <w:color w:val="000000"/>
                <w:lang w:eastAsia="pt-PT"/>
              </w:rPr>
              <w:t>Combating Illegal Wildlife Trade and Human Wildlife Conflict in Angola</w:t>
            </w:r>
          </w:p>
        </w:tc>
        <w:tc>
          <w:tcPr>
            <w:tcW w:w="1554" w:type="dxa"/>
            <w:shd w:val="clear" w:color="auto" w:fill="auto"/>
            <w:vAlign w:val="center"/>
          </w:tcPr>
          <w:p w14:paraId="1CD97012"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$250 419</w:t>
            </w:r>
          </w:p>
        </w:tc>
        <w:tc>
          <w:tcPr>
            <w:tcW w:w="1413" w:type="dxa"/>
            <w:shd w:val="clear" w:color="auto" w:fill="auto"/>
            <w:vAlign w:val="center"/>
          </w:tcPr>
          <w:p w14:paraId="5CAD18F9"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$735 846</w:t>
            </w:r>
          </w:p>
        </w:tc>
        <w:tc>
          <w:tcPr>
            <w:tcW w:w="1442" w:type="dxa"/>
            <w:shd w:val="clear" w:color="auto" w:fill="auto"/>
            <w:vAlign w:val="center"/>
          </w:tcPr>
          <w:p w14:paraId="77A3F403" w14:textId="77777777" w:rsidR="0019446E" w:rsidRPr="00CB6EC6" w:rsidRDefault="0019446E" w:rsidP="0019446E">
            <w:pPr>
              <w:jc w:val="right"/>
              <w:rPr>
                <w:rFonts w:ascii="Calibri" w:eastAsia="Times New Roman" w:hAnsi="Calibri" w:cs="Calibri"/>
                <w:color w:val="000000"/>
                <w:lang w:eastAsia="pt-PT"/>
              </w:rPr>
            </w:pPr>
            <w:r>
              <w:rPr>
                <w:rFonts w:ascii="Calibri" w:eastAsia="Times New Roman" w:hAnsi="Calibri" w:cs="Calibri"/>
                <w:color w:val="000000"/>
                <w:lang w:eastAsia="pt-PT"/>
              </w:rPr>
              <w:t>0</w:t>
            </w:r>
            <w:r w:rsidRPr="00CB6EC6">
              <w:rPr>
                <w:rFonts w:ascii="Calibri" w:eastAsia="Times New Roman" w:hAnsi="Calibri" w:cs="Calibri"/>
                <w:color w:val="000000"/>
                <w:lang w:eastAsia="pt-PT"/>
              </w:rPr>
              <w:t> </w:t>
            </w:r>
          </w:p>
        </w:tc>
        <w:tc>
          <w:tcPr>
            <w:tcW w:w="1413" w:type="dxa"/>
            <w:shd w:val="clear" w:color="auto" w:fill="auto"/>
            <w:vAlign w:val="center"/>
          </w:tcPr>
          <w:p w14:paraId="67D520A8"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$84 102</w:t>
            </w:r>
          </w:p>
        </w:tc>
        <w:tc>
          <w:tcPr>
            <w:tcW w:w="925" w:type="dxa"/>
            <w:shd w:val="clear" w:color="auto" w:fill="auto"/>
            <w:vAlign w:val="center"/>
          </w:tcPr>
          <w:p w14:paraId="7652B9C0" w14:textId="77777777" w:rsidR="0019446E" w:rsidRPr="00CB6EC6" w:rsidRDefault="0019446E" w:rsidP="0019446E">
            <w:pPr>
              <w:jc w:val="center"/>
              <w:rPr>
                <w:rFonts w:ascii="Calibri" w:eastAsia="Times New Roman" w:hAnsi="Calibri" w:cs="Calibri"/>
                <w:color w:val="1D2228"/>
                <w:lang w:eastAsia="pt-PT"/>
              </w:rPr>
            </w:pPr>
            <w:r w:rsidRPr="00CB6EC6">
              <w:rPr>
                <w:rFonts w:ascii="Calibri" w:eastAsia="Times New Roman" w:hAnsi="Calibri" w:cs="Calibri"/>
                <w:color w:val="1D2228"/>
                <w:lang w:eastAsia="pt-PT"/>
              </w:rPr>
              <w:t>0%</w:t>
            </w:r>
          </w:p>
        </w:tc>
        <w:tc>
          <w:tcPr>
            <w:tcW w:w="867" w:type="dxa"/>
            <w:shd w:val="clear" w:color="auto" w:fill="auto"/>
            <w:vAlign w:val="center"/>
          </w:tcPr>
          <w:p w14:paraId="5EACEA18"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11%</w:t>
            </w:r>
          </w:p>
        </w:tc>
      </w:tr>
      <w:tr w:rsidR="0019446E" w14:paraId="22A343D8" w14:textId="77777777" w:rsidTr="0019446E">
        <w:tc>
          <w:tcPr>
            <w:tcW w:w="637" w:type="dxa"/>
            <w:shd w:val="clear" w:color="000000" w:fill="B4C6E7"/>
            <w:vAlign w:val="center"/>
          </w:tcPr>
          <w:p w14:paraId="751A68CB"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w:t>
            </w:r>
          </w:p>
        </w:tc>
        <w:tc>
          <w:tcPr>
            <w:tcW w:w="6516" w:type="dxa"/>
            <w:shd w:val="clear" w:color="000000" w:fill="B4C6E7"/>
            <w:vAlign w:val="center"/>
          </w:tcPr>
          <w:p w14:paraId="11331887" w14:textId="77777777" w:rsidR="0019446E" w:rsidRPr="00CB6EC6" w:rsidRDefault="0019446E" w:rsidP="0019446E">
            <w:pPr>
              <w:jc w:val="both"/>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SUB-TOTAL</w:t>
            </w:r>
          </w:p>
        </w:tc>
        <w:tc>
          <w:tcPr>
            <w:tcW w:w="1554" w:type="dxa"/>
            <w:shd w:val="clear" w:color="000000" w:fill="B4C6E7"/>
            <w:vAlign w:val="center"/>
          </w:tcPr>
          <w:p w14:paraId="7040B25B" w14:textId="77777777" w:rsidR="0019446E" w:rsidRPr="00CB6EC6" w:rsidRDefault="0019446E" w:rsidP="0019446E">
            <w:pPr>
              <w:jc w:val="right"/>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$5 888 977</w:t>
            </w:r>
          </w:p>
        </w:tc>
        <w:tc>
          <w:tcPr>
            <w:tcW w:w="1413" w:type="dxa"/>
            <w:shd w:val="clear" w:color="000000" w:fill="B4C6E7"/>
            <w:vAlign w:val="center"/>
          </w:tcPr>
          <w:p w14:paraId="7D07398D" w14:textId="77777777" w:rsidR="0019446E" w:rsidRPr="00CB6EC6" w:rsidRDefault="0019446E" w:rsidP="0019446E">
            <w:pPr>
              <w:jc w:val="right"/>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$7 966 951</w:t>
            </w:r>
          </w:p>
        </w:tc>
        <w:tc>
          <w:tcPr>
            <w:tcW w:w="1442" w:type="dxa"/>
            <w:shd w:val="clear" w:color="000000" w:fill="B4C6E7"/>
            <w:vAlign w:val="center"/>
          </w:tcPr>
          <w:p w14:paraId="1937D707" w14:textId="77777777" w:rsidR="0019446E" w:rsidRPr="00CB6EC6" w:rsidRDefault="0019446E" w:rsidP="0019446E">
            <w:pPr>
              <w:jc w:val="right"/>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$2 339 179</w:t>
            </w:r>
          </w:p>
        </w:tc>
        <w:tc>
          <w:tcPr>
            <w:tcW w:w="1413" w:type="dxa"/>
            <w:shd w:val="clear" w:color="000000" w:fill="B4C6E7"/>
            <w:vAlign w:val="center"/>
          </w:tcPr>
          <w:p w14:paraId="0E40E450" w14:textId="77777777" w:rsidR="0019446E" w:rsidRPr="00CB6EC6" w:rsidRDefault="0019446E" w:rsidP="0019446E">
            <w:pPr>
              <w:jc w:val="right"/>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$3 498 301</w:t>
            </w:r>
          </w:p>
        </w:tc>
        <w:tc>
          <w:tcPr>
            <w:tcW w:w="925" w:type="dxa"/>
            <w:shd w:val="clear" w:color="000000" w:fill="B4C6E7"/>
            <w:vAlign w:val="center"/>
          </w:tcPr>
          <w:p w14:paraId="6A839073" w14:textId="77777777" w:rsidR="0019446E" w:rsidRPr="00CB6EC6" w:rsidRDefault="0019446E" w:rsidP="0019446E">
            <w:pPr>
              <w:jc w:val="right"/>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40%</w:t>
            </w:r>
          </w:p>
        </w:tc>
        <w:tc>
          <w:tcPr>
            <w:tcW w:w="867" w:type="dxa"/>
            <w:shd w:val="clear" w:color="000000" w:fill="B4C6E7"/>
            <w:vAlign w:val="center"/>
          </w:tcPr>
          <w:p w14:paraId="54497F3E" w14:textId="77777777" w:rsidR="0019446E" w:rsidRPr="00CB6EC6" w:rsidRDefault="0019446E" w:rsidP="0019446E">
            <w:pPr>
              <w:jc w:val="right"/>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44%</w:t>
            </w:r>
          </w:p>
        </w:tc>
      </w:tr>
      <w:tr w:rsidR="0019446E" w14:paraId="36C55B34" w14:textId="77777777" w:rsidTr="0019446E">
        <w:tc>
          <w:tcPr>
            <w:tcW w:w="637" w:type="dxa"/>
            <w:shd w:val="clear" w:color="auto" w:fill="auto"/>
            <w:vAlign w:val="center"/>
          </w:tcPr>
          <w:p w14:paraId="6C6E7288" w14:textId="77777777" w:rsidR="0019446E" w:rsidRPr="00CB6EC6" w:rsidRDefault="0019446E" w:rsidP="0019446E">
            <w:pPr>
              <w:jc w:val="center"/>
              <w:rPr>
                <w:rFonts w:ascii="Calibri" w:eastAsia="Times New Roman" w:hAnsi="Calibri" w:cs="Calibri"/>
                <w:color w:val="000000"/>
                <w:lang w:eastAsia="pt-PT"/>
              </w:rPr>
            </w:pPr>
            <w:r w:rsidRPr="00CB6EC6">
              <w:rPr>
                <w:rFonts w:ascii="Calibri" w:eastAsia="Times New Roman" w:hAnsi="Calibri" w:cs="Calibri"/>
                <w:color w:val="000000"/>
                <w:lang w:eastAsia="pt-PT"/>
              </w:rPr>
              <w:t> </w:t>
            </w:r>
          </w:p>
        </w:tc>
        <w:tc>
          <w:tcPr>
            <w:tcW w:w="6516" w:type="dxa"/>
            <w:shd w:val="clear" w:color="auto" w:fill="auto"/>
            <w:vAlign w:val="center"/>
          </w:tcPr>
          <w:p w14:paraId="642CCD08" w14:textId="77777777" w:rsidR="0019446E" w:rsidRPr="00CB6EC6" w:rsidRDefault="0019446E" w:rsidP="0019446E">
            <w:pPr>
              <w:jc w:val="center"/>
              <w:rPr>
                <w:rFonts w:ascii="Calibri" w:eastAsia="Times New Roman" w:hAnsi="Calibri" w:cs="Calibri"/>
                <w:color w:val="000000"/>
                <w:lang w:eastAsia="pt-PT"/>
              </w:rPr>
            </w:pPr>
            <w:r w:rsidRPr="00CB6EC6">
              <w:rPr>
                <w:rFonts w:ascii="Calibri" w:eastAsia="Times New Roman" w:hAnsi="Calibri" w:cs="Calibri"/>
                <w:color w:val="000000"/>
                <w:lang w:eastAsia="pt-PT"/>
              </w:rPr>
              <w:t> </w:t>
            </w:r>
          </w:p>
        </w:tc>
        <w:tc>
          <w:tcPr>
            <w:tcW w:w="1554" w:type="dxa"/>
            <w:shd w:val="clear" w:color="auto" w:fill="auto"/>
            <w:vAlign w:val="center"/>
          </w:tcPr>
          <w:p w14:paraId="25C28F0A" w14:textId="77777777" w:rsidR="0019446E" w:rsidRPr="00CB6EC6" w:rsidRDefault="0019446E" w:rsidP="0019446E">
            <w:pPr>
              <w:jc w:val="center"/>
              <w:rPr>
                <w:rFonts w:ascii="Calibri" w:eastAsia="Times New Roman" w:hAnsi="Calibri" w:cs="Calibri"/>
                <w:color w:val="000000"/>
                <w:lang w:eastAsia="pt-PT"/>
              </w:rPr>
            </w:pPr>
            <w:r w:rsidRPr="00CB6EC6">
              <w:rPr>
                <w:rFonts w:ascii="Calibri" w:eastAsia="Times New Roman" w:hAnsi="Calibri" w:cs="Calibri"/>
                <w:color w:val="000000"/>
                <w:lang w:eastAsia="pt-PT"/>
              </w:rPr>
              <w:t> </w:t>
            </w:r>
          </w:p>
        </w:tc>
        <w:tc>
          <w:tcPr>
            <w:tcW w:w="1413" w:type="dxa"/>
            <w:shd w:val="clear" w:color="auto" w:fill="auto"/>
            <w:vAlign w:val="center"/>
          </w:tcPr>
          <w:p w14:paraId="33F63206" w14:textId="77777777" w:rsidR="0019446E" w:rsidRPr="00CB6EC6" w:rsidRDefault="0019446E" w:rsidP="0019446E">
            <w:pPr>
              <w:jc w:val="center"/>
              <w:rPr>
                <w:rFonts w:ascii="Calibri" w:eastAsia="Times New Roman" w:hAnsi="Calibri" w:cs="Calibri"/>
                <w:color w:val="000000"/>
                <w:lang w:eastAsia="pt-PT"/>
              </w:rPr>
            </w:pPr>
            <w:r w:rsidRPr="00CB6EC6">
              <w:rPr>
                <w:rFonts w:ascii="Calibri" w:eastAsia="Times New Roman" w:hAnsi="Calibri" w:cs="Calibri"/>
                <w:color w:val="000000"/>
                <w:lang w:eastAsia="pt-PT"/>
              </w:rPr>
              <w:t> </w:t>
            </w:r>
          </w:p>
        </w:tc>
        <w:tc>
          <w:tcPr>
            <w:tcW w:w="1442" w:type="dxa"/>
            <w:shd w:val="clear" w:color="auto" w:fill="auto"/>
            <w:vAlign w:val="center"/>
          </w:tcPr>
          <w:p w14:paraId="06E9DD49" w14:textId="77777777" w:rsidR="0019446E" w:rsidRPr="00CB6EC6" w:rsidRDefault="0019446E" w:rsidP="0019446E">
            <w:pPr>
              <w:jc w:val="center"/>
              <w:rPr>
                <w:rFonts w:ascii="Calibri" w:eastAsia="Times New Roman" w:hAnsi="Calibri" w:cs="Calibri"/>
                <w:color w:val="000000"/>
                <w:lang w:eastAsia="pt-PT"/>
              </w:rPr>
            </w:pPr>
            <w:r w:rsidRPr="00CB6EC6">
              <w:rPr>
                <w:rFonts w:ascii="Calibri" w:eastAsia="Times New Roman" w:hAnsi="Calibri" w:cs="Calibri"/>
                <w:color w:val="000000"/>
                <w:lang w:eastAsia="pt-PT"/>
              </w:rPr>
              <w:t> </w:t>
            </w:r>
          </w:p>
        </w:tc>
        <w:tc>
          <w:tcPr>
            <w:tcW w:w="1413" w:type="dxa"/>
            <w:shd w:val="clear" w:color="auto" w:fill="auto"/>
            <w:vAlign w:val="center"/>
          </w:tcPr>
          <w:p w14:paraId="54DAE979" w14:textId="77777777" w:rsidR="0019446E" w:rsidRPr="00CB6EC6" w:rsidRDefault="0019446E" w:rsidP="0019446E">
            <w:pPr>
              <w:jc w:val="center"/>
              <w:rPr>
                <w:rFonts w:ascii="Calibri" w:eastAsia="Times New Roman" w:hAnsi="Calibri" w:cs="Calibri"/>
                <w:color w:val="000000"/>
                <w:lang w:eastAsia="pt-PT"/>
              </w:rPr>
            </w:pPr>
          </w:p>
        </w:tc>
        <w:tc>
          <w:tcPr>
            <w:tcW w:w="925" w:type="dxa"/>
            <w:shd w:val="clear" w:color="auto" w:fill="auto"/>
            <w:vAlign w:val="center"/>
          </w:tcPr>
          <w:p w14:paraId="6D3BAA62" w14:textId="77777777" w:rsidR="0019446E" w:rsidRPr="00CB6EC6" w:rsidRDefault="0019446E" w:rsidP="0019446E">
            <w:pPr>
              <w:jc w:val="center"/>
              <w:rPr>
                <w:rFonts w:ascii="Calibri" w:eastAsia="Times New Roman" w:hAnsi="Calibri" w:cs="Calibri"/>
                <w:color w:val="000000"/>
                <w:lang w:eastAsia="pt-PT"/>
              </w:rPr>
            </w:pPr>
          </w:p>
        </w:tc>
        <w:tc>
          <w:tcPr>
            <w:tcW w:w="867" w:type="dxa"/>
            <w:shd w:val="clear" w:color="auto" w:fill="auto"/>
            <w:vAlign w:val="center"/>
          </w:tcPr>
          <w:p w14:paraId="2504733B" w14:textId="77777777" w:rsidR="0019446E" w:rsidRPr="00CB6EC6" w:rsidRDefault="0019446E" w:rsidP="0019446E">
            <w:pPr>
              <w:jc w:val="center"/>
              <w:rPr>
                <w:rFonts w:ascii="Calibri" w:eastAsia="Times New Roman" w:hAnsi="Calibri" w:cs="Calibri"/>
                <w:color w:val="000000"/>
                <w:lang w:eastAsia="pt-PT"/>
              </w:rPr>
            </w:pPr>
          </w:p>
        </w:tc>
      </w:tr>
      <w:tr w:rsidR="0019446E" w14:paraId="4EEC56CD" w14:textId="77777777" w:rsidTr="0019446E">
        <w:tc>
          <w:tcPr>
            <w:tcW w:w="637" w:type="dxa"/>
            <w:shd w:val="clear" w:color="auto" w:fill="auto"/>
            <w:vAlign w:val="center"/>
          </w:tcPr>
          <w:p w14:paraId="4C489948" w14:textId="77777777" w:rsidR="0019446E" w:rsidRPr="00CB6EC6" w:rsidRDefault="0019446E" w:rsidP="0019446E">
            <w:pPr>
              <w:jc w:val="right"/>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III</w:t>
            </w:r>
          </w:p>
        </w:tc>
        <w:tc>
          <w:tcPr>
            <w:tcW w:w="6516" w:type="dxa"/>
            <w:shd w:val="clear" w:color="auto" w:fill="auto"/>
            <w:vAlign w:val="center"/>
          </w:tcPr>
          <w:p w14:paraId="182D2C43" w14:textId="77777777" w:rsidR="0019446E" w:rsidRPr="00CB6EC6" w:rsidRDefault="0019446E" w:rsidP="0019446E">
            <w:pPr>
              <w:jc w:val="both"/>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Governance Unit</w:t>
            </w:r>
          </w:p>
        </w:tc>
        <w:tc>
          <w:tcPr>
            <w:tcW w:w="1554" w:type="dxa"/>
            <w:shd w:val="clear" w:color="auto" w:fill="auto"/>
            <w:vAlign w:val="center"/>
          </w:tcPr>
          <w:p w14:paraId="1807B64C" w14:textId="77777777" w:rsidR="0019446E" w:rsidRPr="00CB6EC6" w:rsidRDefault="0019446E" w:rsidP="0019446E">
            <w:pPr>
              <w:jc w:val="both"/>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 </w:t>
            </w:r>
          </w:p>
        </w:tc>
        <w:tc>
          <w:tcPr>
            <w:tcW w:w="1413" w:type="dxa"/>
            <w:shd w:val="clear" w:color="auto" w:fill="auto"/>
            <w:vAlign w:val="center"/>
          </w:tcPr>
          <w:p w14:paraId="7AE93EAC" w14:textId="77777777" w:rsidR="0019446E" w:rsidRPr="00CB6EC6" w:rsidRDefault="0019446E" w:rsidP="0019446E">
            <w:pPr>
              <w:jc w:val="both"/>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 </w:t>
            </w:r>
          </w:p>
        </w:tc>
        <w:tc>
          <w:tcPr>
            <w:tcW w:w="1442" w:type="dxa"/>
            <w:shd w:val="clear" w:color="auto" w:fill="auto"/>
            <w:vAlign w:val="center"/>
          </w:tcPr>
          <w:p w14:paraId="61164E1C" w14:textId="77777777" w:rsidR="0019446E" w:rsidRPr="00CB6EC6" w:rsidRDefault="0019446E" w:rsidP="0019446E">
            <w:pPr>
              <w:jc w:val="both"/>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 </w:t>
            </w:r>
          </w:p>
        </w:tc>
        <w:tc>
          <w:tcPr>
            <w:tcW w:w="1413" w:type="dxa"/>
            <w:shd w:val="clear" w:color="auto" w:fill="auto"/>
            <w:vAlign w:val="center"/>
          </w:tcPr>
          <w:p w14:paraId="2FBF6B4E" w14:textId="77777777" w:rsidR="0019446E" w:rsidRPr="00CB6EC6" w:rsidRDefault="0019446E" w:rsidP="0019446E">
            <w:pPr>
              <w:jc w:val="both"/>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 </w:t>
            </w:r>
          </w:p>
        </w:tc>
        <w:tc>
          <w:tcPr>
            <w:tcW w:w="925" w:type="dxa"/>
            <w:shd w:val="clear" w:color="auto" w:fill="auto"/>
            <w:vAlign w:val="center"/>
          </w:tcPr>
          <w:p w14:paraId="5D844EB9" w14:textId="77777777" w:rsidR="0019446E" w:rsidRPr="00CB6EC6" w:rsidRDefault="0019446E" w:rsidP="0019446E">
            <w:pPr>
              <w:jc w:val="both"/>
              <w:rPr>
                <w:rFonts w:ascii="Calibri" w:eastAsia="Times New Roman" w:hAnsi="Calibri" w:cs="Calibri"/>
                <w:b/>
                <w:bCs/>
                <w:color w:val="000000"/>
                <w:lang w:eastAsia="pt-PT"/>
              </w:rPr>
            </w:pPr>
          </w:p>
        </w:tc>
        <w:tc>
          <w:tcPr>
            <w:tcW w:w="867" w:type="dxa"/>
            <w:shd w:val="clear" w:color="auto" w:fill="auto"/>
            <w:vAlign w:val="center"/>
          </w:tcPr>
          <w:p w14:paraId="37CD02AC" w14:textId="77777777" w:rsidR="0019446E" w:rsidRPr="00CB6EC6" w:rsidRDefault="0019446E" w:rsidP="0019446E">
            <w:pPr>
              <w:jc w:val="both"/>
              <w:rPr>
                <w:rFonts w:ascii="Calibri" w:eastAsia="Times New Roman" w:hAnsi="Calibri" w:cs="Calibri"/>
                <w:b/>
                <w:bCs/>
                <w:color w:val="000000"/>
                <w:lang w:eastAsia="pt-PT"/>
              </w:rPr>
            </w:pPr>
          </w:p>
        </w:tc>
      </w:tr>
      <w:tr w:rsidR="0019446E" w14:paraId="129E2CDD" w14:textId="77777777" w:rsidTr="0019446E">
        <w:tc>
          <w:tcPr>
            <w:tcW w:w="637" w:type="dxa"/>
            <w:shd w:val="clear" w:color="auto" w:fill="auto"/>
            <w:vAlign w:val="center"/>
          </w:tcPr>
          <w:p w14:paraId="5BCAD9E7"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3.1</w:t>
            </w:r>
          </w:p>
        </w:tc>
        <w:tc>
          <w:tcPr>
            <w:tcW w:w="6516" w:type="dxa"/>
            <w:shd w:val="clear" w:color="000000" w:fill="FFFFFF"/>
            <w:vAlign w:val="center"/>
          </w:tcPr>
          <w:p w14:paraId="10164E2F" w14:textId="77777777" w:rsidR="0019446E" w:rsidRPr="00CB6EC6" w:rsidRDefault="0019446E" w:rsidP="0019446E">
            <w:pPr>
              <w:rPr>
                <w:rFonts w:ascii="Calibri" w:eastAsia="Times New Roman" w:hAnsi="Calibri" w:cs="Calibri"/>
                <w:color w:val="202124"/>
                <w:lang w:eastAsia="pt-PT"/>
              </w:rPr>
            </w:pPr>
            <w:r w:rsidRPr="00CB6EC6">
              <w:rPr>
                <w:rFonts w:ascii="Calibri" w:eastAsia="Times New Roman" w:hAnsi="Calibri" w:cs="Calibri"/>
                <w:color w:val="202124"/>
                <w:lang w:eastAsia="pt-PT"/>
              </w:rPr>
              <w:t>Fair and Inclusive Society</w:t>
            </w:r>
          </w:p>
        </w:tc>
        <w:tc>
          <w:tcPr>
            <w:tcW w:w="1554" w:type="dxa"/>
            <w:shd w:val="clear" w:color="auto" w:fill="auto"/>
            <w:vAlign w:val="center"/>
          </w:tcPr>
          <w:p w14:paraId="42C21DB1"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xml:space="preserve">$135 000 </w:t>
            </w:r>
          </w:p>
        </w:tc>
        <w:tc>
          <w:tcPr>
            <w:tcW w:w="1413" w:type="dxa"/>
            <w:shd w:val="clear" w:color="auto" w:fill="auto"/>
            <w:vAlign w:val="center"/>
          </w:tcPr>
          <w:p w14:paraId="2BF9E71E"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xml:space="preserve">$190 000 </w:t>
            </w:r>
          </w:p>
        </w:tc>
        <w:tc>
          <w:tcPr>
            <w:tcW w:w="1442" w:type="dxa"/>
            <w:shd w:val="clear" w:color="auto" w:fill="auto"/>
            <w:vAlign w:val="center"/>
          </w:tcPr>
          <w:p w14:paraId="2D243F3E"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xml:space="preserve">$134 689 </w:t>
            </w:r>
          </w:p>
        </w:tc>
        <w:tc>
          <w:tcPr>
            <w:tcW w:w="1413" w:type="dxa"/>
            <w:shd w:val="clear" w:color="auto" w:fill="auto"/>
            <w:vAlign w:val="center"/>
          </w:tcPr>
          <w:p w14:paraId="629B0317"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xml:space="preserve">$126 498 </w:t>
            </w:r>
          </w:p>
        </w:tc>
        <w:tc>
          <w:tcPr>
            <w:tcW w:w="925" w:type="dxa"/>
            <w:shd w:val="clear" w:color="000000" w:fill="FFFFFF"/>
            <w:vAlign w:val="center"/>
          </w:tcPr>
          <w:p w14:paraId="6FD273D3" w14:textId="77777777" w:rsidR="0019446E" w:rsidRPr="00CB6EC6" w:rsidRDefault="0019446E" w:rsidP="0019446E">
            <w:pPr>
              <w:jc w:val="center"/>
              <w:rPr>
                <w:rFonts w:ascii="Calibri" w:eastAsia="Times New Roman" w:hAnsi="Calibri" w:cs="Calibri"/>
                <w:color w:val="1D2228"/>
                <w:lang w:eastAsia="pt-PT"/>
              </w:rPr>
            </w:pPr>
            <w:r w:rsidRPr="00CB6EC6">
              <w:rPr>
                <w:rFonts w:ascii="Calibri" w:eastAsia="Times New Roman" w:hAnsi="Calibri" w:cs="Calibri"/>
                <w:color w:val="1D2228"/>
                <w:lang w:eastAsia="pt-PT"/>
              </w:rPr>
              <w:t>100%</w:t>
            </w:r>
          </w:p>
        </w:tc>
        <w:tc>
          <w:tcPr>
            <w:tcW w:w="867" w:type="dxa"/>
            <w:shd w:val="clear" w:color="auto" w:fill="auto"/>
            <w:vAlign w:val="center"/>
          </w:tcPr>
          <w:p w14:paraId="77B26A1F"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67%</w:t>
            </w:r>
          </w:p>
        </w:tc>
      </w:tr>
      <w:tr w:rsidR="0019446E" w14:paraId="6DB7ECB6" w14:textId="77777777" w:rsidTr="0019446E">
        <w:tc>
          <w:tcPr>
            <w:tcW w:w="637" w:type="dxa"/>
            <w:shd w:val="clear" w:color="auto" w:fill="auto"/>
            <w:vAlign w:val="center"/>
          </w:tcPr>
          <w:p w14:paraId="592BC8AA"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3.2</w:t>
            </w:r>
          </w:p>
        </w:tc>
        <w:tc>
          <w:tcPr>
            <w:tcW w:w="6516" w:type="dxa"/>
            <w:shd w:val="clear" w:color="000000" w:fill="FFFFFF"/>
            <w:vAlign w:val="center"/>
          </w:tcPr>
          <w:p w14:paraId="7FBE0C4D" w14:textId="77777777" w:rsidR="0019446E" w:rsidRPr="00CB6EC6" w:rsidRDefault="0019446E" w:rsidP="0019446E">
            <w:pPr>
              <w:rPr>
                <w:rFonts w:ascii="Calibri" w:eastAsia="Times New Roman" w:hAnsi="Calibri" w:cs="Calibri"/>
                <w:color w:val="202124"/>
                <w:lang w:eastAsia="pt-PT"/>
              </w:rPr>
            </w:pPr>
            <w:r w:rsidRPr="00CB6EC6">
              <w:rPr>
                <w:rFonts w:ascii="Calibri" w:eastAsia="Times New Roman" w:hAnsi="Calibri" w:cs="Calibri"/>
                <w:color w:val="202124"/>
                <w:lang w:eastAsia="pt-PT"/>
              </w:rPr>
              <w:t>Technical Assistance for Local Elections</w:t>
            </w:r>
          </w:p>
        </w:tc>
        <w:tc>
          <w:tcPr>
            <w:tcW w:w="1554" w:type="dxa"/>
            <w:shd w:val="clear" w:color="000000" w:fill="FFFFFF"/>
            <w:vAlign w:val="center"/>
          </w:tcPr>
          <w:p w14:paraId="38EAF16A" w14:textId="77777777" w:rsidR="0019446E" w:rsidRPr="00CB6EC6" w:rsidRDefault="0019446E" w:rsidP="0019446E">
            <w:pPr>
              <w:jc w:val="right"/>
              <w:rPr>
                <w:rFonts w:ascii="Calibri" w:eastAsia="Times New Roman" w:hAnsi="Calibri" w:cs="Calibri"/>
                <w:color w:val="1D2228"/>
                <w:lang w:eastAsia="pt-PT"/>
              </w:rPr>
            </w:pPr>
            <w:r w:rsidRPr="00CB6EC6">
              <w:rPr>
                <w:rFonts w:ascii="Calibri" w:eastAsia="Times New Roman" w:hAnsi="Calibri" w:cs="Calibri"/>
                <w:color w:val="1D2228"/>
                <w:lang w:eastAsia="pt-PT"/>
              </w:rPr>
              <w:t xml:space="preserve">$542 206 </w:t>
            </w:r>
          </w:p>
        </w:tc>
        <w:tc>
          <w:tcPr>
            <w:tcW w:w="1413" w:type="dxa"/>
            <w:shd w:val="clear" w:color="000000" w:fill="FFFFFF"/>
            <w:vAlign w:val="center"/>
          </w:tcPr>
          <w:p w14:paraId="283C4AB3" w14:textId="77777777" w:rsidR="0019446E" w:rsidRPr="00CB6EC6" w:rsidRDefault="0019446E" w:rsidP="0019446E">
            <w:pPr>
              <w:jc w:val="right"/>
              <w:rPr>
                <w:rFonts w:ascii="Calibri" w:eastAsia="Times New Roman" w:hAnsi="Calibri" w:cs="Calibri"/>
                <w:color w:val="1D2228"/>
                <w:lang w:eastAsia="pt-PT"/>
              </w:rPr>
            </w:pPr>
            <w:r w:rsidRPr="00CB6EC6">
              <w:rPr>
                <w:rFonts w:ascii="Calibri" w:eastAsia="Times New Roman" w:hAnsi="Calibri" w:cs="Calibri"/>
                <w:color w:val="1D2228"/>
                <w:lang w:eastAsia="pt-PT"/>
              </w:rPr>
              <w:t xml:space="preserve">$558 110 </w:t>
            </w:r>
          </w:p>
        </w:tc>
        <w:tc>
          <w:tcPr>
            <w:tcW w:w="1442" w:type="dxa"/>
            <w:shd w:val="clear" w:color="000000" w:fill="FFFFFF"/>
            <w:vAlign w:val="center"/>
          </w:tcPr>
          <w:p w14:paraId="2C0A6AAD" w14:textId="77777777" w:rsidR="0019446E" w:rsidRPr="00CB6EC6" w:rsidRDefault="0019446E" w:rsidP="0019446E">
            <w:pPr>
              <w:jc w:val="right"/>
              <w:rPr>
                <w:rFonts w:ascii="Calibri" w:eastAsia="Times New Roman" w:hAnsi="Calibri" w:cs="Calibri"/>
                <w:color w:val="1D2228"/>
                <w:lang w:eastAsia="pt-PT"/>
              </w:rPr>
            </w:pPr>
            <w:r w:rsidRPr="00CB6EC6">
              <w:rPr>
                <w:rFonts w:ascii="Calibri" w:eastAsia="Times New Roman" w:hAnsi="Calibri" w:cs="Calibri"/>
                <w:color w:val="1D2228"/>
                <w:lang w:eastAsia="pt-PT"/>
              </w:rPr>
              <w:t xml:space="preserve">$221 926 </w:t>
            </w:r>
          </w:p>
        </w:tc>
        <w:tc>
          <w:tcPr>
            <w:tcW w:w="1413" w:type="dxa"/>
            <w:shd w:val="clear" w:color="auto" w:fill="auto"/>
            <w:vAlign w:val="center"/>
          </w:tcPr>
          <w:p w14:paraId="26AB4AC9" w14:textId="77777777" w:rsidR="0019446E" w:rsidRPr="00CB6EC6" w:rsidRDefault="0019446E" w:rsidP="0019446E">
            <w:pPr>
              <w:jc w:val="right"/>
              <w:rPr>
                <w:rFonts w:ascii="Calibri" w:eastAsia="Times New Roman" w:hAnsi="Calibri" w:cs="Calibri"/>
                <w:color w:val="1D2228"/>
                <w:lang w:eastAsia="pt-PT"/>
              </w:rPr>
            </w:pPr>
            <w:r w:rsidRPr="00CB6EC6">
              <w:rPr>
                <w:rFonts w:ascii="Calibri" w:eastAsia="Times New Roman" w:hAnsi="Calibri" w:cs="Calibri"/>
                <w:color w:val="1D2228"/>
                <w:lang w:eastAsia="pt-PT"/>
              </w:rPr>
              <w:t xml:space="preserve">$522 482 </w:t>
            </w:r>
          </w:p>
        </w:tc>
        <w:tc>
          <w:tcPr>
            <w:tcW w:w="925" w:type="dxa"/>
            <w:shd w:val="clear" w:color="000000" w:fill="FFFFFF"/>
            <w:vAlign w:val="center"/>
          </w:tcPr>
          <w:p w14:paraId="1460D5FE" w14:textId="77777777" w:rsidR="0019446E" w:rsidRPr="00CB6EC6" w:rsidRDefault="0019446E" w:rsidP="0019446E">
            <w:pPr>
              <w:jc w:val="center"/>
              <w:rPr>
                <w:rFonts w:ascii="Calibri" w:eastAsia="Times New Roman" w:hAnsi="Calibri" w:cs="Calibri"/>
                <w:color w:val="1D2228"/>
                <w:lang w:eastAsia="pt-PT"/>
              </w:rPr>
            </w:pPr>
            <w:r w:rsidRPr="00CB6EC6">
              <w:rPr>
                <w:rFonts w:ascii="Calibri" w:eastAsia="Times New Roman" w:hAnsi="Calibri" w:cs="Calibri"/>
                <w:color w:val="1D2228"/>
                <w:lang w:eastAsia="pt-PT"/>
              </w:rPr>
              <w:t>41%</w:t>
            </w:r>
          </w:p>
        </w:tc>
        <w:tc>
          <w:tcPr>
            <w:tcW w:w="867" w:type="dxa"/>
            <w:shd w:val="clear" w:color="000000" w:fill="FFFFFF"/>
            <w:vAlign w:val="center"/>
          </w:tcPr>
          <w:p w14:paraId="61FE2400"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94%</w:t>
            </w:r>
          </w:p>
        </w:tc>
      </w:tr>
      <w:tr w:rsidR="0019446E" w14:paraId="309D5643" w14:textId="77777777" w:rsidTr="0019446E">
        <w:tc>
          <w:tcPr>
            <w:tcW w:w="637" w:type="dxa"/>
            <w:shd w:val="clear" w:color="auto" w:fill="auto"/>
            <w:vAlign w:val="center"/>
          </w:tcPr>
          <w:p w14:paraId="440104B8"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lastRenderedPageBreak/>
              <w:t>3.3</w:t>
            </w:r>
          </w:p>
        </w:tc>
        <w:tc>
          <w:tcPr>
            <w:tcW w:w="6516" w:type="dxa"/>
            <w:shd w:val="clear" w:color="auto" w:fill="auto"/>
            <w:vAlign w:val="center"/>
          </w:tcPr>
          <w:p w14:paraId="761ED165" w14:textId="77777777" w:rsidR="0019446E" w:rsidRPr="00CB6EC6" w:rsidRDefault="0019446E" w:rsidP="0019446E">
            <w:pPr>
              <w:jc w:val="both"/>
              <w:rPr>
                <w:rFonts w:ascii="Calibri" w:eastAsia="Times New Roman" w:hAnsi="Calibri" w:cs="Calibri"/>
                <w:color w:val="000000"/>
                <w:lang w:eastAsia="pt-PT"/>
              </w:rPr>
            </w:pPr>
            <w:r w:rsidRPr="00CB6EC6">
              <w:rPr>
                <w:rFonts w:ascii="Calibri" w:eastAsia="Times New Roman" w:hAnsi="Calibri" w:cs="Calibri"/>
                <w:color w:val="000000"/>
                <w:lang w:eastAsia="pt-PT"/>
              </w:rPr>
              <w:t>Post-Elections Technical Assistance</w:t>
            </w:r>
          </w:p>
        </w:tc>
        <w:tc>
          <w:tcPr>
            <w:tcW w:w="1554" w:type="dxa"/>
            <w:shd w:val="clear" w:color="auto" w:fill="auto"/>
            <w:vAlign w:val="center"/>
          </w:tcPr>
          <w:p w14:paraId="175405A2"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xml:space="preserve">$208 212 </w:t>
            </w:r>
          </w:p>
        </w:tc>
        <w:tc>
          <w:tcPr>
            <w:tcW w:w="1413" w:type="dxa"/>
            <w:shd w:val="clear" w:color="auto" w:fill="auto"/>
            <w:vAlign w:val="center"/>
          </w:tcPr>
          <w:p w14:paraId="0D68C7BC"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xml:space="preserve">$1 003 </w:t>
            </w:r>
          </w:p>
        </w:tc>
        <w:tc>
          <w:tcPr>
            <w:tcW w:w="1442" w:type="dxa"/>
            <w:shd w:val="clear" w:color="auto" w:fill="auto"/>
            <w:vAlign w:val="center"/>
          </w:tcPr>
          <w:p w14:paraId="07C32D66"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xml:space="preserve">$136 542 </w:t>
            </w:r>
          </w:p>
        </w:tc>
        <w:tc>
          <w:tcPr>
            <w:tcW w:w="1413" w:type="dxa"/>
            <w:shd w:val="clear" w:color="auto" w:fill="auto"/>
            <w:vAlign w:val="center"/>
          </w:tcPr>
          <w:p w14:paraId="65B15B13" w14:textId="77777777" w:rsidR="0019446E" w:rsidRPr="00CB6EC6" w:rsidRDefault="0019446E" w:rsidP="0019446E">
            <w:pPr>
              <w:jc w:val="right"/>
              <w:rPr>
                <w:rFonts w:ascii="Calibri" w:eastAsia="Times New Roman" w:hAnsi="Calibri" w:cs="Calibri"/>
                <w:color w:val="000000"/>
                <w:lang w:eastAsia="pt-PT"/>
              </w:rPr>
            </w:pPr>
            <w:r>
              <w:rPr>
                <w:rFonts w:ascii="Calibri" w:eastAsia="Times New Roman" w:hAnsi="Calibri" w:cs="Calibri"/>
                <w:color w:val="000000"/>
                <w:lang w:eastAsia="pt-PT"/>
              </w:rPr>
              <w:t>0</w:t>
            </w:r>
            <w:r w:rsidRPr="00CB6EC6">
              <w:rPr>
                <w:rFonts w:ascii="Calibri" w:eastAsia="Times New Roman" w:hAnsi="Calibri" w:cs="Calibri"/>
                <w:color w:val="000000"/>
                <w:lang w:eastAsia="pt-PT"/>
              </w:rPr>
              <w:t> </w:t>
            </w:r>
          </w:p>
        </w:tc>
        <w:tc>
          <w:tcPr>
            <w:tcW w:w="925" w:type="dxa"/>
            <w:shd w:val="clear" w:color="auto" w:fill="auto"/>
            <w:vAlign w:val="center"/>
          </w:tcPr>
          <w:p w14:paraId="5FFFCA82" w14:textId="77777777" w:rsidR="0019446E" w:rsidRPr="00CB6EC6" w:rsidRDefault="0019446E" w:rsidP="0019446E">
            <w:pPr>
              <w:jc w:val="center"/>
              <w:rPr>
                <w:rFonts w:ascii="Calibri" w:eastAsia="Times New Roman" w:hAnsi="Calibri" w:cs="Calibri"/>
                <w:color w:val="1D2228"/>
                <w:lang w:eastAsia="pt-PT"/>
              </w:rPr>
            </w:pPr>
            <w:r w:rsidRPr="00CB6EC6">
              <w:rPr>
                <w:rFonts w:ascii="Calibri" w:eastAsia="Times New Roman" w:hAnsi="Calibri" w:cs="Calibri"/>
                <w:color w:val="1D2228"/>
                <w:lang w:eastAsia="pt-PT"/>
              </w:rPr>
              <w:t>66%</w:t>
            </w:r>
          </w:p>
        </w:tc>
        <w:tc>
          <w:tcPr>
            <w:tcW w:w="867" w:type="dxa"/>
            <w:shd w:val="clear" w:color="auto" w:fill="auto"/>
            <w:vAlign w:val="center"/>
          </w:tcPr>
          <w:p w14:paraId="7308B890"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0%</w:t>
            </w:r>
          </w:p>
        </w:tc>
      </w:tr>
      <w:tr w:rsidR="0019446E" w14:paraId="6AD04387" w14:textId="77777777" w:rsidTr="0019446E">
        <w:tc>
          <w:tcPr>
            <w:tcW w:w="637" w:type="dxa"/>
            <w:shd w:val="clear" w:color="auto" w:fill="auto"/>
            <w:vAlign w:val="center"/>
          </w:tcPr>
          <w:p w14:paraId="1F031C30"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3.4</w:t>
            </w:r>
          </w:p>
        </w:tc>
        <w:tc>
          <w:tcPr>
            <w:tcW w:w="6516" w:type="dxa"/>
            <w:shd w:val="clear" w:color="auto" w:fill="auto"/>
            <w:vAlign w:val="center"/>
          </w:tcPr>
          <w:p w14:paraId="555D1ABA" w14:textId="77777777" w:rsidR="0019446E" w:rsidRPr="00CB6EC6" w:rsidRDefault="0019446E" w:rsidP="0019446E">
            <w:pPr>
              <w:jc w:val="both"/>
              <w:rPr>
                <w:rFonts w:ascii="Calibri" w:eastAsia="Times New Roman" w:hAnsi="Calibri" w:cs="Calibri"/>
                <w:color w:val="000000"/>
                <w:lang w:eastAsia="pt-PT"/>
              </w:rPr>
            </w:pPr>
            <w:r w:rsidRPr="00CB6EC6">
              <w:rPr>
                <w:rFonts w:ascii="Calibri" w:eastAsia="Times New Roman" w:hAnsi="Calibri" w:cs="Calibri"/>
                <w:color w:val="000000"/>
                <w:lang w:eastAsia="pt-PT"/>
              </w:rPr>
              <w:t>Support for Safe Functioning of Informal/Local Markets</w:t>
            </w:r>
          </w:p>
        </w:tc>
        <w:tc>
          <w:tcPr>
            <w:tcW w:w="1554" w:type="dxa"/>
            <w:shd w:val="clear" w:color="auto" w:fill="auto"/>
            <w:vAlign w:val="center"/>
          </w:tcPr>
          <w:p w14:paraId="6FD741BC"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xml:space="preserve">$270 000 </w:t>
            </w:r>
          </w:p>
        </w:tc>
        <w:tc>
          <w:tcPr>
            <w:tcW w:w="1413" w:type="dxa"/>
            <w:shd w:val="clear" w:color="auto" w:fill="auto"/>
            <w:vAlign w:val="center"/>
          </w:tcPr>
          <w:p w14:paraId="3001C647"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xml:space="preserve">$101 509 </w:t>
            </w:r>
          </w:p>
        </w:tc>
        <w:tc>
          <w:tcPr>
            <w:tcW w:w="1442" w:type="dxa"/>
            <w:shd w:val="clear" w:color="auto" w:fill="auto"/>
            <w:vAlign w:val="center"/>
          </w:tcPr>
          <w:p w14:paraId="4F206ABB"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xml:space="preserve">$269 172 </w:t>
            </w:r>
          </w:p>
        </w:tc>
        <w:tc>
          <w:tcPr>
            <w:tcW w:w="1413" w:type="dxa"/>
            <w:shd w:val="clear" w:color="auto" w:fill="auto"/>
            <w:vAlign w:val="center"/>
          </w:tcPr>
          <w:p w14:paraId="29AB7914"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xml:space="preserve">$23 646 </w:t>
            </w:r>
          </w:p>
        </w:tc>
        <w:tc>
          <w:tcPr>
            <w:tcW w:w="925" w:type="dxa"/>
            <w:shd w:val="clear" w:color="auto" w:fill="auto"/>
            <w:vAlign w:val="center"/>
          </w:tcPr>
          <w:p w14:paraId="3250B262" w14:textId="77777777" w:rsidR="0019446E" w:rsidRPr="00CB6EC6" w:rsidRDefault="0019446E" w:rsidP="0019446E">
            <w:pPr>
              <w:jc w:val="center"/>
              <w:rPr>
                <w:rFonts w:ascii="Calibri" w:eastAsia="Times New Roman" w:hAnsi="Calibri" w:cs="Calibri"/>
                <w:color w:val="1D2228"/>
                <w:lang w:eastAsia="pt-PT"/>
              </w:rPr>
            </w:pPr>
            <w:r w:rsidRPr="00CB6EC6">
              <w:rPr>
                <w:rFonts w:ascii="Calibri" w:eastAsia="Times New Roman" w:hAnsi="Calibri" w:cs="Calibri"/>
                <w:color w:val="1D2228"/>
                <w:lang w:eastAsia="pt-PT"/>
              </w:rPr>
              <w:t>100%</w:t>
            </w:r>
          </w:p>
        </w:tc>
        <w:tc>
          <w:tcPr>
            <w:tcW w:w="867" w:type="dxa"/>
            <w:shd w:val="clear" w:color="auto" w:fill="auto"/>
            <w:vAlign w:val="center"/>
          </w:tcPr>
          <w:p w14:paraId="5CD82354"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23%</w:t>
            </w:r>
          </w:p>
        </w:tc>
      </w:tr>
      <w:tr w:rsidR="0019446E" w14:paraId="3708C699" w14:textId="77777777" w:rsidTr="0019446E">
        <w:tc>
          <w:tcPr>
            <w:tcW w:w="637" w:type="dxa"/>
            <w:shd w:val="clear" w:color="auto" w:fill="auto"/>
            <w:vAlign w:val="center"/>
          </w:tcPr>
          <w:p w14:paraId="52BB6F1A"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3.5</w:t>
            </w:r>
          </w:p>
        </w:tc>
        <w:tc>
          <w:tcPr>
            <w:tcW w:w="6516" w:type="dxa"/>
            <w:shd w:val="clear" w:color="auto" w:fill="auto"/>
            <w:vAlign w:val="center"/>
          </w:tcPr>
          <w:p w14:paraId="7BA2295C" w14:textId="77777777" w:rsidR="0019446E" w:rsidRPr="00CB6EC6" w:rsidRDefault="0019446E" w:rsidP="0019446E">
            <w:pPr>
              <w:jc w:val="both"/>
              <w:rPr>
                <w:rFonts w:ascii="Calibri" w:eastAsia="Times New Roman" w:hAnsi="Calibri" w:cs="Calibri"/>
                <w:color w:val="000000"/>
                <w:lang w:eastAsia="pt-PT"/>
              </w:rPr>
            </w:pPr>
            <w:r w:rsidRPr="00CB6EC6">
              <w:rPr>
                <w:rFonts w:ascii="Calibri" w:eastAsia="Times New Roman" w:hAnsi="Calibri" w:cs="Calibri"/>
                <w:color w:val="000000"/>
                <w:lang w:eastAsia="pt-PT"/>
              </w:rPr>
              <w:t>Programme for Consolidating Economic Governance and Public Finance Management Systems</w:t>
            </w:r>
          </w:p>
        </w:tc>
        <w:tc>
          <w:tcPr>
            <w:tcW w:w="1554" w:type="dxa"/>
            <w:shd w:val="clear" w:color="auto" w:fill="auto"/>
            <w:vAlign w:val="center"/>
          </w:tcPr>
          <w:p w14:paraId="1719A45D"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xml:space="preserve">$695 346 </w:t>
            </w:r>
          </w:p>
        </w:tc>
        <w:tc>
          <w:tcPr>
            <w:tcW w:w="1413" w:type="dxa"/>
            <w:shd w:val="clear" w:color="auto" w:fill="auto"/>
            <w:vAlign w:val="center"/>
          </w:tcPr>
          <w:p w14:paraId="4DC333AA"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xml:space="preserve">$919 224 </w:t>
            </w:r>
          </w:p>
        </w:tc>
        <w:tc>
          <w:tcPr>
            <w:tcW w:w="1442" w:type="dxa"/>
            <w:shd w:val="clear" w:color="auto" w:fill="auto"/>
            <w:vAlign w:val="center"/>
          </w:tcPr>
          <w:p w14:paraId="54A1DD38"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xml:space="preserve">$480 094 </w:t>
            </w:r>
          </w:p>
        </w:tc>
        <w:tc>
          <w:tcPr>
            <w:tcW w:w="1413" w:type="dxa"/>
            <w:shd w:val="clear" w:color="auto" w:fill="auto"/>
            <w:vAlign w:val="center"/>
          </w:tcPr>
          <w:p w14:paraId="60B08CBA"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xml:space="preserve">$581 219 </w:t>
            </w:r>
          </w:p>
        </w:tc>
        <w:tc>
          <w:tcPr>
            <w:tcW w:w="925" w:type="dxa"/>
            <w:shd w:val="clear" w:color="auto" w:fill="auto"/>
            <w:vAlign w:val="center"/>
          </w:tcPr>
          <w:p w14:paraId="70139E2C" w14:textId="77777777" w:rsidR="0019446E" w:rsidRPr="00CB6EC6" w:rsidRDefault="0019446E" w:rsidP="0019446E">
            <w:pPr>
              <w:jc w:val="center"/>
              <w:rPr>
                <w:rFonts w:ascii="Calibri" w:eastAsia="Times New Roman" w:hAnsi="Calibri" w:cs="Calibri"/>
                <w:color w:val="1D2228"/>
                <w:lang w:eastAsia="pt-PT"/>
              </w:rPr>
            </w:pPr>
            <w:r w:rsidRPr="00CB6EC6">
              <w:rPr>
                <w:rFonts w:ascii="Calibri" w:eastAsia="Times New Roman" w:hAnsi="Calibri" w:cs="Calibri"/>
                <w:color w:val="1D2228"/>
                <w:lang w:eastAsia="pt-PT"/>
              </w:rPr>
              <w:t>69%</w:t>
            </w:r>
          </w:p>
        </w:tc>
        <w:tc>
          <w:tcPr>
            <w:tcW w:w="867" w:type="dxa"/>
            <w:shd w:val="clear" w:color="auto" w:fill="auto"/>
            <w:vAlign w:val="center"/>
          </w:tcPr>
          <w:p w14:paraId="3BA7FFB0"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63%</w:t>
            </w:r>
          </w:p>
        </w:tc>
      </w:tr>
      <w:tr w:rsidR="0019446E" w14:paraId="3B30DD1F" w14:textId="77777777" w:rsidTr="0019446E">
        <w:tc>
          <w:tcPr>
            <w:tcW w:w="637" w:type="dxa"/>
            <w:shd w:val="clear" w:color="auto" w:fill="auto"/>
            <w:vAlign w:val="center"/>
          </w:tcPr>
          <w:p w14:paraId="66B7B63E"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3.6</w:t>
            </w:r>
          </w:p>
        </w:tc>
        <w:tc>
          <w:tcPr>
            <w:tcW w:w="6516" w:type="dxa"/>
            <w:shd w:val="clear" w:color="auto" w:fill="auto"/>
            <w:vAlign w:val="center"/>
          </w:tcPr>
          <w:p w14:paraId="30D7607C" w14:textId="77777777" w:rsidR="0019446E" w:rsidRPr="00CB6EC6" w:rsidRDefault="0019446E" w:rsidP="0019446E">
            <w:pPr>
              <w:jc w:val="both"/>
              <w:rPr>
                <w:rFonts w:ascii="Calibri" w:eastAsia="Times New Roman" w:hAnsi="Calibri" w:cs="Calibri"/>
                <w:color w:val="000000"/>
                <w:lang w:eastAsia="pt-PT"/>
              </w:rPr>
            </w:pPr>
            <w:r w:rsidRPr="00CB6EC6">
              <w:rPr>
                <w:rFonts w:ascii="Calibri" w:eastAsia="Times New Roman" w:hAnsi="Calibri" w:cs="Calibri"/>
                <w:color w:val="000000"/>
                <w:lang w:eastAsia="pt-PT"/>
              </w:rPr>
              <w:t>National Strategic Policy Support (COVID-19 intervention)</w:t>
            </w:r>
          </w:p>
        </w:tc>
        <w:tc>
          <w:tcPr>
            <w:tcW w:w="1554" w:type="dxa"/>
            <w:shd w:val="clear" w:color="auto" w:fill="auto"/>
            <w:vAlign w:val="center"/>
          </w:tcPr>
          <w:p w14:paraId="519D4778"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xml:space="preserve">$155 516 </w:t>
            </w:r>
          </w:p>
        </w:tc>
        <w:tc>
          <w:tcPr>
            <w:tcW w:w="1413" w:type="dxa"/>
            <w:shd w:val="clear" w:color="auto" w:fill="auto"/>
            <w:vAlign w:val="center"/>
          </w:tcPr>
          <w:p w14:paraId="19CB98F1"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xml:space="preserve">$177 744 </w:t>
            </w:r>
          </w:p>
        </w:tc>
        <w:tc>
          <w:tcPr>
            <w:tcW w:w="1442" w:type="dxa"/>
            <w:shd w:val="clear" w:color="auto" w:fill="auto"/>
            <w:vAlign w:val="center"/>
          </w:tcPr>
          <w:p w14:paraId="32B720EE"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xml:space="preserve">$106 561 </w:t>
            </w:r>
          </w:p>
        </w:tc>
        <w:tc>
          <w:tcPr>
            <w:tcW w:w="1413" w:type="dxa"/>
            <w:shd w:val="clear" w:color="auto" w:fill="auto"/>
            <w:vAlign w:val="center"/>
          </w:tcPr>
          <w:p w14:paraId="367719F6"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xml:space="preserve">$119 954 </w:t>
            </w:r>
          </w:p>
        </w:tc>
        <w:tc>
          <w:tcPr>
            <w:tcW w:w="925" w:type="dxa"/>
            <w:shd w:val="clear" w:color="auto" w:fill="auto"/>
            <w:vAlign w:val="center"/>
          </w:tcPr>
          <w:p w14:paraId="122BC17F" w14:textId="77777777" w:rsidR="0019446E" w:rsidRPr="00CB6EC6" w:rsidRDefault="0019446E" w:rsidP="0019446E">
            <w:pPr>
              <w:jc w:val="center"/>
              <w:rPr>
                <w:rFonts w:ascii="Calibri" w:eastAsia="Times New Roman" w:hAnsi="Calibri" w:cs="Calibri"/>
                <w:color w:val="1D2228"/>
                <w:lang w:eastAsia="pt-PT"/>
              </w:rPr>
            </w:pPr>
            <w:r w:rsidRPr="00CB6EC6">
              <w:rPr>
                <w:rFonts w:ascii="Calibri" w:eastAsia="Times New Roman" w:hAnsi="Calibri" w:cs="Calibri"/>
                <w:color w:val="1D2228"/>
                <w:lang w:eastAsia="pt-PT"/>
              </w:rPr>
              <w:t>69%</w:t>
            </w:r>
          </w:p>
        </w:tc>
        <w:tc>
          <w:tcPr>
            <w:tcW w:w="867" w:type="dxa"/>
            <w:shd w:val="clear" w:color="auto" w:fill="auto"/>
            <w:vAlign w:val="center"/>
          </w:tcPr>
          <w:p w14:paraId="33AAD16C"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67%</w:t>
            </w:r>
          </w:p>
        </w:tc>
      </w:tr>
      <w:tr w:rsidR="0019446E" w14:paraId="26B00C8D" w14:textId="77777777" w:rsidTr="0019446E">
        <w:tc>
          <w:tcPr>
            <w:tcW w:w="637" w:type="dxa"/>
            <w:shd w:val="clear" w:color="000000" w:fill="B4C6E7"/>
            <w:vAlign w:val="center"/>
          </w:tcPr>
          <w:p w14:paraId="5C9FD3A3"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w:t>
            </w:r>
          </w:p>
        </w:tc>
        <w:tc>
          <w:tcPr>
            <w:tcW w:w="6516" w:type="dxa"/>
            <w:shd w:val="clear" w:color="000000" w:fill="B4C6E7"/>
            <w:vAlign w:val="center"/>
          </w:tcPr>
          <w:p w14:paraId="7A870B33" w14:textId="77777777" w:rsidR="0019446E" w:rsidRPr="00CB6EC6" w:rsidRDefault="0019446E" w:rsidP="0019446E">
            <w:pPr>
              <w:jc w:val="both"/>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SUB-TOTAL</w:t>
            </w:r>
          </w:p>
        </w:tc>
        <w:tc>
          <w:tcPr>
            <w:tcW w:w="1554" w:type="dxa"/>
            <w:shd w:val="clear" w:color="000000" w:fill="B4C6E7"/>
            <w:vAlign w:val="center"/>
          </w:tcPr>
          <w:p w14:paraId="29C58E74" w14:textId="77777777" w:rsidR="0019446E" w:rsidRPr="00CB6EC6" w:rsidRDefault="0019446E" w:rsidP="0019446E">
            <w:pPr>
              <w:jc w:val="right"/>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$2 006 280</w:t>
            </w:r>
          </w:p>
        </w:tc>
        <w:tc>
          <w:tcPr>
            <w:tcW w:w="1413" w:type="dxa"/>
            <w:shd w:val="clear" w:color="000000" w:fill="B4C6E7"/>
            <w:vAlign w:val="center"/>
          </w:tcPr>
          <w:p w14:paraId="1AF6B369" w14:textId="77777777" w:rsidR="0019446E" w:rsidRPr="00CB6EC6" w:rsidRDefault="0019446E" w:rsidP="0019446E">
            <w:pPr>
              <w:jc w:val="right"/>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$1 947 590</w:t>
            </w:r>
          </w:p>
        </w:tc>
        <w:tc>
          <w:tcPr>
            <w:tcW w:w="1442" w:type="dxa"/>
            <w:shd w:val="clear" w:color="000000" w:fill="B4C6E7"/>
            <w:vAlign w:val="center"/>
          </w:tcPr>
          <w:p w14:paraId="054D90A0" w14:textId="77777777" w:rsidR="0019446E" w:rsidRPr="00CB6EC6" w:rsidRDefault="0019446E" w:rsidP="0019446E">
            <w:pPr>
              <w:jc w:val="right"/>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$1 348 984</w:t>
            </w:r>
          </w:p>
        </w:tc>
        <w:tc>
          <w:tcPr>
            <w:tcW w:w="1413" w:type="dxa"/>
            <w:shd w:val="clear" w:color="000000" w:fill="B4C6E7"/>
            <w:vAlign w:val="center"/>
          </w:tcPr>
          <w:p w14:paraId="0BB1F690" w14:textId="77777777" w:rsidR="0019446E" w:rsidRPr="00CB6EC6" w:rsidRDefault="0019446E" w:rsidP="0019446E">
            <w:pPr>
              <w:jc w:val="right"/>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$1 373 799</w:t>
            </w:r>
          </w:p>
        </w:tc>
        <w:tc>
          <w:tcPr>
            <w:tcW w:w="925" w:type="dxa"/>
            <w:shd w:val="clear" w:color="000000" w:fill="B4C6E7"/>
            <w:vAlign w:val="center"/>
          </w:tcPr>
          <w:p w14:paraId="454C9AC6" w14:textId="77777777" w:rsidR="0019446E" w:rsidRPr="00CB6EC6" w:rsidRDefault="0019446E" w:rsidP="0019446E">
            <w:pPr>
              <w:jc w:val="right"/>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67%</w:t>
            </w:r>
          </w:p>
        </w:tc>
        <w:tc>
          <w:tcPr>
            <w:tcW w:w="867" w:type="dxa"/>
            <w:shd w:val="clear" w:color="000000" w:fill="B4C6E7"/>
            <w:vAlign w:val="center"/>
          </w:tcPr>
          <w:p w14:paraId="26DA7B11" w14:textId="77777777" w:rsidR="0019446E" w:rsidRPr="00CB6EC6" w:rsidRDefault="0019446E" w:rsidP="0019446E">
            <w:pPr>
              <w:jc w:val="right"/>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71%</w:t>
            </w:r>
          </w:p>
        </w:tc>
      </w:tr>
      <w:tr w:rsidR="0019446E" w14:paraId="58B9B5E8" w14:textId="77777777" w:rsidTr="0019446E">
        <w:tc>
          <w:tcPr>
            <w:tcW w:w="637" w:type="dxa"/>
            <w:shd w:val="clear" w:color="auto" w:fill="auto"/>
            <w:vAlign w:val="center"/>
          </w:tcPr>
          <w:p w14:paraId="4ADE3ABD" w14:textId="77777777" w:rsidR="0019446E" w:rsidRPr="00CB6EC6" w:rsidRDefault="0019446E" w:rsidP="0019446E">
            <w:pPr>
              <w:jc w:val="center"/>
              <w:rPr>
                <w:rFonts w:ascii="Calibri" w:eastAsia="Times New Roman" w:hAnsi="Calibri" w:cs="Calibri"/>
                <w:color w:val="000000"/>
                <w:lang w:eastAsia="pt-PT"/>
              </w:rPr>
            </w:pPr>
            <w:r w:rsidRPr="00CB6EC6">
              <w:rPr>
                <w:rFonts w:ascii="Calibri" w:eastAsia="Times New Roman" w:hAnsi="Calibri" w:cs="Calibri"/>
                <w:color w:val="000000"/>
                <w:lang w:eastAsia="pt-PT"/>
              </w:rPr>
              <w:t> </w:t>
            </w:r>
          </w:p>
        </w:tc>
        <w:tc>
          <w:tcPr>
            <w:tcW w:w="6516" w:type="dxa"/>
            <w:shd w:val="clear" w:color="auto" w:fill="auto"/>
            <w:vAlign w:val="center"/>
          </w:tcPr>
          <w:p w14:paraId="4A80435F" w14:textId="77777777" w:rsidR="0019446E" w:rsidRPr="00CB6EC6" w:rsidRDefault="0019446E" w:rsidP="0019446E">
            <w:pPr>
              <w:jc w:val="center"/>
              <w:rPr>
                <w:rFonts w:ascii="Calibri" w:eastAsia="Times New Roman" w:hAnsi="Calibri" w:cs="Calibri"/>
                <w:color w:val="000000"/>
                <w:lang w:eastAsia="pt-PT"/>
              </w:rPr>
            </w:pPr>
            <w:r w:rsidRPr="00CB6EC6">
              <w:rPr>
                <w:rFonts w:ascii="Calibri" w:eastAsia="Times New Roman" w:hAnsi="Calibri" w:cs="Calibri"/>
                <w:color w:val="000000"/>
                <w:lang w:eastAsia="pt-PT"/>
              </w:rPr>
              <w:t> </w:t>
            </w:r>
          </w:p>
        </w:tc>
        <w:tc>
          <w:tcPr>
            <w:tcW w:w="1554" w:type="dxa"/>
            <w:shd w:val="clear" w:color="auto" w:fill="auto"/>
            <w:vAlign w:val="center"/>
          </w:tcPr>
          <w:p w14:paraId="35A55DC4" w14:textId="77777777" w:rsidR="0019446E" w:rsidRPr="00CB6EC6" w:rsidRDefault="0019446E" w:rsidP="0019446E">
            <w:pPr>
              <w:jc w:val="center"/>
              <w:rPr>
                <w:rFonts w:ascii="Calibri" w:eastAsia="Times New Roman" w:hAnsi="Calibri" w:cs="Calibri"/>
                <w:color w:val="000000"/>
                <w:lang w:eastAsia="pt-PT"/>
              </w:rPr>
            </w:pPr>
            <w:r w:rsidRPr="00CB6EC6">
              <w:rPr>
                <w:rFonts w:ascii="Calibri" w:eastAsia="Times New Roman" w:hAnsi="Calibri" w:cs="Calibri"/>
                <w:color w:val="000000"/>
                <w:lang w:eastAsia="pt-PT"/>
              </w:rPr>
              <w:t> </w:t>
            </w:r>
          </w:p>
        </w:tc>
        <w:tc>
          <w:tcPr>
            <w:tcW w:w="1413" w:type="dxa"/>
            <w:shd w:val="clear" w:color="auto" w:fill="auto"/>
            <w:vAlign w:val="center"/>
          </w:tcPr>
          <w:p w14:paraId="240B0245" w14:textId="77777777" w:rsidR="0019446E" w:rsidRPr="00CB6EC6" w:rsidRDefault="0019446E" w:rsidP="0019446E">
            <w:pPr>
              <w:jc w:val="center"/>
              <w:rPr>
                <w:rFonts w:ascii="Calibri" w:eastAsia="Times New Roman" w:hAnsi="Calibri" w:cs="Calibri"/>
                <w:color w:val="000000"/>
                <w:lang w:eastAsia="pt-PT"/>
              </w:rPr>
            </w:pPr>
            <w:r w:rsidRPr="00CB6EC6">
              <w:rPr>
                <w:rFonts w:ascii="Calibri" w:eastAsia="Times New Roman" w:hAnsi="Calibri" w:cs="Calibri"/>
                <w:color w:val="000000"/>
                <w:lang w:eastAsia="pt-PT"/>
              </w:rPr>
              <w:t> </w:t>
            </w:r>
          </w:p>
        </w:tc>
        <w:tc>
          <w:tcPr>
            <w:tcW w:w="1442" w:type="dxa"/>
            <w:shd w:val="clear" w:color="auto" w:fill="auto"/>
            <w:vAlign w:val="center"/>
          </w:tcPr>
          <w:p w14:paraId="5562D147" w14:textId="77777777" w:rsidR="0019446E" w:rsidRPr="00CB6EC6" w:rsidRDefault="0019446E" w:rsidP="0019446E">
            <w:pPr>
              <w:jc w:val="center"/>
              <w:rPr>
                <w:rFonts w:ascii="Calibri" w:eastAsia="Times New Roman" w:hAnsi="Calibri" w:cs="Calibri"/>
                <w:color w:val="000000"/>
                <w:lang w:eastAsia="pt-PT"/>
              </w:rPr>
            </w:pPr>
            <w:r w:rsidRPr="00CB6EC6">
              <w:rPr>
                <w:rFonts w:ascii="Calibri" w:eastAsia="Times New Roman" w:hAnsi="Calibri" w:cs="Calibri"/>
                <w:color w:val="000000"/>
                <w:lang w:eastAsia="pt-PT"/>
              </w:rPr>
              <w:t> </w:t>
            </w:r>
          </w:p>
        </w:tc>
        <w:tc>
          <w:tcPr>
            <w:tcW w:w="1413" w:type="dxa"/>
            <w:shd w:val="clear" w:color="auto" w:fill="auto"/>
            <w:vAlign w:val="center"/>
          </w:tcPr>
          <w:p w14:paraId="4B03842F" w14:textId="77777777" w:rsidR="0019446E" w:rsidRPr="00CB6EC6" w:rsidRDefault="0019446E" w:rsidP="0019446E">
            <w:pPr>
              <w:jc w:val="center"/>
              <w:rPr>
                <w:rFonts w:ascii="Calibri" w:eastAsia="Times New Roman" w:hAnsi="Calibri" w:cs="Calibri"/>
                <w:color w:val="000000"/>
                <w:lang w:eastAsia="pt-PT"/>
              </w:rPr>
            </w:pPr>
          </w:p>
        </w:tc>
        <w:tc>
          <w:tcPr>
            <w:tcW w:w="925" w:type="dxa"/>
            <w:shd w:val="clear" w:color="auto" w:fill="auto"/>
            <w:vAlign w:val="center"/>
          </w:tcPr>
          <w:p w14:paraId="60F2CE6C" w14:textId="77777777" w:rsidR="0019446E" w:rsidRPr="00CB6EC6" w:rsidRDefault="0019446E" w:rsidP="0019446E">
            <w:pPr>
              <w:jc w:val="center"/>
              <w:rPr>
                <w:rFonts w:ascii="Calibri" w:eastAsia="Times New Roman" w:hAnsi="Calibri" w:cs="Calibri"/>
                <w:color w:val="000000"/>
                <w:lang w:eastAsia="pt-PT"/>
              </w:rPr>
            </w:pPr>
          </w:p>
        </w:tc>
        <w:tc>
          <w:tcPr>
            <w:tcW w:w="867" w:type="dxa"/>
            <w:shd w:val="clear" w:color="auto" w:fill="auto"/>
            <w:vAlign w:val="center"/>
          </w:tcPr>
          <w:p w14:paraId="5DE5ECC9" w14:textId="77777777" w:rsidR="0019446E" w:rsidRPr="00CB6EC6" w:rsidRDefault="0019446E" w:rsidP="0019446E">
            <w:pPr>
              <w:jc w:val="center"/>
              <w:rPr>
                <w:rFonts w:ascii="Calibri" w:eastAsia="Times New Roman" w:hAnsi="Calibri" w:cs="Calibri"/>
                <w:color w:val="000000"/>
                <w:lang w:eastAsia="pt-PT"/>
              </w:rPr>
            </w:pPr>
          </w:p>
        </w:tc>
      </w:tr>
      <w:tr w:rsidR="0019446E" w14:paraId="20A772C1" w14:textId="77777777" w:rsidTr="0019446E">
        <w:tc>
          <w:tcPr>
            <w:tcW w:w="637" w:type="dxa"/>
            <w:shd w:val="clear" w:color="auto" w:fill="auto"/>
            <w:vAlign w:val="center"/>
          </w:tcPr>
          <w:p w14:paraId="67846BC8" w14:textId="77777777" w:rsidR="0019446E" w:rsidRPr="00CB6EC6" w:rsidRDefault="0019446E" w:rsidP="0019446E">
            <w:pPr>
              <w:jc w:val="right"/>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IV</w:t>
            </w:r>
          </w:p>
        </w:tc>
        <w:tc>
          <w:tcPr>
            <w:tcW w:w="6516" w:type="dxa"/>
            <w:shd w:val="clear" w:color="auto" w:fill="auto"/>
            <w:vAlign w:val="center"/>
          </w:tcPr>
          <w:p w14:paraId="5E27C413" w14:textId="77777777" w:rsidR="0019446E" w:rsidRPr="00CB6EC6" w:rsidRDefault="0019446E" w:rsidP="0019446E">
            <w:pPr>
              <w:jc w:val="both"/>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Global Fund</w:t>
            </w:r>
          </w:p>
        </w:tc>
        <w:tc>
          <w:tcPr>
            <w:tcW w:w="1554" w:type="dxa"/>
            <w:shd w:val="clear" w:color="auto" w:fill="auto"/>
            <w:vAlign w:val="center"/>
          </w:tcPr>
          <w:p w14:paraId="369A06BD" w14:textId="77777777" w:rsidR="0019446E" w:rsidRPr="00CB6EC6" w:rsidRDefault="0019446E" w:rsidP="0019446E">
            <w:pPr>
              <w:jc w:val="both"/>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 </w:t>
            </w:r>
          </w:p>
        </w:tc>
        <w:tc>
          <w:tcPr>
            <w:tcW w:w="1413" w:type="dxa"/>
            <w:shd w:val="clear" w:color="auto" w:fill="auto"/>
            <w:vAlign w:val="center"/>
          </w:tcPr>
          <w:p w14:paraId="4E014179" w14:textId="77777777" w:rsidR="0019446E" w:rsidRPr="00CB6EC6" w:rsidRDefault="0019446E" w:rsidP="0019446E">
            <w:pPr>
              <w:jc w:val="both"/>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 </w:t>
            </w:r>
          </w:p>
        </w:tc>
        <w:tc>
          <w:tcPr>
            <w:tcW w:w="1442" w:type="dxa"/>
            <w:shd w:val="clear" w:color="auto" w:fill="auto"/>
            <w:vAlign w:val="center"/>
          </w:tcPr>
          <w:p w14:paraId="21399D5E" w14:textId="77777777" w:rsidR="0019446E" w:rsidRPr="00CB6EC6" w:rsidRDefault="0019446E" w:rsidP="0019446E">
            <w:pPr>
              <w:jc w:val="both"/>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 </w:t>
            </w:r>
          </w:p>
        </w:tc>
        <w:tc>
          <w:tcPr>
            <w:tcW w:w="1413" w:type="dxa"/>
            <w:shd w:val="clear" w:color="auto" w:fill="auto"/>
            <w:vAlign w:val="center"/>
          </w:tcPr>
          <w:p w14:paraId="3A56F3E5" w14:textId="77777777" w:rsidR="0019446E" w:rsidRPr="00CB6EC6" w:rsidRDefault="0019446E" w:rsidP="0019446E">
            <w:pPr>
              <w:jc w:val="both"/>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 </w:t>
            </w:r>
          </w:p>
        </w:tc>
        <w:tc>
          <w:tcPr>
            <w:tcW w:w="925" w:type="dxa"/>
            <w:shd w:val="clear" w:color="auto" w:fill="auto"/>
            <w:vAlign w:val="center"/>
          </w:tcPr>
          <w:p w14:paraId="34D75C61" w14:textId="77777777" w:rsidR="0019446E" w:rsidRPr="00CB6EC6" w:rsidRDefault="0019446E" w:rsidP="0019446E">
            <w:pPr>
              <w:jc w:val="both"/>
              <w:rPr>
                <w:rFonts w:ascii="Calibri" w:eastAsia="Times New Roman" w:hAnsi="Calibri" w:cs="Calibri"/>
                <w:b/>
                <w:bCs/>
                <w:color w:val="000000"/>
                <w:lang w:eastAsia="pt-PT"/>
              </w:rPr>
            </w:pPr>
          </w:p>
        </w:tc>
        <w:tc>
          <w:tcPr>
            <w:tcW w:w="867" w:type="dxa"/>
            <w:shd w:val="clear" w:color="auto" w:fill="auto"/>
            <w:vAlign w:val="center"/>
          </w:tcPr>
          <w:p w14:paraId="44FFB3F4" w14:textId="77777777" w:rsidR="0019446E" w:rsidRPr="00CB6EC6" w:rsidRDefault="0019446E" w:rsidP="0019446E">
            <w:pPr>
              <w:jc w:val="both"/>
              <w:rPr>
                <w:rFonts w:ascii="Calibri" w:eastAsia="Times New Roman" w:hAnsi="Calibri" w:cs="Calibri"/>
                <w:b/>
                <w:bCs/>
                <w:color w:val="000000"/>
                <w:lang w:eastAsia="pt-PT"/>
              </w:rPr>
            </w:pPr>
          </w:p>
        </w:tc>
      </w:tr>
      <w:tr w:rsidR="0019446E" w14:paraId="14CF5C78" w14:textId="77777777" w:rsidTr="0019446E">
        <w:tc>
          <w:tcPr>
            <w:tcW w:w="637" w:type="dxa"/>
            <w:shd w:val="clear" w:color="auto" w:fill="auto"/>
            <w:vAlign w:val="center"/>
          </w:tcPr>
          <w:p w14:paraId="52EA2B28"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4.1</w:t>
            </w:r>
          </w:p>
        </w:tc>
        <w:tc>
          <w:tcPr>
            <w:tcW w:w="6516" w:type="dxa"/>
            <w:shd w:val="clear" w:color="auto" w:fill="auto"/>
            <w:vAlign w:val="center"/>
          </w:tcPr>
          <w:p w14:paraId="7C867D96" w14:textId="77777777" w:rsidR="0019446E" w:rsidRPr="00CB6EC6" w:rsidRDefault="0019446E" w:rsidP="0019446E">
            <w:pPr>
              <w:rPr>
                <w:rFonts w:ascii="Calibri" w:eastAsia="Times New Roman" w:hAnsi="Calibri" w:cs="Calibri"/>
                <w:color w:val="000000"/>
                <w:lang w:eastAsia="pt-PT"/>
              </w:rPr>
            </w:pPr>
            <w:r w:rsidRPr="00CB6EC6">
              <w:rPr>
                <w:rFonts w:ascii="Calibri" w:eastAsia="Times New Roman" w:hAnsi="Calibri" w:cs="Calibri"/>
                <w:color w:val="000000"/>
                <w:lang w:eastAsia="pt-PT"/>
              </w:rPr>
              <w:t>HIV MAL &amp; TB NFM3 BENGUELA CUANZA SUL</w:t>
            </w:r>
          </w:p>
        </w:tc>
        <w:tc>
          <w:tcPr>
            <w:tcW w:w="1554" w:type="dxa"/>
            <w:shd w:val="clear" w:color="auto" w:fill="auto"/>
            <w:vAlign w:val="center"/>
          </w:tcPr>
          <w:p w14:paraId="4E8CDE73" w14:textId="77777777" w:rsidR="0019446E" w:rsidRPr="00CB6EC6" w:rsidRDefault="0019446E" w:rsidP="0019446E">
            <w:pPr>
              <w:jc w:val="right"/>
              <w:rPr>
                <w:rFonts w:ascii="Calibri" w:eastAsia="Times New Roman" w:hAnsi="Calibri" w:cs="Calibri"/>
                <w:color w:val="000000"/>
                <w:lang w:eastAsia="pt-PT"/>
              </w:rPr>
            </w:pPr>
            <w:r>
              <w:rPr>
                <w:rFonts w:ascii="Calibri" w:eastAsia="Times New Roman" w:hAnsi="Calibri" w:cs="Calibri"/>
                <w:color w:val="000000"/>
                <w:lang w:eastAsia="pt-PT"/>
              </w:rPr>
              <w:t>0</w:t>
            </w:r>
            <w:r w:rsidRPr="00CB6EC6">
              <w:rPr>
                <w:rFonts w:ascii="Calibri" w:eastAsia="Times New Roman" w:hAnsi="Calibri" w:cs="Calibri"/>
                <w:color w:val="000000"/>
                <w:lang w:eastAsia="pt-PT"/>
              </w:rPr>
              <w:t> </w:t>
            </w:r>
          </w:p>
        </w:tc>
        <w:tc>
          <w:tcPr>
            <w:tcW w:w="1413" w:type="dxa"/>
            <w:shd w:val="clear" w:color="auto" w:fill="auto"/>
            <w:vAlign w:val="center"/>
          </w:tcPr>
          <w:p w14:paraId="0D3EBE78"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xml:space="preserve">$22 261 910 </w:t>
            </w:r>
          </w:p>
        </w:tc>
        <w:tc>
          <w:tcPr>
            <w:tcW w:w="1442" w:type="dxa"/>
            <w:shd w:val="clear" w:color="auto" w:fill="auto"/>
            <w:vAlign w:val="center"/>
          </w:tcPr>
          <w:p w14:paraId="3B1DA928" w14:textId="77777777" w:rsidR="0019446E" w:rsidRPr="00CB6EC6" w:rsidRDefault="0019446E" w:rsidP="0019446E">
            <w:pPr>
              <w:jc w:val="right"/>
              <w:rPr>
                <w:rFonts w:ascii="Calibri" w:eastAsia="Times New Roman" w:hAnsi="Calibri" w:cs="Calibri"/>
                <w:color w:val="000000"/>
                <w:lang w:eastAsia="pt-PT"/>
              </w:rPr>
            </w:pPr>
            <w:r>
              <w:rPr>
                <w:rFonts w:ascii="Calibri" w:eastAsia="Times New Roman" w:hAnsi="Calibri" w:cs="Calibri"/>
                <w:color w:val="000000"/>
                <w:lang w:eastAsia="pt-PT"/>
              </w:rPr>
              <w:t>0</w:t>
            </w:r>
            <w:r w:rsidRPr="00CB6EC6">
              <w:rPr>
                <w:rFonts w:ascii="Calibri" w:eastAsia="Times New Roman" w:hAnsi="Calibri" w:cs="Calibri"/>
                <w:color w:val="000000"/>
                <w:lang w:eastAsia="pt-PT"/>
              </w:rPr>
              <w:t> </w:t>
            </w:r>
          </w:p>
        </w:tc>
        <w:tc>
          <w:tcPr>
            <w:tcW w:w="1413" w:type="dxa"/>
            <w:shd w:val="clear" w:color="auto" w:fill="auto"/>
            <w:vAlign w:val="center"/>
          </w:tcPr>
          <w:p w14:paraId="7BEF39C5"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xml:space="preserve">$874 722 </w:t>
            </w:r>
          </w:p>
        </w:tc>
        <w:tc>
          <w:tcPr>
            <w:tcW w:w="925" w:type="dxa"/>
            <w:shd w:val="clear" w:color="auto" w:fill="auto"/>
            <w:vAlign w:val="center"/>
          </w:tcPr>
          <w:p w14:paraId="23883D65" w14:textId="77777777" w:rsidR="0019446E" w:rsidRPr="00CB6EC6" w:rsidRDefault="0019446E" w:rsidP="0019446E">
            <w:pPr>
              <w:jc w:val="center"/>
              <w:rPr>
                <w:rFonts w:ascii="Calibri" w:eastAsia="Times New Roman" w:hAnsi="Calibri" w:cs="Calibri"/>
                <w:color w:val="1D2228"/>
                <w:lang w:eastAsia="pt-PT"/>
              </w:rPr>
            </w:pPr>
            <w:r w:rsidRPr="00CB6EC6">
              <w:rPr>
                <w:rFonts w:ascii="Calibri" w:eastAsia="Times New Roman" w:hAnsi="Calibri" w:cs="Calibri"/>
                <w:color w:val="1D2228"/>
                <w:lang w:eastAsia="pt-PT"/>
              </w:rPr>
              <w:t> </w:t>
            </w:r>
            <w:r>
              <w:rPr>
                <w:rFonts w:ascii="Calibri" w:eastAsia="Times New Roman" w:hAnsi="Calibri" w:cs="Calibri"/>
                <w:color w:val="1D2228"/>
                <w:lang w:eastAsia="pt-PT"/>
              </w:rPr>
              <w:t>0</w:t>
            </w:r>
          </w:p>
        </w:tc>
        <w:tc>
          <w:tcPr>
            <w:tcW w:w="867" w:type="dxa"/>
            <w:shd w:val="clear" w:color="auto" w:fill="auto"/>
            <w:vAlign w:val="center"/>
          </w:tcPr>
          <w:p w14:paraId="3CA804DD"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4%</w:t>
            </w:r>
          </w:p>
        </w:tc>
      </w:tr>
      <w:tr w:rsidR="0019446E" w14:paraId="168A10E3" w14:textId="77777777" w:rsidTr="0019446E">
        <w:tc>
          <w:tcPr>
            <w:tcW w:w="637" w:type="dxa"/>
            <w:shd w:val="clear" w:color="auto" w:fill="auto"/>
            <w:vAlign w:val="center"/>
          </w:tcPr>
          <w:p w14:paraId="721B1453"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4.2</w:t>
            </w:r>
          </w:p>
        </w:tc>
        <w:tc>
          <w:tcPr>
            <w:tcW w:w="6516" w:type="dxa"/>
            <w:shd w:val="clear" w:color="auto" w:fill="auto"/>
            <w:vAlign w:val="center"/>
          </w:tcPr>
          <w:p w14:paraId="13E79EDA" w14:textId="77777777" w:rsidR="0019446E" w:rsidRPr="00CB6EC6" w:rsidRDefault="0019446E" w:rsidP="0019446E">
            <w:pPr>
              <w:rPr>
                <w:rFonts w:ascii="Calibri" w:eastAsia="Times New Roman" w:hAnsi="Calibri" w:cs="Calibri"/>
                <w:color w:val="000000"/>
                <w:lang w:eastAsia="pt-PT"/>
              </w:rPr>
            </w:pPr>
            <w:r w:rsidRPr="00CB6EC6">
              <w:rPr>
                <w:rFonts w:ascii="Calibri" w:eastAsia="Times New Roman" w:hAnsi="Calibri" w:cs="Calibri"/>
                <w:color w:val="000000"/>
                <w:lang w:eastAsia="pt-PT"/>
              </w:rPr>
              <w:t>HIV MAL &amp; TB Z GRANT</w:t>
            </w:r>
          </w:p>
        </w:tc>
        <w:tc>
          <w:tcPr>
            <w:tcW w:w="1554" w:type="dxa"/>
            <w:shd w:val="clear" w:color="auto" w:fill="auto"/>
            <w:vAlign w:val="center"/>
          </w:tcPr>
          <w:p w14:paraId="37C5DDD9"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$10 866 010</w:t>
            </w:r>
          </w:p>
        </w:tc>
        <w:tc>
          <w:tcPr>
            <w:tcW w:w="1413" w:type="dxa"/>
            <w:shd w:val="clear" w:color="auto" w:fill="auto"/>
            <w:vAlign w:val="center"/>
          </w:tcPr>
          <w:p w14:paraId="3CDCA0B4"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$8 591 317</w:t>
            </w:r>
          </w:p>
        </w:tc>
        <w:tc>
          <w:tcPr>
            <w:tcW w:w="1442" w:type="dxa"/>
            <w:shd w:val="clear" w:color="auto" w:fill="auto"/>
            <w:vAlign w:val="center"/>
          </w:tcPr>
          <w:p w14:paraId="770DEF2E"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$7 452 733</w:t>
            </w:r>
          </w:p>
        </w:tc>
        <w:tc>
          <w:tcPr>
            <w:tcW w:w="1413" w:type="dxa"/>
            <w:shd w:val="clear" w:color="auto" w:fill="auto"/>
            <w:vAlign w:val="center"/>
          </w:tcPr>
          <w:p w14:paraId="6C9DB716"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$6 570 131</w:t>
            </w:r>
          </w:p>
        </w:tc>
        <w:tc>
          <w:tcPr>
            <w:tcW w:w="925" w:type="dxa"/>
            <w:shd w:val="clear" w:color="auto" w:fill="auto"/>
            <w:vAlign w:val="center"/>
          </w:tcPr>
          <w:p w14:paraId="7985BF19" w14:textId="77777777" w:rsidR="0019446E" w:rsidRPr="00CB6EC6" w:rsidRDefault="0019446E" w:rsidP="0019446E">
            <w:pPr>
              <w:jc w:val="center"/>
              <w:rPr>
                <w:rFonts w:ascii="Calibri" w:eastAsia="Times New Roman" w:hAnsi="Calibri" w:cs="Calibri"/>
                <w:color w:val="1D2228"/>
                <w:lang w:eastAsia="pt-PT"/>
              </w:rPr>
            </w:pPr>
            <w:r w:rsidRPr="00CB6EC6">
              <w:rPr>
                <w:rFonts w:ascii="Calibri" w:eastAsia="Times New Roman" w:hAnsi="Calibri" w:cs="Calibri"/>
                <w:color w:val="1D2228"/>
                <w:lang w:eastAsia="pt-PT"/>
              </w:rPr>
              <w:t>69%</w:t>
            </w:r>
          </w:p>
        </w:tc>
        <w:tc>
          <w:tcPr>
            <w:tcW w:w="867" w:type="dxa"/>
            <w:shd w:val="clear" w:color="auto" w:fill="auto"/>
            <w:vAlign w:val="center"/>
          </w:tcPr>
          <w:p w14:paraId="1B0128E1"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76%</w:t>
            </w:r>
          </w:p>
        </w:tc>
      </w:tr>
      <w:tr w:rsidR="0019446E" w14:paraId="3218AB33" w14:textId="77777777" w:rsidTr="0019446E">
        <w:tc>
          <w:tcPr>
            <w:tcW w:w="637" w:type="dxa"/>
            <w:shd w:val="clear" w:color="auto" w:fill="auto"/>
            <w:vAlign w:val="center"/>
          </w:tcPr>
          <w:p w14:paraId="49B6A370"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4.3</w:t>
            </w:r>
          </w:p>
        </w:tc>
        <w:tc>
          <w:tcPr>
            <w:tcW w:w="6516" w:type="dxa"/>
            <w:shd w:val="clear" w:color="auto" w:fill="auto"/>
            <w:vAlign w:val="center"/>
          </w:tcPr>
          <w:p w14:paraId="7EA8EAC2" w14:textId="77777777" w:rsidR="0019446E" w:rsidRPr="00CB6EC6" w:rsidRDefault="0019446E" w:rsidP="0019446E">
            <w:pPr>
              <w:rPr>
                <w:rFonts w:ascii="Calibri" w:eastAsia="Times New Roman" w:hAnsi="Calibri" w:cs="Calibri"/>
                <w:color w:val="000000"/>
                <w:lang w:eastAsia="pt-PT"/>
              </w:rPr>
            </w:pPr>
            <w:r w:rsidRPr="00CB6EC6">
              <w:rPr>
                <w:rFonts w:ascii="Calibri" w:eastAsia="Times New Roman" w:hAnsi="Calibri" w:cs="Calibri"/>
                <w:color w:val="000000"/>
                <w:lang w:eastAsia="pt-PT"/>
              </w:rPr>
              <w:t>Strengthen the National Health procurement system of Angola</w:t>
            </w:r>
          </w:p>
        </w:tc>
        <w:tc>
          <w:tcPr>
            <w:tcW w:w="1554" w:type="dxa"/>
            <w:shd w:val="clear" w:color="auto" w:fill="auto"/>
            <w:vAlign w:val="center"/>
          </w:tcPr>
          <w:p w14:paraId="314303F9" w14:textId="77777777" w:rsidR="0019446E" w:rsidRPr="00CB6EC6" w:rsidRDefault="0019446E" w:rsidP="0019446E">
            <w:pPr>
              <w:jc w:val="right"/>
              <w:rPr>
                <w:rFonts w:ascii="Calibri" w:eastAsia="Times New Roman" w:hAnsi="Calibri" w:cs="Calibri"/>
                <w:color w:val="000000"/>
                <w:lang w:eastAsia="pt-PT"/>
              </w:rPr>
            </w:pPr>
            <w:r>
              <w:rPr>
                <w:rFonts w:ascii="Calibri" w:eastAsia="Times New Roman" w:hAnsi="Calibri" w:cs="Calibri"/>
                <w:color w:val="000000"/>
                <w:lang w:eastAsia="pt-PT"/>
              </w:rPr>
              <w:t>0</w:t>
            </w:r>
            <w:r w:rsidRPr="00CB6EC6">
              <w:rPr>
                <w:rFonts w:ascii="Calibri" w:eastAsia="Times New Roman" w:hAnsi="Calibri" w:cs="Calibri"/>
                <w:color w:val="000000"/>
                <w:lang w:eastAsia="pt-PT"/>
              </w:rPr>
              <w:t> </w:t>
            </w:r>
          </w:p>
        </w:tc>
        <w:tc>
          <w:tcPr>
            <w:tcW w:w="1413" w:type="dxa"/>
            <w:shd w:val="clear" w:color="auto" w:fill="auto"/>
            <w:vAlign w:val="center"/>
          </w:tcPr>
          <w:p w14:paraId="72FC25B8" w14:textId="77777777" w:rsidR="0019446E" w:rsidRPr="00CB6EC6" w:rsidRDefault="0019446E" w:rsidP="0019446E">
            <w:pPr>
              <w:jc w:val="right"/>
              <w:rPr>
                <w:rFonts w:ascii="Calibri" w:eastAsia="Times New Roman" w:hAnsi="Calibri" w:cs="Calibri"/>
                <w:color w:val="000000"/>
                <w:lang w:eastAsia="pt-PT"/>
              </w:rPr>
            </w:pPr>
            <w:r>
              <w:rPr>
                <w:rFonts w:ascii="Calibri" w:eastAsia="Times New Roman" w:hAnsi="Calibri" w:cs="Calibri"/>
                <w:color w:val="000000"/>
                <w:lang w:eastAsia="pt-PT"/>
              </w:rPr>
              <w:t>0</w:t>
            </w:r>
            <w:r w:rsidRPr="00CB6EC6">
              <w:rPr>
                <w:rFonts w:ascii="Calibri" w:eastAsia="Times New Roman" w:hAnsi="Calibri" w:cs="Calibri"/>
                <w:color w:val="000000"/>
                <w:lang w:eastAsia="pt-PT"/>
              </w:rPr>
              <w:t> </w:t>
            </w:r>
          </w:p>
        </w:tc>
        <w:tc>
          <w:tcPr>
            <w:tcW w:w="1442" w:type="dxa"/>
            <w:shd w:val="clear" w:color="auto" w:fill="auto"/>
            <w:vAlign w:val="center"/>
          </w:tcPr>
          <w:p w14:paraId="4E4001DF" w14:textId="77777777" w:rsidR="0019446E" w:rsidRPr="00CB6EC6" w:rsidRDefault="0019446E" w:rsidP="0019446E">
            <w:pPr>
              <w:jc w:val="right"/>
              <w:rPr>
                <w:rFonts w:ascii="Calibri" w:eastAsia="Times New Roman" w:hAnsi="Calibri" w:cs="Calibri"/>
                <w:color w:val="000000"/>
                <w:lang w:eastAsia="pt-PT"/>
              </w:rPr>
            </w:pPr>
            <w:r>
              <w:rPr>
                <w:rFonts w:ascii="Calibri" w:eastAsia="Times New Roman" w:hAnsi="Calibri" w:cs="Calibri"/>
                <w:color w:val="000000"/>
                <w:lang w:eastAsia="pt-PT"/>
              </w:rPr>
              <w:t>0</w:t>
            </w:r>
            <w:r w:rsidRPr="00CB6EC6">
              <w:rPr>
                <w:rFonts w:ascii="Calibri" w:eastAsia="Times New Roman" w:hAnsi="Calibri" w:cs="Calibri"/>
                <w:color w:val="000000"/>
                <w:lang w:eastAsia="pt-PT"/>
              </w:rPr>
              <w:t> </w:t>
            </w:r>
          </w:p>
        </w:tc>
        <w:tc>
          <w:tcPr>
            <w:tcW w:w="1413" w:type="dxa"/>
            <w:shd w:val="clear" w:color="auto" w:fill="auto"/>
            <w:vAlign w:val="center"/>
          </w:tcPr>
          <w:p w14:paraId="0894B5EF" w14:textId="77777777" w:rsidR="0019446E" w:rsidRPr="00CB6EC6" w:rsidRDefault="0019446E" w:rsidP="0019446E">
            <w:pPr>
              <w:jc w:val="right"/>
              <w:rPr>
                <w:rFonts w:ascii="Calibri" w:eastAsia="Times New Roman" w:hAnsi="Calibri" w:cs="Calibri"/>
                <w:color w:val="000000"/>
                <w:lang w:eastAsia="pt-PT"/>
              </w:rPr>
            </w:pPr>
            <w:r>
              <w:rPr>
                <w:rFonts w:ascii="Calibri" w:eastAsia="Times New Roman" w:hAnsi="Calibri" w:cs="Calibri"/>
                <w:color w:val="000000"/>
                <w:lang w:eastAsia="pt-PT"/>
              </w:rPr>
              <w:t>0</w:t>
            </w:r>
            <w:r w:rsidRPr="00CB6EC6">
              <w:rPr>
                <w:rFonts w:ascii="Calibri" w:eastAsia="Times New Roman" w:hAnsi="Calibri" w:cs="Calibri"/>
                <w:color w:val="000000"/>
                <w:lang w:eastAsia="pt-PT"/>
              </w:rPr>
              <w:t> </w:t>
            </w:r>
          </w:p>
        </w:tc>
        <w:tc>
          <w:tcPr>
            <w:tcW w:w="925" w:type="dxa"/>
            <w:shd w:val="clear" w:color="auto" w:fill="auto"/>
            <w:vAlign w:val="center"/>
          </w:tcPr>
          <w:p w14:paraId="4C145735" w14:textId="77777777" w:rsidR="0019446E" w:rsidRPr="00CB6EC6" w:rsidRDefault="0019446E" w:rsidP="0019446E">
            <w:pPr>
              <w:jc w:val="center"/>
              <w:rPr>
                <w:rFonts w:ascii="Calibri" w:eastAsia="Times New Roman" w:hAnsi="Calibri" w:cs="Calibri"/>
                <w:color w:val="1D2228"/>
                <w:lang w:eastAsia="pt-PT"/>
              </w:rPr>
            </w:pPr>
            <w:r>
              <w:rPr>
                <w:rFonts w:ascii="Calibri" w:eastAsia="Times New Roman" w:hAnsi="Calibri" w:cs="Calibri"/>
                <w:color w:val="1D2228"/>
                <w:lang w:eastAsia="pt-PT"/>
              </w:rPr>
              <w:t>0</w:t>
            </w:r>
            <w:r w:rsidRPr="00CB6EC6">
              <w:rPr>
                <w:rFonts w:ascii="Calibri" w:eastAsia="Times New Roman" w:hAnsi="Calibri" w:cs="Calibri"/>
                <w:color w:val="1D2228"/>
                <w:lang w:eastAsia="pt-PT"/>
              </w:rPr>
              <w:t> </w:t>
            </w:r>
          </w:p>
        </w:tc>
        <w:tc>
          <w:tcPr>
            <w:tcW w:w="867" w:type="dxa"/>
            <w:shd w:val="clear" w:color="auto" w:fill="auto"/>
            <w:vAlign w:val="center"/>
          </w:tcPr>
          <w:p w14:paraId="43626DBC" w14:textId="77777777" w:rsidR="0019446E" w:rsidRPr="00CB6EC6" w:rsidRDefault="0019446E" w:rsidP="0019446E">
            <w:pPr>
              <w:jc w:val="right"/>
              <w:rPr>
                <w:rFonts w:ascii="Calibri" w:eastAsia="Times New Roman" w:hAnsi="Calibri" w:cs="Calibri"/>
                <w:color w:val="000000"/>
                <w:lang w:eastAsia="pt-PT"/>
              </w:rPr>
            </w:pPr>
            <w:r>
              <w:rPr>
                <w:rFonts w:ascii="Calibri" w:eastAsia="Times New Roman" w:hAnsi="Calibri" w:cs="Calibri"/>
                <w:color w:val="000000"/>
                <w:lang w:eastAsia="pt-PT"/>
              </w:rPr>
              <w:t>0</w:t>
            </w:r>
            <w:r w:rsidRPr="00CB6EC6">
              <w:rPr>
                <w:rFonts w:ascii="Calibri" w:eastAsia="Times New Roman" w:hAnsi="Calibri" w:cs="Calibri"/>
                <w:color w:val="000000"/>
                <w:lang w:eastAsia="pt-PT"/>
              </w:rPr>
              <w:t> </w:t>
            </w:r>
          </w:p>
        </w:tc>
      </w:tr>
      <w:tr w:rsidR="0019446E" w14:paraId="4F08985A" w14:textId="77777777" w:rsidTr="0019446E">
        <w:tc>
          <w:tcPr>
            <w:tcW w:w="637" w:type="dxa"/>
            <w:shd w:val="clear" w:color="auto" w:fill="auto"/>
            <w:vAlign w:val="center"/>
          </w:tcPr>
          <w:p w14:paraId="776C9E90"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4.4</w:t>
            </w:r>
          </w:p>
        </w:tc>
        <w:tc>
          <w:tcPr>
            <w:tcW w:w="6516" w:type="dxa"/>
            <w:shd w:val="clear" w:color="auto" w:fill="auto"/>
            <w:vAlign w:val="center"/>
          </w:tcPr>
          <w:p w14:paraId="1D0BEEC1" w14:textId="77777777" w:rsidR="0019446E" w:rsidRPr="00CB6EC6" w:rsidRDefault="0019446E" w:rsidP="0019446E">
            <w:pPr>
              <w:rPr>
                <w:rFonts w:ascii="Calibri" w:eastAsia="Times New Roman" w:hAnsi="Calibri" w:cs="Calibri"/>
                <w:color w:val="000000"/>
                <w:lang w:eastAsia="pt-PT"/>
              </w:rPr>
            </w:pPr>
            <w:r w:rsidRPr="00CB6EC6">
              <w:rPr>
                <w:rFonts w:ascii="Calibri" w:eastAsia="Times New Roman" w:hAnsi="Calibri" w:cs="Calibri"/>
                <w:color w:val="000000"/>
                <w:lang w:eastAsia="pt-PT"/>
              </w:rPr>
              <w:t>Strengthening the National Response to HIV in Angola</w:t>
            </w:r>
          </w:p>
        </w:tc>
        <w:tc>
          <w:tcPr>
            <w:tcW w:w="1554" w:type="dxa"/>
            <w:shd w:val="clear" w:color="auto" w:fill="auto"/>
            <w:vAlign w:val="center"/>
          </w:tcPr>
          <w:p w14:paraId="6DD32014"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w:t>
            </w:r>
            <w:r>
              <w:rPr>
                <w:rFonts w:ascii="Calibri" w:eastAsia="Times New Roman" w:hAnsi="Calibri" w:cs="Calibri"/>
                <w:color w:val="000000"/>
                <w:lang w:eastAsia="pt-PT"/>
              </w:rPr>
              <w:t>0</w:t>
            </w:r>
          </w:p>
        </w:tc>
        <w:tc>
          <w:tcPr>
            <w:tcW w:w="1413" w:type="dxa"/>
            <w:shd w:val="clear" w:color="auto" w:fill="auto"/>
            <w:vAlign w:val="center"/>
          </w:tcPr>
          <w:p w14:paraId="5782816C"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xml:space="preserve">$2 354 597 </w:t>
            </w:r>
          </w:p>
        </w:tc>
        <w:tc>
          <w:tcPr>
            <w:tcW w:w="1442" w:type="dxa"/>
            <w:shd w:val="clear" w:color="auto" w:fill="auto"/>
            <w:vAlign w:val="center"/>
          </w:tcPr>
          <w:p w14:paraId="44ABE446" w14:textId="77777777" w:rsidR="0019446E" w:rsidRPr="00CB6EC6" w:rsidRDefault="0019446E" w:rsidP="0019446E">
            <w:pPr>
              <w:jc w:val="right"/>
              <w:rPr>
                <w:rFonts w:ascii="Calibri" w:eastAsia="Times New Roman" w:hAnsi="Calibri" w:cs="Calibri"/>
                <w:color w:val="000000"/>
                <w:lang w:eastAsia="pt-PT"/>
              </w:rPr>
            </w:pPr>
            <w:r>
              <w:rPr>
                <w:rFonts w:ascii="Calibri" w:eastAsia="Times New Roman" w:hAnsi="Calibri" w:cs="Calibri"/>
                <w:color w:val="000000"/>
                <w:lang w:eastAsia="pt-PT"/>
              </w:rPr>
              <w:t>0</w:t>
            </w:r>
            <w:r w:rsidRPr="00CB6EC6">
              <w:rPr>
                <w:rFonts w:ascii="Calibri" w:eastAsia="Times New Roman" w:hAnsi="Calibri" w:cs="Calibri"/>
                <w:color w:val="000000"/>
                <w:lang w:eastAsia="pt-PT"/>
              </w:rPr>
              <w:t> </w:t>
            </w:r>
          </w:p>
        </w:tc>
        <w:tc>
          <w:tcPr>
            <w:tcW w:w="1413" w:type="dxa"/>
            <w:shd w:val="clear" w:color="auto" w:fill="auto"/>
            <w:vAlign w:val="center"/>
          </w:tcPr>
          <w:p w14:paraId="11613BAE"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FF0000"/>
                <w:lang w:eastAsia="pt-PT"/>
              </w:rPr>
              <w:t>($278 765)</w:t>
            </w:r>
          </w:p>
        </w:tc>
        <w:tc>
          <w:tcPr>
            <w:tcW w:w="925" w:type="dxa"/>
            <w:shd w:val="clear" w:color="auto" w:fill="auto"/>
            <w:vAlign w:val="center"/>
          </w:tcPr>
          <w:p w14:paraId="5A3B4B6A" w14:textId="77777777" w:rsidR="0019446E" w:rsidRPr="00CB6EC6" w:rsidRDefault="0019446E" w:rsidP="0019446E">
            <w:pPr>
              <w:jc w:val="center"/>
              <w:rPr>
                <w:rFonts w:ascii="Calibri" w:eastAsia="Times New Roman" w:hAnsi="Calibri" w:cs="Calibri"/>
                <w:color w:val="1D2228"/>
                <w:lang w:eastAsia="pt-PT"/>
              </w:rPr>
            </w:pPr>
            <w:r>
              <w:rPr>
                <w:rFonts w:ascii="Calibri" w:eastAsia="Times New Roman" w:hAnsi="Calibri" w:cs="Calibri"/>
                <w:color w:val="1D2228"/>
                <w:lang w:eastAsia="pt-PT"/>
              </w:rPr>
              <w:t>0</w:t>
            </w:r>
            <w:r w:rsidRPr="00CB6EC6">
              <w:rPr>
                <w:rFonts w:ascii="Calibri" w:eastAsia="Times New Roman" w:hAnsi="Calibri" w:cs="Calibri"/>
                <w:color w:val="1D2228"/>
                <w:lang w:eastAsia="pt-PT"/>
              </w:rPr>
              <w:t> </w:t>
            </w:r>
          </w:p>
        </w:tc>
        <w:tc>
          <w:tcPr>
            <w:tcW w:w="867" w:type="dxa"/>
            <w:shd w:val="clear" w:color="auto" w:fill="auto"/>
            <w:vAlign w:val="center"/>
          </w:tcPr>
          <w:p w14:paraId="2FC90D1B"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-12%</w:t>
            </w:r>
          </w:p>
        </w:tc>
      </w:tr>
      <w:tr w:rsidR="0019446E" w14:paraId="630943CB" w14:textId="77777777" w:rsidTr="0019446E">
        <w:tc>
          <w:tcPr>
            <w:tcW w:w="637" w:type="dxa"/>
            <w:shd w:val="clear" w:color="000000" w:fill="B4C6E7"/>
            <w:vAlign w:val="center"/>
          </w:tcPr>
          <w:p w14:paraId="17C9A2D8"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w:t>
            </w:r>
          </w:p>
        </w:tc>
        <w:tc>
          <w:tcPr>
            <w:tcW w:w="6516" w:type="dxa"/>
            <w:shd w:val="clear" w:color="000000" w:fill="B4C6E7"/>
            <w:vAlign w:val="center"/>
          </w:tcPr>
          <w:p w14:paraId="2D78EC65" w14:textId="77777777" w:rsidR="0019446E" w:rsidRPr="00CB6EC6" w:rsidRDefault="0019446E" w:rsidP="0019446E">
            <w:pPr>
              <w:jc w:val="both"/>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SUB-TOTAL</w:t>
            </w:r>
          </w:p>
        </w:tc>
        <w:tc>
          <w:tcPr>
            <w:tcW w:w="1554" w:type="dxa"/>
            <w:shd w:val="clear" w:color="000000" w:fill="B4C6E7"/>
            <w:vAlign w:val="center"/>
          </w:tcPr>
          <w:p w14:paraId="1311B3D0" w14:textId="77777777" w:rsidR="0019446E" w:rsidRPr="00CB6EC6" w:rsidRDefault="0019446E" w:rsidP="0019446E">
            <w:pPr>
              <w:jc w:val="right"/>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$10 866 010</w:t>
            </w:r>
          </w:p>
        </w:tc>
        <w:tc>
          <w:tcPr>
            <w:tcW w:w="1413" w:type="dxa"/>
            <w:shd w:val="clear" w:color="000000" w:fill="B4C6E7"/>
            <w:vAlign w:val="center"/>
          </w:tcPr>
          <w:p w14:paraId="292BF33A" w14:textId="77777777" w:rsidR="0019446E" w:rsidRPr="00CB6EC6" w:rsidRDefault="0019446E" w:rsidP="0019446E">
            <w:pPr>
              <w:jc w:val="right"/>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$33 207 824</w:t>
            </w:r>
          </w:p>
        </w:tc>
        <w:tc>
          <w:tcPr>
            <w:tcW w:w="1442" w:type="dxa"/>
            <w:shd w:val="clear" w:color="000000" w:fill="B4C6E7"/>
            <w:vAlign w:val="center"/>
          </w:tcPr>
          <w:p w14:paraId="161EC88C" w14:textId="77777777" w:rsidR="0019446E" w:rsidRPr="00CB6EC6" w:rsidRDefault="0019446E" w:rsidP="0019446E">
            <w:pPr>
              <w:jc w:val="right"/>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$7 452 733</w:t>
            </w:r>
          </w:p>
        </w:tc>
        <w:tc>
          <w:tcPr>
            <w:tcW w:w="1413" w:type="dxa"/>
            <w:shd w:val="clear" w:color="000000" w:fill="B4C6E7"/>
            <w:vAlign w:val="center"/>
          </w:tcPr>
          <w:p w14:paraId="3600597C" w14:textId="77777777" w:rsidR="0019446E" w:rsidRPr="00CB6EC6" w:rsidRDefault="0019446E" w:rsidP="0019446E">
            <w:pPr>
              <w:jc w:val="right"/>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$7 166 088</w:t>
            </w:r>
          </w:p>
        </w:tc>
        <w:tc>
          <w:tcPr>
            <w:tcW w:w="925" w:type="dxa"/>
            <w:shd w:val="clear" w:color="000000" w:fill="B4C6E7"/>
            <w:vAlign w:val="center"/>
          </w:tcPr>
          <w:p w14:paraId="4675AD7B" w14:textId="77777777" w:rsidR="0019446E" w:rsidRPr="00CB6EC6" w:rsidRDefault="0019446E" w:rsidP="0019446E">
            <w:pPr>
              <w:jc w:val="right"/>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69%</w:t>
            </w:r>
          </w:p>
        </w:tc>
        <w:tc>
          <w:tcPr>
            <w:tcW w:w="867" w:type="dxa"/>
            <w:shd w:val="clear" w:color="000000" w:fill="B4C6E7"/>
            <w:vAlign w:val="center"/>
          </w:tcPr>
          <w:p w14:paraId="2B8D33CF" w14:textId="77777777" w:rsidR="0019446E" w:rsidRPr="00CB6EC6" w:rsidRDefault="0019446E" w:rsidP="0019446E">
            <w:pPr>
              <w:jc w:val="right"/>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22%</w:t>
            </w:r>
          </w:p>
        </w:tc>
      </w:tr>
      <w:tr w:rsidR="0019446E" w14:paraId="377A9925" w14:textId="77777777" w:rsidTr="0019446E">
        <w:tc>
          <w:tcPr>
            <w:tcW w:w="637" w:type="dxa"/>
            <w:shd w:val="clear" w:color="auto" w:fill="auto"/>
            <w:vAlign w:val="center"/>
          </w:tcPr>
          <w:p w14:paraId="757ABA67" w14:textId="77777777" w:rsidR="0019446E" w:rsidRPr="00CB6EC6" w:rsidRDefault="0019446E" w:rsidP="0019446E">
            <w:pPr>
              <w:jc w:val="both"/>
              <w:rPr>
                <w:rFonts w:ascii="Calibri" w:eastAsia="Times New Roman" w:hAnsi="Calibri" w:cs="Calibri"/>
                <w:color w:val="000000"/>
                <w:lang w:eastAsia="pt-PT"/>
              </w:rPr>
            </w:pPr>
            <w:r w:rsidRPr="00CB6EC6">
              <w:rPr>
                <w:rFonts w:ascii="Calibri" w:eastAsia="Times New Roman" w:hAnsi="Calibri" w:cs="Calibri"/>
                <w:color w:val="000000"/>
                <w:lang w:eastAsia="pt-PT"/>
              </w:rPr>
              <w:t> </w:t>
            </w:r>
          </w:p>
        </w:tc>
        <w:tc>
          <w:tcPr>
            <w:tcW w:w="6516" w:type="dxa"/>
            <w:shd w:val="clear" w:color="auto" w:fill="auto"/>
            <w:vAlign w:val="center"/>
          </w:tcPr>
          <w:p w14:paraId="004E04B2" w14:textId="77777777" w:rsidR="0019446E" w:rsidRPr="00CB6EC6" w:rsidRDefault="0019446E" w:rsidP="0019446E">
            <w:pPr>
              <w:jc w:val="both"/>
              <w:rPr>
                <w:rFonts w:ascii="Calibri" w:eastAsia="Times New Roman" w:hAnsi="Calibri" w:cs="Calibri"/>
                <w:color w:val="000000"/>
                <w:lang w:eastAsia="pt-PT"/>
              </w:rPr>
            </w:pPr>
            <w:r w:rsidRPr="00CB6EC6">
              <w:rPr>
                <w:rFonts w:ascii="Calibri" w:eastAsia="Times New Roman" w:hAnsi="Calibri" w:cs="Calibri"/>
                <w:color w:val="000000"/>
                <w:lang w:eastAsia="pt-PT"/>
              </w:rPr>
              <w:t> </w:t>
            </w:r>
          </w:p>
        </w:tc>
        <w:tc>
          <w:tcPr>
            <w:tcW w:w="1554" w:type="dxa"/>
            <w:shd w:val="clear" w:color="auto" w:fill="auto"/>
            <w:vAlign w:val="center"/>
          </w:tcPr>
          <w:p w14:paraId="4C16DD21" w14:textId="77777777" w:rsidR="0019446E" w:rsidRPr="00CB6EC6" w:rsidRDefault="0019446E" w:rsidP="0019446E">
            <w:pPr>
              <w:jc w:val="right"/>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 </w:t>
            </w:r>
          </w:p>
        </w:tc>
        <w:tc>
          <w:tcPr>
            <w:tcW w:w="1413" w:type="dxa"/>
            <w:shd w:val="clear" w:color="auto" w:fill="auto"/>
            <w:vAlign w:val="center"/>
          </w:tcPr>
          <w:p w14:paraId="242E2B3C" w14:textId="77777777" w:rsidR="0019446E" w:rsidRPr="00CB6EC6" w:rsidRDefault="0019446E" w:rsidP="0019446E">
            <w:pPr>
              <w:jc w:val="right"/>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 </w:t>
            </w:r>
          </w:p>
        </w:tc>
        <w:tc>
          <w:tcPr>
            <w:tcW w:w="1442" w:type="dxa"/>
            <w:shd w:val="clear" w:color="auto" w:fill="auto"/>
            <w:vAlign w:val="center"/>
          </w:tcPr>
          <w:p w14:paraId="1A3D6268" w14:textId="77777777" w:rsidR="0019446E" w:rsidRPr="00CB6EC6" w:rsidRDefault="0019446E" w:rsidP="0019446E">
            <w:pPr>
              <w:jc w:val="center"/>
              <w:rPr>
                <w:rFonts w:ascii="Calibri" w:eastAsia="Times New Roman" w:hAnsi="Calibri" w:cs="Calibri"/>
                <w:color w:val="000000"/>
                <w:lang w:eastAsia="pt-PT"/>
              </w:rPr>
            </w:pPr>
            <w:r w:rsidRPr="00CB6EC6">
              <w:rPr>
                <w:rFonts w:ascii="Calibri" w:eastAsia="Times New Roman" w:hAnsi="Calibri" w:cs="Calibri"/>
                <w:color w:val="000000"/>
                <w:lang w:eastAsia="pt-PT"/>
              </w:rPr>
              <w:t> </w:t>
            </w:r>
          </w:p>
        </w:tc>
        <w:tc>
          <w:tcPr>
            <w:tcW w:w="1413" w:type="dxa"/>
            <w:shd w:val="clear" w:color="auto" w:fill="auto"/>
            <w:vAlign w:val="center"/>
          </w:tcPr>
          <w:p w14:paraId="3FF4FFCE" w14:textId="77777777" w:rsidR="0019446E" w:rsidRPr="00CB6EC6" w:rsidRDefault="0019446E" w:rsidP="0019446E">
            <w:pPr>
              <w:jc w:val="center"/>
              <w:rPr>
                <w:rFonts w:ascii="Calibri" w:eastAsia="Times New Roman" w:hAnsi="Calibri" w:cs="Calibri"/>
                <w:color w:val="000000"/>
                <w:lang w:eastAsia="pt-PT"/>
              </w:rPr>
            </w:pPr>
            <w:r w:rsidRPr="00CB6EC6">
              <w:rPr>
                <w:rFonts w:ascii="Calibri" w:eastAsia="Times New Roman" w:hAnsi="Calibri" w:cs="Calibri"/>
                <w:color w:val="000000"/>
                <w:lang w:eastAsia="pt-PT"/>
              </w:rPr>
              <w:t> </w:t>
            </w:r>
          </w:p>
        </w:tc>
        <w:tc>
          <w:tcPr>
            <w:tcW w:w="925" w:type="dxa"/>
            <w:shd w:val="clear" w:color="auto" w:fill="auto"/>
            <w:vAlign w:val="center"/>
          </w:tcPr>
          <w:p w14:paraId="35065B60" w14:textId="77777777" w:rsidR="0019446E" w:rsidRPr="00CB6EC6" w:rsidRDefault="0019446E" w:rsidP="0019446E">
            <w:pPr>
              <w:jc w:val="center"/>
              <w:rPr>
                <w:rFonts w:ascii="Calibri" w:eastAsia="Times New Roman" w:hAnsi="Calibri" w:cs="Calibri"/>
                <w:color w:val="000000"/>
                <w:lang w:eastAsia="pt-PT"/>
              </w:rPr>
            </w:pPr>
            <w:r w:rsidRPr="00CB6EC6">
              <w:rPr>
                <w:rFonts w:ascii="Calibri" w:eastAsia="Times New Roman" w:hAnsi="Calibri" w:cs="Calibri"/>
                <w:color w:val="000000"/>
                <w:lang w:eastAsia="pt-PT"/>
              </w:rPr>
              <w:t> </w:t>
            </w:r>
          </w:p>
        </w:tc>
        <w:tc>
          <w:tcPr>
            <w:tcW w:w="867" w:type="dxa"/>
            <w:shd w:val="clear" w:color="auto" w:fill="auto"/>
            <w:vAlign w:val="center"/>
          </w:tcPr>
          <w:p w14:paraId="4FEC4E09" w14:textId="77777777" w:rsidR="0019446E" w:rsidRPr="00CB6EC6" w:rsidRDefault="0019446E" w:rsidP="0019446E">
            <w:pPr>
              <w:jc w:val="center"/>
              <w:rPr>
                <w:rFonts w:ascii="Calibri" w:eastAsia="Times New Roman" w:hAnsi="Calibri" w:cs="Calibri"/>
                <w:color w:val="000000"/>
                <w:lang w:eastAsia="pt-PT"/>
              </w:rPr>
            </w:pPr>
            <w:r w:rsidRPr="00CB6EC6">
              <w:rPr>
                <w:rFonts w:ascii="Calibri" w:eastAsia="Times New Roman" w:hAnsi="Calibri" w:cs="Calibri"/>
                <w:color w:val="000000"/>
                <w:lang w:eastAsia="pt-PT"/>
              </w:rPr>
              <w:t> </w:t>
            </w:r>
          </w:p>
        </w:tc>
      </w:tr>
      <w:tr w:rsidR="0019446E" w14:paraId="7061953D" w14:textId="77777777" w:rsidTr="0019446E">
        <w:tc>
          <w:tcPr>
            <w:tcW w:w="637" w:type="dxa"/>
            <w:shd w:val="clear" w:color="auto" w:fill="auto"/>
            <w:vAlign w:val="center"/>
          </w:tcPr>
          <w:p w14:paraId="7551ED2A" w14:textId="77777777" w:rsidR="0019446E" w:rsidRPr="00CB6EC6" w:rsidRDefault="0019446E" w:rsidP="0019446E">
            <w:pPr>
              <w:jc w:val="right"/>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V</w:t>
            </w:r>
          </w:p>
        </w:tc>
        <w:tc>
          <w:tcPr>
            <w:tcW w:w="6516" w:type="dxa"/>
            <w:shd w:val="clear" w:color="auto" w:fill="auto"/>
            <w:vAlign w:val="center"/>
          </w:tcPr>
          <w:p w14:paraId="63046475" w14:textId="77777777" w:rsidR="0019446E" w:rsidRPr="00CB6EC6" w:rsidRDefault="0019446E" w:rsidP="0019446E">
            <w:pPr>
              <w:jc w:val="both"/>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UNDP Accelerator Lab</w:t>
            </w:r>
          </w:p>
        </w:tc>
        <w:tc>
          <w:tcPr>
            <w:tcW w:w="1554" w:type="dxa"/>
            <w:shd w:val="clear" w:color="auto" w:fill="auto"/>
            <w:vAlign w:val="center"/>
          </w:tcPr>
          <w:p w14:paraId="3A8ED49D" w14:textId="77777777" w:rsidR="0019446E" w:rsidRPr="00CB6EC6" w:rsidRDefault="0019446E" w:rsidP="0019446E">
            <w:pPr>
              <w:jc w:val="both"/>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 </w:t>
            </w:r>
          </w:p>
        </w:tc>
        <w:tc>
          <w:tcPr>
            <w:tcW w:w="1413" w:type="dxa"/>
            <w:shd w:val="clear" w:color="auto" w:fill="auto"/>
            <w:vAlign w:val="center"/>
          </w:tcPr>
          <w:p w14:paraId="147F6B65" w14:textId="77777777" w:rsidR="0019446E" w:rsidRPr="00CB6EC6" w:rsidRDefault="0019446E" w:rsidP="0019446E">
            <w:pPr>
              <w:jc w:val="both"/>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 </w:t>
            </w:r>
          </w:p>
        </w:tc>
        <w:tc>
          <w:tcPr>
            <w:tcW w:w="1442" w:type="dxa"/>
            <w:shd w:val="clear" w:color="auto" w:fill="auto"/>
            <w:vAlign w:val="center"/>
          </w:tcPr>
          <w:p w14:paraId="7747CBCB" w14:textId="77777777" w:rsidR="0019446E" w:rsidRPr="00CB6EC6" w:rsidRDefault="0019446E" w:rsidP="0019446E">
            <w:pPr>
              <w:jc w:val="both"/>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 </w:t>
            </w:r>
          </w:p>
        </w:tc>
        <w:tc>
          <w:tcPr>
            <w:tcW w:w="1413" w:type="dxa"/>
            <w:shd w:val="clear" w:color="auto" w:fill="auto"/>
            <w:vAlign w:val="center"/>
          </w:tcPr>
          <w:p w14:paraId="18621D3D" w14:textId="77777777" w:rsidR="0019446E" w:rsidRPr="00CB6EC6" w:rsidRDefault="0019446E" w:rsidP="0019446E">
            <w:pPr>
              <w:jc w:val="both"/>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 </w:t>
            </w:r>
          </w:p>
        </w:tc>
        <w:tc>
          <w:tcPr>
            <w:tcW w:w="925" w:type="dxa"/>
            <w:shd w:val="clear" w:color="auto" w:fill="auto"/>
            <w:vAlign w:val="center"/>
          </w:tcPr>
          <w:p w14:paraId="0708759F" w14:textId="77777777" w:rsidR="0019446E" w:rsidRPr="00CB6EC6" w:rsidRDefault="0019446E" w:rsidP="0019446E">
            <w:pPr>
              <w:jc w:val="both"/>
              <w:rPr>
                <w:rFonts w:ascii="Calibri" w:eastAsia="Times New Roman" w:hAnsi="Calibri" w:cs="Calibri"/>
                <w:b/>
                <w:bCs/>
                <w:color w:val="000000"/>
                <w:lang w:eastAsia="pt-PT"/>
              </w:rPr>
            </w:pPr>
          </w:p>
        </w:tc>
        <w:tc>
          <w:tcPr>
            <w:tcW w:w="867" w:type="dxa"/>
            <w:shd w:val="clear" w:color="auto" w:fill="auto"/>
            <w:vAlign w:val="center"/>
          </w:tcPr>
          <w:p w14:paraId="6A94FAAC" w14:textId="77777777" w:rsidR="0019446E" w:rsidRPr="00CB6EC6" w:rsidRDefault="0019446E" w:rsidP="0019446E">
            <w:pPr>
              <w:jc w:val="both"/>
              <w:rPr>
                <w:rFonts w:ascii="Calibri" w:eastAsia="Times New Roman" w:hAnsi="Calibri" w:cs="Calibri"/>
                <w:b/>
                <w:bCs/>
                <w:color w:val="000000"/>
                <w:lang w:eastAsia="pt-PT"/>
              </w:rPr>
            </w:pPr>
          </w:p>
        </w:tc>
      </w:tr>
      <w:tr w:rsidR="0019446E" w14:paraId="527FA4BE" w14:textId="77777777" w:rsidTr="0019446E">
        <w:tc>
          <w:tcPr>
            <w:tcW w:w="637" w:type="dxa"/>
            <w:shd w:val="clear" w:color="auto" w:fill="auto"/>
            <w:vAlign w:val="center"/>
          </w:tcPr>
          <w:p w14:paraId="6AA72F8E"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5.1</w:t>
            </w:r>
          </w:p>
        </w:tc>
        <w:tc>
          <w:tcPr>
            <w:tcW w:w="6516" w:type="dxa"/>
            <w:shd w:val="clear" w:color="auto" w:fill="auto"/>
            <w:vAlign w:val="center"/>
          </w:tcPr>
          <w:p w14:paraId="2AD85818" w14:textId="77777777" w:rsidR="0019446E" w:rsidRPr="00CB6EC6" w:rsidRDefault="0019446E" w:rsidP="0019446E">
            <w:pPr>
              <w:jc w:val="both"/>
              <w:rPr>
                <w:rFonts w:ascii="Calibri" w:eastAsia="Times New Roman" w:hAnsi="Calibri" w:cs="Calibri"/>
                <w:color w:val="000000"/>
                <w:lang w:eastAsia="pt-PT"/>
              </w:rPr>
            </w:pPr>
            <w:r w:rsidRPr="00CB6EC6">
              <w:rPr>
                <w:rFonts w:ascii="Calibri" w:eastAsia="Times New Roman" w:hAnsi="Calibri" w:cs="Calibri"/>
                <w:color w:val="000000"/>
                <w:lang w:eastAsia="pt-PT"/>
              </w:rPr>
              <w:t xml:space="preserve">Accelerator Lab </w:t>
            </w:r>
            <w:r>
              <w:rPr>
                <w:rFonts w:ascii="Calibri" w:eastAsia="Times New Roman" w:hAnsi="Calibri" w:cs="Calibri"/>
                <w:color w:val="000000"/>
                <w:lang w:eastAsia="pt-PT"/>
              </w:rPr>
              <w:t>–</w:t>
            </w:r>
            <w:r w:rsidRPr="00CB6EC6">
              <w:rPr>
                <w:rFonts w:ascii="Calibri" w:eastAsia="Times New Roman" w:hAnsi="Calibri" w:cs="Calibri"/>
                <w:color w:val="000000"/>
                <w:lang w:eastAsia="pt-PT"/>
              </w:rPr>
              <w:t xml:space="preserve"> Angola</w:t>
            </w:r>
          </w:p>
        </w:tc>
        <w:tc>
          <w:tcPr>
            <w:tcW w:w="1554" w:type="dxa"/>
            <w:shd w:val="clear" w:color="auto" w:fill="auto"/>
            <w:vAlign w:val="center"/>
          </w:tcPr>
          <w:p w14:paraId="48B84DB6"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$351 598</w:t>
            </w:r>
          </w:p>
        </w:tc>
        <w:tc>
          <w:tcPr>
            <w:tcW w:w="1413" w:type="dxa"/>
            <w:shd w:val="clear" w:color="auto" w:fill="auto"/>
            <w:vAlign w:val="center"/>
          </w:tcPr>
          <w:p w14:paraId="618A1369"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$615 885</w:t>
            </w:r>
          </w:p>
        </w:tc>
        <w:tc>
          <w:tcPr>
            <w:tcW w:w="1442" w:type="dxa"/>
            <w:shd w:val="clear" w:color="auto" w:fill="auto"/>
            <w:vAlign w:val="center"/>
          </w:tcPr>
          <w:p w14:paraId="09178A40"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$353 802</w:t>
            </w:r>
          </w:p>
        </w:tc>
        <w:tc>
          <w:tcPr>
            <w:tcW w:w="1413" w:type="dxa"/>
            <w:shd w:val="clear" w:color="auto" w:fill="auto"/>
            <w:vAlign w:val="center"/>
          </w:tcPr>
          <w:p w14:paraId="671F6A53"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$267 898</w:t>
            </w:r>
          </w:p>
        </w:tc>
        <w:tc>
          <w:tcPr>
            <w:tcW w:w="925" w:type="dxa"/>
            <w:shd w:val="clear" w:color="auto" w:fill="auto"/>
            <w:vAlign w:val="center"/>
          </w:tcPr>
          <w:p w14:paraId="3B3EF162" w14:textId="77777777" w:rsidR="0019446E" w:rsidRPr="00CB6EC6" w:rsidRDefault="0019446E" w:rsidP="0019446E">
            <w:pPr>
              <w:jc w:val="center"/>
              <w:rPr>
                <w:rFonts w:ascii="Calibri" w:eastAsia="Times New Roman" w:hAnsi="Calibri" w:cs="Calibri"/>
                <w:color w:val="1D2228"/>
                <w:lang w:eastAsia="pt-PT"/>
              </w:rPr>
            </w:pPr>
            <w:r w:rsidRPr="00CB6EC6">
              <w:rPr>
                <w:rFonts w:ascii="Calibri" w:eastAsia="Times New Roman" w:hAnsi="Calibri" w:cs="Calibri"/>
                <w:color w:val="1D2228"/>
                <w:lang w:eastAsia="pt-PT"/>
              </w:rPr>
              <w:t> </w:t>
            </w:r>
          </w:p>
        </w:tc>
        <w:tc>
          <w:tcPr>
            <w:tcW w:w="867" w:type="dxa"/>
            <w:shd w:val="clear" w:color="auto" w:fill="auto"/>
            <w:vAlign w:val="center"/>
          </w:tcPr>
          <w:p w14:paraId="78BF0069"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43%</w:t>
            </w:r>
          </w:p>
        </w:tc>
      </w:tr>
      <w:tr w:rsidR="0019446E" w14:paraId="22D6CD49" w14:textId="77777777" w:rsidTr="0019446E">
        <w:tc>
          <w:tcPr>
            <w:tcW w:w="637" w:type="dxa"/>
            <w:shd w:val="clear" w:color="auto" w:fill="B6DDE8" w:themeFill="accent5" w:themeFillTint="66"/>
            <w:vAlign w:val="center"/>
          </w:tcPr>
          <w:p w14:paraId="05DFFCBF"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w:t>
            </w:r>
          </w:p>
        </w:tc>
        <w:tc>
          <w:tcPr>
            <w:tcW w:w="6516" w:type="dxa"/>
            <w:shd w:val="clear" w:color="auto" w:fill="B6DDE8" w:themeFill="accent5" w:themeFillTint="66"/>
            <w:vAlign w:val="center"/>
          </w:tcPr>
          <w:p w14:paraId="7CEFD831" w14:textId="77777777" w:rsidR="0019446E" w:rsidRPr="00CB6EC6" w:rsidRDefault="0019446E" w:rsidP="0019446E">
            <w:pPr>
              <w:jc w:val="both"/>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SUB-TOTAL</w:t>
            </w:r>
          </w:p>
        </w:tc>
        <w:tc>
          <w:tcPr>
            <w:tcW w:w="1554" w:type="dxa"/>
            <w:shd w:val="clear" w:color="auto" w:fill="B6DDE8" w:themeFill="accent5" w:themeFillTint="66"/>
            <w:vAlign w:val="center"/>
          </w:tcPr>
          <w:p w14:paraId="1845C178" w14:textId="77777777" w:rsidR="0019446E" w:rsidRPr="00CB6EC6" w:rsidRDefault="0019446E" w:rsidP="0019446E">
            <w:pPr>
              <w:jc w:val="right"/>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$351 598</w:t>
            </w:r>
          </w:p>
        </w:tc>
        <w:tc>
          <w:tcPr>
            <w:tcW w:w="1413" w:type="dxa"/>
            <w:shd w:val="clear" w:color="auto" w:fill="B6DDE8" w:themeFill="accent5" w:themeFillTint="66"/>
            <w:vAlign w:val="center"/>
          </w:tcPr>
          <w:p w14:paraId="471BE133" w14:textId="77777777" w:rsidR="0019446E" w:rsidRPr="00CB6EC6" w:rsidRDefault="0019446E" w:rsidP="0019446E">
            <w:pPr>
              <w:jc w:val="right"/>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$615 885</w:t>
            </w:r>
          </w:p>
        </w:tc>
        <w:tc>
          <w:tcPr>
            <w:tcW w:w="1442" w:type="dxa"/>
            <w:shd w:val="clear" w:color="auto" w:fill="B6DDE8" w:themeFill="accent5" w:themeFillTint="66"/>
            <w:vAlign w:val="center"/>
          </w:tcPr>
          <w:p w14:paraId="139B3BBE" w14:textId="77777777" w:rsidR="0019446E" w:rsidRPr="00CB6EC6" w:rsidRDefault="0019446E" w:rsidP="0019446E">
            <w:pPr>
              <w:jc w:val="right"/>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$353 802</w:t>
            </w:r>
          </w:p>
        </w:tc>
        <w:tc>
          <w:tcPr>
            <w:tcW w:w="1413" w:type="dxa"/>
            <w:shd w:val="clear" w:color="auto" w:fill="B6DDE8" w:themeFill="accent5" w:themeFillTint="66"/>
            <w:vAlign w:val="center"/>
          </w:tcPr>
          <w:p w14:paraId="454FB62C" w14:textId="77777777" w:rsidR="0019446E" w:rsidRPr="00CB6EC6" w:rsidRDefault="0019446E" w:rsidP="0019446E">
            <w:pPr>
              <w:jc w:val="right"/>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$267 898</w:t>
            </w:r>
          </w:p>
        </w:tc>
        <w:tc>
          <w:tcPr>
            <w:tcW w:w="925" w:type="dxa"/>
            <w:shd w:val="clear" w:color="auto" w:fill="B6DDE8" w:themeFill="accent5" w:themeFillTint="66"/>
            <w:vAlign w:val="center"/>
          </w:tcPr>
          <w:p w14:paraId="1E0CA122" w14:textId="77777777" w:rsidR="0019446E" w:rsidRPr="00CB6EC6" w:rsidRDefault="0019446E" w:rsidP="0019446E">
            <w:pPr>
              <w:jc w:val="right"/>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101%</w:t>
            </w:r>
          </w:p>
        </w:tc>
        <w:tc>
          <w:tcPr>
            <w:tcW w:w="867" w:type="dxa"/>
            <w:shd w:val="clear" w:color="auto" w:fill="B6DDE8" w:themeFill="accent5" w:themeFillTint="66"/>
            <w:vAlign w:val="center"/>
          </w:tcPr>
          <w:p w14:paraId="658E6573" w14:textId="77777777" w:rsidR="0019446E" w:rsidRPr="00CB6EC6" w:rsidRDefault="0019446E" w:rsidP="0019446E">
            <w:pPr>
              <w:jc w:val="right"/>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43%</w:t>
            </w:r>
          </w:p>
        </w:tc>
      </w:tr>
      <w:tr w:rsidR="0019446E" w14:paraId="5BA21601" w14:textId="77777777" w:rsidTr="0019446E">
        <w:tc>
          <w:tcPr>
            <w:tcW w:w="637" w:type="dxa"/>
            <w:shd w:val="clear" w:color="auto" w:fill="B6DDE8" w:themeFill="accent5" w:themeFillTint="66"/>
            <w:vAlign w:val="center"/>
          </w:tcPr>
          <w:p w14:paraId="258E4190" w14:textId="77777777" w:rsidR="0019446E" w:rsidRPr="00CB6EC6" w:rsidRDefault="0019446E" w:rsidP="0019446E">
            <w:pPr>
              <w:jc w:val="right"/>
              <w:rPr>
                <w:rFonts w:ascii="Calibri" w:eastAsia="Times New Roman" w:hAnsi="Calibri" w:cs="Calibri"/>
                <w:color w:val="000000"/>
                <w:lang w:eastAsia="pt-PT"/>
              </w:rPr>
            </w:pPr>
            <w:r w:rsidRPr="00CB6EC6">
              <w:rPr>
                <w:rFonts w:ascii="Calibri" w:eastAsia="Times New Roman" w:hAnsi="Calibri" w:cs="Calibri"/>
                <w:color w:val="000000"/>
                <w:lang w:eastAsia="pt-PT"/>
              </w:rPr>
              <w:t> </w:t>
            </w:r>
          </w:p>
        </w:tc>
        <w:tc>
          <w:tcPr>
            <w:tcW w:w="6516" w:type="dxa"/>
            <w:shd w:val="clear" w:color="auto" w:fill="B6DDE8" w:themeFill="accent5" w:themeFillTint="66"/>
            <w:vAlign w:val="center"/>
          </w:tcPr>
          <w:p w14:paraId="5D75F532" w14:textId="77777777" w:rsidR="0019446E" w:rsidRPr="00CB6EC6" w:rsidRDefault="0019446E" w:rsidP="0019446E">
            <w:pPr>
              <w:jc w:val="both"/>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TOTAL GENERAL</w:t>
            </w:r>
          </w:p>
        </w:tc>
        <w:tc>
          <w:tcPr>
            <w:tcW w:w="1554" w:type="dxa"/>
            <w:shd w:val="clear" w:color="auto" w:fill="B6DDE8" w:themeFill="accent5" w:themeFillTint="66"/>
            <w:vAlign w:val="center"/>
          </w:tcPr>
          <w:p w14:paraId="114C6EBC" w14:textId="77777777" w:rsidR="0019446E" w:rsidRPr="00CB6EC6" w:rsidRDefault="0019446E" w:rsidP="0019446E">
            <w:pPr>
              <w:jc w:val="right"/>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$19 736 915</w:t>
            </w:r>
          </w:p>
        </w:tc>
        <w:tc>
          <w:tcPr>
            <w:tcW w:w="1413" w:type="dxa"/>
            <w:shd w:val="clear" w:color="auto" w:fill="B6DDE8" w:themeFill="accent5" w:themeFillTint="66"/>
            <w:vAlign w:val="center"/>
          </w:tcPr>
          <w:p w14:paraId="3C40E788" w14:textId="77777777" w:rsidR="0019446E" w:rsidRPr="00CB6EC6" w:rsidRDefault="0019446E" w:rsidP="0019446E">
            <w:pPr>
              <w:jc w:val="right"/>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$45 074 148</w:t>
            </w:r>
          </w:p>
        </w:tc>
        <w:tc>
          <w:tcPr>
            <w:tcW w:w="1442" w:type="dxa"/>
            <w:shd w:val="clear" w:color="auto" w:fill="B6DDE8" w:themeFill="accent5" w:themeFillTint="66"/>
            <w:vAlign w:val="center"/>
          </w:tcPr>
          <w:p w14:paraId="20FF1FF4" w14:textId="77777777" w:rsidR="0019446E" w:rsidRPr="00CB6EC6" w:rsidRDefault="0019446E" w:rsidP="0019446E">
            <w:pPr>
              <w:jc w:val="right"/>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$11 965 068</w:t>
            </w:r>
          </w:p>
        </w:tc>
        <w:tc>
          <w:tcPr>
            <w:tcW w:w="1413" w:type="dxa"/>
            <w:shd w:val="clear" w:color="auto" w:fill="B6DDE8" w:themeFill="accent5" w:themeFillTint="66"/>
            <w:vAlign w:val="center"/>
          </w:tcPr>
          <w:p w14:paraId="76799B6B" w14:textId="77777777" w:rsidR="0019446E" w:rsidRPr="00CB6EC6" w:rsidRDefault="0019446E" w:rsidP="0019446E">
            <w:pPr>
              <w:jc w:val="right"/>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$12 708 062</w:t>
            </w:r>
          </w:p>
        </w:tc>
        <w:tc>
          <w:tcPr>
            <w:tcW w:w="925" w:type="dxa"/>
            <w:shd w:val="clear" w:color="auto" w:fill="B6DDE8" w:themeFill="accent5" w:themeFillTint="66"/>
            <w:vAlign w:val="center"/>
          </w:tcPr>
          <w:p w14:paraId="324C5886" w14:textId="77777777" w:rsidR="0019446E" w:rsidRPr="00CB6EC6" w:rsidRDefault="0019446E" w:rsidP="0019446E">
            <w:pPr>
              <w:jc w:val="right"/>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61%</w:t>
            </w:r>
          </w:p>
        </w:tc>
        <w:tc>
          <w:tcPr>
            <w:tcW w:w="867" w:type="dxa"/>
            <w:shd w:val="clear" w:color="auto" w:fill="B6DDE8" w:themeFill="accent5" w:themeFillTint="66"/>
            <w:vAlign w:val="center"/>
          </w:tcPr>
          <w:p w14:paraId="35ECE1E0" w14:textId="77777777" w:rsidR="0019446E" w:rsidRPr="00CB6EC6" w:rsidRDefault="0019446E" w:rsidP="0019446E">
            <w:pPr>
              <w:jc w:val="right"/>
              <w:rPr>
                <w:rFonts w:ascii="Calibri" w:eastAsia="Times New Roman" w:hAnsi="Calibri" w:cs="Calibri"/>
                <w:b/>
                <w:bCs/>
                <w:color w:val="000000"/>
                <w:lang w:eastAsia="pt-PT"/>
              </w:rPr>
            </w:pPr>
            <w:r w:rsidRPr="00CB6EC6">
              <w:rPr>
                <w:rFonts w:ascii="Calibri" w:eastAsia="Times New Roman" w:hAnsi="Calibri" w:cs="Calibri"/>
                <w:b/>
                <w:bCs/>
                <w:color w:val="000000"/>
                <w:lang w:eastAsia="pt-PT"/>
              </w:rPr>
              <w:t>28%</w:t>
            </w:r>
          </w:p>
        </w:tc>
      </w:tr>
    </w:tbl>
    <w:p w14:paraId="5834243F" w14:textId="635F7979" w:rsidR="0019446E" w:rsidRDefault="0019446E"/>
    <w:p w14:paraId="34FCABFD" w14:textId="77777777" w:rsidR="001728A0" w:rsidRDefault="001728A0">
      <w:pPr>
        <w:sectPr w:rsidR="001728A0" w:rsidSect="00CF7B67">
          <w:pgSz w:w="15840" w:h="12240" w:orient="landscape"/>
          <w:pgMar w:top="1440" w:right="1440" w:bottom="1440" w:left="1440" w:header="720" w:footer="720" w:gutter="0"/>
          <w:cols w:space="720"/>
          <w:docGrid w:linePitch="360"/>
        </w:sectPr>
      </w:pPr>
    </w:p>
    <w:p w14:paraId="636FCD51" w14:textId="5F94A36A" w:rsidR="001728A0" w:rsidRPr="004F5E9E" w:rsidRDefault="001728A0" w:rsidP="004F5E9E">
      <w:pPr>
        <w:pStyle w:val="Heading1"/>
        <w:rPr>
          <w:rFonts w:asciiTheme="minorHAnsi" w:hAnsiTheme="minorHAnsi" w:cstheme="minorHAnsi"/>
          <w:sz w:val="22"/>
          <w:szCs w:val="22"/>
        </w:rPr>
      </w:pPr>
      <w:bookmarkStart w:id="78" w:name="_Toc88741825"/>
      <w:r w:rsidRPr="004F5E9E">
        <w:rPr>
          <w:rFonts w:asciiTheme="minorHAnsi" w:hAnsiTheme="minorHAnsi" w:cstheme="minorHAnsi"/>
          <w:sz w:val="22"/>
          <w:szCs w:val="22"/>
        </w:rPr>
        <w:lastRenderedPageBreak/>
        <w:t xml:space="preserve">Annex 2: UNDP </w:t>
      </w:r>
      <w:r w:rsidR="001330BE">
        <w:rPr>
          <w:rFonts w:asciiTheme="minorHAnsi" w:hAnsiTheme="minorHAnsi" w:cstheme="minorHAnsi"/>
          <w:sz w:val="22"/>
          <w:szCs w:val="22"/>
        </w:rPr>
        <w:t>in the</w:t>
      </w:r>
      <w:r w:rsidRPr="004F5E9E">
        <w:rPr>
          <w:rFonts w:asciiTheme="minorHAnsi" w:hAnsiTheme="minorHAnsi" w:cstheme="minorHAnsi"/>
          <w:sz w:val="22"/>
          <w:szCs w:val="22"/>
        </w:rPr>
        <w:t xml:space="preserve"> United Nations Sustainable Development Framework (UNSDF 2018-2022)</w:t>
      </w:r>
      <w:bookmarkEnd w:id="78"/>
    </w:p>
    <w:tbl>
      <w:tblPr>
        <w:tblStyle w:val="GridTable1Light"/>
        <w:tblW w:w="0" w:type="auto"/>
        <w:tblLook w:val="04A0" w:firstRow="1" w:lastRow="0" w:firstColumn="1" w:lastColumn="0" w:noHBand="0" w:noVBand="1"/>
      </w:tblPr>
      <w:tblGrid>
        <w:gridCol w:w="4405"/>
        <w:gridCol w:w="2700"/>
        <w:gridCol w:w="1890"/>
        <w:gridCol w:w="1350"/>
        <w:gridCol w:w="1350"/>
        <w:gridCol w:w="1255"/>
      </w:tblGrid>
      <w:tr w:rsidR="001728A0" w:rsidRPr="002660C3" w14:paraId="2E5817E6" w14:textId="77777777" w:rsidTr="00D91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14:paraId="532477B0" w14:textId="77777777" w:rsidR="001728A0" w:rsidRPr="002660C3" w:rsidRDefault="001728A0" w:rsidP="00D919E5">
            <w:pPr>
              <w:jc w:val="center"/>
              <w:rPr>
                <w:sz w:val="20"/>
                <w:szCs w:val="20"/>
              </w:rPr>
            </w:pPr>
            <w:r w:rsidRPr="002660C3">
              <w:rPr>
                <w:sz w:val="20"/>
                <w:szCs w:val="20"/>
              </w:rPr>
              <w:t>UNSDF Outcomes</w:t>
            </w:r>
          </w:p>
        </w:tc>
        <w:tc>
          <w:tcPr>
            <w:tcW w:w="2700" w:type="dxa"/>
          </w:tcPr>
          <w:p w14:paraId="39107DEB" w14:textId="77777777" w:rsidR="001728A0" w:rsidRPr="002660C3" w:rsidRDefault="001728A0" w:rsidP="00D919E5">
            <w:pPr>
              <w:jc w:val="center"/>
              <w:cnfStyle w:val="100000000000" w:firstRow="1" w:lastRow="0" w:firstColumn="0" w:lastColumn="0" w:oddVBand="0" w:evenVBand="0" w:oddHBand="0" w:evenHBand="0" w:firstRowFirstColumn="0" w:firstRowLastColumn="0" w:lastRowFirstColumn="0" w:lastRowLastColumn="0"/>
              <w:rPr>
                <w:sz w:val="20"/>
                <w:szCs w:val="20"/>
              </w:rPr>
            </w:pPr>
            <w:r w:rsidRPr="002660C3">
              <w:rPr>
                <w:sz w:val="20"/>
                <w:szCs w:val="20"/>
              </w:rPr>
              <w:t>Outputs UNDP is involved</w:t>
            </w:r>
          </w:p>
        </w:tc>
        <w:tc>
          <w:tcPr>
            <w:tcW w:w="1890" w:type="dxa"/>
          </w:tcPr>
          <w:p w14:paraId="48BB7830" w14:textId="77777777" w:rsidR="001728A0" w:rsidRPr="002660C3" w:rsidRDefault="001728A0" w:rsidP="00D919E5">
            <w:pPr>
              <w:jc w:val="center"/>
              <w:cnfStyle w:val="100000000000" w:firstRow="1" w:lastRow="0" w:firstColumn="0" w:lastColumn="0" w:oddVBand="0" w:evenVBand="0" w:oddHBand="0" w:evenHBand="0" w:firstRowFirstColumn="0" w:firstRowLastColumn="0" w:lastRowFirstColumn="0" w:lastRowLastColumn="0"/>
              <w:rPr>
                <w:sz w:val="20"/>
                <w:szCs w:val="20"/>
              </w:rPr>
            </w:pPr>
            <w:r w:rsidRPr="002660C3">
              <w:rPr>
                <w:sz w:val="20"/>
                <w:szCs w:val="20"/>
              </w:rPr>
              <w:t>Role</w:t>
            </w:r>
          </w:p>
        </w:tc>
        <w:tc>
          <w:tcPr>
            <w:tcW w:w="1350" w:type="dxa"/>
          </w:tcPr>
          <w:p w14:paraId="5AFE9EC8" w14:textId="77777777" w:rsidR="001728A0" w:rsidRPr="002660C3" w:rsidRDefault="001728A0" w:rsidP="00D919E5">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Total Budget (USD million)</w:t>
            </w:r>
          </w:p>
        </w:tc>
        <w:tc>
          <w:tcPr>
            <w:tcW w:w="1350" w:type="dxa"/>
          </w:tcPr>
          <w:p w14:paraId="751E3439" w14:textId="77777777" w:rsidR="001728A0" w:rsidRPr="002660C3" w:rsidRDefault="001728A0" w:rsidP="00D919E5">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UNDP Planned Contribution (USD Million)</w:t>
            </w:r>
          </w:p>
        </w:tc>
        <w:tc>
          <w:tcPr>
            <w:tcW w:w="1255" w:type="dxa"/>
          </w:tcPr>
          <w:p w14:paraId="22C6592F" w14:textId="77777777" w:rsidR="001728A0" w:rsidRPr="002660C3" w:rsidRDefault="001728A0" w:rsidP="00D919E5">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 </w:t>
            </w:r>
            <w:proofErr w:type="gramStart"/>
            <w:r>
              <w:rPr>
                <w:sz w:val="20"/>
                <w:szCs w:val="20"/>
              </w:rPr>
              <w:t>of</w:t>
            </w:r>
            <w:proofErr w:type="gramEnd"/>
            <w:r>
              <w:rPr>
                <w:sz w:val="20"/>
                <w:szCs w:val="20"/>
              </w:rPr>
              <w:t xml:space="preserve"> Total Budget</w:t>
            </w:r>
          </w:p>
        </w:tc>
      </w:tr>
      <w:tr w:rsidR="001728A0" w:rsidRPr="002660C3" w14:paraId="0E9D55FE" w14:textId="77777777" w:rsidTr="00D919E5">
        <w:tc>
          <w:tcPr>
            <w:cnfStyle w:val="001000000000" w:firstRow="0" w:lastRow="0" w:firstColumn="1" w:lastColumn="0" w:oddVBand="0" w:evenVBand="0" w:oddHBand="0" w:evenHBand="0" w:firstRowFirstColumn="0" w:firstRowLastColumn="0" w:lastRowFirstColumn="0" w:lastRowLastColumn="0"/>
            <w:tcW w:w="4405" w:type="dxa"/>
          </w:tcPr>
          <w:p w14:paraId="04999266" w14:textId="77777777" w:rsidR="001728A0" w:rsidRPr="002660C3" w:rsidRDefault="001728A0" w:rsidP="00D919E5">
            <w:pPr>
              <w:jc w:val="both"/>
              <w:rPr>
                <w:i/>
                <w:iCs/>
                <w:sz w:val="20"/>
                <w:szCs w:val="20"/>
              </w:rPr>
            </w:pPr>
            <w:r w:rsidRPr="002660C3">
              <w:rPr>
                <w:i/>
                <w:iCs/>
                <w:sz w:val="20"/>
                <w:szCs w:val="20"/>
              </w:rPr>
              <w:t>Outcome 1: By 2022, the Angolan population, particularly the most vulnerable, has better access to quality and integrated social and productive services and to a diversified economy capable of the creation of decent employment and earnings in order to reduce poverty.</w:t>
            </w:r>
          </w:p>
          <w:p w14:paraId="1291FD3E" w14:textId="77777777" w:rsidR="001728A0" w:rsidRPr="002660C3" w:rsidRDefault="001728A0" w:rsidP="00D919E5">
            <w:pPr>
              <w:jc w:val="both"/>
              <w:rPr>
                <w:sz w:val="20"/>
                <w:szCs w:val="20"/>
              </w:rPr>
            </w:pPr>
          </w:p>
        </w:tc>
        <w:tc>
          <w:tcPr>
            <w:tcW w:w="2700" w:type="dxa"/>
          </w:tcPr>
          <w:p w14:paraId="05ACF11E" w14:textId="77777777" w:rsidR="001728A0" w:rsidRPr="002660C3"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2660C3">
              <w:rPr>
                <w:sz w:val="20"/>
                <w:szCs w:val="20"/>
              </w:rPr>
              <w:t>1.1; 1.2; 1.3; 1.4;1.5; 1.6; 1.7; 1.8; 1.9; 1.10; 1.11</w:t>
            </w:r>
          </w:p>
          <w:p w14:paraId="56AACB36" w14:textId="77777777" w:rsidR="001728A0" w:rsidRPr="002660C3"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1890" w:type="dxa"/>
          </w:tcPr>
          <w:p w14:paraId="7142C31C" w14:textId="77777777" w:rsidR="001728A0" w:rsidRPr="002660C3"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2660C3">
              <w:rPr>
                <w:sz w:val="20"/>
                <w:szCs w:val="20"/>
              </w:rPr>
              <w:t>Technical assistance; advocacy; service delivery; capacity building</w:t>
            </w:r>
          </w:p>
        </w:tc>
        <w:tc>
          <w:tcPr>
            <w:tcW w:w="1350" w:type="dxa"/>
          </w:tcPr>
          <w:p w14:paraId="294409FA" w14:textId="77777777" w:rsidR="001728A0" w:rsidRPr="002660C3"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86</w:t>
            </w:r>
          </w:p>
        </w:tc>
        <w:tc>
          <w:tcPr>
            <w:tcW w:w="1350" w:type="dxa"/>
          </w:tcPr>
          <w:p w14:paraId="323F7897" w14:textId="77777777" w:rsidR="001728A0" w:rsidRPr="002660C3"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26.8</w:t>
            </w:r>
          </w:p>
        </w:tc>
        <w:tc>
          <w:tcPr>
            <w:tcW w:w="1255" w:type="dxa"/>
          </w:tcPr>
          <w:p w14:paraId="4801F83F" w14:textId="77777777" w:rsidR="001728A0" w:rsidRPr="002660C3"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w:t>
            </w:r>
          </w:p>
        </w:tc>
      </w:tr>
      <w:tr w:rsidR="001728A0" w:rsidRPr="002660C3" w14:paraId="189881FA" w14:textId="77777777" w:rsidTr="00D919E5">
        <w:tc>
          <w:tcPr>
            <w:cnfStyle w:val="001000000000" w:firstRow="0" w:lastRow="0" w:firstColumn="1" w:lastColumn="0" w:oddVBand="0" w:evenVBand="0" w:oddHBand="0" w:evenHBand="0" w:firstRowFirstColumn="0" w:firstRowLastColumn="0" w:lastRowFirstColumn="0" w:lastRowLastColumn="0"/>
            <w:tcW w:w="4405" w:type="dxa"/>
          </w:tcPr>
          <w:p w14:paraId="44F8A13A" w14:textId="77777777" w:rsidR="001728A0" w:rsidRPr="002660C3" w:rsidRDefault="001728A0" w:rsidP="00D919E5">
            <w:pPr>
              <w:jc w:val="both"/>
              <w:rPr>
                <w:i/>
                <w:iCs/>
                <w:sz w:val="20"/>
                <w:szCs w:val="20"/>
              </w:rPr>
            </w:pPr>
            <w:r w:rsidRPr="002660C3">
              <w:rPr>
                <w:i/>
                <w:iCs/>
                <w:sz w:val="20"/>
                <w:szCs w:val="20"/>
              </w:rPr>
              <w:t>Outcome 2: By 2022, adolescents, youth, women and the most vulnerable are given priority in social, economic, cultural, and environmental policies and programmes, including within humanitarian contexts.</w:t>
            </w:r>
          </w:p>
          <w:p w14:paraId="114E1181" w14:textId="77777777" w:rsidR="001728A0" w:rsidRPr="002660C3" w:rsidRDefault="001728A0" w:rsidP="00D919E5">
            <w:pPr>
              <w:jc w:val="both"/>
              <w:rPr>
                <w:sz w:val="20"/>
                <w:szCs w:val="20"/>
              </w:rPr>
            </w:pPr>
          </w:p>
        </w:tc>
        <w:tc>
          <w:tcPr>
            <w:tcW w:w="2700" w:type="dxa"/>
          </w:tcPr>
          <w:p w14:paraId="7B0236C2" w14:textId="77777777" w:rsidR="001728A0" w:rsidRPr="002660C3"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2660C3">
              <w:rPr>
                <w:sz w:val="20"/>
                <w:szCs w:val="20"/>
              </w:rPr>
              <w:t>2.1; 2.2; 2.3; 2.4; 2.5; 2.6; 2.7; 2.8; 2.9</w:t>
            </w:r>
          </w:p>
        </w:tc>
        <w:tc>
          <w:tcPr>
            <w:tcW w:w="1890" w:type="dxa"/>
          </w:tcPr>
          <w:p w14:paraId="1EFBB9D3" w14:textId="77777777" w:rsidR="001728A0" w:rsidRPr="002660C3"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2660C3">
              <w:rPr>
                <w:sz w:val="20"/>
                <w:szCs w:val="20"/>
              </w:rPr>
              <w:t>Technical assistance; advocacy; service delivery; capacity building</w:t>
            </w:r>
          </w:p>
        </w:tc>
        <w:tc>
          <w:tcPr>
            <w:tcW w:w="1350" w:type="dxa"/>
          </w:tcPr>
          <w:p w14:paraId="3A14852E" w14:textId="77777777" w:rsidR="001728A0" w:rsidRPr="002660C3"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64.3</w:t>
            </w:r>
          </w:p>
        </w:tc>
        <w:tc>
          <w:tcPr>
            <w:tcW w:w="1350" w:type="dxa"/>
          </w:tcPr>
          <w:p w14:paraId="40461206" w14:textId="77777777" w:rsidR="001728A0" w:rsidRPr="002660C3"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w:t>
            </w:r>
          </w:p>
        </w:tc>
        <w:tc>
          <w:tcPr>
            <w:tcW w:w="1255" w:type="dxa"/>
          </w:tcPr>
          <w:p w14:paraId="5B2E41A0" w14:textId="77777777" w:rsidR="001728A0" w:rsidRPr="002660C3"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r>
      <w:tr w:rsidR="001728A0" w:rsidRPr="002660C3" w14:paraId="4E78FBDF" w14:textId="77777777" w:rsidTr="00D919E5">
        <w:tc>
          <w:tcPr>
            <w:cnfStyle w:val="001000000000" w:firstRow="0" w:lastRow="0" w:firstColumn="1" w:lastColumn="0" w:oddVBand="0" w:evenVBand="0" w:oddHBand="0" w:evenHBand="0" w:firstRowFirstColumn="0" w:firstRowLastColumn="0" w:lastRowFirstColumn="0" w:lastRowLastColumn="0"/>
            <w:tcW w:w="4405" w:type="dxa"/>
          </w:tcPr>
          <w:p w14:paraId="2DBF080C" w14:textId="77777777" w:rsidR="001728A0" w:rsidRPr="002660C3" w:rsidRDefault="001728A0" w:rsidP="00D919E5">
            <w:pPr>
              <w:jc w:val="both"/>
              <w:rPr>
                <w:i/>
                <w:iCs/>
                <w:sz w:val="20"/>
                <w:szCs w:val="20"/>
              </w:rPr>
            </w:pPr>
            <w:r w:rsidRPr="002660C3">
              <w:rPr>
                <w:i/>
                <w:iCs/>
                <w:sz w:val="20"/>
                <w:szCs w:val="20"/>
              </w:rPr>
              <w:t>Outcome 3: By 2022, vulnerable population is resilient to climate change and the risk of disasters, having an inclusive and sustainable production; with planning and management of the territory, cities, natural resources and the environment</w:t>
            </w:r>
          </w:p>
          <w:p w14:paraId="14A47EFE" w14:textId="77777777" w:rsidR="001728A0" w:rsidRPr="002660C3" w:rsidRDefault="001728A0" w:rsidP="00D919E5">
            <w:pPr>
              <w:jc w:val="both"/>
              <w:rPr>
                <w:sz w:val="20"/>
                <w:szCs w:val="20"/>
              </w:rPr>
            </w:pPr>
          </w:p>
        </w:tc>
        <w:tc>
          <w:tcPr>
            <w:tcW w:w="2700" w:type="dxa"/>
          </w:tcPr>
          <w:p w14:paraId="05A88675" w14:textId="77777777" w:rsidR="001728A0" w:rsidRPr="002660C3"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2660C3">
              <w:rPr>
                <w:sz w:val="20"/>
                <w:szCs w:val="20"/>
              </w:rPr>
              <w:t>3.1; 3.2; 3.3; 3.4; 3.6; 3.7; 3.8; 3.9; 3.10; 3.12; 3.13; 3.14</w:t>
            </w:r>
          </w:p>
        </w:tc>
        <w:tc>
          <w:tcPr>
            <w:tcW w:w="1890" w:type="dxa"/>
          </w:tcPr>
          <w:p w14:paraId="2D3AE21D" w14:textId="77777777" w:rsidR="001728A0" w:rsidRPr="002660C3"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2660C3">
              <w:rPr>
                <w:sz w:val="20"/>
                <w:szCs w:val="20"/>
              </w:rPr>
              <w:t>Technical assistance; advocacy; service delivery; capacity building</w:t>
            </w:r>
          </w:p>
        </w:tc>
        <w:tc>
          <w:tcPr>
            <w:tcW w:w="1350" w:type="dxa"/>
          </w:tcPr>
          <w:p w14:paraId="4701416F" w14:textId="77777777" w:rsidR="001728A0" w:rsidRPr="002660C3"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87</w:t>
            </w:r>
          </w:p>
        </w:tc>
        <w:tc>
          <w:tcPr>
            <w:tcW w:w="1350" w:type="dxa"/>
          </w:tcPr>
          <w:p w14:paraId="1638236E" w14:textId="77777777" w:rsidR="001728A0" w:rsidRPr="002660C3"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38.7</w:t>
            </w:r>
          </w:p>
        </w:tc>
        <w:tc>
          <w:tcPr>
            <w:tcW w:w="1255" w:type="dxa"/>
          </w:tcPr>
          <w:p w14:paraId="02B40037" w14:textId="77777777" w:rsidR="001728A0" w:rsidRPr="002660C3"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44</w:t>
            </w:r>
          </w:p>
        </w:tc>
      </w:tr>
      <w:tr w:rsidR="001728A0" w:rsidRPr="002660C3" w14:paraId="44D86C32" w14:textId="77777777" w:rsidTr="00D919E5">
        <w:tc>
          <w:tcPr>
            <w:cnfStyle w:val="001000000000" w:firstRow="0" w:lastRow="0" w:firstColumn="1" w:lastColumn="0" w:oddVBand="0" w:evenVBand="0" w:oddHBand="0" w:evenHBand="0" w:firstRowFirstColumn="0" w:firstRowLastColumn="0" w:lastRowFirstColumn="0" w:lastRowLastColumn="0"/>
            <w:tcW w:w="4405" w:type="dxa"/>
          </w:tcPr>
          <w:p w14:paraId="12637534" w14:textId="77777777" w:rsidR="001728A0" w:rsidRPr="002660C3" w:rsidRDefault="001728A0" w:rsidP="00D919E5">
            <w:pPr>
              <w:jc w:val="both"/>
              <w:rPr>
                <w:i/>
                <w:iCs/>
                <w:sz w:val="20"/>
                <w:szCs w:val="20"/>
              </w:rPr>
            </w:pPr>
            <w:r w:rsidRPr="002660C3">
              <w:rPr>
                <w:i/>
                <w:iCs/>
                <w:sz w:val="20"/>
                <w:szCs w:val="20"/>
              </w:rPr>
              <w:t>Outcome 4: By 2022, citizens participate in and monitor governance, everyone has access to justice and Human Rights are observed, within an environment of peace and regional security</w:t>
            </w:r>
          </w:p>
          <w:p w14:paraId="0C94188C" w14:textId="77777777" w:rsidR="001728A0" w:rsidRPr="002660C3" w:rsidRDefault="001728A0" w:rsidP="00D919E5">
            <w:pPr>
              <w:jc w:val="both"/>
              <w:rPr>
                <w:sz w:val="20"/>
                <w:szCs w:val="20"/>
              </w:rPr>
            </w:pPr>
          </w:p>
        </w:tc>
        <w:tc>
          <w:tcPr>
            <w:tcW w:w="2700" w:type="dxa"/>
          </w:tcPr>
          <w:p w14:paraId="287E5F5E" w14:textId="77777777" w:rsidR="001728A0" w:rsidRPr="002660C3"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2660C3">
              <w:rPr>
                <w:sz w:val="20"/>
                <w:szCs w:val="20"/>
              </w:rPr>
              <w:t>4.1; 42; 4.3; 4.4; 4.5</w:t>
            </w:r>
          </w:p>
        </w:tc>
        <w:tc>
          <w:tcPr>
            <w:tcW w:w="1890" w:type="dxa"/>
          </w:tcPr>
          <w:p w14:paraId="131D6EF2" w14:textId="77777777" w:rsidR="001728A0" w:rsidRPr="002660C3"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2660C3">
              <w:rPr>
                <w:sz w:val="20"/>
                <w:szCs w:val="20"/>
              </w:rPr>
              <w:t>Technical assistance; advocacy; service delivery; capacity building</w:t>
            </w:r>
          </w:p>
        </w:tc>
        <w:tc>
          <w:tcPr>
            <w:tcW w:w="1350" w:type="dxa"/>
          </w:tcPr>
          <w:p w14:paraId="6B35EC90" w14:textId="77777777" w:rsidR="001728A0" w:rsidRPr="002660C3"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w:t>
            </w:r>
          </w:p>
        </w:tc>
        <w:tc>
          <w:tcPr>
            <w:tcW w:w="1350" w:type="dxa"/>
          </w:tcPr>
          <w:p w14:paraId="0EC1486D" w14:textId="77777777" w:rsidR="001728A0" w:rsidRPr="002660C3"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4.8</w:t>
            </w:r>
          </w:p>
        </w:tc>
        <w:tc>
          <w:tcPr>
            <w:tcW w:w="1255" w:type="dxa"/>
          </w:tcPr>
          <w:p w14:paraId="280437AB" w14:textId="77777777" w:rsidR="001728A0" w:rsidRPr="002660C3"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w:t>
            </w:r>
          </w:p>
        </w:tc>
      </w:tr>
    </w:tbl>
    <w:p w14:paraId="3DBB822C" w14:textId="77777777" w:rsidR="001728A0" w:rsidRDefault="001728A0" w:rsidP="001728A0">
      <w:pPr>
        <w:sectPr w:rsidR="001728A0" w:rsidSect="002660C3">
          <w:pgSz w:w="15840" w:h="12240" w:orient="landscape"/>
          <w:pgMar w:top="1440" w:right="1440" w:bottom="1440" w:left="1440" w:header="720" w:footer="720" w:gutter="0"/>
          <w:cols w:space="720"/>
          <w:docGrid w:linePitch="360"/>
        </w:sectPr>
      </w:pPr>
    </w:p>
    <w:p w14:paraId="60C40912" w14:textId="03EDC7C7" w:rsidR="0019446E" w:rsidRPr="001728A0" w:rsidRDefault="001728A0" w:rsidP="001728A0">
      <w:pPr>
        <w:pStyle w:val="Heading1"/>
        <w:rPr>
          <w:rFonts w:asciiTheme="minorHAnsi" w:hAnsiTheme="minorHAnsi" w:cstheme="minorHAnsi"/>
          <w:sz w:val="22"/>
          <w:szCs w:val="22"/>
        </w:rPr>
      </w:pPr>
      <w:bookmarkStart w:id="79" w:name="_Toc88741826"/>
      <w:r w:rsidRPr="001728A0">
        <w:rPr>
          <w:rFonts w:asciiTheme="minorHAnsi" w:hAnsiTheme="minorHAnsi" w:cstheme="minorHAnsi"/>
          <w:sz w:val="22"/>
          <w:szCs w:val="22"/>
        </w:rPr>
        <w:lastRenderedPageBreak/>
        <w:t xml:space="preserve">Annex </w:t>
      </w:r>
      <w:r>
        <w:rPr>
          <w:rFonts w:asciiTheme="minorHAnsi" w:hAnsiTheme="minorHAnsi" w:cstheme="minorHAnsi"/>
          <w:sz w:val="22"/>
          <w:szCs w:val="22"/>
        </w:rPr>
        <w:t>3</w:t>
      </w:r>
      <w:r w:rsidRPr="001728A0">
        <w:rPr>
          <w:rFonts w:asciiTheme="minorHAnsi" w:hAnsiTheme="minorHAnsi" w:cstheme="minorHAnsi"/>
          <w:sz w:val="22"/>
          <w:szCs w:val="22"/>
        </w:rPr>
        <w:t>: Evaluation Matrix</w:t>
      </w:r>
      <w:bookmarkEnd w:id="79"/>
    </w:p>
    <w:tbl>
      <w:tblPr>
        <w:tblStyle w:val="GridTable1Light"/>
        <w:tblW w:w="13675" w:type="dxa"/>
        <w:tblLook w:val="04A0" w:firstRow="1" w:lastRow="0" w:firstColumn="1" w:lastColumn="0" w:noHBand="0" w:noVBand="1"/>
      </w:tblPr>
      <w:tblGrid>
        <w:gridCol w:w="3053"/>
        <w:gridCol w:w="4317"/>
        <w:gridCol w:w="1800"/>
        <w:gridCol w:w="1654"/>
        <w:gridCol w:w="2851"/>
      </w:tblGrid>
      <w:tr w:rsidR="001728A0" w:rsidRPr="00EA474B" w14:paraId="1D9B9445" w14:textId="77777777" w:rsidTr="00D919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53" w:type="dxa"/>
          </w:tcPr>
          <w:p w14:paraId="0EE39C7E" w14:textId="77777777" w:rsidR="001728A0" w:rsidRPr="00EA474B" w:rsidRDefault="001728A0" w:rsidP="00D919E5">
            <w:pPr>
              <w:jc w:val="both"/>
              <w:rPr>
                <w:sz w:val="20"/>
                <w:szCs w:val="20"/>
              </w:rPr>
            </w:pPr>
            <w:r w:rsidRPr="00EA474B">
              <w:rPr>
                <w:sz w:val="20"/>
                <w:szCs w:val="20"/>
              </w:rPr>
              <w:t xml:space="preserve">Evaluation Criteria </w:t>
            </w:r>
          </w:p>
        </w:tc>
        <w:tc>
          <w:tcPr>
            <w:tcW w:w="4317" w:type="dxa"/>
          </w:tcPr>
          <w:p w14:paraId="4CF733E9" w14:textId="77777777" w:rsidR="001728A0" w:rsidRPr="00EA474B" w:rsidRDefault="001728A0" w:rsidP="00D919E5">
            <w:pPr>
              <w:jc w:val="both"/>
              <w:cnfStyle w:val="100000000000" w:firstRow="1" w:lastRow="0" w:firstColumn="0" w:lastColumn="0" w:oddVBand="0" w:evenVBand="0" w:oddHBand="0" w:evenHBand="0" w:firstRowFirstColumn="0" w:firstRowLastColumn="0" w:lastRowFirstColumn="0" w:lastRowLastColumn="0"/>
              <w:rPr>
                <w:sz w:val="20"/>
                <w:szCs w:val="20"/>
              </w:rPr>
            </w:pPr>
            <w:r w:rsidRPr="00EA474B">
              <w:rPr>
                <w:sz w:val="20"/>
                <w:szCs w:val="20"/>
              </w:rPr>
              <w:t>Key Questions/Areas for Review and Assessment</w:t>
            </w:r>
          </w:p>
        </w:tc>
        <w:tc>
          <w:tcPr>
            <w:tcW w:w="1800" w:type="dxa"/>
          </w:tcPr>
          <w:p w14:paraId="428F5CF1" w14:textId="77777777" w:rsidR="001728A0" w:rsidRPr="00EA474B" w:rsidRDefault="001728A0" w:rsidP="00D919E5">
            <w:pPr>
              <w:jc w:val="both"/>
              <w:cnfStyle w:val="100000000000" w:firstRow="1" w:lastRow="0" w:firstColumn="0" w:lastColumn="0" w:oddVBand="0" w:evenVBand="0" w:oddHBand="0" w:evenHBand="0" w:firstRowFirstColumn="0" w:firstRowLastColumn="0" w:lastRowFirstColumn="0" w:lastRowLastColumn="0"/>
              <w:rPr>
                <w:sz w:val="20"/>
                <w:szCs w:val="20"/>
              </w:rPr>
            </w:pPr>
            <w:r w:rsidRPr="00EA474B">
              <w:rPr>
                <w:sz w:val="20"/>
                <w:szCs w:val="20"/>
              </w:rPr>
              <w:t xml:space="preserve">Data Collection tools </w:t>
            </w:r>
          </w:p>
        </w:tc>
        <w:tc>
          <w:tcPr>
            <w:tcW w:w="1654" w:type="dxa"/>
          </w:tcPr>
          <w:p w14:paraId="10ED6797" w14:textId="77777777" w:rsidR="001728A0" w:rsidRPr="00EA474B" w:rsidRDefault="001728A0" w:rsidP="00D919E5">
            <w:pPr>
              <w:jc w:val="both"/>
              <w:cnfStyle w:val="100000000000" w:firstRow="1" w:lastRow="0" w:firstColumn="0" w:lastColumn="0" w:oddVBand="0" w:evenVBand="0" w:oddHBand="0" w:evenHBand="0" w:firstRowFirstColumn="0" w:firstRowLastColumn="0" w:lastRowFirstColumn="0" w:lastRowLastColumn="0"/>
              <w:rPr>
                <w:sz w:val="20"/>
                <w:szCs w:val="20"/>
              </w:rPr>
            </w:pPr>
            <w:r w:rsidRPr="00EA474B">
              <w:rPr>
                <w:sz w:val="20"/>
                <w:szCs w:val="20"/>
              </w:rPr>
              <w:t>Data Sources</w:t>
            </w:r>
          </w:p>
        </w:tc>
        <w:tc>
          <w:tcPr>
            <w:tcW w:w="2851" w:type="dxa"/>
          </w:tcPr>
          <w:p w14:paraId="7EABBDC1" w14:textId="77777777" w:rsidR="001728A0" w:rsidRPr="00EA474B" w:rsidRDefault="001728A0" w:rsidP="00D919E5">
            <w:pPr>
              <w:jc w:val="both"/>
              <w:cnfStyle w:val="100000000000" w:firstRow="1" w:lastRow="0" w:firstColumn="0" w:lastColumn="0" w:oddVBand="0" w:evenVBand="0" w:oddHBand="0" w:evenHBand="0" w:firstRowFirstColumn="0" w:firstRowLastColumn="0" w:lastRowFirstColumn="0" w:lastRowLastColumn="0"/>
              <w:rPr>
                <w:sz w:val="20"/>
                <w:szCs w:val="20"/>
              </w:rPr>
            </w:pPr>
            <w:r w:rsidRPr="00EA474B">
              <w:rPr>
                <w:sz w:val="20"/>
                <w:szCs w:val="20"/>
              </w:rPr>
              <w:t>Methods of Data Analysis</w:t>
            </w:r>
          </w:p>
        </w:tc>
      </w:tr>
      <w:tr w:rsidR="001728A0" w:rsidRPr="00EA474B" w14:paraId="768D55DC" w14:textId="77777777" w:rsidTr="00D919E5">
        <w:tc>
          <w:tcPr>
            <w:cnfStyle w:val="001000000000" w:firstRow="0" w:lastRow="0" w:firstColumn="1" w:lastColumn="0" w:oddVBand="0" w:evenVBand="0" w:oddHBand="0" w:evenHBand="0" w:firstRowFirstColumn="0" w:firstRowLastColumn="0" w:lastRowFirstColumn="0" w:lastRowLastColumn="0"/>
            <w:tcW w:w="10824" w:type="dxa"/>
            <w:gridSpan w:val="4"/>
          </w:tcPr>
          <w:p w14:paraId="7493D7FB" w14:textId="77777777" w:rsidR="001728A0" w:rsidRPr="00EA474B" w:rsidRDefault="001728A0" w:rsidP="00D919E5">
            <w:pPr>
              <w:jc w:val="both"/>
              <w:rPr>
                <w:sz w:val="20"/>
                <w:szCs w:val="20"/>
              </w:rPr>
            </w:pPr>
          </w:p>
          <w:p w14:paraId="66D1ABDF" w14:textId="77777777" w:rsidR="001728A0" w:rsidRPr="00EA474B" w:rsidRDefault="001728A0" w:rsidP="00D919E5">
            <w:pPr>
              <w:jc w:val="both"/>
              <w:rPr>
                <w:sz w:val="20"/>
                <w:szCs w:val="20"/>
              </w:rPr>
            </w:pPr>
            <w:r w:rsidRPr="00EA474B">
              <w:rPr>
                <w:sz w:val="20"/>
                <w:szCs w:val="20"/>
              </w:rPr>
              <w:t>Relevance</w:t>
            </w:r>
          </w:p>
        </w:tc>
        <w:tc>
          <w:tcPr>
            <w:tcW w:w="2851" w:type="dxa"/>
          </w:tcPr>
          <w:p w14:paraId="14BB753D"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1728A0" w:rsidRPr="00EA474B" w14:paraId="6F5F452E" w14:textId="77777777" w:rsidTr="00D919E5">
        <w:tc>
          <w:tcPr>
            <w:cnfStyle w:val="001000000000" w:firstRow="0" w:lastRow="0" w:firstColumn="1" w:lastColumn="0" w:oddVBand="0" w:evenVBand="0" w:oddHBand="0" w:evenHBand="0" w:firstRowFirstColumn="0" w:firstRowLastColumn="0" w:lastRowFirstColumn="0" w:lastRowLastColumn="0"/>
            <w:tcW w:w="3053" w:type="dxa"/>
          </w:tcPr>
          <w:p w14:paraId="2723DBAC" w14:textId="77777777" w:rsidR="001728A0" w:rsidRPr="00EA474B" w:rsidRDefault="001728A0" w:rsidP="00D919E5">
            <w:pPr>
              <w:jc w:val="both"/>
              <w:rPr>
                <w:sz w:val="20"/>
                <w:szCs w:val="20"/>
              </w:rPr>
            </w:pPr>
            <w:r w:rsidRPr="00EA474B">
              <w:rPr>
                <w:sz w:val="20"/>
                <w:szCs w:val="20"/>
              </w:rPr>
              <w:t xml:space="preserve">To what extent is the initiative in line with the UNDP mandate, national priorities and the requirements of targeted women and men? </w:t>
            </w:r>
          </w:p>
        </w:tc>
        <w:tc>
          <w:tcPr>
            <w:tcW w:w="4317" w:type="dxa"/>
          </w:tcPr>
          <w:p w14:paraId="25AF2DFA" w14:textId="77777777" w:rsidR="001728A0" w:rsidRPr="00EA474B" w:rsidRDefault="001728A0" w:rsidP="00790AD5">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To what extent is the UNDP CPD aligned to Angola NDP to the UNDAF?</w:t>
            </w:r>
          </w:p>
          <w:p w14:paraId="4C839727" w14:textId="77777777" w:rsidR="001728A0" w:rsidRPr="00EA474B" w:rsidRDefault="001728A0" w:rsidP="00790AD5">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 xml:space="preserve">How well does the UNDP CPD respond to national priorities? </w:t>
            </w:r>
          </w:p>
          <w:p w14:paraId="6F4A8A02" w14:textId="77777777" w:rsidR="001728A0" w:rsidRPr="00EA474B" w:rsidRDefault="001728A0" w:rsidP="00790AD5">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To what extent is UNDP CPD aligned with the UNDP Strategic Plan</w:t>
            </w:r>
          </w:p>
          <w:p w14:paraId="199D5C93" w14:textId="77777777" w:rsidR="001728A0" w:rsidRPr="00EA474B" w:rsidRDefault="001728A0" w:rsidP="00790AD5">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What are UNDP’s comparative advantages in delivering national priorities and on the CPD aspirations?</w:t>
            </w:r>
          </w:p>
          <w:p w14:paraId="44F531F8" w14:textId="77777777" w:rsidR="001728A0" w:rsidRPr="00EA474B" w:rsidRDefault="001728A0" w:rsidP="00790AD5">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 xml:space="preserve">To what extent is the Country Programme a robust instrument for the attainment of the SDGs? </w:t>
            </w:r>
          </w:p>
        </w:tc>
        <w:tc>
          <w:tcPr>
            <w:tcW w:w="1800" w:type="dxa"/>
          </w:tcPr>
          <w:p w14:paraId="0D8AC446"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Key Informant Interviews</w:t>
            </w:r>
          </w:p>
          <w:p w14:paraId="1F98685B"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Focus group discussions</w:t>
            </w:r>
          </w:p>
          <w:p w14:paraId="34E82401"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Desk review</w:t>
            </w:r>
          </w:p>
        </w:tc>
        <w:tc>
          <w:tcPr>
            <w:tcW w:w="1654" w:type="dxa"/>
          </w:tcPr>
          <w:p w14:paraId="48BA1600"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Angola NDP</w:t>
            </w:r>
          </w:p>
          <w:p w14:paraId="25EADD76"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UNDAF</w:t>
            </w:r>
          </w:p>
          <w:p w14:paraId="3E3EBB14"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UNDP strategic Plans</w:t>
            </w:r>
          </w:p>
          <w:p w14:paraId="079BC57C"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CPDs</w:t>
            </w:r>
          </w:p>
        </w:tc>
        <w:tc>
          <w:tcPr>
            <w:tcW w:w="2851" w:type="dxa"/>
          </w:tcPr>
          <w:p w14:paraId="7DF3EA01" w14:textId="77777777" w:rsidR="001728A0"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Review of Documents</w:t>
            </w:r>
          </w:p>
          <w:p w14:paraId="11651EE7"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Qualitative analytical methods</w:t>
            </w:r>
          </w:p>
        </w:tc>
      </w:tr>
      <w:tr w:rsidR="001728A0" w:rsidRPr="00EA474B" w14:paraId="43E61D88" w14:textId="77777777" w:rsidTr="00D919E5">
        <w:tc>
          <w:tcPr>
            <w:cnfStyle w:val="001000000000" w:firstRow="0" w:lastRow="0" w:firstColumn="1" w:lastColumn="0" w:oddVBand="0" w:evenVBand="0" w:oddHBand="0" w:evenHBand="0" w:firstRowFirstColumn="0" w:firstRowLastColumn="0" w:lastRowFirstColumn="0" w:lastRowLastColumn="0"/>
            <w:tcW w:w="3053" w:type="dxa"/>
          </w:tcPr>
          <w:p w14:paraId="34EDD791" w14:textId="77777777" w:rsidR="001728A0" w:rsidRPr="00EA474B" w:rsidRDefault="001728A0" w:rsidP="00D919E5">
            <w:pPr>
              <w:jc w:val="both"/>
              <w:rPr>
                <w:sz w:val="20"/>
                <w:szCs w:val="20"/>
              </w:rPr>
            </w:pPr>
            <w:r w:rsidRPr="00EA474B">
              <w:rPr>
                <w:sz w:val="20"/>
                <w:szCs w:val="20"/>
              </w:rPr>
              <w:t>Has UNDP been able to effectively adapt the programme to the effects of the COVID-19 pandemic in Angola</w:t>
            </w:r>
          </w:p>
        </w:tc>
        <w:tc>
          <w:tcPr>
            <w:tcW w:w="4317" w:type="dxa"/>
          </w:tcPr>
          <w:p w14:paraId="2373B835" w14:textId="77777777" w:rsidR="001728A0" w:rsidRPr="00EA474B" w:rsidRDefault="001728A0" w:rsidP="00790AD5">
            <w:pPr>
              <w:pStyle w:val="ListParagraph"/>
              <w:numPr>
                <w:ilvl w:val="0"/>
                <w:numId w:val="13"/>
              </w:num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What is UNDP’s contribution to the UN-system response to Covid-19?</w:t>
            </w:r>
          </w:p>
          <w:p w14:paraId="296E9DA0" w14:textId="77777777" w:rsidR="001728A0" w:rsidRPr="00EA474B" w:rsidRDefault="001728A0" w:rsidP="00790AD5">
            <w:pPr>
              <w:pStyle w:val="ListParagraph"/>
              <w:numPr>
                <w:ilvl w:val="0"/>
                <w:numId w:val="13"/>
              </w:num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 xml:space="preserve">What is UNDP’s contribution to the national </w:t>
            </w:r>
            <w:r>
              <w:rPr>
                <w:sz w:val="20"/>
                <w:szCs w:val="20"/>
              </w:rPr>
              <w:t xml:space="preserve">socio-economic response to </w:t>
            </w:r>
            <w:r w:rsidRPr="00EA474B">
              <w:rPr>
                <w:sz w:val="20"/>
                <w:szCs w:val="20"/>
              </w:rPr>
              <w:t>Covid-19?</w:t>
            </w:r>
          </w:p>
          <w:p w14:paraId="13A1CAD6" w14:textId="77777777" w:rsidR="001728A0" w:rsidRPr="00EA474B" w:rsidRDefault="001728A0" w:rsidP="00790AD5">
            <w:pPr>
              <w:pStyle w:val="ListParagraph"/>
              <w:numPr>
                <w:ilvl w:val="0"/>
                <w:numId w:val="13"/>
              </w:num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How has UNDP adapted its CPD in response to Covid-19?</w:t>
            </w:r>
          </w:p>
        </w:tc>
        <w:tc>
          <w:tcPr>
            <w:tcW w:w="1800" w:type="dxa"/>
          </w:tcPr>
          <w:p w14:paraId="40EF20B3"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KIIs</w:t>
            </w:r>
          </w:p>
          <w:p w14:paraId="30C64C45"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Desk Reviews</w:t>
            </w:r>
          </w:p>
        </w:tc>
        <w:tc>
          <w:tcPr>
            <w:tcW w:w="1654" w:type="dxa"/>
          </w:tcPr>
          <w:p w14:paraId="4268B35B"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UN COVID-19 response plans</w:t>
            </w:r>
          </w:p>
          <w:p w14:paraId="45B57E0E"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National Covid 19 Response Plans</w:t>
            </w:r>
          </w:p>
          <w:p w14:paraId="5EB1AA50"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UNDP Project documents</w:t>
            </w:r>
          </w:p>
          <w:p w14:paraId="60DFA6FD"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p>
          <w:p w14:paraId="7F160F46"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2851" w:type="dxa"/>
          </w:tcPr>
          <w:p w14:paraId="0C54E8B1" w14:textId="77777777" w:rsidR="001728A0"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Review of Documents</w:t>
            </w:r>
          </w:p>
          <w:p w14:paraId="306F964F"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Qualitative analytical methods</w:t>
            </w:r>
          </w:p>
        </w:tc>
      </w:tr>
      <w:tr w:rsidR="001728A0" w:rsidRPr="00EA474B" w14:paraId="1E0D04DB" w14:textId="77777777" w:rsidTr="00D919E5">
        <w:tc>
          <w:tcPr>
            <w:cnfStyle w:val="001000000000" w:firstRow="0" w:lastRow="0" w:firstColumn="1" w:lastColumn="0" w:oddVBand="0" w:evenVBand="0" w:oddHBand="0" w:evenHBand="0" w:firstRowFirstColumn="0" w:firstRowLastColumn="0" w:lastRowFirstColumn="0" w:lastRowLastColumn="0"/>
            <w:tcW w:w="3053" w:type="dxa"/>
          </w:tcPr>
          <w:p w14:paraId="6E07B329" w14:textId="77777777" w:rsidR="001728A0" w:rsidRPr="00EA474B" w:rsidRDefault="001728A0" w:rsidP="00D919E5">
            <w:pPr>
              <w:jc w:val="both"/>
              <w:rPr>
                <w:sz w:val="20"/>
                <w:szCs w:val="20"/>
              </w:rPr>
            </w:pPr>
            <w:r w:rsidRPr="00EA474B">
              <w:rPr>
                <w:sz w:val="20"/>
                <w:szCs w:val="20"/>
              </w:rPr>
              <w:t>How well does the design of the programme address the needs of the most vulnerable groups in the context of leaving no one behind</w:t>
            </w:r>
          </w:p>
        </w:tc>
        <w:tc>
          <w:tcPr>
            <w:tcW w:w="4317" w:type="dxa"/>
          </w:tcPr>
          <w:p w14:paraId="3871140C" w14:textId="77777777" w:rsidR="001728A0" w:rsidRPr="00EA474B" w:rsidRDefault="001728A0" w:rsidP="00790AD5">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 xml:space="preserve">Has UNDP undertaken detailed needs assessment of the different vulnerable groups during programme development?  </w:t>
            </w:r>
          </w:p>
          <w:p w14:paraId="651AD66A" w14:textId="77777777" w:rsidR="001728A0" w:rsidRPr="00EA474B" w:rsidRDefault="001728A0" w:rsidP="00790AD5">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Were the vulnerable groups involved in programme/project formulation process?</w:t>
            </w:r>
          </w:p>
          <w:p w14:paraId="51A09A57" w14:textId="77777777" w:rsidR="001728A0" w:rsidRPr="00EA474B" w:rsidRDefault="001728A0" w:rsidP="00790AD5">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To what extent are the needs of the vulnerable identified and catered for in the UNDP CPD and specific programmes and projects?</w:t>
            </w:r>
          </w:p>
          <w:p w14:paraId="194DE2C9" w14:textId="77777777" w:rsidR="001728A0" w:rsidRPr="00EA474B" w:rsidRDefault="001728A0" w:rsidP="00790AD5">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What specific vulnerable groups are identified in UNDP programme and project interventions?</w:t>
            </w:r>
          </w:p>
          <w:p w14:paraId="5C01F111" w14:textId="77777777" w:rsidR="001728A0" w:rsidRPr="00EA474B" w:rsidRDefault="001728A0" w:rsidP="00790AD5">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lastRenderedPageBreak/>
              <w:t>What have been the impact of these interventions on these vulnerable groups?</w:t>
            </w:r>
          </w:p>
          <w:p w14:paraId="5189EDEB"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1800" w:type="dxa"/>
          </w:tcPr>
          <w:p w14:paraId="33793AEC"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lastRenderedPageBreak/>
              <w:t>FGDs with Beneficiaries</w:t>
            </w:r>
          </w:p>
          <w:p w14:paraId="4CD62E73"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Desk reviews</w:t>
            </w:r>
          </w:p>
          <w:p w14:paraId="4FC0CCE4"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Site visits to project implementation sites</w:t>
            </w:r>
          </w:p>
          <w:p w14:paraId="32811BDF"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1654" w:type="dxa"/>
          </w:tcPr>
          <w:p w14:paraId="1E171A12"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UNDP CPD</w:t>
            </w:r>
          </w:p>
          <w:p w14:paraId="774FF921"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Programme reports</w:t>
            </w:r>
          </w:p>
          <w:p w14:paraId="521569F6"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FGDs with beneficiaries</w:t>
            </w:r>
          </w:p>
          <w:p w14:paraId="1A8EEFB1"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2851" w:type="dxa"/>
          </w:tcPr>
          <w:p w14:paraId="788E0D4C" w14:textId="77777777" w:rsidR="001728A0"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Review of Documents</w:t>
            </w:r>
          </w:p>
          <w:p w14:paraId="7CA11F0E" w14:textId="77777777" w:rsidR="001728A0"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Qualitative analytical methods</w:t>
            </w:r>
          </w:p>
          <w:p w14:paraId="4C31656E"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Quantitative analytical methods</w:t>
            </w:r>
          </w:p>
        </w:tc>
      </w:tr>
      <w:tr w:rsidR="001728A0" w:rsidRPr="00EA474B" w14:paraId="7AF56067" w14:textId="77777777" w:rsidTr="00D919E5">
        <w:tc>
          <w:tcPr>
            <w:cnfStyle w:val="001000000000" w:firstRow="0" w:lastRow="0" w:firstColumn="1" w:lastColumn="0" w:oddVBand="0" w:evenVBand="0" w:oddHBand="0" w:evenHBand="0" w:firstRowFirstColumn="0" w:firstRowLastColumn="0" w:lastRowFirstColumn="0" w:lastRowLastColumn="0"/>
            <w:tcW w:w="10824" w:type="dxa"/>
            <w:gridSpan w:val="4"/>
          </w:tcPr>
          <w:p w14:paraId="747FFB81" w14:textId="77777777" w:rsidR="001728A0" w:rsidRPr="00EA474B" w:rsidRDefault="001728A0" w:rsidP="00D919E5">
            <w:pPr>
              <w:jc w:val="both"/>
              <w:rPr>
                <w:sz w:val="20"/>
                <w:szCs w:val="20"/>
              </w:rPr>
            </w:pPr>
            <w:r w:rsidRPr="00EA474B">
              <w:rPr>
                <w:sz w:val="20"/>
                <w:szCs w:val="20"/>
              </w:rPr>
              <w:t>Effectiveness</w:t>
            </w:r>
          </w:p>
        </w:tc>
        <w:tc>
          <w:tcPr>
            <w:tcW w:w="2851" w:type="dxa"/>
          </w:tcPr>
          <w:p w14:paraId="6CE07BAC"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1728A0" w:rsidRPr="00EA474B" w14:paraId="51F0FE65" w14:textId="77777777" w:rsidTr="00D919E5">
        <w:tc>
          <w:tcPr>
            <w:cnfStyle w:val="001000000000" w:firstRow="0" w:lastRow="0" w:firstColumn="1" w:lastColumn="0" w:oddVBand="0" w:evenVBand="0" w:oddHBand="0" w:evenHBand="0" w:firstRowFirstColumn="0" w:firstRowLastColumn="0" w:lastRowFirstColumn="0" w:lastRowLastColumn="0"/>
            <w:tcW w:w="3053" w:type="dxa"/>
          </w:tcPr>
          <w:p w14:paraId="3280576A" w14:textId="77777777" w:rsidR="001728A0" w:rsidRPr="00EA474B" w:rsidRDefault="001728A0" w:rsidP="00D919E5">
            <w:pPr>
              <w:jc w:val="both"/>
              <w:rPr>
                <w:sz w:val="20"/>
                <w:szCs w:val="20"/>
              </w:rPr>
            </w:pPr>
            <w:r w:rsidRPr="00EA474B">
              <w:rPr>
                <w:sz w:val="20"/>
                <w:szCs w:val="20"/>
              </w:rPr>
              <w:t xml:space="preserve">By reviewing the programme results and resources framework, is the UNDP programme on track </w:t>
            </w:r>
            <w:r w:rsidRPr="00AA3F42">
              <w:rPr>
                <w:sz w:val="20"/>
                <w:szCs w:val="20"/>
                <w:highlight w:val="yellow"/>
              </w:rPr>
              <w:t>to determinate</w:t>
            </w:r>
            <w:r w:rsidRPr="00EA474B">
              <w:rPr>
                <w:sz w:val="20"/>
                <w:szCs w:val="20"/>
              </w:rPr>
              <w:t xml:space="preserve"> the contributions at the outcome and output levels? </w:t>
            </w:r>
          </w:p>
        </w:tc>
        <w:tc>
          <w:tcPr>
            <w:tcW w:w="4317" w:type="dxa"/>
          </w:tcPr>
          <w:p w14:paraId="00A64B10" w14:textId="77777777" w:rsidR="001728A0" w:rsidRPr="00EA474B" w:rsidRDefault="001728A0" w:rsidP="00790AD5">
            <w:pPr>
              <w:pStyle w:val="ListParagraph"/>
              <w:numPr>
                <w:ilvl w:val="0"/>
                <w:numId w:val="15"/>
              </w:num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What has been UNDP’s contribution to the outcomes and outputs [if mid-term, the outcomes dimension could be challenging]</w:t>
            </w:r>
          </w:p>
          <w:p w14:paraId="069A5838" w14:textId="77777777" w:rsidR="001728A0" w:rsidRDefault="001728A0" w:rsidP="00790AD5">
            <w:pPr>
              <w:pStyle w:val="ListParagraph"/>
              <w:numPr>
                <w:ilvl w:val="0"/>
                <w:numId w:val="15"/>
              </w:num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What activities were implemented and account for the specific changes due to UNDP’s Interventions.</w:t>
            </w:r>
          </w:p>
          <w:p w14:paraId="6A3700AF" w14:textId="77777777" w:rsidR="001728A0" w:rsidRPr="008971BB" w:rsidRDefault="001728A0" w:rsidP="00790AD5">
            <w:pPr>
              <w:pStyle w:val="ListParagraph"/>
              <w:numPr>
                <w:ilvl w:val="0"/>
                <w:numId w:val="15"/>
              </w:numPr>
              <w:jc w:val="both"/>
              <w:cnfStyle w:val="000000000000" w:firstRow="0" w:lastRow="0" w:firstColumn="0" w:lastColumn="0" w:oddVBand="0" w:evenVBand="0" w:oddHBand="0" w:evenHBand="0" w:firstRowFirstColumn="0" w:firstRowLastColumn="0" w:lastRowFirstColumn="0" w:lastRowLastColumn="0"/>
              <w:rPr>
                <w:sz w:val="20"/>
                <w:szCs w:val="20"/>
              </w:rPr>
            </w:pPr>
            <w:r>
              <w:t>What was not implemented against what was intended, and to reflect on the causes, and implication for UNDP positioning and strategy in next cycle</w:t>
            </w:r>
          </w:p>
          <w:p w14:paraId="5B222295"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1800" w:type="dxa"/>
          </w:tcPr>
          <w:p w14:paraId="47958306"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Desk reviews</w:t>
            </w:r>
          </w:p>
          <w:p w14:paraId="4DD04F4D"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Survey</w:t>
            </w:r>
          </w:p>
          <w:p w14:paraId="4B7F19CF"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p>
          <w:p w14:paraId="660DF60F"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1654" w:type="dxa"/>
          </w:tcPr>
          <w:p w14:paraId="40A591D0"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UNDP CPD</w:t>
            </w:r>
          </w:p>
          <w:p w14:paraId="2AD7B5C6"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Work plans</w:t>
            </w:r>
          </w:p>
          <w:p w14:paraId="30654545"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Annual reports</w:t>
            </w:r>
          </w:p>
          <w:p w14:paraId="381F47D3"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Annual Reports</w:t>
            </w:r>
          </w:p>
          <w:p w14:paraId="231348BD"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2851" w:type="dxa"/>
          </w:tcPr>
          <w:p w14:paraId="35DA4165" w14:textId="77777777" w:rsidR="001728A0"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Review of Documents</w:t>
            </w:r>
          </w:p>
          <w:p w14:paraId="110B8527" w14:textId="77777777" w:rsidR="001728A0"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Qualitative analytical methods</w:t>
            </w:r>
          </w:p>
          <w:p w14:paraId="01FFEB42"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Quantitative analytical methods</w:t>
            </w:r>
          </w:p>
        </w:tc>
      </w:tr>
      <w:tr w:rsidR="001728A0" w:rsidRPr="00EA474B" w14:paraId="654CC76C" w14:textId="77777777" w:rsidTr="00D919E5">
        <w:tc>
          <w:tcPr>
            <w:cnfStyle w:val="001000000000" w:firstRow="0" w:lastRow="0" w:firstColumn="1" w:lastColumn="0" w:oddVBand="0" w:evenVBand="0" w:oddHBand="0" w:evenHBand="0" w:firstRowFirstColumn="0" w:firstRowLastColumn="0" w:lastRowFirstColumn="0" w:lastRowLastColumn="0"/>
            <w:tcW w:w="3053" w:type="dxa"/>
          </w:tcPr>
          <w:p w14:paraId="255C441C" w14:textId="77777777" w:rsidR="001728A0" w:rsidRPr="00EA474B" w:rsidRDefault="001728A0" w:rsidP="00D919E5">
            <w:pPr>
              <w:jc w:val="both"/>
              <w:rPr>
                <w:sz w:val="20"/>
                <w:szCs w:val="20"/>
              </w:rPr>
            </w:pPr>
            <w:r w:rsidRPr="00EA474B">
              <w:rPr>
                <w:sz w:val="20"/>
                <w:szCs w:val="20"/>
              </w:rPr>
              <w:t>What are the key achievements and what factors contributed to the achievements or non-achievement of those results?</w:t>
            </w:r>
          </w:p>
        </w:tc>
        <w:tc>
          <w:tcPr>
            <w:tcW w:w="4317" w:type="dxa"/>
          </w:tcPr>
          <w:p w14:paraId="5FADA15D" w14:textId="77777777" w:rsidR="001728A0" w:rsidRPr="00EA474B" w:rsidRDefault="001728A0" w:rsidP="00790AD5">
            <w:pPr>
              <w:pStyle w:val="ListParagraph"/>
              <w:numPr>
                <w:ilvl w:val="0"/>
                <w:numId w:val="16"/>
              </w:num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What were the key achievements and results of the Country Programme?</w:t>
            </w:r>
          </w:p>
          <w:p w14:paraId="231459A8" w14:textId="77777777" w:rsidR="001728A0" w:rsidRPr="00EA474B" w:rsidRDefault="001728A0" w:rsidP="00790AD5">
            <w:pPr>
              <w:pStyle w:val="ListParagraph"/>
              <w:numPr>
                <w:ilvl w:val="0"/>
                <w:numId w:val="16"/>
              </w:num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What factors contributed to the achievement of the results?</w:t>
            </w:r>
          </w:p>
          <w:p w14:paraId="5EC058F2" w14:textId="77777777" w:rsidR="001728A0" w:rsidRPr="00EA474B" w:rsidRDefault="001728A0" w:rsidP="00790AD5">
            <w:pPr>
              <w:pStyle w:val="ListParagraph"/>
              <w:numPr>
                <w:ilvl w:val="0"/>
                <w:numId w:val="16"/>
              </w:num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What factors hampered the achievement of results?</w:t>
            </w:r>
          </w:p>
          <w:p w14:paraId="142130BB" w14:textId="77777777" w:rsidR="001728A0" w:rsidRPr="00EA474B" w:rsidRDefault="001728A0" w:rsidP="00790AD5">
            <w:pPr>
              <w:pStyle w:val="ListParagraph"/>
              <w:numPr>
                <w:ilvl w:val="0"/>
                <w:numId w:val="16"/>
              </w:num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Did UNDP critically analyse the risks and put in place mitigation measures?</w:t>
            </w:r>
          </w:p>
        </w:tc>
        <w:tc>
          <w:tcPr>
            <w:tcW w:w="1800" w:type="dxa"/>
          </w:tcPr>
          <w:p w14:paraId="5857303A"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KIIs</w:t>
            </w:r>
          </w:p>
          <w:p w14:paraId="23E2070D"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Beneficiaries ‘FGDs</w:t>
            </w:r>
          </w:p>
          <w:p w14:paraId="3135395E"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Desk review</w:t>
            </w:r>
          </w:p>
        </w:tc>
        <w:tc>
          <w:tcPr>
            <w:tcW w:w="1654" w:type="dxa"/>
          </w:tcPr>
          <w:p w14:paraId="61E6951A"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UNDP CPD</w:t>
            </w:r>
          </w:p>
          <w:p w14:paraId="65F2EAFF"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Work plans</w:t>
            </w:r>
          </w:p>
          <w:p w14:paraId="332E2FB3"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Annual reports</w:t>
            </w:r>
          </w:p>
          <w:p w14:paraId="0DE8B18F"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Annual Reports</w:t>
            </w:r>
          </w:p>
          <w:p w14:paraId="32F07206"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p>
          <w:p w14:paraId="4D531710"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2851" w:type="dxa"/>
          </w:tcPr>
          <w:p w14:paraId="07A89436" w14:textId="77777777" w:rsidR="001728A0"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Review of Documents</w:t>
            </w:r>
          </w:p>
          <w:p w14:paraId="694A9576" w14:textId="77777777" w:rsidR="001728A0"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Qualitative analytical methods</w:t>
            </w:r>
          </w:p>
          <w:p w14:paraId="6D54B265"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Quantitative analytical methods</w:t>
            </w:r>
          </w:p>
        </w:tc>
      </w:tr>
      <w:tr w:rsidR="001728A0" w:rsidRPr="00EA474B" w14:paraId="0F9B0CD7" w14:textId="77777777" w:rsidTr="00D919E5">
        <w:tc>
          <w:tcPr>
            <w:cnfStyle w:val="001000000000" w:firstRow="0" w:lastRow="0" w:firstColumn="1" w:lastColumn="0" w:oddVBand="0" w:evenVBand="0" w:oddHBand="0" w:evenHBand="0" w:firstRowFirstColumn="0" w:firstRowLastColumn="0" w:lastRowFirstColumn="0" w:lastRowLastColumn="0"/>
            <w:tcW w:w="3053" w:type="dxa"/>
          </w:tcPr>
          <w:p w14:paraId="4D8B6874" w14:textId="77777777" w:rsidR="001728A0" w:rsidRPr="00EA474B" w:rsidRDefault="001728A0" w:rsidP="00D919E5">
            <w:pPr>
              <w:jc w:val="both"/>
              <w:rPr>
                <w:sz w:val="20"/>
                <w:szCs w:val="20"/>
              </w:rPr>
            </w:pPr>
            <w:r w:rsidRPr="00EA474B">
              <w:rPr>
                <w:sz w:val="20"/>
                <w:szCs w:val="20"/>
              </w:rPr>
              <w:t xml:space="preserve">To what extent has UNDP programme contributed towards an improvement in national government capacity, including institutional strengthening? </w:t>
            </w:r>
          </w:p>
        </w:tc>
        <w:tc>
          <w:tcPr>
            <w:tcW w:w="4317" w:type="dxa"/>
          </w:tcPr>
          <w:p w14:paraId="78330B65" w14:textId="77777777" w:rsidR="001728A0" w:rsidRPr="00EA474B" w:rsidRDefault="001728A0" w:rsidP="00790AD5">
            <w:pPr>
              <w:pStyle w:val="ListParagraph"/>
              <w:numPr>
                <w:ilvl w:val="0"/>
                <w:numId w:val="17"/>
              </w:num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What is the national context in terms of capacities and capacity development?</w:t>
            </w:r>
          </w:p>
          <w:p w14:paraId="5949190D" w14:textId="77777777" w:rsidR="001728A0" w:rsidRPr="00EA474B" w:rsidRDefault="001728A0" w:rsidP="00790AD5">
            <w:pPr>
              <w:pStyle w:val="ListParagraph"/>
              <w:numPr>
                <w:ilvl w:val="0"/>
                <w:numId w:val="17"/>
              </w:num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Does the UNDP CO have and overall country office approach to capacity development and is it in conformity with the UNDP capacity development conceptual framework?</w:t>
            </w:r>
          </w:p>
          <w:p w14:paraId="6452EF32" w14:textId="77777777" w:rsidR="001728A0" w:rsidRPr="00EA474B" w:rsidRDefault="001728A0" w:rsidP="00790AD5">
            <w:pPr>
              <w:pStyle w:val="ListParagraph"/>
              <w:numPr>
                <w:ilvl w:val="0"/>
                <w:numId w:val="17"/>
              </w:num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What capacities has UNDP strengthened and in which institutions?</w:t>
            </w:r>
          </w:p>
          <w:p w14:paraId="5CAF4B72" w14:textId="77777777" w:rsidR="001728A0" w:rsidRPr="00EA474B" w:rsidRDefault="001728A0" w:rsidP="00790AD5">
            <w:pPr>
              <w:pStyle w:val="ListParagraph"/>
              <w:numPr>
                <w:ilvl w:val="0"/>
                <w:numId w:val="17"/>
              </w:num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What results and changes in government’s capacity and other partners can be attributed to UNDP Programme?</w:t>
            </w:r>
          </w:p>
          <w:p w14:paraId="4BEE3F09" w14:textId="77777777" w:rsidR="001728A0" w:rsidRPr="00EA474B" w:rsidRDefault="001728A0" w:rsidP="00790AD5">
            <w:pPr>
              <w:pStyle w:val="ListParagraph"/>
              <w:numPr>
                <w:ilvl w:val="0"/>
                <w:numId w:val="17"/>
              </w:num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lastRenderedPageBreak/>
              <w:t>What capacity building activities are directed particularly at local community actors and organizations?</w:t>
            </w:r>
          </w:p>
          <w:p w14:paraId="0DF52852" w14:textId="77777777" w:rsidR="001728A0" w:rsidRPr="00EA474B" w:rsidRDefault="001728A0" w:rsidP="00790AD5">
            <w:pPr>
              <w:pStyle w:val="ListParagraph"/>
              <w:numPr>
                <w:ilvl w:val="0"/>
                <w:numId w:val="17"/>
              </w:num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 xml:space="preserve">What strategies are in place to ensure capacity utilization and retention from the UNDP capacity development activities? </w:t>
            </w:r>
          </w:p>
        </w:tc>
        <w:tc>
          <w:tcPr>
            <w:tcW w:w="1800" w:type="dxa"/>
          </w:tcPr>
          <w:p w14:paraId="1118826C"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lastRenderedPageBreak/>
              <w:t>Desk Review</w:t>
            </w:r>
          </w:p>
          <w:p w14:paraId="74501849"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KIIs</w:t>
            </w:r>
          </w:p>
        </w:tc>
        <w:tc>
          <w:tcPr>
            <w:tcW w:w="1654" w:type="dxa"/>
          </w:tcPr>
          <w:p w14:paraId="3FC0AB6B"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NDP reports</w:t>
            </w:r>
          </w:p>
          <w:p w14:paraId="5D7D0E4C"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UNDP annual Reports</w:t>
            </w:r>
          </w:p>
          <w:p w14:paraId="219A5F11"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Training reports</w:t>
            </w:r>
          </w:p>
          <w:p w14:paraId="3A3DC068"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2851" w:type="dxa"/>
          </w:tcPr>
          <w:p w14:paraId="6E0B1638" w14:textId="77777777" w:rsidR="001728A0"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Review of Documents</w:t>
            </w:r>
          </w:p>
          <w:p w14:paraId="3A604447" w14:textId="77777777" w:rsidR="001728A0"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Qualitative analytical methods</w:t>
            </w:r>
          </w:p>
          <w:p w14:paraId="1A281ADB"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Quantitative analytical methods</w:t>
            </w:r>
          </w:p>
        </w:tc>
      </w:tr>
      <w:tr w:rsidR="001728A0" w:rsidRPr="00EA474B" w14:paraId="436F2350" w14:textId="77777777" w:rsidTr="00D919E5">
        <w:tc>
          <w:tcPr>
            <w:cnfStyle w:val="001000000000" w:firstRow="0" w:lastRow="0" w:firstColumn="1" w:lastColumn="0" w:oddVBand="0" w:evenVBand="0" w:oddHBand="0" w:evenHBand="0" w:firstRowFirstColumn="0" w:firstRowLastColumn="0" w:lastRowFirstColumn="0" w:lastRowLastColumn="0"/>
            <w:tcW w:w="3053" w:type="dxa"/>
          </w:tcPr>
          <w:p w14:paraId="4A48604F" w14:textId="77777777" w:rsidR="001728A0" w:rsidRPr="00EA474B" w:rsidRDefault="001728A0" w:rsidP="00D919E5">
            <w:pPr>
              <w:jc w:val="both"/>
              <w:rPr>
                <w:sz w:val="20"/>
                <w:szCs w:val="20"/>
              </w:rPr>
            </w:pPr>
            <w:r w:rsidRPr="00EA474B">
              <w:rPr>
                <w:sz w:val="20"/>
                <w:szCs w:val="20"/>
              </w:rPr>
              <w:t>To what extent has UNDP been able to form and maintain partnerships with other development actors including bilateral and multilateral organizations, civil society organizations and the private sector to leverage results during the COVID crisis</w:t>
            </w:r>
          </w:p>
        </w:tc>
        <w:tc>
          <w:tcPr>
            <w:tcW w:w="4317" w:type="dxa"/>
          </w:tcPr>
          <w:p w14:paraId="55A3861F" w14:textId="77777777" w:rsidR="001728A0" w:rsidRPr="00EA474B" w:rsidRDefault="001728A0" w:rsidP="00790AD5">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Does the UNDP CO have a partnership strategy?</w:t>
            </w:r>
          </w:p>
          <w:p w14:paraId="7D5D41C7" w14:textId="77777777" w:rsidR="001728A0" w:rsidRPr="00112E6A" w:rsidRDefault="001728A0" w:rsidP="00790AD5">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 xml:space="preserve">Who </w:t>
            </w:r>
            <w:proofErr w:type="gramStart"/>
            <w:r w:rsidRPr="00EA474B">
              <w:rPr>
                <w:sz w:val="20"/>
                <w:szCs w:val="20"/>
              </w:rPr>
              <w:t>are</w:t>
            </w:r>
            <w:proofErr w:type="gramEnd"/>
            <w:r w:rsidRPr="00EA474B">
              <w:rPr>
                <w:sz w:val="20"/>
                <w:szCs w:val="20"/>
              </w:rPr>
              <w:t xml:space="preserve"> the key partners UNDP works with</w:t>
            </w:r>
            <w:r>
              <w:rPr>
                <w:sz w:val="20"/>
                <w:szCs w:val="20"/>
              </w:rPr>
              <w:t>/</w:t>
            </w:r>
            <w:r w:rsidRPr="00112E6A">
              <w:rPr>
                <w:sz w:val="20"/>
                <w:szCs w:val="20"/>
              </w:rPr>
              <w:t>How does UNDP involve other Development partners’ engagement in the implementation of CPD related projects?</w:t>
            </w:r>
          </w:p>
          <w:p w14:paraId="7DB16C6B" w14:textId="77777777" w:rsidR="001728A0" w:rsidRPr="00EA474B" w:rsidRDefault="001728A0" w:rsidP="00790AD5">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Is the UN in Angola Delivering as One?</w:t>
            </w:r>
          </w:p>
          <w:p w14:paraId="1A995243" w14:textId="77777777" w:rsidR="001728A0" w:rsidRPr="00EA474B" w:rsidRDefault="001728A0" w:rsidP="00790AD5">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 xml:space="preserve">How many Joint Programmes have been identified under the UNDAF? </w:t>
            </w:r>
          </w:p>
          <w:p w14:paraId="06F5A4E4" w14:textId="77777777" w:rsidR="001728A0" w:rsidRPr="00112E6A" w:rsidRDefault="001728A0" w:rsidP="00790AD5">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 xml:space="preserve">What joint programmes or activities is UNDP undertaking with other UN agencies to maximize results and synergize efforts in the UNDAF? </w:t>
            </w:r>
          </w:p>
          <w:p w14:paraId="18C37C6C" w14:textId="77777777" w:rsidR="001728A0" w:rsidRPr="00112E6A" w:rsidRDefault="001728A0" w:rsidP="00790AD5">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How is UNDP perceived by:</w:t>
            </w:r>
            <w:r>
              <w:rPr>
                <w:sz w:val="20"/>
                <w:szCs w:val="20"/>
              </w:rPr>
              <w:t xml:space="preserve"> </w:t>
            </w:r>
            <w:r w:rsidRPr="00112E6A">
              <w:rPr>
                <w:sz w:val="20"/>
                <w:szCs w:val="20"/>
              </w:rPr>
              <w:t>UN agencies</w:t>
            </w:r>
            <w:r>
              <w:rPr>
                <w:sz w:val="20"/>
                <w:szCs w:val="20"/>
              </w:rPr>
              <w:t xml:space="preserve">; </w:t>
            </w:r>
            <w:r w:rsidRPr="00112E6A">
              <w:rPr>
                <w:sz w:val="20"/>
                <w:szCs w:val="20"/>
              </w:rPr>
              <w:t>Donors</w:t>
            </w:r>
            <w:r>
              <w:rPr>
                <w:sz w:val="20"/>
                <w:szCs w:val="20"/>
              </w:rPr>
              <w:t xml:space="preserve">; </w:t>
            </w:r>
            <w:r w:rsidRPr="00112E6A">
              <w:rPr>
                <w:sz w:val="20"/>
                <w:szCs w:val="20"/>
              </w:rPr>
              <w:t>Government</w:t>
            </w:r>
            <w:r>
              <w:rPr>
                <w:sz w:val="20"/>
                <w:szCs w:val="20"/>
              </w:rPr>
              <w:t xml:space="preserve">; and </w:t>
            </w:r>
            <w:r w:rsidRPr="00112E6A">
              <w:rPr>
                <w:sz w:val="20"/>
                <w:szCs w:val="20"/>
              </w:rPr>
              <w:t>Civil Society</w:t>
            </w:r>
          </w:p>
          <w:p w14:paraId="1E88FA8D"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1800" w:type="dxa"/>
          </w:tcPr>
          <w:p w14:paraId="0800B95C"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Desk review</w:t>
            </w:r>
          </w:p>
          <w:p w14:paraId="1ED3B280"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KIIs</w:t>
            </w:r>
          </w:p>
          <w:p w14:paraId="3A739531"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1654" w:type="dxa"/>
          </w:tcPr>
          <w:p w14:paraId="7F2F5795"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Partnership strategy</w:t>
            </w:r>
          </w:p>
          <w:p w14:paraId="563FE6B7"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Joint programme documents</w:t>
            </w:r>
          </w:p>
          <w:p w14:paraId="6C82D06C"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Project documents</w:t>
            </w:r>
          </w:p>
          <w:p w14:paraId="7182A62F"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UNDAF</w:t>
            </w:r>
          </w:p>
          <w:p w14:paraId="3C2E4918"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 xml:space="preserve">Development Partners’ programme documents </w:t>
            </w:r>
          </w:p>
        </w:tc>
        <w:tc>
          <w:tcPr>
            <w:tcW w:w="2851" w:type="dxa"/>
          </w:tcPr>
          <w:p w14:paraId="56B6E679" w14:textId="77777777" w:rsidR="001728A0"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Review of Documents</w:t>
            </w:r>
          </w:p>
          <w:p w14:paraId="41B4981C" w14:textId="77777777" w:rsidR="001728A0"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Qualitative analytical methods</w:t>
            </w:r>
          </w:p>
          <w:p w14:paraId="483C3014" w14:textId="77777777" w:rsidR="001728A0"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Donor Landscape analysis </w:t>
            </w:r>
          </w:p>
          <w:p w14:paraId="480D5B2A"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1728A0" w:rsidRPr="00EA474B" w14:paraId="41E19AAB" w14:textId="77777777" w:rsidTr="00D919E5">
        <w:tc>
          <w:tcPr>
            <w:cnfStyle w:val="001000000000" w:firstRow="0" w:lastRow="0" w:firstColumn="1" w:lastColumn="0" w:oddVBand="0" w:evenVBand="0" w:oddHBand="0" w:evenHBand="0" w:firstRowFirstColumn="0" w:firstRowLastColumn="0" w:lastRowFirstColumn="0" w:lastRowLastColumn="0"/>
            <w:tcW w:w="10824" w:type="dxa"/>
            <w:gridSpan w:val="4"/>
          </w:tcPr>
          <w:p w14:paraId="19AA91BA" w14:textId="77777777" w:rsidR="001728A0" w:rsidRPr="00EA474B" w:rsidRDefault="001728A0" w:rsidP="00D919E5">
            <w:pPr>
              <w:jc w:val="both"/>
              <w:rPr>
                <w:sz w:val="20"/>
                <w:szCs w:val="20"/>
              </w:rPr>
            </w:pPr>
            <w:r w:rsidRPr="00EA474B">
              <w:rPr>
                <w:sz w:val="20"/>
                <w:szCs w:val="20"/>
              </w:rPr>
              <w:t>Efficiency</w:t>
            </w:r>
          </w:p>
        </w:tc>
        <w:tc>
          <w:tcPr>
            <w:tcW w:w="2851" w:type="dxa"/>
          </w:tcPr>
          <w:p w14:paraId="3FA541FF"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1728A0" w:rsidRPr="00EA474B" w14:paraId="3A2A2FF0" w14:textId="77777777" w:rsidTr="00D919E5">
        <w:tc>
          <w:tcPr>
            <w:cnfStyle w:val="001000000000" w:firstRow="0" w:lastRow="0" w:firstColumn="1" w:lastColumn="0" w:oddVBand="0" w:evenVBand="0" w:oddHBand="0" w:evenHBand="0" w:firstRowFirstColumn="0" w:firstRowLastColumn="0" w:lastRowFirstColumn="0" w:lastRowLastColumn="0"/>
            <w:tcW w:w="3053" w:type="dxa"/>
          </w:tcPr>
          <w:p w14:paraId="06F77375" w14:textId="77777777" w:rsidR="001728A0" w:rsidRPr="00EA474B" w:rsidRDefault="001728A0" w:rsidP="00D919E5">
            <w:pPr>
              <w:jc w:val="both"/>
              <w:rPr>
                <w:sz w:val="20"/>
                <w:szCs w:val="20"/>
              </w:rPr>
            </w:pPr>
            <w:r w:rsidRPr="00EA474B">
              <w:rPr>
                <w:sz w:val="20"/>
                <w:szCs w:val="20"/>
              </w:rPr>
              <w:t xml:space="preserve">To what extent have the programme or project outputs resulted from economic use of resources (funds, human resources, time, expertise, etc.)?  </w:t>
            </w:r>
          </w:p>
        </w:tc>
        <w:tc>
          <w:tcPr>
            <w:tcW w:w="4317" w:type="dxa"/>
          </w:tcPr>
          <w:p w14:paraId="5E15011B" w14:textId="77777777" w:rsidR="001728A0" w:rsidRPr="00EA474B" w:rsidRDefault="001728A0" w:rsidP="00790AD5">
            <w:pPr>
              <w:pStyle w:val="ListParagraph"/>
              <w:numPr>
                <w:ilvl w:val="0"/>
                <w:numId w:val="19"/>
              </w:num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What is the quantum of resources mobilized by UNDP and from what sources and for what activities?</w:t>
            </w:r>
          </w:p>
          <w:p w14:paraId="66D84C16" w14:textId="77777777" w:rsidR="001728A0" w:rsidRPr="00EA474B" w:rsidRDefault="001728A0" w:rsidP="00790AD5">
            <w:pPr>
              <w:pStyle w:val="ListParagraph"/>
              <w:numPr>
                <w:ilvl w:val="0"/>
                <w:numId w:val="19"/>
              </w:num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What is the delivery performance of UNDP and how is this related to the achievements?</w:t>
            </w:r>
          </w:p>
          <w:p w14:paraId="12EBDBAF" w14:textId="77777777" w:rsidR="001728A0" w:rsidRPr="00EA474B" w:rsidRDefault="001728A0" w:rsidP="00790AD5">
            <w:pPr>
              <w:pStyle w:val="ListParagraph"/>
              <w:numPr>
                <w:ilvl w:val="0"/>
                <w:numId w:val="19"/>
              </w:num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What strategies being implemented to ensure economical use of resources?</w:t>
            </w:r>
          </w:p>
          <w:p w14:paraId="7D578D6E" w14:textId="77777777" w:rsidR="001728A0" w:rsidRPr="00EA474B" w:rsidRDefault="001728A0" w:rsidP="00790AD5">
            <w:pPr>
              <w:pStyle w:val="ListParagraph"/>
              <w:numPr>
                <w:ilvl w:val="0"/>
                <w:numId w:val="19"/>
              </w:num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What cost efficiency methods has UNDP introduced in the implementation of UNDP’s Programmes?</w:t>
            </w:r>
          </w:p>
        </w:tc>
        <w:tc>
          <w:tcPr>
            <w:tcW w:w="1800" w:type="dxa"/>
          </w:tcPr>
          <w:p w14:paraId="22D9B265"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Desk Reviews</w:t>
            </w:r>
          </w:p>
          <w:p w14:paraId="149D82DE"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Online Survey</w:t>
            </w:r>
          </w:p>
          <w:p w14:paraId="79B23EA2"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KII</w:t>
            </w:r>
          </w:p>
        </w:tc>
        <w:tc>
          <w:tcPr>
            <w:tcW w:w="1654" w:type="dxa"/>
          </w:tcPr>
          <w:p w14:paraId="4619D1B3"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Project financial reports</w:t>
            </w:r>
          </w:p>
          <w:p w14:paraId="678E9BD0"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Annual reports</w:t>
            </w:r>
          </w:p>
          <w:p w14:paraId="64FC67F5"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p>
          <w:p w14:paraId="422D0356"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p>
          <w:p w14:paraId="53E5D235"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p>
          <w:p w14:paraId="32BE1E89"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2851" w:type="dxa"/>
          </w:tcPr>
          <w:p w14:paraId="42A63B18" w14:textId="77777777" w:rsidR="001728A0"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Review of Documents</w:t>
            </w:r>
          </w:p>
          <w:p w14:paraId="7E35F2F0" w14:textId="77777777" w:rsidR="001728A0"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Qualitative analytical methods</w:t>
            </w:r>
          </w:p>
          <w:p w14:paraId="76B5DE9D"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Quantitative analytical methods</w:t>
            </w:r>
          </w:p>
        </w:tc>
      </w:tr>
      <w:tr w:rsidR="001728A0" w:rsidRPr="00EA474B" w14:paraId="057C9365" w14:textId="77777777" w:rsidTr="00D919E5">
        <w:tc>
          <w:tcPr>
            <w:cnfStyle w:val="001000000000" w:firstRow="0" w:lastRow="0" w:firstColumn="1" w:lastColumn="0" w:oddVBand="0" w:evenVBand="0" w:oddHBand="0" w:evenHBand="0" w:firstRowFirstColumn="0" w:firstRowLastColumn="0" w:lastRowFirstColumn="0" w:lastRowLastColumn="0"/>
            <w:tcW w:w="3053" w:type="dxa"/>
          </w:tcPr>
          <w:p w14:paraId="7F7DCA3F" w14:textId="77777777" w:rsidR="001728A0" w:rsidRPr="00EA474B" w:rsidRDefault="001728A0" w:rsidP="00D919E5">
            <w:pPr>
              <w:jc w:val="both"/>
              <w:rPr>
                <w:sz w:val="20"/>
                <w:szCs w:val="20"/>
              </w:rPr>
            </w:pPr>
            <w:r w:rsidRPr="00EA474B">
              <w:rPr>
                <w:sz w:val="20"/>
                <w:szCs w:val="20"/>
              </w:rPr>
              <w:t>Programmatic Integration</w:t>
            </w:r>
          </w:p>
        </w:tc>
        <w:tc>
          <w:tcPr>
            <w:tcW w:w="4317" w:type="dxa"/>
          </w:tcPr>
          <w:p w14:paraId="17C4DEB5" w14:textId="77777777" w:rsidR="001728A0" w:rsidRPr="00EA474B" w:rsidRDefault="001728A0" w:rsidP="00790AD5">
            <w:pPr>
              <w:pStyle w:val="ListParagraph"/>
              <w:numPr>
                <w:ilvl w:val="0"/>
                <w:numId w:val="21"/>
              </w:num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 xml:space="preserve">How is UNDP ensuring interlinkages and synergies between its three programme </w:t>
            </w:r>
            <w:r w:rsidRPr="00EA474B">
              <w:rPr>
                <w:sz w:val="20"/>
                <w:szCs w:val="20"/>
              </w:rPr>
              <w:lastRenderedPageBreak/>
              <w:t>clusters – governance, inclusive growth and environment?</w:t>
            </w:r>
          </w:p>
        </w:tc>
        <w:tc>
          <w:tcPr>
            <w:tcW w:w="1800" w:type="dxa"/>
          </w:tcPr>
          <w:p w14:paraId="76A07721"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1654" w:type="dxa"/>
          </w:tcPr>
          <w:p w14:paraId="050721BB"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2851" w:type="dxa"/>
          </w:tcPr>
          <w:p w14:paraId="7DA5B668" w14:textId="77777777" w:rsidR="001728A0"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Review of Documents</w:t>
            </w:r>
          </w:p>
          <w:p w14:paraId="5953ABD1" w14:textId="77777777" w:rsidR="001728A0"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Qualitative analytical methods</w:t>
            </w:r>
          </w:p>
          <w:p w14:paraId="79F34A76"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1728A0" w:rsidRPr="00EA474B" w14:paraId="6F92AB04" w14:textId="77777777" w:rsidTr="00D919E5">
        <w:tc>
          <w:tcPr>
            <w:cnfStyle w:val="001000000000" w:firstRow="0" w:lastRow="0" w:firstColumn="1" w:lastColumn="0" w:oddVBand="0" w:evenVBand="0" w:oddHBand="0" w:evenHBand="0" w:firstRowFirstColumn="0" w:firstRowLastColumn="0" w:lastRowFirstColumn="0" w:lastRowLastColumn="0"/>
            <w:tcW w:w="10824" w:type="dxa"/>
            <w:gridSpan w:val="4"/>
          </w:tcPr>
          <w:p w14:paraId="172F4D5B" w14:textId="77777777" w:rsidR="001728A0" w:rsidRPr="00EA474B" w:rsidRDefault="001728A0" w:rsidP="00D919E5">
            <w:pPr>
              <w:jc w:val="both"/>
              <w:rPr>
                <w:sz w:val="20"/>
                <w:szCs w:val="20"/>
              </w:rPr>
            </w:pPr>
            <w:r w:rsidRPr="00EA474B">
              <w:rPr>
                <w:sz w:val="20"/>
                <w:szCs w:val="20"/>
              </w:rPr>
              <w:t>Sustainability</w:t>
            </w:r>
          </w:p>
        </w:tc>
        <w:tc>
          <w:tcPr>
            <w:tcW w:w="2851" w:type="dxa"/>
          </w:tcPr>
          <w:p w14:paraId="0CB7505D"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1728A0" w:rsidRPr="00EA474B" w14:paraId="55E736B1" w14:textId="77777777" w:rsidTr="00D919E5">
        <w:tc>
          <w:tcPr>
            <w:cnfStyle w:val="001000000000" w:firstRow="0" w:lastRow="0" w:firstColumn="1" w:lastColumn="0" w:oddVBand="0" w:evenVBand="0" w:oddHBand="0" w:evenHBand="0" w:firstRowFirstColumn="0" w:firstRowLastColumn="0" w:lastRowFirstColumn="0" w:lastRowLastColumn="0"/>
            <w:tcW w:w="3053" w:type="dxa"/>
          </w:tcPr>
          <w:p w14:paraId="68B7B13C" w14:textId="77777777" w:rsidR="001728A0" w:rsidRPr="00EA474B" w:rsidRDefault="001728A0" w:rsidP="00D919E5">
            <w:pPr>
              <w:jc w:val="both"/>
              <w:rPr>
                <w:sz w:val="20"/>
                <w:szCs w:val="20"/>
              </w:rPr>
            </w:pPr>
            <w:r w:rsidRPr="00EA474B">
              <w:rPr>
                <w:sz w:val="20"/>
                <w:szCs w:val="20"/>
              </w:rPr>
              <w:t xml:space="preserve">To what extent did UNDP establish mechanisms to ensure the sustainability of the country programme Outputs? </w:t>
            </w:r>
          </w:p>
        </w:tc>
        <w:tc>
          <w:tcPr>
            <w:tcW w:w="4317" w:type="dxa"/>
          </w:tcPr>
          <w:p w14:paraId="6A174381" w14:textId="77777777" w:rsidR="001728A0" w:rsidRPr="00EA474B" w:rsidRDefault="001728A0" w:rsidP="00790AD5">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What measures or specific strategies does UNDP have to ensure sustainability in the programmes?</w:t>
            </w:r>
          </w:p>
          <w:p w14:paraId="19859D9B" w14:textId="77777777" w:rsidR="001728A0" w:rsidRPr="00EA474B" w:rsidRDefault="001728A0" w:rsidP="00790AD5">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Are there sustainability plans for the UNDP projects</w:t>
            </w:r>
            <w:r>
              <w:rPr>
                <w:sz w:val="20"/>
                <w:szCs w:val="20"/>
              </w:rPr>
              <w:t xml:space="preserve"> and/or plans to upscale up interventions/results </w:t>
            </w:r>
          </w:p>
          <w:p w14:paraId="35FC12CF" w14:textId="77777777" w:rsidR="001728A0" w:rsidRDefault="001728A0" w:rsidP="00790AD5">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Degree of harmonization and utilization of Government ‘s existing structures and systems</w:t>
            </w:r>
          </w:p>
          <w:p w14:paraId="226A5E53" w14:textId="77777777" w:rsidR="001728A0" w:rsidRPr="00EA474B" w:rsidRDefault="001728A0" w:rsidP="00790AD5">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To extent is </w:t>
            </w:r>
            <w:proofErr w:type="gramStart"/>
            <w:r>
              <w:rPr>
                <w:sz w:val="20"/>
                <w:szCs w:val="20"/>
              </w:rPr>
              <w:t>there</w:t>
            </w:r>
            <w:proofErr w:type="gramEnd"/>
            <w:r>
              <w:rPr>
                <w:sz w:val="20"/>
                <w:szCs w:val="20"/>
              </w:rPr>
              <w:t xml:space="preserve"> government uptake of UNDP interventions?</w:t>
            </w:r>
          </w:p>
          <w:p w14:paraId="65B168CC"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p>
          <w:p w14:paraId="620E415C"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1800" w:type="dxa"/>
          </w:tcPr>
          <w:p w14:paraId="57EE4BCC"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Desk reviews</w:t>
            </w:r>
          </w:p>
          <w:p w14:paraId="6BDEC818"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KIIs with Stakeholders</w:t>
            </w:r>
          </w:p>
          <w:p w14:paraId="5CAF2BA4"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p>
          <w:p w14:paraId="472A1436"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1654" w:type="dxa"/>
          </w:tcPr>
          <w:p w14:paraId="34562918"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Project sustainability plans</w:t>
            </w:r>
          </w:p>
          <w:p w14:paraId="68735083"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Government policies</w:t>
            </w:r>
          </w:p>
          <w:p w14:paraId="2AE4A6C8"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NDP</w:t>
            </w:r>
          </w:p>
          <w:p w14:paraId="20DEFD6E"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2851" w:type="dxa"/>
          </w:tcPr>
          <w:p w14:paraId="25AD3656" w14:textId="77777777" w:rsidR="001728A0"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Review of Documents</w:t>
            </w:r>
          </w:p>
          <w:p w14:paraId="010A3EC3" w14:textId="77777777" w:rsidR="001728A0"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Qualitative analytical methods</w:t>
            </w:r>
          </w:p>
          <w:p w14:paraId="01167731"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1728A0" w:rsidRPr="00EA474B" w14:paraId="369B03B6" w14:textId="77777777" w:rsidTr="00D919E5">
        <w:tc>
          <w:tcPr>
            <w:cnfStyle w:val="001000000000" w:firstRow="0" w:lastRow="0" w:firstColumn="1" w:lastColumn="0" w:oddVBand="0" w:evenVBand="0" w:oddHBand="0" w:evenHBand="0" w:firstRowFirstColumn="0" w:firstRowLastColumn="0" w:lastRowFirstColumn="0" w:lastRowLastColumn="0"/>
            <w:tcW w:w="3053" w:type="dxa"/>
          </w:tcPr>
          <w:p w14:paraId="222A09DE" w14:textId="77777777" w:rsidR="001728A0" w:rsidRPr="00EA474B" w:rsidRDefault="001728A0" w:rsidP="00D919E5">
            <w:pPr>
              <w:jc w:val="both"/>
              <w:rPr>
                <w:sz w:val="20"/>
                <w:szCs w:val="20"/>
              </w:rPr>
            </w:pPr>
            <w:r w:rsidRPr="00EA474B">
              <w:rPr>
                <w:sz w:val="20"/>
                <w:szCs w:val="20"/>
              </w:rPr>
              <w:t>What is the likelihood that the benefits that resulted from CPD will continue at national and subnational levels through adequate ownership, commitment and willingness displayed by the Government?</w:t>
            </w:r>
          </w:p>
        </w:tc>
        <w:tc>
          <w:tcPr>
            <w:tcW w:w="4317" w:type="dxa"/>
          </w:tcPr>
          <w:p w14:paraId="41C9418C" w14:textId="77777777" w:rsidR="001728A0" w:rsidRPr="00EA474B" w:rsidRDefault="001728A0" w:rsidP="00790AD5">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What are Stakeholder perception and confidence on the sustainability potential of UNDP interventions?</w:t>
            </w:r>
          </w:p>
          <w:p w14:paraId="60E45EAA" w14:textId="77777777" w:rsidR="001728A0" w:rsidRPr="00EA474B" w:rsidRDefault="001728A0" w:rsidP="00790AD5">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How is the CO supporting domestic resource mobilization efforts?</w:t>
            </w:r>
          </w:p>
          <w:p w14:paraId="3410928D"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1800" w:type="dxa"/>
          </w:tcPr>
          <w:p w14:paraId="7AD2E92F"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KIIs</w:t>
            </w:r>
          </w:p>
          <w:p w14:paraId="0848B899"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Desk Reviews</w:t>
            </w:r>
          </w:p>
          <w:p w14:paraId="68DE7742"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Surveys</w:t>
            </w:r>
          </w:p>
        </w:tc>
        <w:tc>
          <w:tcPr>
            <w:tcW w:w="1654" w:type="dxa"/>
          </w:tcPr>
          <w:p w14:paraId="3992093A"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Government policies and reports</w:t>
            </w:r>
          </w:p>
          <w:p w14:paraId="3278BF47"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Project reports</w:t>
            </w:r>
          </w:p>
          <w:p w14:paraId="5D4ECC06"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p>
          <w:p w14:paraId="32F5FC17"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2851" w:type="dxa"/>
          </w:tcPr>
          <w:p w14:paraId="21D4C624" w14:textId="77777777" w:rsidR="001728A0"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Review of Documents</w:t>
            </w:r>
          </w:p>
          <w:p w14:paraId="7AC20700" w14:textId="77777777" w:rsidR="001728A0"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Qualitative analytical methods</w:t>
            </w:r>
          </w:p>
          <w:p w14:paraId="0093867C"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1728A0" w:rsidRPr="00EA474B" w14:paraId="366DAC45" w14:textId="77777777" w:rsidTr="00D919E5">
        <w:tc>
          <w:tcPr>
            <w:cnfStyle w:val="001000000000" w:firstRow="0" w:lastRow="0" w:firstColumn="1" w:lastColumn="0" w:oddVBand="0" w:evenVBand="0" w:oddHBand="0" w:evenHBand="0" w:firstRowFirstColumn="0" w:firstRowLastColumn="0" w:lastRowFirstColumn="0" w:lastRowLastColumn="0"/>
            <w:tcW w:w="10824" w:type="dxa"/>
            <w:gridSpan w:val="4"/>
          </w:tcPr>
          <w:p w14:paraId="73EA2D97" w14:textId="77777777" w:rsidR="001728A0" w:rsidRPr="00EA474B" w:rsidRDefault="001728A0" w:rsidP="00D919E5">
            <w:pPr>
              <w:jc w:val="both"/>
              <w:rPr>
                <w:sz w:val="20"/>
                <w:szCs w:val="20"/>
              </w:rPr>
            </w:pPr>
            <w:r w:rsidRPr="00EA474B">
              <w:rPr>
                <w:sz w:val="20"/>
                <w:szCs w:val="20"/>
              </w:rPr>
              <w:t>Gender</w:t>
            </w:r>
          </w:p>
        </w:tc>
        <w:tc>
          <w:tcPr>
            <w:tcW w:w="2851" w:type="dxa"/>
          </w:tcPr>
          <w:p w14:paraId="79E3E24D"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1728A0" w:rsidRPr="00EA474B" w14:paraId="3B37BEB0" w14:textId="77777777" w:rsidTr="00D919E5">
        <w:tc>
          <w:tcPr>
            <w:cnfStyle w:val="001000000000" w:firstRow="0" w:lastRow="0" w:firstColumn="1" w:lastColumn="0" w:oddVBand="0" w:evenVBand="0" w:oddHBand="0" w:evenHBand="0" w:firstRowFirstColumn="0" w:firstRowLastColumn="0" w:lastRowFirstColumn="0" w:lastRowLastColumn="0"/>
            <w:tcW w:w="3053" w:type="dxa"/>
          </w:tcPr>
          <w:p w14:paraId="28769621" w14:textId="77777777" w:rsidR="001728A0" w:rsidRPr="00EA474B" w:rsidRDefault="001728A0" w:rsidP="00D919E5">
            <w:pPr>
              <w:jc w:val="both"/>
              <w:rPr>
                <w:sz w:val="20"/>
                <w:szCs w:val="20"/>
              </w:rPr>
            </w:pPr>
            <w:r w:rsidRPr="00EA474B">
              <w:rPr>
                <w:sz w:val="20"/>
                <w:szCs w:val="20"/>
              </w:rPr>
              <w:t xml:space="preserve">To what extent have gender equality and the empowerment of women, including HIV-related Key Populations, been addressed in the programme strategic design, implementation (including during COVID), monitoring and reporting? </w:t>
            </w:r>
          </w:p>
        </w:tc>
        <w:tc>
          <w:tcPr>
            <w:tcW w:w="4317" w:type="dxa"/>
          </w:tcPr>
          <w:p w14:paraId="686A3944" w14:textId="77777777" w:rsidR="001728A0" w:rsidRPr="00EA474B" w:rsidRDefault="001728A0" w:rsidP="00790AD5">
            <w:pPr>
              <w:pStyle w:val="ListParagraph"/>
              <w:numPr>
                <w:ilvl w:val="0"/>
                <w:numId w:val="23"/>
              </w:num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How is UNDP mainstreaming Gender in programme design &amp; implementation?</w:t>
            </w:r>
          </w:p>
          <w:p w14:paraId="4E23D845" w14:textId="77777777" w:rsidR="001728A0" w:rsidRPr="00EA474B" w:rsidRDefault="001728A0" w:rsidP="00790AD5">
            <w:pPr>
              <w:pStyle w:val="ListParagraph"/>
              <w:numPr>
                <w:ilvl w:val="0"/>
                <w:numId w:val="23"/>
              </w:num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What is the internal CO strategy on Gender?</w:t>
            </w:r>
          </w:p>
          <w:p w14:paraId="502C9E7D" w14:textId="77777777" w:rsidR="001728A0" w:rsidRPr="00EA474B" w:rsidRDefault="001728A0" w:rsidP="00790AD5">
            <w:pPr>
              <w:pStyle w:val="ListParagraph"/>
              <w:numPr>
                <w:ilvl w:val="0"/>
                <w:numId w:val="23"/>
              </w:num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What Specific projects or assistance is UNDP providing to Women during the COVID</w:t>
            </w:r>
          </w:p>
          <w:p w14:paraId="5AC90FEE" w14:textId="77777777" w:rsidR="001728A0" w:rsidRPr="00EA474B" w:rsidRDefault="001728A0" w:rsidP="00790AD5">
            <w:pPr>
              <w:pStyle w:val="ListParagraph"/>
              <w:numPr>
                <w:ilvl w:val="0"/>
                <w:numId w:val="23"/>
              </w:num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What are the key achievements of UNDP on Gender?</w:t>
            </w:r>
          </w:p>
        </w:tc>
        <w:tc>
          <w:tcPr>
            <w:tcW w:w="1800" w:type="dxa"/>
          </w:tcPr>
          <w:p w14:paraId="6E74F43A"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Desk reviews</w:t>
            </w:r>
          </w:p>
          <w:p w14:paraId="17CA3BF3"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FGDs with beneficiaries</w:t>
            </w:r>
          </w:p>
          <w:p w14:paraId="446A9BE3"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KIIs</w:t>
            </w:r>
          </w:p>
          <w:p w14:paraId="48EB3FA9"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p>
          <w:p w14:paraId="03F61B54"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 xml:space="preserve"> </w:t>
            </w:r>
          </w:p>
        </w:tc>
        <w:tc>
          <w:tcPr>
            <w:tcW w:w="1654" w:type="dxa"/>
          </w:tcPr>
          <w:p w14:paraId="13830C55"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The Ministry of Social and Family Affairs Strategic and implementation Plans</w:t>
            </w:r>
          </w:p>
          <w:p w14:paraId="257CCFCE"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UNDP CPD and project documents</w:t>
            </w:r>
          </w:p>
          <w:p w14:paraId="403CCAC8"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sidRPr="00EA474B">
              <w:rPr>
                <w:sz w:val="20"/>
                <w:szCs w:val="20"/>
              </w:rPr>
              <w:t>Sector Reports</w:t>
            </w:r>
          </w:p>
        </w:tc>
        <w:tc>
          <w:tcPr>
            <w:tcW w:w="2851" w:type="dxa"/>
          </w:tcPr>
          <w:p w14:paraId="773C364A" w14:textId="77777777" w:rsidR="001728A0"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Review of Documents</w:t>
            </w:r>
          </w:p>
          <w:p w14:paraId="5BFBBAB4" w14:textId="77777777" w:rsidR="001728A0"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Qualitative analytical methods</w:t>
            </w:r>
          </w:p>
          <w:p w14:paraId="6336751D" w14:textId="77777777" w:rsidR="001728A0" w:rsidRPr="00EA474B" w:rsidRDefault="001728A0" w:rsidP="00D919E5">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Quantitative analytical methods</w:t>
            </w:r>
          </w:p>
        </w:tc>
      </w:tr>
    </w:tbl>
    <w:p w14:paraId="2DE926B3" w14:textId="77777777" w:rsidR="004F5E9E" w:rsidRDefault="004F5E9E">
      <w:pPr>
        <w:sectPr w:rsidR="004F5E9E" w:rsidSect="0019446E">
          <w:pgSz w:w="15840" w:h="12240" w:orient="landscape"/>
          <w:pgMar w:top="1440" w:right="1440" w:bottom="1440" w:left="1440" w:header="720" w:footer="720" w:gutter="0"/>
          <w:cols w:space="720"/>
          <w:docGrid w:linePitch="360"/>
        </w:sectPr>
      </w:pPr>
    </w:p>
    <w:p w14:paraId="6C2ED801" w14:textId="77777777" w:rsidR="004F5E9E" w:rsidRPr="00185284" w:rsidRDefault="004F5E9E" w:rsidP="004F5E9E">
      <w:pPr>
        <w:pStyle w:val="Heading1"/>
        <w:rPr>
          <w:rFonts w:ascii="Calibri" w:hAnsi="Calibri" w:cs="Calibri"/>
          <w:sz w:val="22"/>
          <w:szCs w:val="22"/>
        </w:rPr>
      </w:pPr>
      <w:bookmarkStart w:id="80" w:name="_Toc84848142"/>
      <w:bookmarkStart w:id="81" w:name="_Toc88741827"/>
      <w:r w:rsidRPr="00185284">
        <w:rPr>
          <w:rFonts w:ascii="Calibri" w:hAnsi="Calibri" w:cs="Calibri"/>
          <w:sz w:val="22"/>
          <w:szCs w:val="22"/>
        </w:rPr>
        <w:lastRenderedPageBreak/>
        <w:t xml:space="preserve">Annex </w:t>
      </w:r>
      <w:r>
        <w:rPr>
          <w:rFonts w:ascii="Calibri" w:hAnsi="Calibri" w:cs="Calibri"/>
          <w:sz w:val="22"/>
          <w:szCs w:val="22"/>
        </w:rPr>
        <w:t>4a</w:t>
      </w:r>
      <w:r w:rsidRPr="00185284">
        <w:rPr>
          <w:rFonts w:ascii="Calibri" w:hAnsi="Calibri" w:cs="Calibri"/>
          <w:sz w:val="22"/>
          <w:szCs w:val="22"/>
        </w:rPr>
        <w:t>: List of UNDP Staff met during Entry Meetings</w:t>
      </w:r>
      <w:bookmarkEnd w:id="80"/>
      <w:bookmarkEnd w:id="81"/>
    </w:p>
    <w:tbl>
      <w:tblPr>
        <w:tblStyle w:val="GridTable1Light"/>
        <w:tblW w:w="8784" w:type="dxa"/>
        <w:tblLayout w:type="fixed"/>
        <w:tblLook w:val="04A0" w:firstRow="1" w:lastRow="0" w:firstColumn="1" w:lastColumn="0" w:noHBand="0" w:noVBand="1"/>
      </w:tblPr>
      <w:tblGrid>
        <w:gridCol w:w="562"/>
        <w:gridCol w:w="2977"/>
        <w:gridCol w:w="5245"/>
      </w:tblGrid>
      <w:tr w:rsidR="004F5E9E" w:rsidRPr="00233C4B" w14:paraId="1C4AEFE2" w14:textId="77777777" w:rsidTr="00D91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C219FD7" w14:textId="77777777" w:rsidR="004F5E9E" w:rsidRPr="00233C4B" w:rsidRDefault="004F5E9E" w:rsidP="00D919E5">
            <w:pPr>
              <w:spacing w:before="100" w:beforeAutospacing="1" w:after="100" w:afterAutospacing="1"/>
              <w:jc w:val="center"/>
              <w:rPr>
                <w:rFonts w:eastAsia="Times New Roman" w:cstheme="minorHAnsi"/>
                <w:b w:val="0"/>
                <w:color w:val="000000"/>
                <w:lang w:val="en-US" w:eastAsia="pt-PT"/>
              </w:rPr>
            </w:pPr>
          </w:p>
        </w:tc>
        <w:tc>
          <w:tcPr>
            <w:tcW w:w="2977" w:type="dxa"/>
          </w:tcPr>
          <w:p w14:paraId="10FDD027" w14:textId="77777777" w:rsidR="004F5E9E" w:rsidRPr="00233C4B" w:rsidRDefault="004F5E9E" w:rsidP="00D919E5">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lang w:val="en-US" w:eastAsia="pt-PT"/>
              </w:rPr>
            </w:pPr>
            <w:r w:rsidRPr="00233C4B">
              <w:rPr>
                <w:rFonts w:eastAsia="Times New Roman" w:cstheme="minorHAnsi"/>
                <w:color w:val="000000"/>
                <w:lang w:val="en-US" w:eastAsia="pt-PT"/>
              </w:rPr>
              <w:t>Names</w:t>
            </w:r>
          </w:p>
        </w:tc>
        <w:tc>
          <w:tcPr>
            <w:tcW w:w="5245" w:type="dxa"/>
          </w:tcPr>
          <w:p w14:paraId="742721DC" w14:textId="77777777" w:rsidR="004F5E9E" w:rsidRPr="00233C4B" w:rsidRDefault="004F5E9E" w:rsidP="00D919E5">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lang w:val="en-US" w:eastAsia="pt-PT"/>
              </w:rPr>
            </w:pPr>
            <w:r>
              <w:rPr>
                <w:rFonts w:eastAsia="Times New Roman" w:cstheme="minorHAnsi"/>
                <w:b w:val="0"/>
                <w:color w:val="000000"/>
                <w:lang w:val="en-US" w:eastAsia="pt-PT"/>
              </w:rPr>
              <w:t>Position</w:t>
            </w:r>
          </w:p>
        </w:tc>
      </w:tr>
      <w:tr w:rsidR="004F5E9E" w:rsidRPr="00233C4B" w14:paraId="4977D133" w14:textId="77777777" w:rsidTr="00D919E5">
        <w:tc>
          <w:tcPr>
            <w:cnfStyle w:val="001000000000" w:firstRow="0" w:lastRow="0" w:firstColumn="1" w:lastColumn="0" w:oddVBand="0" w:evenVBand="0" w:oddHBand="0" w:evenHBand="0" w:firstRowFirstColumn="0" w:firstRowLastColumn="0" w:lastRowFirstColumn="0" w:lastRowLastColumn="0"/>
            <w:tcW w:w="562" w:type="dxa"/>
          </w:tcPr>
          <w:p w14:paraId="01E1676E" w14:textId="77777777" w:rsidR="004F5E9E" w:rsidRPr="00233C4B" w:rsidRDefault="004F5E9E" w:rsidP="00D919E5">
            <w:pPr>
              <w:spacing w:before="100" w:beforeAutospacing="1" w:after="100" w:afterAutospacing="1"/>
              <w:jc w:val="right"/>
              <w:rPr>
                <w:rFonts w:eastAsia="Times New Roman" w:cstheme="minorHAnsi"/>
                <w:color w:val="000000"/>
                <w:lang w:val="en-US" w:eastAsia="pt-PT"/>
              </w:rPr>
            </w:pPr>
            <w:r w:rsidRPr="00233C4B">
              <w:rPr>
                <w:rFonts w:eastAsia="Times New Roman" w:cstheme="minorHAnsi"/>
                <w:color w:val="000000"/>
                <w:lang w:val="en-US" w:eastAsia="pt-PT"/>
              </w:rPr>
              <w:t>1</w:t>
            </w:r>
          </w:p>
        </w:tc>
        <w:tc>
          <w:tcPr>
            <w:tcW w:w="2977" w:type="dxa"/>
          </w:tcPr>
          <w:p w14:paraId="3F498E86" w14:textId="77777777" w:rsidR="004F5E9E" w:rsidRPr="00233C4B" w:rsidRDefault="004F5E9E" w:rsidP="00D919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pt-PT"/>
              </w:rPr>
            </w:pPr>
            <w:r w:rsidRPr="00233C4B">
              <w:rPr>
                <w:rFonts w:eastAsia="Times New Roman" w:cstheme="minorHAnsi"/>
                <w:color w:val="000000"/>
                <w:lang w:val="en-US" w:eastAsia="pt-PT"/>
              </w:rPr>
              <w:t>Edo Stork</w:t>
            </w:r>
          </w:p>
        </w:tc>
        <w:tc>
          <w:tcPr>
            <w:tcW w:w="5245" w:type="dxa"/>
          </w:tcPr>
          <w:p w14:paraId="03ED80EE" w14:textId="77777777" w:rsidR="004F5E9E" w:rsidRPr="00233C4B" w:rsidRDefault="004F5E9E" w:rsidP="00D919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pt-PT"/>
              </w:rPr>
            </w:pPr>
            <w:r w:rsidRPr="00233C4B">
              <w:rPr>
                <w:rFonts w:eastAsia="Times New Roman" w:cstheme="minorHAnsi"/>
                <w:color w:val="000000"/>
                <w:lang w:val="en-US" w:eastAsia="pt-PT"/>
              </w:rPr>
              <w:t>UNDP Angola RR</w:t>
            </w:r>
          </w:p>
        </w:tc>
      </w:tr>
      <w:tr w:rsidR="004F5E9E" w:rsidRPr="00233C4B" w14:paraId="24AD0AE8" w14:textId="77777777" w:rsidTr="00D919E5">
        <w:tc>
          <w:tcPr>
            <w:cnfStyle w:val="001000000000" w:firstRow="0" w:lastRow="0" w:firstColumn="1" w:lastColumn="0" w:oddVBand="0" w:evenVBand="0" w:oddHBand="0" w:evenHBand="0" w:firstRowFirstColumn="0" w:firstRowLastColumn="0" w:lastRowFirstColumn="0" w:lastRowLastColumn="0"/>
            <w:tcW w:w="562" w:type="dxa"/>
          </w:tcPr>
          <w:p w14:paraId="14A167D9" w14:textId="77777777" w:rsidR="004F5E9E" w:rsidRPr="00233C4B" w:rsidRDefault="004F5E9E" w:rsidP="00D919E5">
            <w:pPr>
              <w:spacing w:before="100" w:beforeAutospacing="1" w:after="100" w:afterAutospacing="1"/>
              <w:jc w:val="right"/>
              <w:rPr>
                <w:rFonts w:eastAsia="Times New Roman" w:cstheme="minorHAnsi"/>
                <w:color w:val="000000"/>
                <w:lang w:val="en-US" w:eastAsia="pt-PT"/>
              </w:rPr>
            </w:pPr>
            <w:r>
              <w:rPr>
                <w:rFonts w:eastAsia="Times New Roman" w:cstheme="minorHAnsi"/>
                <w:color w:val="000000"/>
                <w:lang w:val="en-US" w:eastAsia="pt-PT"/>
              </w:rPr>
              <w:t>2</w:t>
            </w:r>
          </w:p>
        </w:tc>
        <w:tc>
          <w:tcPr>
            <w:tcW w:w="2977" w:type="dxa"/>
          </w:tcPr>
          <w:p w14:paraId="0F19ACE7" w14:textId="77777777" w:rsidR="004F5E9E" w:rsidRPr="00233C4B" w:rsidRDefault="004F5E9E" w:rsidP="00D919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pt-PT"/>
              </w:rPr>
            </w:pPr>
            <w:r>
              <w:rPr>
                <w:rFonts w:eastAsia="Times New Roman" w:cstheme="minorHAnsi"/>
                <w:color w:val="000000"/>
                <w:lang w:val="en-US" w:eastAsia="pt-PT"/>
              </w:rPr>
              <w:t>Mamisoa Rangers</w:t>
            </w:r>
          </w:p>
        </w:tc>
        <w:tc>
          <w:tcPr>
            <w:tcW w:w="5245" w:type="dxa"/>
          </w:tcPr>
          <w:p w14:paraId="670ACED1" w14:textId="77777777" w:rsidR="004F5E9E" w:rsidRPr="00233C4B" w:rsidRDefault="004F5E9E" w:rsidP="00D919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pt-PT"/>
              </w:rPr>
            </w:pPr>
            <w:r>
              <w:rPr>
                <w:rFonts w:eastAsia="Times New Roman" w:cstheme="minorHAnsi"/>
                <w:color w:val="000000"/>
                <w:lang w:val="en-US" w:eastAsia="pt-PT"/>
              </w:rPr>
              <w:t>DRR</w:t>
            </w:r>
          </w:p>
        </w:tc>
      </w:tr>
      <w:tr w:rsidR="004F5E9E" w:rsidRPr="00233C4B" w14:paraId="506F3EBB" w14:textId="77777777" w:rsidTr="00D919E5">
        <w:tc>
          <w:tcPr>
            <w:cnfStyle w:val="001000000000" w:firstRow="0" w:lastRow="0" w:firstColumn="1" w:lastColumn="0" w:oddVBand="0" w:evenVBand="0" w:oddHBand="0" w:evenHBand="0" w:firstRowFirstColumn="0" w:firstRowLastColumn="0" w:lastRowFirstColumn="0" w:lastRowLastColumn="0"/>
            <w:tcW w:w="562" w:type="dxa"/>
          </w:tcPr>
          <w:p w14:paraId="1D883E1A" w14:textId="77777777" w:rsidR="004F5E9E" w:rsidRDefault="004F5E9E" w:rsidP="00D919E5">
            <w:pPr>
              <w:spacing w:before="100" w:beforeAutospacing="1" w:after="100" w:afterAutospacing="1"/>
              <w:jc w:val="right"/>
              <w:rPr>
                <w:rFonts w:eastAsia="Times New Roman" w:cstheme="minorHAnsi"/>
                <w:color w:val="000000"/>
                <w:lang w:val="en-US" w:eastAsia="pt-PT"/>
              </w:rPr>
            </w:pPr>
            <w:r>
              <w:rPr>
                <w:rFonts w:eastAsia="Times New Roman" w:cstheme="minorHAnsi"/>
                <w:color w:val="000000"/>
                <w:lang w:val="en-US" w:eastAsia="pt-PT"/>
              </w:rPr>
              <w:t>3</w:t>
            </w:r>
          </w:p>
        </w:tc>
        <w:tc>
          <w:tcPr>
            <w:tcW w:w="2977" w:type="dxa"/>
          </w:tcPr>
          <w:p w14:paraId="0EC31A6E" w14:textId="77777777" w:rsidR="004F5E9E" w:rsidRDefault="004F5E9E" w:rsidP="00D919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pt-PT"/>
              </w:rPr>
            </w:pPr>
            <w:r>
              <w:rPr>
                <w:rFonts w:eastAsia="Times New Roman" w:cstheme="minorHAnsi"/>
                <w:color w:val="000000"/>
                <w:lang w:val="en-US" w:eastAsia="pt-PT"/>
              </w:rPr>
              <w:t>Lorenzo Mancini</w:t>
            </w:r>
          </w:p>
        </w:tc>
        <w:tc>
          <w:tcPr>
            <w:tcW w:w="5245" w:type="dxa"/>
          </w:tcPr>
          <w:p w14:paraId="6DD99D2A" w14:textId="77777777" w:rsidR="004F5E9E" w:rsidRDefault="004F5E9E" w:rsidP="00D919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pt-PT"/>
              </w:rPr>
            </w:pPr>
            <w:r>
              <w:rPr>
                <w:rFonts w:eastAsia="Times New Roman" w:cstheme="minorHAnsi"/>
                <w:color w:val="000000"/>
                <w:lang w:val="en-US" w:eastAsia="pt-PT"/>
              </w:rPr>
              <w:t>Economist</w:t>
            </w:r>
          </w:p>
        </w:tc>
      </w:tr>
      <w:tr w:rsidR="004F5E9E" w:rsidRPr="00233C4B" w14:paraId="710C143A" w14:textId="77777777" w:rsidTr="00D919E5">
        <w:tc>
          <w:tcPr>
            <w:cnfStyle w:val="001000000000" w:firstRow="0" w:lastRow="0" w:firstColumn="1" w:lastColumn="0" w:oddVBand="0" w:evenVBand="0" w:oddHBand="0" w:evenHBand="0" w:firstRowFirstColumn="0" w:firstRowLastColumn="0" w:lastRowFirstColumn="0" w:lastRowLastColumn="0"/>
            <w:tcW w:w="562" w:type="dxa"/>
          </w:tcPr>
          <w:p w14:paraId="56C66A1E" w14:textId="77777777" w:rsidR="004F5E9E" w:rsidRPr="00233C4B" w:rsidRDefault="004F5E9E" w:rsidP="00D919E5">
            <w:pPr>
              <w:spacing w:before="100" w:beforeAutospacing="1" w:after="100" w:afterAutospacing="1"/>
              <w:jc w:val="right"/>
              <w:rPr>
                <w:rFonts w:eastAsia="Times New Roman" w:cstheme="minorHAnsi"/>
                <w:color w:val="000000"/>
                <w:lang w:val="en-US" w:eastAsia="pt-PT"/>
              </w:rPr>
            </w:pPr>
            <w:r>
              <w:rPr>
                <w:rFonts w:eastAsia="Times New Roman" w:cstheme="minorHAnsi"/>
                <w:color w:val="000000"/>
                <w:lang w:val="en-US" w:eastAsia="pt-PT"/>
              </w:rPr>
              <w:t>4</w:t>
            </w:r>
          </w:p>
        </w:tc>
        <w:tc>
          <w:tcPr>
            <w:tcW w:w="2977" w:type="dxa"/>
          </w:tcPr>
          <w:p w14:paraId="14E1E71B" w14:textId="77777777" w:rsidR="004F5E9E" w:rsidRPr="00233C4B" w:rsidRDefault="004F5E9E" w:rsidP="00D919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pt-PT"/>
              </w:rPr>
            </w:pPr>
            <w:r w:rsidRPr="00233C4B">
              <w:rPr>
                <w:rFonts w:eastAsia="Times New Roman" w:cstheme="minorHAnsi"/>
                <w:color w:val="000000"/>
                <w:lang w:val="en-US" w:eastAsia="pt-PT"/>
              </w:rPr>
              <w:t>Janeiro Avelino</w:t>
            </w:r>
          </w:p>
        </w:tc>
        <w:tc>
          <w:tcPr>
            <w:tcW w:w="5245" w:type="dxa"/>
          </w:tcPr>
          <w:p w14:paraId="396BA0FE" w14:textId="77777777" w:rsidR="004F5E9E" w:rsidRPr="00233C4B" w:rsidRDefault="004F5E9E" w:rsidP="00D919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pt-PT"/>
              </w:rPr>
            </w:pPr>
            <w:r w:rsidRPr="00233C4B">
              <w:rPr>
                <w:rFonts w:eastAsia="Times New Roman" w:cstheme="minorHAnsi"/>
                <w:color w:val="000000"/>
                <w:lang w:val="en-US" w:eastAsia="pt-PT"/>
              </w:rPr>
              <w:t>Environment and Disaster Risk Reduction Unit</w:t>
            </w:r>
          </w:p>
        </w:tc>
      </w:tr>
      <w:tr w:rsidR="004F5E9E" w:rsidRPr="00233C4B" w14:paraId="3A7517F3" w14:textId="77777777" w:rsidTr="00D919E5">
        <w:tc>
          <w:tcPr>
            <w:cnfStyle w:val="001000000000" w:firstRow="0" w:lastRow="0" w:firstColumn="1" w:lastColumn="0" w:oddVBand="0" w:evenVBand="0" w:oddHBand="0" w:evenHBand="0" w:firstRowFirstColumn="0" w:firstRowLastColumn="0" w:lastRowFirstColumn="0" w:lastRowLastColumn="0"/>
            <w:tcW w:w="562" w:type="dxa"/>
          </w:tcPr>
          <w:p w14:paraId="7770DABF" w14:textId="77777777" w:rsidR="004F5E9E" w:rsidRPr="00233C4B" w:rsidRDefault="004F5E9E" w:rsidP="00D919E5">
            <w:pPr>
              <w:spacing w:before="100" w:beforeAutospacing="1" w:after="100" w:afterAutospacing="1"/>
              <w:jc w:val="right"/>
              <w:rPr>
                <w:rFonts w:eastAsia="Times New Roman" w:cstheme="minorHAnsi"/>
                <w:color w:val="000000"/>
                <w:lang w:val="en-US" w:eastAsia="pt-PT"/>
              </w:rPr>
            </w:pPr>
            <w:r>
              <w:rPr>
                <w:rFonts w:eastAsia="Times New Roman" w:cstheme="minorHAnsi"/>
                <w:color w:val="000000"/>
                <w:lang w:val="en-US" w:eastAsia="pt-PT"/>
              </w:rPr>
              <w:t>5</w:t>
            </w:r>
          </w:p>
        </w:tc>
        <w:tc>
          <w:tcPr>
            <w:tcW w:w="2977" w:type="dxa"/>
          </w:tcPr>
          <w:p w14:paraId="3F84BDF5" w14:textId="77777777" w:rsidR="004F5E9E" w:rsidRPr="00233C4B" w:rsidRDefault="004F5E9E" w:rsidP="00D919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pt-PT"/>
              </w:rPr>
            </w:pPr>
            <w:r w:rsidRPr="00233C4B">
              <w:rPr>
                <w:rFonts w:eastAsia="Times New Roman" w:cstheme="minorHAnsi"/>
                <w:color w:val="000000"/>
                <w:lang w:val="en-US" w:eastAsia="pt-PT"/>
              </w:rPr>
              <w:t>Zeferino Teka</w:t>
            </w:r>
          </w:p>
        </w:tc>
        <w:tc>
          <w:tcPr>
            <w:tcW w:w="5245" w:type="dxa"/>
          </w:tcPr>
          <w:p w14:paraId="6278417C" w14:textId="77777777" w:rsidR="004F5E9E" w:rsidRPr="00233C4B" w:rsidRDefault="004F5E9E" w:rsidP="00D919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pt-PT"/>
              </w:rPr>
            </w:pPr>
            <w:r w:rsidRPr="00233C4B">
              <w:rPr>
                <w:rFonts w:eastAsia="Times New Roman" w:cstheme="minorHAnsi"/>
                <w:color w:val="000000"/>
                <w:lang w:val="en-US" w:eastAsia="pt-PT"/>
              </w:rPr>
              <w:t>Governance Unit</w:t>
            </w:r>
          </w:p>
        </w:tc>
      </w:tr>
      <w:tr w:rsidR="004F5E9E" w:rsidRPr="00233C4B" w14:paraId="52B2CA6E" w14:textId="77777777" w:rsidTr="00D919E5">
        <w:tc>
          <w:tcPr>
            <w:cnfStyle w:val="001000000000" w:firstRow="0" w:lastRow="0" w:firstColumn="1" w:lastColumn="0" w:oddVBand="0" w:evenVBand="0" w:oddHBand="0" w:evenHBand="0" w:firstRowFirstColumn="0" w:firstRowLastColumn="0" w:lastRowFirstColumn="0" w:lastRowLastColumn="0"/>
            <w:tcW w:w="562" w:type="dxa"/>
          </w:tcPr>
          <w:p w14:paraId="3924A051" w14:textId="77777777" w:rsidR="004F5E9E" w:rsidRPr="00233C4B" w:rsidRDefault="004F5E9E" w:rsidP="00D919E5">
            <w:pPr>
              <w:spacing w:before="100" w:beforeAutospacing="1" w:after="100" w:afterAutospacing="1"/>
              <w:jc w:val="right"/>
              <w:rPr>
                <w:rFonts w:eastAsia="Times New Roman" w:cstheme="minorHAnsi"/>
                <w:color w:val="000000"/>
                <w:lang w:val="en-US" w:eastAsia="pt-PT"/>
              </w:rPr>
            </w:pPr>
            <w:r>
              <w:rPr>
                <w:rFonts w:eastAsia="Times New Roman" w:cstheme="minorHAnsi"/>
                <w:color w:val="000000"/>
                <w:lang w:val="en-US" w:eastAsia="pt-PT"/>
              </w:rPr>
              <w:t>6</w:t>
            </w:r>
          </w:p>
        </w:tc>
        <w:tc>
          <w:tcPr>
            <w:tcW w:w="2977" w:type="dxa"/>
          </w:tcPr>
          <w:p w14:paraId="4D271180" w14:textId="77777777" w:rsidR="004F5E9E" w:rsidRPr="00233C4B" w:rsidRDefault="004F5E9E" w:rsidP="00D919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pt-PT"/>
              </w:rPr>
            </w:pPr>
            <w:r w:rsidRPr="00233C4B">
              <w:rPr>
                <w:rFonts w:eastAsia="Times New Roman" w:cstheme="minorHAnsi"/>
                <w:color w:val="000000"/>
                <w:lang w:val="en-US" w:eastAsia="pt-PT"/>
              </w:rPr>
              <w:t>José Félix</w:t>
            </w:r>
          </w:p>
        </w:tc>
        <w:tc>
          <w:tcPr>
            <w:tcW w:w="5245" w:type="dxa"/>
          </w:tcPr>
          <w:p w14:paraId="6ED73FAD" w14:textId="77777777" w:rsidR="004F5E9E" w:rsidRPr="00233C4B" w:rsidRDefault="004F5E9E" w:rsidP="00D919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pt-PT"/>
              </w:rPr>
            </w:pPr>
            <w:r w:rsidRPr="00233C4B">
              <w:rPr>
                <w:rFonts w:eastAsia="Times New Roman" w:cstheme="minorHAnsi"/>
                <w:color w:val="000000"/>
                <w:lang w:val="en-US" w:eastAsia="pt-PT"/>
              </w:rPr>
              <w:t>Sustainable Development and Inclusive Growth Unit</w:t>
            </w:r>
          </w:p>
        </w:tc>
      </w:tr>
      <w:tr w:rsidR="004F5E9E" w:rsidRPr="00233C4B" w14:paraId="65064BB6" w14:textId="77777777" w:rsidTr="00D919E5">
        <w:tc>
          <w:tcPr>
            <w:cnfStyle w:val="001000000000" w:firstRow="0" w:lastRow="0" w:firstColumn="1" w:lastColumn="0" w:oddVBand="0" w:evenVBand="0" w:oddHBand="0" w:evenHBand="0" w:firstRowFirstColumn="0" w:firstRowLastColumn="0" w:lastRowFirstColumn="0" w:lastRowLastColumn="0"/>
            <w:tcW w:w="562" w:type="dxa"/>
          </w:tcPr>
          <w:p w14:paraId="300CBE18" w14:textId="77777777" w:rsidR="004F5E9E" w:rsidRPr="00233C4B" w:rsidRDefault="004F5E9E" w:rsidP="00D919E5">
            <w:pPr>
              <w:spacing w:before="100" w:beforeAutospacing="1" w:after="100" w:afterAutospacing="1"/>
              <w:jc w:val="right"/>
              <w:rPr>
                <w:rFonts w:eastAsia="Times New Roman" w:cstheme="minorHAnsi"/>
                <w:color w:val="000000"/>
                <w:lang w:val="en-US" w:eastAsia="pt-PT"/>
              </w:rPr>
            </w:pPr>
            <w:r>
              <w:rPr>
                <w:rFonts w:eastAsia="Times New Roman" w:cstheme="minorHAnsi"/>
                <w:color w:val="000000"/>
                <w:lang w:val="en-US" w:eastAsia="pt-PT"/>
              </w:rPr>
              <w:t>7</w:t>
            </w:r>
          </w:p>
        </w:tc>
        <w:tc>
          <w:tcPr>
            <w:tcW w:w="2977" w:type="dxa"/>
          </w:tcPr>
          <w:p w14:paraId="73E57A47" w14:textId="77777777" w:rsidR="004F5E9E" w:rsidRPr="00233C4B" w:rsidRDefault="004F5E9E" w:rsidP="00D919E5">
            <w:pPr>
              <w:cnfStyle w:val="000000000000" w:firstRow="0" w:lastRow="0" w:firstColumn="0" w:lastColumn="0" w:oddVBand="0" w:evenVBand="0" w:oddHBand="0" w:evenHBand="0" w:firstRowFirstColumn="0" w:firstRowLastColumn="0" w:lastRowFirstColumn="0" w:lastRowLastColumn="0"/>
              <w:rPr>
                <w:rFonts w:cstheme="minorHAnsi"/>
              </w:rPr>
            </w:pPr>
            <w:r w:rsidRPr="00233C4B">
              <w:rPr>
                <w:rFonts w:cstheme="minorHAnsi"/>
                <w:color w:val="000000"/>
              </w:rPr>
              <w:t xml:space="preserve">Beryl Massiya </w:t>
            </w:r>
          </w:p>
        </w:tc>
        <w:tc>
          <w:tcPr>
            <w:tcW w:w="5245" w:type="dxa"/>
          </w:tcPr>
          <w:p w14:paraId="4590F4A6" w14:textId="77777777" w:rsidR="004F5E9E" w:rsidRPr="00233C4B" w:rsidRDefault="004F5E9E" w:rsidP="00D919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pt-PT"/>
              </w:rPr>
            </w:pPr>
            <w:r w:rsidRPr="00233C4B">
              <w:rPr>
                <w:rFonts w:cstheme="minorHAnsi"/>
                <w:color w:val="000000"/>
              </w:rPr>
              <w:t>UNDP, HR</w:t>
            </w:r>
          </w:p>
        </w:tc>
      </w:tr>
      <w:tr w:rsidR="004F5E9E" w:rsidRPr="00233C4B" w14:paraId="1AF91922" w14:textId="77777777" w:rsidTr="00D919E5">
        <w:tc>
          <w:tcPr>
            <w:cnfStyle w:val="001000000000" w:firstRow="0" w:lastRow="0" w:firstColumn="1" w:lastColumn="0" w:oddVBand="0" w:evenVBand="0" w:oddHBand="0" w:evenHBand="0" w:firstRowFirstColumn="0" w:firstRowLastColumn="0" w:lastRowFirstColumn="0" w:lastRowLastColumn="0"/>
            <w:tcW w:w="562" w:type="dxa"/>
          </w:tcPr>
          <w:p w14:paraId="3D9362EE" w14:textId="77777777" w:rsidR="004F5E9E" w:rsidRPr="00233C4B" w:rsidRDefault="004F5E9E" w:rsidP="00D919E5">
            <w:pPr>
              <w:spacing w:before="100" w:beforeAutospacing="1" w:after="100" w:afterAutospacing="1"/>
              <w:jc w:val="right"/>
              <w:rPr>
                <w:rFonts w:eastAsia="Times New Roman" w:cstheme="minorHAnsi"/>
                <w:color w:val="000000"/>
                <w:lang w:val="en-US" w:eastAsia="pt-PT"/>
              </w:rPr>
            </w:pPr>
            <w:r>
              <w:rPr>
                <w:rFonts w:eastAsia="Times New Roman" w:cstheme="minorHAnsi"/>
                <w:color w:val="000000"/>
                <w:lang w:val="en-US" w:eastAsia="pt-PT"/>
              </w:rPr>
              <w:t>8</w:t>
            </w:r>
          </w:p>
        </w:tc>
        <w:tc>
          <w:tcPr>
            <w:tcW w:w="2977" w:type="dxa"/>
          </w:tcPr>
          <w:p w14:paraId="5A4707D2" w14:textId="77777777" w:rsidR="004F5E9E" w:rsidRPr="00233C4B" w:rsidRDefault="004F5E9E" w:rsidP="00D919E5">
            <w:pPr>
              <w:pStyle w:val="yiv8505611550msonorma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233C4B">
              <w:rPr>
                <w:rFonts w:asciiTheme="minorHAnsi" w:hAnsiTheme="minorHAnsi" w:cstheme="minorHAnsi"/>
                <w:color w:val="000000"/>
                <w:sz w:val="22"/>
                <w:szCs w:val="22"/>
              </w:rPr>
              <w:t xml:space="preserve">Daniela Lima </w:t>
            </w:r>
          </w:p>
        </w:tc>
        <w:tc>
          <w:tcPr>
            <w:tcW w:w="5245" w:type="dxa"/>
          </w:tcPr>
          <w:p w14:paraId="7203E871" w14:textId="77777777" w:rsidR="004F5E9E" w:rsidRPr="00233C4B" w:rsidRDefault="004F5E9E" w:rsidP="00D919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pt-PT"/>
              </w:rPr>
            </w:pPr>
            <w:r w:rsidRPr="00233C4B">
              <w:rPr>
                <w:rFonts w:cstheme="minorHAnsi"/>
                <w:color w:val="000000"/>
              </w:rPr>
              <w:t>UNDP Accelerator Lab</w:t>
            </w:r>
          </w:p>
        </w:tc>
      </w:tr>
      <w:tr w:rsidR="004F5E9E" w:rsidRPr="00233C4B" w14:paraId="265FAFA2" w14:textId="77777777" w:rsidTr="00D919E5">
        <w:tc>
          <w:tcPr>
            <w:cnfStyle w:val="001000000000" w:firstRow="0" w:lastRow="0" w:firstColumn="1" w:lastColumn="0" w:oddVBand="0" w:evenVBand="0" w:oddHBand="0" w:evenHBand="0" w:firstRowFirstColumn="0" w:firstRowLastColumn="0" w:lastRowFirstColumn="0" w:lastRowLastColumn="0"/>
            <w:tcW w:w="562" w:type="dxa"/>
          </w:tcPr>
          <w:p w14:paraId="6145FE59" w14:textId="77777777" w:rsidR="004F5E9E" w:rsidRPr="00233C4B" w:rsidRDefault="004F5E9E" w:rsidP="00D919E5">
            <w:pPr>
              <w:spacing w:before="100" w:beforeAutospacing="1" w:after="100" w:afterAutospacing="1"/>
              <w:jc w:val="right"/>
              <w:rPr>
                <w:rFonts w:eastAsia="Times New Roman" w:cstheme="minorHAnsi"/>
                <w:color w:val="000000"/>
                <w:lang w:val="en-US" w:eastAsia="pt-PT"/>
              </w:rPr>
            </w:pPr>
            <w:r>
              <w:rPr>
                <w:rFonts w:eastAsia="Times New Roman" w:cstheme="minorHAnsi"/>
                <w:color w:val="000000"/>
                <w:lang w:val="en-US" w:eastAsia="pt-PT"/>
              </w:rPr>
              <w:t>9</w:t>
            </w:r>
          </w:p>
        </w:tc>
        <w:tc>
          <w:tcPr>
            <w:tcW w:w="2977" w:type="dxa"/>
          </w:tcPr>
          <w:p w14:paraId="553B83BB" w14:textId="77777777" w:rsidR="004F5E9E" w:rsidRPr="00233C4B" w:rsidRDefault="004F5E9E" w:rsidP="00D919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pt-PT"/>
              </w:rPr>
            </w:pPr>
            <w:r w:rsidRPr="00233C4B">
              <w:rPr>
                <w:rFonts w:eastAsia="Times New Roman" w:cstheme="minorHAnsi"/>
                <w:color w:val="000000"/>
                <w:lang w:val="en-US" w:eastAsia="pt-PT"/>
              </w:rPr>
              <w:t xml:space="preserve">Alberto Hungulo </w:t>
            </w:r>
          </w:p>
        </w:tc>
        <w:tc>
          <w:tcPr>
            <w:tcW w:w="5245" w:type="dxa"/>
          </w:tcPr>
          <w:p w14:paraId="6739903F" w14:textId="77777777" w:rsidR="004F5E9E" w:rsidRPr="00233C4B" w:rsidRDefault="004F5E9E" w:rsidP="00D919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pt-PT"/>
              </w:rPr>
            </w:pPr>
            <w:r w:rsidRPr="00233C4B">
              <w:rPr>
                <w:rFonts w:eastAsia="Times New Roman" w:cstheme="minorHAnsi"/>
                <w:color w:val="000000"/>
                <w:lang w:val="en-US" w:eastAsia="pt-PT"/>
              </w:rPr>
              <w:t>UNDP Accelerator Lab</w:t>
            </w:r>
          </w:p>
        </w:tc>
      </w:tr>
      <w:tr w:rsidR="004F5E9E" w:rsidRPr="00233C4B" w14:paraId="492D2E80" w14:textId="77777777" w:rsidTr="00D919E5">
        <w:tc>
          <w:tcPr>
            <w:cnfStyle w:val="001000000000" w:firstRow="0" w:lastRow="0" w:firstColumn="1" w:lastColumn="0" w:oddVBand="0" w:evenVBand="0" w:oddHBand="0" w:evenHBand="0" w:firstRowFirstColumn="0" w:firstRowLastColumn="0" w:lastRowFirstColumn="0" w:lastRowLastColumn="0"/>
            <w:tcW w:w="562" w:type="dxa"/>
          </w:tcPr>
          <w:p w14:paraId="3FE19F29" w14:textId="77777777" w:rsidR="004F5E9E" w:rsidRPr="00233C4B" w:rsidRDefault="004F5E9E" w:rsidP="00D919E5">
            <w:pPr>
              <w:spacing w:before="100" w:beforeAutospacing="1" w:after="100" w:afterAutospacing="1"/>
              <w:jc w:val="right"/>
              <w:rPr>
                <w:rFonts w:eastAsia="Times New Roman" w:cstheme="minorHAnsi"/>
                <w:color w:val="000000"/>
                <w:lang w:val="en-US" w:eastAsia="pt-PT"/>
              </w:rPr>
            </w:pPr>
            <w:r>
              <w:rPr>
                <w:rFonts w:eastAsia="Times New Roman" w:cstheme="minorHAnsi"/>
                <w:color w:val="000000"/>
                <w:lang w:val="en-US" w:eastAsia="pt-PT"/>
              </w:rPr>
              <w:t>10</w:t>
            </w:r>
          </w:p>
        </w:tc>
        <w:tc>
          <w:tcPr>
            <w:tcW w:w="2977" w:type="dxa"/>
          </w:tcPr>
          <w:p w14:paraId="4DA3C268" w14:textId="77777777" w:rsidR="004F5E9E" w:rsidRPr="00233C4B" w:rsidRDefault="004F5E9E" w:rsidP="00D919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pt-PT"/>
              </w:rPr>
            </w:pPr>
            <w:r w:rsidRPr="00233C4B">
              <w:rPr>
                <w:rFonts w:eastAsia="Times New Roman" w:cstheme="minorHAnsi"/>
                <w:color w:val="000000"/>
                <w:lang w:val="en-US" w:eastAsia="pt-PT"/>
              </w:rPr>
              <w:t>João Neves</w:t>
            </w:r>
          </w:p>
        </w:tc>
        <w:tc>
          <w:tcPr>
            <w:tcW w:w="5245" w:type="dxa"/>
          </w:tcPr>
          <w:p w14:paraId="1E65F9CF" w14:textId="77777777" w:rsidR="004F5E9E" w:rsidRPr="00233C4B" w:rsidRDefault="004F5E9E" w:rsidP="00D919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pt-PT"/>
              </w:rPr>
            </w:pPr>
            <w:r w:rsidRPr="00233C4B">
              <w:rPr>
                <w:rFonts w:eastAsia="Times New Roman" w:cstheme="minorHAnsi"/>
                <w:color w:val="000000"/>
                <w:lang w:val="en-US" w:eastAsia="pt-PT"/>
              </w:rPr>
              <w:t>UNDP, FRESAN Project Manager</w:t>
            </w:r>
          </w:p>
        </w:tc>
      </w:tr>
      <w:tr w:rsidR="004F5E9E" w:rsidRPr="00233C4B" w14:paraId="18A074FF" w14:textId="77777777" w:rsidTr="00D919E5">
        <w:tc>
          <w:tcPr>
            <w:cnfStyle w:val="001000000000" w:firstRow="0" w:lastRow="0" w:firstColumn="1" w:lastColumn="0" w:oddVBand="0" w:evenVBand="0" w:oddHBand="0" w:evenHBand="0" w:firstRowFirstColumn="0" w:firstRowLastColumn="0" w:lastRowFirstColumn="0" w:lastRowLastColumn="0"/>
            <w:tcW w:w="562" w:type="dxa"/>
          </w:tcPr>
          <w:p w14:paraId="655DB618" w14:textId="77777777" w:rsidR="004F5E9E" w:rsidRPr="00233C4B" w:rsidRDefault="004F5E9E" w:rsidP="00D919E5">
            <w:pPr>
              <w:spacing w:before="100" w:beforeAutospacing="1" w:after="100" w:afterAutospacing="1"/>
              <w:jc w:val="right"/>
              <w:rPr>
                <w:rFonts w:eastAsia="Times New Roman" w:cstheme="minorHAnsi"/>
                <w:color w:val="000000"/>
                <w:lang w:val="en-US" w:eastAsia="pt-PT"/>
              </w:rPr>
            </w:pPr>
            <w:r w:rsidRPr="00233C4B">
              <w:rPr>
                <w:rFonts w:eastAsia="Times New Roman" w:cstheme="minorHAnsi"/>
                <w:color w:val="000000"/>
                <w:lang w:val="en-US" w:eastAsia="pt-PT"/>
              </w:rPr>
              <w:t>1</w:t>
            </w:r>
            <w:r>
              <w:rPr>
                <w:rFonts w:eastAsia="Times New Roman" w:cstheme="minorHAnsi"/>
                <w:color w:val="000000"/>
                <w:lang w:val="en-US" w:eastAsia="pt-PT"/>
              </w:rPr>
              <w:t>1</w:t>
            </w:r>
          </w:p>
        </w:tc>
        <w:tc>
          <w:tcPr>
            <w:tcW w:w="2977" w:type="dxa"/>
          </w:tcPr>
          <w:p w14:paraId="571FAF81" w14:textId="77777777" w:rsidR="004F5E9E" w:rsidRPr="00233C4B" w:rsidRDefault="004F5E9E" w:rsidP="00D919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pt-PT"/>
              </w:rPr>
            </w:pPr>
            <w:r w:rsidRPr="00233C4B">
              <w:rPr>
                <w:rFonts w:eastAsia="Times New Roman" w:cstheme="minorHAnsi"/>
                <w:color w:val="000000"/>
                <w:lang w:val="en-US" w:eastAsia="pt-PT"/>
              </w:rPr>
              <w:t>Tonta Diamoneka</w:t>
            </w:r>
          </w:p>
        </w:tc>
        <w:tc>
          <w:tcPr>
            <w:tcW w:w="5245" w:type="dxa"/>
          </w:tcPr>
          <w:p w14:paraId="759CBA35" w14:textId="77777777" w:rsidR="004F5E9E" w:rsidRPr="00233C4B" w:rsidRDefault="004F5E9E" w:rsidP="00D919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pt-PT"/>
              </w:rPr>
            </w:pPr>
            <w:r w:rsidRPr="00233C4B">
              <w:rPr>
                <w:rFonts w:eastAsia="Times New Roman" w:cstheme="minorHAnsi"/>
                <w:color w:val="000000"/>
                <w:lang w:val="en-US" w:eastAsia="pt-PT"/>
              </w:rPr>
              <w:t xml:space="preserve">UNDP, Head of Unit in Charge (Finance) </w:t>
            </w:r>
          </w:p>
        </w:tc>
      </w:tr>
      <w:tr w:rsidR="004F5E9E" w:rsidRPr="00233C4B" w14:paraId="78B9F667" w14:textId="77777777" w:rsidTr="00D919E5">
        <w:tc>
          <w:tcPr>
            <w:cnfStyle w:val="001000000000" w:firstRow="0" w:lastRow="0" w:firstColumn="1" w:lastColumn="0" w:oddVBand="0" w:evenVBand="0" w:oddHBand="0" w:evenHBand="0" w:firstRowFirstColumn="0" w:firstRowLastColumn="0" w:lastRowFirstColumn="0" w:lastRowLastColumn="0"/>
            <w:tcW w:w="562" w:type="dxa"/>
          </w:tcPr>
          <w:p w14:paraId="5EB52A49" w14:textId="77777777" w:rsidR="004F5E9E" w:rsidRPr="00233C4B" w:rsidRDefault="004F5E9E" w:rsidP="00D919E5">
            <w:pPr>
              <w:spacing w:before="100" w:beforeAutospacing="1" w:after="100" w:afterAutospacing="1"/>
              <w:jc w:val="right"/>
              <w:rPr>
                <w:rFonts w:eastAsia="Times New Roman" w:cstheme="minorHAnsi"/>
                <w:color w:val="000000"/>
                <w:lang w:val="en-US" w:eastAsia="pt-PT"/>
              </w:rPr>
            </w:pPr>
            <w:r w:rsidRPr="00233C4B">
              <w:rPr>
                <w:rFonts w:eastAsia="Times New Roman" w:cstheme="minorHAnsi"/>
                <w:color w:val="000000"/>
                <w:lang w:val="en-US" w:eastAsia="pt-PT"/>
              </w:rPr>
              <w:t>1</w:t>
            </w:r>
            <w:r>
              <w:rPr>
                <w:rFonts w:eastAsia="Times New Roman" w:cstheme="minorHAnsi"/>
                <w:color w:val="000000"/>
                <w:lang w:val="en-US" w:eastAsia="pt-PT"/>
              </w:rPr>
              <w:t>2</w:t>
            </w:r>
          </w:p>
        </w:tc>
        <w:tc>
          <w:tcPr>
            <w:tcW w:w="2977" w:type="dxa"/>
          </w:tcPr>
          <w:p w14:paraId="67240F94" w14:textId="77777777" w:rsidR="004F5E9E" w:rsidRPr="00233C4B" w:rsidRDefault="004F5E9E" w:rsidP="00D919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pt-PT"/>
              </w:rPr>
            </w:pPr>
            <w:r w:rsidRPr="00233C4B">
              <w:rPr>
                <w:rFonts w:eastAsia="Times New Roman" w:cstheme="minorHAnsi"/>
                <w:color w:val="000000"/>
                <w:lang w:val="en-US" w:eastAsia="pt-PT"/>
              </w:rPr>
              <w:t>Cláudia Fernandes</w:t>
            </w:r>
          </w:p>
        </w:tc>
        <w:tc>
          <w:tcPr>
            <w:tcW w:w="5245" w:type="dxa"/>
          </w:tcPr>
          <w:p w14:paraId="6D769188" w14:textId="77777777" w:rsidR="004F5E9E" w:rsidRPr="00233C4B" w:rsidRDefault="004F5E9E" w:rsidP="00D919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pt-PT"/>
              </w:rPr>
            </w:pPr>
            <w:r w:rsidRPr="00233C4B">
              <w:rPr>
                <w:rFonts w:eastAsia="Times New Roman" w:cstheme="minorHAnsi"/>
                <w:color w:val="000000"/>
                <w:lang w:val="en-US" w:eastAsia="pt-PT"/>
              </w:rPr>
              <w:t xml:space="preserve">RBM &amp; Communications Unit </w:t>
            </w:r>
          </w:p>
        </w:tc>
      </w:tr>
      <w:tr w:rsidR="004F5E9E" w:rsidRPr="00233C4B" w14:paraId="5EF1ADC3" w14:textId="77777777" w:rsidTr="00D919E5">
        <w:tc>
          <w:tcPr>
            <w:cnfStyle w:val="001000000000" w:firstRow="0" w:lastRow="0" w:firstColumn="1" w:lastColumn="0" w:oddVBand="0" w:evenVBand="0" w:oddHBand="0" w:evenHBand="0" w:firstRowFirstColumn="0" w:firstRowLastColumn="0" w:lastRowFirstColumn="0" w:lastRowLastColumn="0"/>
            <w:tcW w:w="562" w:type="dxa"/>
          </w:tcPr>
          <w:p w14:paraId="112ED21F" w14:textId="77777777" w:rsidR="004F5E9E" w:rsidRPr="00233C4B" w:rsidRDefault="004F5E9E" w:rsidP="00D919E5">
            <w:pPr>
              <w:spacing w:before="100" w:beforeAutospacing="1" w:after="100" w:afterAutospacing="1"/>
              <w:jc w:val="right"/>
              <w:rPr>
                <w:rFonts w:eastAsia="Times New Roman" w:cstheme="minorHAnsi"/>
                <w:color w:val="000000"/>
                <w:lang w:val="en-US" w:eastAsia="pt-PT"/>
              </w:rPr>
            </w:pPr>
            <w:r w:rsidRPr="00233C4B">
              <w:rPr>
                <w:rFonts w:eastAsia="Times New Roman" w:cstheme="minorHAnsi"/>
                <w:color w:val="000000"/>
                <w:lang w:val="en-US" w:eastAsia="pt-PT"/>
              </w:rPr>
              <w:t>1</w:t>
            </w:r>
            <w:r>
              <w:rPr>
                <w:rFonts w:eastAsia="Times New Roman" w:cstheme="minorHAnsi"/>
                <w:color w:val="000000"/>
                <w:lang w:val="en-US" w:eastAsia="pt-PT"/>
              </w:rPr>
              <w:t>3</w:t>
            </w:r>
          </w:p>
        </w:tc>
        <w:tc>
          <w:tcPr>
            <w:tcW w:w="2977" w:type="dxa"/>
          </w:tcPr>
          <w:p w14:paraId="4C3F96C0" w14:textId="77777777" w:rsidR="004F5E9E" w:rsidRPr="00233C4B" w:rsidRDefault="004F5E9E" w:rsidP="00D919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pt-PT"/>
              </w:rPr>
            </w:pPr>
            <w:r w:rsidRPr="00233C4B">
              <w:rPr>
                <w:rFonts w:eastAsia="Times New Roman" w:cstheme="minorHAnsi"/>
                <w:color w:val="000000"/>
                <w:lang w:val="en-US" w:eastAsia="pt-PT"/>
              </w:rPr>
              <w:t>Maria Casal</w:t>
            </w:r>
          </w:p>
        </w:tc>
        <w:tc>
          <w:tcPr>
            <w:tcW w:w="5245" w:type="dxa"/>
          </w:tcPr>
          <w:p w14:paraId="3E871306" w14:textId="77777777" w:rsidR="004F5E9E" w:rsidRPr="00233C4B" w:rsidRDefault="004F5E9E" w:rsidP="00D919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pt-PT"/>
              </w:rPr>
            </w:pPr>
            <w:r w:rsidRPr="00233C4B">
              <w:rPr>
                <w:rFonts w:eastAsia="Times New Roman" w:cstheme="minorHAnsi"/>
                <w:color w:val="000000"/>
                <w:lang w:val="en-US" w:eastAsia="pt-PT"/>
              </w:rPr>
              <w:t xml:space="preserve">UNDP Angola Gender Specialist </w:t>
            </w:r>
          </w:p>
        </w:tc>
      </w:tr>
      <w:tr w:rsidR="004F5E9E" w:rsidRPr="00233C4B" w14:paraId="0D7F43DD" w14:textId="77777777" w:rsidTr="00D919E5">
        <w:tc>
          <w:tcPr>
            <w:cnfStyle w:val="001000000000" w:firstRow="0" w:lastRow="0" w:firstColumn="1" w:lastColumn="0" w:oddVBand="0" w:evenVBand="0" w:oddHBand="0" w:evenHBand="0" w:firstRowFirstColumn="0" w:firstRowLastColumn="0" w:lastRowFirstColumn="0" w:lastRowLastColumn="0"/>
            <w:tcW w:w="562" w:type="dxa"/>
          </w:tcPr>
          <w:p w14:paraId="78A3F0D9" w14:textId="77777777" w:rsidR="004F5E9E" w:rsidRPr="00233C4B" w:rsidRDefault="004F5E9E" w:rsidP="00D919E5">
            <w:pPr>
              <w:spacing w:before="100" w:beforeAutospacing="1" w:after="100" w:afterAutospacing="1"/>
              <w:jc w:val="right"/>
              <w:rPr>
                <w:rFonts w:eastAsia="Times New Roman" w:cstheme="minorHAnsi"/>
                <w:color w:val="000000"/>
                <w:lang w:val="en-US" w:eastAsia="pt-PT"/>
              </w:rPr>
            </w:pPr>
            <w:r w:rsidRPr="00233C4B">
              <w:rPr>
                <w:rFonts w:eastAsia="Times New Roman" w:cstheme="minorHAnsi"/>
                <w:color w:val="000000"/>
                <w:lang w:val="en-US" w:eastAsia="pt-PT"/>
              </w:rPr>
              <w:t>1</w:t>
            </w:r>
            <w:r>
              <w:rPr>
                <w:rFonts w:eastAsia="Times New Roman" w:cstheme="minorHAnsi"/>
                <w:color w:val="000000"/>
                <w:lang w:val="en-US" w:eastAsia="pt-PT"/>
              </w:rPr>
              <w:t>4</w:t>
            </w:r>
          </w:p>
        </w:tc>
        <w:tc>
          <w:tcPr>
            <w:tcW w:w="2977" w:type="dxa"/>
          </w:tcPr>
          <w:p w14:paraId="445B9AF6" w14:textId="77777777" w:rsidR="004F5E9E" w:rsidRPr="00233C4B" w:rsidRDefault="004F5E9E" w:rsidP="00D919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pt-PT"/>
              </w:rPr>
            </w:pPr>
            <w:r w:rsidRPr="00233C4B">
              <w:rPr>
                <w:rFonts w:eastAsia="Times New Roman" w:cstheme="minorHAnsi"/>
                <w:color w:val="000000"/>
                <w:lang w:val="en-US" w:eastAsia="pt-PT"/>
              </w:rPr>
              <w:t>Ana Ernesto</w:t>
            </w:r>
          </w:p>
        </w:tc>
        <w:tc>
          <w:tcPr>
            <w:tcW w:w="5245" w:type="dxa"/>
          </w:tcPr>
          <w:p w14:paraId="09549906" w14:textId="77777777" w:rsidR="004F5E9E" w:rsidRPr="00233C4B" w:rsidRDefault="004F5E9E" w:rsidP="00D919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pt-PT"/>
              </w:rPr>
            </w:pPr>
            <w:r w:rsidRPr="00233C4B">
              <w:rPr>
                <w:rFonts w:eastAsia="Times New Roman" w:cstheme="minorHAnsi"/>
                <w:color w:val="000000"/>
                <w:lang w:val="en-US" w:eastAsia="pt-PT"/>
              </w:rPr>
              <w:t>RBM &amp; Communications</w:t>
            </w:r>
          </w:p>
        </w:tc>
      </w:tr>
      <w:tr w:rsidR="004F5E9E" w:rsidRPr="00233C4B" w14:paraId="0DBD1349" w14:textId="77777777" w:rsidTr="00D919E5">
        <w:tc>
          <w:tcPr>
            <w:cnfStyle w:val="001000000000" w:firstRow="0" w:lastRow="0" w:firstColumn="1" w:lastColumn="0" w:oddVBand="0" w:evenVBand="0" w:oddHBand="0" w:evenHBand="0" w:firstRowFirstColumn="0" w:firstRowLastColumn="0" w:lastRowFirstColumn="0" w:lastRowLastColumn="0"/>
            <w:tcW w:w="562" w:type="dxa"/>
          </w:tcPr>
          <w:p w14:paraId="665B301A" w14:textId="77777777" w:rsidR="004F5E9E" w:rsidRPr="00233C4B" w:rsidRDefault="004F5E9E" w:rsidP="00D919E5">
            <w:pPr>
              <w:spacing w:before="100" w:beforeAutospacing="1" w:after="100" w:afterAutospacing="1"/>
              <w:jc w:val="right"/>
              <w:rPr>
                <w:rFonts w:eastAsia="Times New Roman" w:cstheme="minorHAnsi"/>
                <w:color w:val="000000"/>
                <w:lang w:val="en-US" w:eastAsia="pt-PT"/>
              </w:rPr>
            </w:pPr>
            <w:r w:rsidRPr="00233C4B">
              <w:rPr>
                <w:rFonts w:eastAsia="Times New Roman" w:cstheme="minorHAnsi"/>
                <w:color w:val="000000"/>
                <w:lang w:val="en-US" w:eastAsia="pt-PT"/>
              </w:rPr>
              <w:t>1</w:t>
            </w:r>
            <w:r>
              <w:rPr>
                <w:rFonts w:eastAsia="Times New Roman" w:cstheme="minorHAnsi"/>
                <w:color w:val="000000"/>
                <w:lang w:val="en-US" w:eastAsia="pt-PT"/>
              </w:rPr>
              <w:t>5</w:t>
            </w:r>
          </w:p>
        </w:tc>
        <w:tc>
          <w:tcPr>
            <w:tcW w:w="2977" w:type="dxa"/>
          </w:tcPr>
          <w:p w14:paraId="535145D6" w14:textId="77777777" w:rsidR="004F5E9E" w:rsidRPr="00233C4B" w:rsidRDefault="004F5E9E" w:rsidP="00D919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pt-PT"/>
              </w:rPr>
            </w:pPr>
            <w:r w:rsidRPr="00233C4B">
              <w:rPr>
                <w:rFonts w:eastAsia="Times New Roman" w:cstheme="minorHAnsi"/>
                <w:color w:val="000000"/>
                <w:lang w:val="en-US" w:eastAsia="pt-PT"/>
              </w:rPr>
              <w:t>Avelina Lopes</w:t>
            </w:r>
          </w:p>
        </w:tc>
        <w:tc>
          <w:tcPr>
            <w:tcW w:w="5245" w:type="dxa"/>
          </w:tcPr>
          <w:p w14:paraId="6FF10E43" w14:textId="77777777" w:rsidR="004F5E9E" w:rsidRPr="00233C4B" w:rsidRDefault="004F5E9E" w:rsidP="00D919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pt-PT"/>
              </w:rPr>
            </w:pPr>
            <w:r w:rsidRPr="00233C4B">
              <w:rPr>
                <w:rFonts w:eastAsia="Times New Roman" w:cstheme="minorHAnsi"/>
                <w:color w:val="000000"/>
                <w:lang w:val="en-US" w:eastAsia="pt-PT"/>
              </w:rPr>
              <w:t>RBM &amp; Communications</w:t>
            </w:r>
          </w:p>
        </w:tc>
      </w:tr>
    </w:tbl>
    <w:p w14:paraId="29997D36" w14:textId="77777777" w:rsidR="004F5E9E" w:rsidRDefault="004F5E9E" w:rsidP="004F5E9E">
      <w:pPr>
        <w:rPr>
          <w:lang w:val="en-US"/>
        </w:rPr>
        <w:sectPr w:rsidR="004F5E9E" w:rsidSect="00146D4C">
          <w:pgSz w:w="12240" w:h="15840"/>
          <w:pgMar w:top="1440" w:right="1440" w:bottom="1440" w:left="1440" w:header="720" w:footer="720" w:gutter="0"/>
          <w:cols w:space="720"/>
          <w:docGrid w:linePitch="360"/>
        </w:sectPr>
      </w:pPr>
    </w:p>
    <w:p w14:paraId="7C72EE16" w14:textId="148B5FB5" w:rsidR="001728A0" w:rsidRPr="004F5E9E" w:rsidRDefault="004F5E9E" w:rsidP="004F5E9E">
      <w:pPr>
        <w:pStyle w:val="Heading1"/>
        <w:rPr>
          <w:rFonts w:asciiTheme="minorHAnsi" w:hAnsiTheme="minorHAnsi" w:cstheme="minorHAnsi"/>
          <w:sz w:val="22"/>
          <w:szCs w:val="22"/>
        </w:rPr>
      </w:pPr>
      <w:bookmarkStart w:id="82" w:name="_Toc88741828"/>
      <w:r w:rsidRPr="004F5E9E">
        <w:rPr>
          <w:rFonts w:asciiTheme="minorHAnsi" w:hAnsiTheme="minorHAnsi" w:cstheme="minorHAnsi"/>
          <w:sz w:val="22"/>
          <w:szCs w:val="22"/>
        </w:rPr>
        <w:lastRenderedPageBreak/>
        <w:t>Annex 4</w:t>
      </w:r>
      <w:r>
        <w:rPr>
          <w:rFonts w:asciiTheme="minorHAnsi" w:hAnsiTheme="minorHAnsi" w:cstheme="minorHAnsi"/>
          <w:sz w:val="22"/>
          <w:szCs w:val="22"/>
        </w:rPr>
        <w:t>b</w:t>
      </w:r>
      <w:r w:rsidRPr="004F5E9E">
        <w:rPr>
          <w:rFonts w:asciiTheme="minorHAnsi" w:hAnsiTheme="minorHAnsi" w:cstheme="minorHAnsi"/>
          <w:sz w:val="22"/>
          <w:szCs w:val="22"/>
        </w:rPr>
        <w:t>: List of Stakeholders Consulted</w:t>
      </w:r>
      <w:bookmarkEnd w:id="82"/>
    </w:p>
    <w:tbl>
      <w:tblPr>
        <w:tblStyle w:val="TableGrid"/>
        <w:tblW w:w="13178" w:type="dxa"/>
        <w:tblLook w:val="04A0" w:firstRow="1" w:lastRow="0" w:firstColumn="1" w:lastColumn="0" w:noHBand="0" w:noVBand="1"/>
      </w:tblPr>
      <w:tblGrid>
        <w:gridCol w:w="455"/>
        <w:gridCol w:w="3651"/>
        <w:gridCol w:w="3402"/>
        <w:gridCol w:w="5670"/>
      </w:tblGrid>
      <w:tr w:rsidR="004F5E9E" w:rsidRPr="00876286" w14:paraId="411D1B5D" w14:textId="77777777" w:rsidTr="00D919E5">
        <w:trPr>
          <w:trHeight w:val="300"/>
        </w:trPr>
        <w:tc>
          <w:tcPr>
            <w:tcW w:w="455" w:type="dxa"/>
            <w:hideMark/>
          </w:tcPr>
          <w:p w14:paraId="1E3C0054" w14:textId="77777777" w:rsidR="004F5E9E" w:rsidRPr="00222DEC" w:rsidRDefault="004F5E9E" w:rsidP="00D919E5">
            <w:pPr>
              <w:spacing w:before="100" w:beforeAutospacing="1" w:after="100" w:afterAutospacing="1"/>
              <w:rPr>
                <w:rFonts w:eastAsia="Times New Roman" w:cstheme="minorHAnsi"/>
                <w:color w:val="000000"/>
                <w:lang w:val="en-US" w:eastAsia="pt-PT"/>
              </w:rPr>
            </w:pPr>
            <w:r w:rsidRPr="00AD5A98">
              <w:rPr>
                <w:rFonts w:eastAsia="Times New Roman" w:cstheme="minorHAnsi"/>
                <w:color w:val="000000"/>
                <w:lang w:val="en-US" w:eastAsia="pt-PT"/>
              </w:rPr>
              <w:t> </w:t>
            </w:r>
          </w:p>
        </w:tc>
        <w:tc>
          <w:tcPr>
            <w:tcW w:w="12723" w:type="dxa"/>
            <w:gridSpan w:val="3"/>
            <w:hideMark/>
          </w:tcPr>
          <w:p w14:paraId="7EE5633D" w14:textId="77777777" w:rsidR="004F5E9E" w:rsidRPr="00AD5A98" w:rsidRDefault="004F5E9E" w:rsidP="00D919E5">
            <w:pPr>
              <w:spacing w:before="100" w:beforeAutospacing="1" w:after="100" w:afterAutospacing="1"/>
              <w:jc w:val="center"/>
              <w:rPr>
                <w:rFonts w:eastAsia="Times New Roman" w:cstheme="minorHAnsi"/>
                <w:b/>
                <w:bCs/>
                <w:color w:val="000000"/>
                <w:lang w:eastAsia="pt-PT"/>
              </w:rPr>
            </w:pPr>
            <w:r w:rsidRPr="00AD5A98">
              <w:rPr>
                <w:rFonts w:eastAsia="Times New Roman" w:cstheme="minorHAnsi"/>
                <w:b/>
                <w:bCs/>
                <w:color w:val="000000"/>
                <w:lang w:val="en-US" w:eastAsia="pt-PT"/>
              </w:rPr>
              <w:t>GOVERNMENT INSTITUTIONS &amp; NGO</w:t>
            </w:r>
          </w:p>
        </w:tc>
      </w:tr>
      <w:tr w:rsidR="004F5E9E" w:rsidRPr="00876286" w14:paraId="423D6D79" w14:textId="77777777" w:rsidTr="00D919E5">
        <w:trPr>
          <w:trHeight w:val="300"/>
        </w:trPr>
        <w:tc>
          <w:tcPr>
            <w:tcW w:w="455" w:type="dxa"/>
            <w:hideMark/>
          </w:tcPr>
          <w:p w14:paraId="14AF9089"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 </w:t>
            </w:r>
          </w:p>
        </w:tc>
        <w:tc>
          <w:tcPr>
            <w:tcW w:w="3651" w:type="dxa"/>
            <w:hideMark/>
          </w:tcPr>
          <w:p w14:paraId="2E4891C4" w14:textId="77777777" w:rsidR="004F5E9E" w:rsidRPr="00AD5A98" w:rsidRDefault="004F5E9E" w:rsidP="00D919E5">
            <w:pPr>
              <w:spacing w:before="100" w:beforeAutospacing="1" w:after="100" w:afterAutospacing="1"/>
              <w:rPr>
                <w:rFonts w:eastAsia="Times New Roman" w:cstheme="minorHAnsi"/>
                <w:b/>
                <w:bCs/>
                <w:color w:val="000000"/>
                <w:lang w:eastAsia="pt-PT"/>
              </w:rPr>
            </w:pPr>
            <w:r w:rsidRPr="00AD5A98">
              <w:rPr>
                <w:rFonts w:eastAsia="Times New Roman" w:cstheme="minorHAnsi"/>
                <w:b/>
                <w:bCs/>
                <w:color w:val="000000"/>
                <w:lang w:eastAsia="pt-PT"/>
              </w:rPr>
              <w:t>Name</w:t>
            </w:r>
          </w:p>
        </w:tc>
        <w:tc>
          <w:tcPr>
            <w:tcW w:w="3402" w:type="dxa"/>
            <w:hideMark/>
          </w:tcPr>
          <w:p w14:paraId="310CD64F" w14:textId="77777777" w:rsidR="004F5E9E" w:rsidRPr="00AD5A98" w:rsidRDefault="004F5E9E" w:rsidP="00D919E5">
            <w:pPr>
              <w:spacing w:before="100" w:beforeAutospacing="1" w:after="100" w:afterAutospacing="1"/>
              <w:rPr>
                <w:rFonts w:eastAsia="Times New Roman" w:cstheme="minorHAnsi"/>
                <w:b/>
                <w:bCs/>
                <w:color w:val="000000"/>
                <w:lang w:eastAsia="pt-PT"/>
              </w:rPr>
            </w:pPr>
            <w:r w:rsidRPr="00AD5A98">
              <w:rPr>
                <w:rFonts w:eastAsia="Times New Roman" w:cstheme="minorHAnsi"/>
                <w:b/>
                <w:bCs/>
                <w:color w:val="000000"/>
                <w:lang w:eastAsia="pt-PT"/>
              </w:rPr>
              <w:t>Function</w:t>
            </w:r>
          </w:p>
        </w:tc>
        <w:tc>
          <w:tcPr>
            <w:tcW w:w="5670" w:type="dxa"/>
            <w:hideMark/>
          </w:tcPr>
          <w:p w14:paraId="548660D3" w14:textId="77777777" w:rsidR="004F5E9E" w:rsidRPr="00AD5A98" w:rsidRDefault="004F5E9E" w:rsidP="00D919E5">
            <w:pPr>
              <w:spacing w:before="100" w:beforeAutospacing="1" w:after="100" w:afterAutospacing="1"/>
              <w:rPr>
                <w:rFonts w:eastAsia="Times New Roman" w:cstheme="minorHAnsi"/>
                <w:b/>
                <w:bCs/>
                <w:color w:val="000000"/>
                <w:lang w:eastAsia="pt-PT"/>
              </w:rPr>
            </w:pPr>
            <w:r w:rsidRPr="00AD5A98">
              <w:rPr>
                <w:rFonts w:eastAsia="Times New Roman" w:cstheme="minorHAnsi"/>
                <w:b/>
                <w:bCs/>
                <w:color w:val="000000"/>
                <w:lang w:eastAsia="pt-PT"/>
              </w:rPr>
              <w:t xml:space="preserve">Project </w:t>
            </w:r>
          </w:p>
        </w:tc>
      </w:tr>
      <w:tr w:rsidR="004F5E9E" w:rsidRPr="00876286" w14:paraId="01D41ED7" w14:textId="77777777" w:rsidTr="00D919E5">
        <w:trPr>
          <w:trHeight w:val="320"/>
        </w:trPr>
        <w:tc>
          <w:tcPr>
            <w:tcW w:w="455" w:type="dxa"/>
            <w:hideMark/>
          </w:tcPr>
          <w:p w14:paraId="499D873C" w14:textId="77777777" w:rsidR="004F5E9E" w:rsidRPr="00AD5A98" w:rsidRDefault="004F5E9E" w:rsidP="00D919E5">
            <w:pPr>
              <w:spacing w:before="100" w:beforeAutospacing="1" w:after="100" w:afterAutospacing="1"/>
              <w:rPr>
                <w:rFonts w:eastAsia="Times New Roman" w:cstheme="minorHAnsi"/>
                <w:b/>
                <w:bCs/>
                <w:color w:val="000000"/>
                <w:lang w:eastAsia="pt-PT"/>
              </w:rPr>
            </w:pPr>
            <w:r w:rsidRPr="00AD5A98">
              <w:rPr>
                <w:rFonts w:eastAsia="Times New Roman" w:cstheme="minorHAnsi"/>
                <w:b/>
                <w:bCs/>
                <w:color w:val="000000"/>
                <w:lang w:eastAsia="pt-PT"/>
              </w:rPr>
              <w:t> </w:t>
            </w:r>
          </w:p>
        </w:tc>
        <w:tc>
          <w:tcPr>
            <w:tcW w:w="12723" w:type="dxa"/>
            <w:gridSpan w:val="3"/>
            <w:shd w:val="clear" w:color="auto" w:fill="B8CCE4" w:themeFill="accent1" w:themeFillTint="66"/>
            <w:hideMark/>
          </w:tcPr>
          <w:p w14:paraId="3B59DF31" w14:textId="77777777" w:rsidR="004F5E9E" w:rsidRPr="00AD5A98" w:rsidRDefault="004F5E9E" w:rsidP="00D919E5">
            <w:pPr>
              <w:spacing w:before="100" w:beforeAutospacing="1" w:after="100" w:afterAutospacing="1"/>
              <w:jc w:val="center"/>
              <w:rPr>
                <w:rFonts w:eastAsia="Times New Roman" w:cstheme="minorHAnsi"/>
                <w:b/>
                <w:bCs/>
                <w:color w:val="000000"/>
                <w:lang w:eastAsia="pt-PT"/>
              </w:rPr>
            </w:pPr>
            <w:r w:rsidRPr="00AD5A98">
              <w:rPr>
                <w:rFonts w:eastAsia="Times New Roman" w:cstheme="minorHAnsi"/>
                <w:b/>
                <w:bCs/>
                <w:color w:val="000000"/>
                <w:lang w:eastAsia="pt-PT"/>
              </w:rPr>
              <w:t>ENVIRONMENT AND DISASTER RISK REDUCTION UNIT</w:t>
            </w:r>
          </w:p>
        </w:tc>
      </w:tr>
      <w:tr w:rsidR="004F5E9E" w:rsidRPr="00876286" w14:paraId="43240F91" w14:textId="77777777" w:rsidTr="00D919E5">
        <w:trPr>
          <w:trHeight w:val="300"/>
        </w:trPr>
        <w:tc>
          <w:tcPr>
            <w:tcW w:w="455" w:type="dxa"/>
          </w:tcPr>
          <w:p w14:paraId="41AFCEE2"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1</w:t>
            </w:r>
          </w:p>
        </w:tc>
        <w:tc>
          <w:tcPr>
            <w:tcW w:w="3651" w:type="dxa"/>
            <w:hideMark/>
          </w:tcPr>
          <w:p w14:paraId="10A09776"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Giza Gaspar Martins</w:t>
            </w:r>
          </w:p>
        </w:tc>
        <w:tc>
          <w:tcPr>
            <w:tcW w:w="3402" w:type="dxa"/>
            <w:hideMark/>
          </w:tcPr>
          <w:p w14:paraId="7BDF4ECC"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Director</w:t>
            </w:r>
          </w:p>
        </w:tc>
        <w:tc>
          <w:tcPr>
            <w:tcW w:w="5670" w:type="dxa"/>
            <w:hideMark/>
          </w:tcPr>
          <w:p w14:paraId="40DEEC82"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 xml:space="preserve">Ministry of Environment </w:t>
            </w:r>
          </w:p>
        </w:tc>
      </w:tr>
      <w:tr w:rsidR="004F5E9E" w:rsidRPr="00876286" w14:paraId="44D903B0" w14:textId="77777777" w:rsidTr="00D919E5">
        <w:trPr>
          <w:trHeight w:val="300"/>
        </w:trPr>
        <w:tc>
          <w:tcPr>
            <w:tcW w:w="455" w:type="dxa"/>
          </w:tcPr>
          <w:p w14:paraId="59760D6F"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2</w:t>
            </w:r>
          </w:p>
        </w:tc>
        <w:tc>
          <w:tcPr>
            <w:tcW w:w="3651" w:type="dxa"/>
            <w:hideMark/>
          </w:tcPr>
          <w:p w14:paraId="20EE3A69"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Ernesto Escórcio  </w:t>
            </w:r>
          </w:p>
        </w:tc>
        <w:tc>
          <w:tcPr>
            <w:tcW w:w="3402" w:type="dxa"/>
            <w:hideMark/>
          </w:tcPr>
          <w:p w14:paraId="6E4394E0"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Project Coordinator</w:t>
            </w:r>
          </w:p>
        </w:tc>
        <w:tc>
          <w:tcPr>
            <w:tcW w:w="5670" w:type="dxa"/>
            <w:hideMark/>
          </w:tcPr>
          <w:p w14:paraId="31B34133"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Ministry of Environment  </w:t>
            </w:r>
          </w:p>
        </w:tc>
      </w:tr>
      <w:tr w:rsidR="004F5E9E" w:rsidRPr="00876286" w14:paraId="241CBC98" w14:textId="77777777" w:rsidTr="00D919E5">
        <w:trPr>
          <w:trHeight w:val="590"/>
        </w:trPr>
        <w:tc>
          <w:tcPr>
            <w:tcW w:w="455" w:type="dxa"/>
          </w:tcPr>
          <w:p w14:paraId="546F5FB0"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3</w:t>
            </w:r>
          </w:p>
        </w:tc>
        <w:tc>
          <w:tcPr>
            <w:tcW w:w="3651" w:type="dxa"/>
            <w:hideMark/>
          </w:tcPr>
          <w:p w14:paraId="4FB6BA3A" w14:textId="77777777" w:rsidR="004F5E9E" w:rsidRPr="00AD5A98" w:rsidRDefault="004F5E9E" w:rsidP="00D919E5">
            <w:pPr>
              <w:spacing w:before="100" w:beforeAutospacing="1" w:after="100" w:afterAutospacing="1"/>
              <w:rPr>
                <w:rFonts w:eastAsia="Times New Roman" w:cstheme="minorHAnsi"/>
                <w:color w:val="000000"/>
                <w:lang w:val="en-US" w:eastAsia="pt-PT"/>
              </w:rPr>
            </w:pPr>
            <w:r w:rsidRPr="00AD5A98">
              <w:rPr>
                <w:rFonts w:eastAsia="Times New Roman" w:cstheme="minorHAnsi"/>
                <w:color w:val="000000"/>
                <w:lang w:val="en-US" w:eastAsia="pt-PT"/>
              </w:rPr>
              <w:t>Carla Silva Pompilio</w:t>
            </w:r>
          </w:p>
        </w:tc>
        <w:tc>
          <w:tcPr>
            <w:tcW w:w="3402" w:type="dxa"/>
            <w:hideMark/>
          </w:tcPr>
          <w:p w14:paraId="3013345D"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Project Coordinator</w:t>
            </w:r>
          </w:p>
        </w:tc>
        <w:tc>
          <w:tcPr>
            <w:tcW w:w="5670" w:type="dxa"/>
            <w:hideMark/>
          </w:tcPr>
          <w:p w14:paraId="6BCC9FD6"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Addressing Urgent Coastal Adaptation Needs and Capacity Gaps in Angola,</w:t>
            </w:r>
          </w:p>
        </w:tc>
      </w:tr>
      <w:tr w:rsidR="004F5E9E" w:rsidRPr="00876286" w14:paraId="26E662F9" w14:textId="77777777" w:rsidTr="00D919E5">
        <w:trPr>
          <w:trHeight w:val="300"/>
        </w:trPr>
        <w:tc>
          <w:tcPr>
            <w:tcW w:w="455" w:type="dxa"/>
          </w:tcPr>
          <w:p w14:paraId="7D7BE3C3"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4</w:t>
            </w:r>
          </w:p>
        </w:tc>
        <w:tc>
          <w:tcPr>
            <w:tcW w:w="3651" w:type="dxa"/>
            <w:hideMark/>
          </w:tcPr>
          <w:p w14:paraId="14DDBA29" w14:textId="77777777" w:rsidR="004F5E9E" w:rsidRPr="00AD5A98" w:rsidRDefault="004F5E9E" w:rsidP="00D919E5">
            <w:pPr>
              <w:spacing w:before="100" w:beforeAutospacing="1" w:after="100" w:afterAutospacing="1"/>
              <w:rPr>
                <w:rFonts w:eastAsia="Times New Roman" w:cstheme="minorHAnsi"/>
                <w:color w:val="000000"/>
                <w:lang w:val="en-US" w:eastAsia="pt-PT"/>
              </w:rPr>
            </w:pPr>
            <w:r w:rsidRPr="00AD5A98">
              <w:rPr>
                <w:rFonts w:eastAsia="Times New Roman" w:cstheme="minorHAnsi"/>
                <w:color w:val="000000"/>
                <w:lang w:val="en-US" w:eastAsia="pt-PT"/>
              </w:rPr>
              <w:t>Manuel Lutango</w:t>
            </w:r>
          </w:p>
        </w:tc>
        <w:tc>
          <w:tcPr>
            <w:tcW w:w="3402" w:type="dxa"/>
            <w:hideMark/>
          </w:tcPr>
          <w:p w14:paraId="193B765D"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 Project Coordinator</w:t>
            </w:r>
          </w:p>
        </w:tc>
        <w:tc>
          <w:tcPr>
            <w:tcW w:w="5670" w:type="dxa"/>
            <w:hideMark/>
          </w:tcPr>
          <w:p w14:paraId="19387B7E"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Civil Protection </w:t>
            </w:r>
          </w:p>
        </w:tc>
      </w:tr>
      <w:tr w:rsidR="004F5E9E" w:rsidRPr="00876286" w14:paraId="0035B5CA" w14:textId="77777777" w:rsidTr="00D919E5">
        <w:trPr>
          <w:trHeight w:val="300"/>
        </w:trPr>
        <w:tc>
          <w:tcPr>
            <w:tcW w:w="455" w:type="dxa"/>
          </w:tcPr>
          <w:p w14:paraId="6F6FA7E5"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5</w:t>
            </w:r>
          </w:p>
        </w:tc>
        <w:tc>
          <w:tcPr>
            <w:tcW w:w="3651" w:type="dxa"/>
          </w:tcPr>
          <w:p w14:paraId="2988FA4C"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Edson Fernando</w:t>
            </w:r>
          </w:p>
        </w:tc>
        <w:tc>
          <w:tcPr>
            <w:tcW w:w="3402" w:type="dxa"/>
          </w:tcPr>
          <w:p w14:paraId="06F70410"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Assistant</w:t>
            </w:r>
          </w:p>
        </w:tc>
        <w:tc>
          <w:tcPr>
            <w:tcW w:w="5670" w:type="dxa"/>
          </w:tcPr>
          <w:p w14:paraId="4D63941B"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Civil Protection</w:t>
            </w:r>
          </w:p>
        </w:tc>
      </w:tr>
      <w:tr w:rsidR="004F5E9E" w:rsidRPr="00876286" w14:paraId="71F9AD9B" w14:textId="77777777" w:rsidTr="00D919E5">
        <w:trPr>
          <w:trHeight w:val="300"/>
        </w:trPr>
        <w:tc>
          <w:tcPr>
            <w:tcW w:w="455" w:type="dxa"/>
          </w:tcPr>
          <w:p w14:paraId="278BC207" w14:textId="77777777" w:rsidR="004F5E9E" w:rsidRPr="00AD5A98" w:rsidRDefault="004F5E9E" w:rsidP="00D919E5">
            <w:pPr>
              <w:spacing w:before="100" w:beforeAutospacing="1" w:after="100" w:afterAutospacing="1"/>
              <w:rPr>
                <w:rFonts w:eastAsia="Times New Roman" w:cstheme="minorHAnsi"/>
                <w:color w:val="000000"/>
                <w:lang w:eastAsia="pt-PT"/>
              </w:rPr>
            </w:pPr>
          </w:p>
        </w:tc>
        <w:tc>
          <w:tcPr>
            <w:tcW w:w="3651" w:type="dxa"/>
          </w:tcPr>
          <w:p w14:paraId="379F5080" w14:textId="77777777" w:rsidR="004F5E9E" w:rsidRPr="00AD5A98" w:rsidRDefault="004F5E9E" w:rsidP="00D919E5">
            <w:pPr>
              <w:spacing w:before="100" w:beforeAutospacing="1" w:after="100" w:afterAutospacing="1"/>
              <w:rPr>
                <w:rFonts w:eastAsia="Times New Roman" w:cstheme="minorHAnsi"/>
                <w:color w:val="000000"/>
                <w:lang w:eastAsia="pt-PT"/>
              </w:rPr>
            </w:pPr>
          </w:p>
        </w:tc>
        <w:tc>
          <w:tcPr>
            <w:tcW w:w="3402" w:type="dxa"/>
          </w:tcPr>
          <w:p w14:paraId="75E00B13" w14:textId="77777777" w:rsidR="004F5E9E" w:rsidRPr="00AD5A98" w:rsidRDefault="004F5E9E" w:rsidP="00D919E5">
            <w:pPr>
              <w:spacing w:before="100" w:beforeAutospacing="1" w:after="100" w:afterAutospacing="1"/>
              <w:rPr>
                <w:rFonts w:eastAsia="Times New Roman" w:cstheme="minorHAnsi"/>
                <w:color w:val="000000"/>
                <w:lang w:eastAsia="pt-PT"/>
              </w:rPr>
            </w:pPr>
          </w:p>
        </w:tc>
        <w:tc>
          <w:tcPr>
            <w:tcW w:w="5670" w:type="dxa"/>
          </w:tcPr>
          <w:p w14:paraId="2F15CA2B" w14:textId="77777777" w:rsidR="004F5E9E" w:rsidRPr="00AD5A98" w:rsidRDefault="004F5E9E" w:rsidP="00D919E5">
            <w:pPr>
              <w:spacing w:before="100" w:beforeAutospacing="1" w:after="100" w:afterAutospacing="1"/>
              <w:rPr>
                <w:rFonts w:eastAsia="Times New Roman" w:cstheme="minorHAnsi"/>
                <w:color w:val="000000"/>
                <w:lang w:eastAsia="pt-PT"/>
              </w:rPr>
            </w:pPr>
          </w:p>
        </w:tc>
      </w:tr>
      <w:tr w:rsidR="004F5E9E" w:rsidRPr="00876286" w14:paraId="266C6F50" w14:textId="77777777" w:rsidTr="00D919E5">
        <w:trPr>
          <w:trHeight w:val="300"/>
        </w:trPr>
        <w:tc>
          <w:tcPr>
            <w:tcW w:w="455" w:type="dxa"/>
          </w:tcPr>
          <w:p w14:paraId="12861949" w14:textId="77777777" w:rsidR="004F5E9E" w:rsidRPr="00AD5A98" w:rsidRDefault="004F5E9E" w:rsidP="00D919E5">
            <w:pPr>
              <w:spacing w:before="100" w:beforeAutospacing="1" w:after="100" w:afterAutospacing="1"/>
              <w:rPr>
                <w:rFonts w:eastAsia="Times New Roman" w:cstheme="minorHAnsi"/>
                <w:color w:val="000000"/>
                <w:lang w:eastAsia="pt-PT"/>
              </w:rPr>
            </w:pPr>
          </w:p>
        </w:tc>
        <w:tc>
          <w:tcPr>
            <w:tcW w:w="12723" w:type="dxa"/>
            <w:gridSpan w:val="3"/>
            <w:shd w:val="clear" w:color="auto" w:fill="B8CCE4" w:themeFill="accent1" w:themeFillTint="66"/>
            <w:hideMark/>
          </w:tcPr>
          <w:p w14:paraId="3D84B04E" w14:textId="77777777" w:rsidR="004F5E9E" w:rsidRPr="00AD5A98" w:rsidRDefault="004F5E9E" w:rsidP="00D919E5">
            <w:pPr>
              <w:spacing w:before="100" w:beforeAutospacing="1" w:after="100" w:afterAutospacing="1"/>
              <w:jc w:val="center"/>
              <w:rPr>
                <w:rFonts w:eastAsia="Times New Roman" w:cstheme="minorHAnsi"/>
                <w:b/>
                <w:bCs/>
                <w:color w:val="000000"/>
                <w:lang w:eastAsia="pt-PT"/>
              </w:rPr>
            </w:pPr>
            <w:r w:rsidRPr="00AD5A98">
              <w:rPr>
                <w:rFonts w:eastAsia="Times New Roman" w:cstheme="minorHAnsi"/>
                <w:b/>
                <w:bCs/>
                <w:color w:val="000000"/>
                <w:lang w:eastAsia="pt-PT"/>
              </w:rPr>
              <w:t>GLOBAL FUND</w:t>
            </w:r>
          </w:p>
        </w:tc>
      </w:tr>
      <w:tr w:rsidR="004F5E9E" w:rsidRPr="00876286" w14:paraId="0F2C373C" w14:textId="77777777" w:rsidTr="00D919E5">
        <w:trPr>
          <w:trHeight w:val="300"/>
        </w:trPr>
        <w:tc>
          <w:tcPr>
            <w:tcW w:w="455" w:type="dxa"/>
          </w:tcPr>
          <w:p w14:paraId="28F714C6"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6</w:t>
            </w:r>
          </w:p>
        </w:tc>
        <w:tc>
          <w:tcPr>
            <w:tcW w:w="3651" w:type="dxa"/>
            <w:hideMark/>
          </w:tcPr>
          <w:p w14:paraId="29E4B910"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António Coelho</w:t>
            </w:r>
          </w:p>
        </w:tc>
        <w:tc>
          <w:tcPr>
            <w:tcW w:w="3402" w:type="dxa"/>
            <w:hideMark/>
          </w:tcPr>
          <w:p w14:paraId="469C5914"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President</w:t>
            </w:r>
          </w:p>
        </w:tc>
        <w:tc>
          <w:tcPr>
            <w:tcW w:w="5670" w:type="dxa"/>
            <w:hideMark/>
          </w:tcPr>
          <w:p w14:paraId="77122BEE"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NGO “Anaso”</w:t>
            </w:r>
          </w:p>
        </w:tc>
      </w:tr>
      <w:tr w:rsidR="004F5E9E" w:rsidRPr="00876286" w14:paraId="1F5D8BC6" w14:textId="77777777" w:rsidTr="00D919E5">
        <w:trPr>
          <w:trHeight w:val="590"/>
        </w:trPr>
        <w:tc>
          <w:tcPr>
            <w:tcW w:w="455" w:type="dxa"/>
          </w:tcPr>
          <w:p w14:paraId="2E4FB052"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7</w:t>
            </w:r>
          </w:p>
        </w:tc>
        <w:tc>
          <w:tcPr>
            <w:tcW w:w="3651" w:type="dxa"/>
            <w:hideMark/>
          </w:tcPr>
          <w:p w14:paraId="422C041E"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Dr. Delfina da Silva</w:t>
            </w:r>
          </w:p>
        </w:tc>
        <w:tc>
          <w:tcPr>
            <w:tcW w:w="3402" w:type="dxa"/>
            <w:hideMark/>
          </w:tcPr>
          <w:p w14:paraId="2DA6D3EF"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Head of Public Health Department</w:t>
            </w:r>
          </w:p>
        </w:tc>
        <w:tc>
          <w:tcPr>
            <w:tcW w:w="5670" w:type="dxa"/>
            <w:hideMark/>
          </w:tcPr>
          <w:p w14:paraId="741D33EA"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Province of Kwanza Sul </w:t>
            </w:r>
          </w:p>
        </w:tc>
      </w:tr>
      <w:tr w:rsidR="004F5E9E" w:rsidRPr="00876286" w14:paraId="61CEFBE5" w14:textId="77777777" w:rsidTr="00D919E5">
        <w:trPr>
          <w:trHeight w:val="300"/>
        </w:trPr>
        <w:tc>
          <w:tcPr>
            <w:tcW w:w="455" w:type="dxa"/>
          </w:tcPr>
          <w:p w14:paraId="62C7F6D5"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8</w:t>
            </w:r>
          </w:p>
        </w:tc>
        <w:tc>
          <w:tcPr>
            <w:tcW w:w="3651" w:type="dxa"/>
            <w:hideMark/>
          </w:tcPr>
          <w:p w14:paraId="2C55234B"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Dr. Silveiro dos Santos</w:t>
            </w:r>
          </w:p>
        </w:tc>
        <w:tc>
          <w:tcPr>
            <w:tcW w:w="3402" w:type="dxa"/>
            <w:hideMark/>
          </w:tcPr>
          <w:p w14:paraId="5937CCE3"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President</w:t>
            </w:r>
          </w:p>
        </w:tc>
        <w:tc>
          <w:tcPr>
            <w:tcW w:w="5670" w:type="dxa"/>
            <w:hideMark/>
          </w:tcPr>
          <w:p w14:paraId="4CBBF5BC"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CAJ (Center of Young’s support)</w:t>
            </w:r>
          </w:p>
        </w:tc>
      </w:tr>
      <w:tr w:rsidR="004F5E9E" w:rsidRPr="00876286" w14:paraId="44221071" w14:textId="77777777" w:rsidTr="00D919E5">
        <w:trPr>
          <w:trHeight w:val="300"/>
        </w:trPr>
        <w:tc>
          <w:tcPr>
            <w:tcW w:w="455" w:type="dxa"/>
          </w:tcPr>
          <w:p w14:paraId="5CA26EC9" w14:textId="77777777" w:rsidR="004F5E9E" w:rsidRPr="00AD5A98" w:rsidRDefault="004F5E9E" w:rsidP="00D919E5">
            <w:pPr>
              <w:spacing w:before="100" w:beforeAutospacing="1" w:after="100" w:afterAutospacing="1"/>
              <w:rPr>
                <w:rFonts w:eastAsia="Times New Roman" w:cstheme="minorHAnsi"/>
                <w:color w:val="000000"/>
                <w:lang w:eastAsia="pt-PT"/>
              </w:rPr>
            </w:pPr>
            <w:r>
              <w:rPr>
                <w:rFonts w:eastAsia="Times New Roman" w:cstheme="minorHAnsi"/>
                <w:color w:val="000000"/>
                <w:lang w:eastAsia="pt-PT"/>
              </w:rPr>
              <w:t>9</w:t>
            </w:r>
          </w:p>
        </w:tc>
        <w:tc>
          <w:tcPr>
            <w:tcW w:w="3651" w:type="dxa"/>
            <w:hideMark/>
          </w:tcPr>
          <w:p w14:paraId="5E80F2C1"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Carlos Fernandes</w:t>
            </w:r>
          </w:p>
        </w:tc>
        <w:tc>
          <w:tcPr>
            <w:tcW w:w="3402" w:type="dxa"/>
            <w:hideMark/>
          </w:tcPr>
          <w:p w14:paraId="13EDB8DF"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President</w:t>
            </w:r>
          </w:p>
        </w:tc>
        <w:tc>
          <w:tcPr>
            <w:tcW w:w="5670" w:type="dxa"/>
            <w:hideMark/>
          </w:tcPr>
          <w:p w14:paraId="21DA05ED"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 xml:space="preserve">President of IRIS - Angola Association </w:t>
            </w:r>
          </w:p>
        </w:tc>
      </w:tr>
      <w:tr w:rsidR="004F5E9E" w:rsidRPr="00876286" w14:paraId="48082A24" w14:textId="77777777" w:rsidTr="00D919E5">
        <w:trPr>
          <w:trHeight w:val="300"/>
        </w:trPr>
        <w:tc>
          <w:tcPr>
            <w:tcW w:w="455" w:type="dxa"/>
          </w:tcPr>
          <w:p w14:paraId="69DD937E"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10</w:t>
            </w:r>
          </w:p>
        </w:tc>
        <w:tc>
          <w:tcPr>
            <w:tcW w:w="3651" w:type="dxa"/>
            <w:hideMark/>
          </w:tcPr>
          <w:p w14:paraId="74703DCF"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Rosa Francisco</w:t>
            </w:r>
          </w:p>
        </w:tc>
        <w:tc>
          <w:tcPr>
            <w:tcW w:w="3402" w:type="dxa"/>
            <w:hideMark/>
          </w:tcPr>
          <w:p w14:paraId="110023C4"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President</w:t>
            </w:r>
          </w:p>
        </w:tc>
        <w:tc>
          <w:tcPr>
            <w:tcW w:w="5670" w:type="dxa"/>
            <w:hideMark/>
          </w:tcPr>
          <w:p w14:paraId="4D68C987"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President of Mwenho ONG</w:t>
            </w:r>
          </w:p>
        </w:tc>
      </w:tr>
      <w:tr w:rsidR="004F5E9E" w:rsidRPr="00876286" w14:paraId="34B56DB6" w14:textId="77777777" w:rsidTr="00D919E5">
        <w:trPr>
          <w:trHeight w:val="300"/>
        </w:trPr>
        <w:tc>
          <w:tcPr>
            <w:tcW w:w="455" w:type="dxa"/>
          </w:tcPr>
          <w:p w14:paraId="7C4588B5"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11</w:t>
            </w:r>
          </w:p>
        </w:tc>
        <w:tc>
          <w:tcPr>
            <w:tcW w:w="3651" w:type="dxa"/>
            <w:hideMark/>
          </w:tcPr>
          <w:p w14:paraId="129A7B99"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 Domingos Lukato</w:t>
            </w:r>
          </w:p>
        </w:tc>
        <w:tc>
          <w:tcPr>
            <w:tcW w:w="3402" w:type="dxa"/>
            <w:hideMark/>
          </w:tcPr>
          <w:p w14:paraId="4B84492A"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President</w:t>
            </w:r>
          </w:p>
        </w:tc>
        <w:tc>
          <w:tcPr>
            <w:tcW w:w="5670" w:type="dxa"/>
            <w:hideMark/>
          </w:tcPr>
          <w:p w14:paraId="2CF7AD05"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ASCAM </w:t>
            </w:r>
          </w:p>
        </w:tc>
      </w:tr>
      <w:tr w:rsidR="004F5E9E" w:rsidRPr="00876286" w14:paraId="555D3AB6" w14:textId="77777777" w:rsidTr="00D919E5">
        <w:trPr>
          <w:trHeight w:val="590"/>
        </w:trPr>
        <w:tc>
          <w:tcPr>
            <w:tcW w:w="455" w:type="dxa"/>
          </w:tcPr>
          <w:p w14:paraId="2F3EB13D"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12</w:t>
            </w:r>
          </w:p>
        </w:tc>
        <w:tc>
          <w:tcPr>
            <w:tcW w:w="3651" w:type="dxa"/>
            <w:hideMark/>
          </w:tcPr>
          <w:p w14:paraId="13224E00"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João Misselo da Silva, </w:t>
            </w:r>
          </w:p>
        </w:tc>
        <w:tc>
          <w:tcPr>
            <w:tcW w:w="3402" w:type="dxa"/>
            <w:hideMark/>
          </w:tcPr>
          <w:p w14:paraId="26170B80"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Executive Director</w:t>
            </w:r>
          </w:p>
        </w:tc>
        <w:tc>
          <w:tcPr>
            <w:tcW w:w="5670" w:type="dxa"/>
            <w:hideMark/>
          </w:tcPr>
          <w:p w14:paraId="5D20FB80"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IHO- International Humanitarian Organization-Subrecipient HIV</w:t>
            </w:r>
          </w:p>
        </w:tc>
      </w:tr>
      <w:tr w:rsidR="004F5E9E" w:rsidRPr="00876286" w14:paraId="23F4AB1F" w14:textId="77777777" w:rsidTr="00D919E5">
        <w:trPr>
          <w:trHeight w:val="300"/>
        </w:trPr>
        <w:tc>
          <w:tcPr>
            <w:tcW w:w="455" w:type="dxa"/>
          </w:tcPr>
          <w:p w14:paraId="74A23074"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13</w:t>
            </w:r>
          </w:p>
        </w:tc>
        <w:tc>
          <w:tcPr>
            <w:tcW w:w="3651" w:type="dxa"/>
            <w:hideMark/>
          </w:tcPr>
          <w:p w14:paraId="0D29D844"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Rikke Viholm</w:t>
            </w:r>
          </w:p>
        </w:tc>
        <w:tc>
          <w:tcPr>
            <w:tcW w:w="3402" w:type="dxa"/>
            <w:hideMark/>
          </w:tcPr>
          <w:p w14:paraId="195A6194"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President</w:t>
            </w:r>
          </w:p>
        </w:tc>
        <w:tc>
          <w:tcPr>
            <w:tcW w:w="5670" w:type="dxa"/>
            <w:hideMark/>
          </w:tcPr>
          <w:p w14:paraId="3B5E1912"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ADPP - President of the Administration Council  </w:t>
            </w:r>
          </w:p>
        </w:tc>
      </w:tr>
      <w:tr w:rsidR="004F5E9E" w:rsidRPr="00876286" w14:paraId="507DDB67" w14:textId="77777777" w:rsidTr="00D919E5">
        <w:trPr>
          <w:trHeight w:val="590"/>
        </w:trPr>
        <w:tc>
          <w:tcPr>
            <w:tcW w:w="455" w:type="dxa"/>
          </w:tcPr>
          <w:p w14:paraId="7C558718"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14</w:t>
            </w:r>
          </w:p>
        </w:tc>
        <w:tc>
          <w:tcPr>
            <w:tcW w:w="3651" w:type="dxa"/>
            <w:hideMark/>
          </w:tcPr>
          <w:p w14:paraId="782CA4D1"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Evaristo Waya</w:t>
            </w:r>
          </w:p>
        </w:tc>
        <w:tc>
          <w:tcPr>
            <w:tcW w:w="3402" w:type="dxa"/>
            <w:hideMark/>
          </w:tcPr>
          <w:p w14:paraId="63BBE4ED"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Senior Partnership</w:t>
            </w:r>
          </w:p>
        </w:tc>
        <w:tc>
          <w:tcPr>
            <w:tcW w:w="5670" w:type="dxa"/>
            <w:hideMark/>
          </w:tcPr>
          <w:p w14:paraId="3A4A53CE"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ADPP - Senior Partnership &amp; Community Development Officer  </w:t>
            </w:r>
          </w:p>
        </w:tc>
      </w:tr>
      <w:tr w:rsidR="004F5E9E" w:rsidRPr="00876286" w14:paraId="27F82EA6" w14:textId="77777777" w:rsidTr="00D919E5">
        <w:trPr>
          <w:trHeight w:val="300"/>
        </w:trPr>
        <w:tc>
          <w:tcPr>
            <w:tcW w:w="455" w:type="dxa"/>
          </w:tcPr>
          <w:p w14:paraId="0756E8E5"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15</w:t>
            </w:r>
          </w:p>
        </w:tc>
        <w:tc>
          <w:tcPr>
            <w:tcW w:w="3651" w:type="dxa"/>
            <w:hideMark/>
          </w:tcPr>
          <w:p w14:paraId="2C3150F1"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Ambrósio Disadidi</w:t>
            </w:r>
          </w:p>
        </w:tc>
        <w:tc>
          <w:tcPr>
            <w:tcW w:w="3402" w:type="dxa"/>
            <w:hideMark/>
          </w:tcPr>
          <w:p w14:paraId="7AFAE66B"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National Coordinator</w:t>
            </w:r>
          </w:p>
        </w:tc>
        <w:tc>
          <w:tcPr>
            <w:tcW w:w="5670" w:type="dxa"/>
            <w:hideMark/>
          </w:tcPr>
          <w:p w14:paraId="066691E8"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National Coordinator of the Tuberculosis Programme    </w:t>
            </w:r>
          </w:p>
        </w:tc>
      </w:tr>
      <w:tr w:rsidR="004F5E9E" w:rsidRPr="00876286" w14:paraId="19F43E05" w14:textId="77777777" w:rsidTr="00D919E5">
        <w:trPr>
          <w:trHeight w:val="300"/>
        </w:trPr>
        <w:tc>
          <w:tcPr>
            <w:tcW w:w="455" w:type="dxa"/>
          </w:tcPr>
          <w:p w14:paraId="77226713"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16</w:t>
            </w:r>
          </w:p>
        </w:tc>
        <w:tc>
          <w:tcPr>
            <w:tcW w:w="3651" w:type="dxa"/>
            <w:hideMark/>
          </w:tcPr>
          <w:p w14:paraId="7DD93CC2"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Siene Tienabe</w:t>
            </w:r>
          </w:p>
        </w:tc>
        <w:tc>
          <w:tcPr>
            <w:tcW w:w="3402" w:type="dxa"/>
            <w:hideMark/>
          </w:tcPr>
          <w:p w14:paraId="11FCDE3C"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Assistant</w:t>
            </w:r>
          </w:p>
        </w:tc>
        <w:tc>
          <w:tcPr>
            <w:tcW w:w="5670" w:type="dxa"/>
            <w:hideMark/>
          </w:tcPr>
          <w:p w14:paraId="2CE64BBC"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Tuberculosis Programme    </w:t>
            </w:r>
          </w:p>
        </w:tc>
      </w:tr>
      <w:tr w:rsidR="004F5E9E" w:rsidRPr="00876286" w14:paraId="4A1CD64B" w14:textId="77777777" w:rsidTr="00D919E5">
        <w:trPr>
          <w:trHeight w:val="300"/>
        </w:trPr>
        <w:tc>
          <w:tcPr>
            <w:tcW w:w="455" w:type="dxa"/>
          </w:tcPr>
          <w:p w14:paraId="49FC0DAC"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17</w:t>
            </w:r>
          </w:p>
        </w:tc>
        <w:tc>
          <w:tcPr>
            <w:tcW w:w="3651" w:type="dxa"/>
            <w:hideMark/>
          </w:tcPr>
          <w:p w14:paraId="65A560BD"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Maria Lúcia Furtado</w:t>
            </w:r>
          </w:p>
        </w:tc>
        <w:tc>
          <w:tcPr>
            <w:tcW w:w="3402" w:type="dxa"/>
            <w:hideMark/>
          </w:tcPr>
          <w:p w14:paraId="147D2A06"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Director</w:t>
            </w:r>
          </w:p>
        </w:tc>
        <w:tc>
          <w:tcPr>
            <w:tcW w:w="5670" w:type="dxa"/>
            <w:hideMark/>
          </w:tcPr>
          <w:p w14:paraId="20C1E938"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National AIDS Institute </w:t>
            </w:r>
          </w:p>
        </w:tc>
      </w:tr>
      <w:tr w:rsidR="004F5E9E" w:rsidRPr="00876286" w14:paraId="652DD79B" w14:textId="77777777" w:rsidTr="00D919E5">
        <w:trPr>
          <w:trHeight w:val="300"/>
        </w:trPr>
        <w:tc>
          <w:tcPr>
            <w:tcW w:w="455" w:type="dxa"/>
          </w:tcPr>
          <w:p w14:paraId="4F55E9FD"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18</w:t>
            </w:r>
          </w:p>
        </w:tc>
        <w:tc>
          <w:tcPr>
            <w:tcW w:w="3651" w:type="dxa"/>
            <w:hideMark/>
          </w:tcPr>
          <w:p w14:paraId="2DFE7A95"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Maria Carolina da Silva</w:t>
            </w:r>
          </w:p>
        </w:tc>
        <w:tc>
          <w:tcPr>
            <w:tcW w:w="3402" w:type="dxa"/>
            <w:hideMark/>
          </w:tcPr>
          <w:p w14:paraId="16B180A5"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Director</w:t>
            </w:r>
          </w:p>
        </w:tc>
        <w:tc>
          <w:tcPr>
            <w:tcW w:w="5670" w:type="dxa"/>
            <w:hideMark/>
          </w:tcPr>
          <w:p w14:paraId="32A0FD9A"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WORLD VISION</w:t>
            </w:r>
          </w:p>
        </w:tc>
      </w:tr>
      <w:tr w:rsidR="004F5E9E" w:rsidRPr="00876286" w14:paraId="548A490E" w14:textId="77777777" w:rsidTr="00D919E5">
        <w:trPr>
          <w:trHeight w:val="300"/>
        </w:trPr>
        <w:tc>
          <w:tcPr>
            <w:tcW w:w="455" w:type="dxa"/>
          </w:tcPr>
          <w:p w14:paraId="2AB54D45"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19</w:t>
            </w:r>
          </w:p>
        </w:tc>
        <w:tc>
          <w:tcPr>
            <w:tcW w:w="3651" w:type="dxa"/>
            <w:hideMark/>
          </w:tcPr>
          <w:p w14:paraId="0862227E"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Alfredo Francisco</w:t>
            </w:r>
          </w:p>
        </w:tc>
        <w:tc>
          <w:tcPr>
            <w:tcW w:w="3402" w:type="dxa"/>
            <w:hideMark/>
          </w:tcPr>
          <w:p w14:paraId="37D1E7C2"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Executive</w:t>
            </w:r>
          </w:p>
        </w:tc>
        <w:tc>
          <w:tcPr>
            <w:tcW w:w="5670" w:type="dxa"/>
            <w:hideMark/>
          </w:tcPr>
          <w:p w14:paraId="0AB4C8DC"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World Vision</w:t>
            </w:r>
          </w:p>
        </w:tc>
      </w:tr>
      <w:tr w:rsidR="004F5E9E" w:rsidRPr="00876286" w14:paraId="44DE0158" w14:textId="77777777" w:rsidTr="00D919E5">
        <w:trPr>
          <w:trHeight w:val="300"/>
        </w:trPr>
        <w:tc>
          <w:tcPr>
            <w:tcW w:w="455" w:type="dxa"/>
          </w:tcPr>
          <w:p w14:paraId="58219393" w14:textId="77777777" w:rsidR="004F5E9E" w:rsidRPr="00AD5A98" w:rsidRDefault="004F5E9E" w:rsidP="00D919E5">
            <w:pPr>
              <w:spacing w:before="100" w:beforeAutospacing="1" w:after="100" w:afterAutospacing="1"/>
              <w:rPr>
                <w:rFonts w:eastAsia="Times New Roman" w:cstheme="minorHAnsi"/>
                <w:color w:val="000000"/>
                <w:lang w:val="en-US" w:eastAsia="pt-PT"/>
              </w:rPr>
            </w:pPr>
            <w:r w:rsidRPr="00AD5A98">
              <w:rPr>
                <w:rFonts w:eastAsia="Times New Roman" w:cstheme="minorHAnsi"/>
                <w:color w:val="000000"/>
                <w:lang w:val="en-US" w:eastAsia="pt-PT"/>
              </w:rPr>
              <w:t>20</w:t>
            </w:r>
          </w:p>
        </w:tc>
        <w:tc>
          <w:tcPr>
            <w:tcW w:w="3651" w:type="dxa"/>
          </w:tcPr>
          <w:p w14:paraId="1B27410D" w14:textId="77777777" w:rsidR="004F5E9E" w:rsidRPr="00AD5A98" w:rsidRDefault="004F5E9E" w:rsidP="00D919E5">
            <w:pPr>
              <w:spacing w:before="100" w:beforeAutospacing="1" w:after="100" w:afterAutospacing="1"/>
              <w:rPr>
                <w:rFonts w:eastAsia="Times New Roman" w:cstheme="minorHAnsi"/>
                <w:color w:val="000000"/>
                <w:lang w:val="en-US" w:eastAsia="pt-PT"/>
              </w:rPr>
            </w:pPr>
            <w:r w:rsidRPr="00AD5A98">
              <w:rPr>
                <w:rFonts w:eastAsia="Times New Roman" w:cstheme="minorHAnsi"/>
                <w:color w:val="000000"/>
                <w:lang w:val="en-US" w:eastAsia="pt-PT"/>
              </w:rPr>
              <w:t>Georgina Panzo Marques</w:t>
            </w:r>
          </w:p>
        </w:tc>
        <w:tc>
          <w:tcPr>
            <w:tcW w:w="3402" w:type="dxa"/>
          </w:tcPr>
          <w:p w14:paraId="4BF7509C"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Assistant</w:t>
            </w:r>
          </w:p>
        </w:tc>
        <w:tc>
          <w:tcPr>
            <w:tcW w:w="5670" w:type="dxa"/>
          </w:tcPr>
          <w:p w14:paraId="69DC560C"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Ministry of Health</w:t>
            </w:r>
          </w:p>
        </w:tc>
      </w:tr>
      <w:tr w:rsidR="004F5E9E" w:rsidRPr="00876286" w14:paraId="236B56D4" w14:textId="77777777" w:rsidTr="00D919E5">
        <w:trPr>
          <w:trHeight w:val="300"/>
        </w:trPr>
        <w:tc>
          <w:tcPr>
            <w:tcW w:w="455" w:type="dxa"/>
          </w:tcPr>
          <w:p w14:paraId="13E677E5" w14:textId="77777777" w:rsidR="004F5E9E" w:rsidRPr="00AD5A98" w:rsidRDefault="004F5E9E" w:rsidP="00D919E5">
            <w:pPr>
              <w:spacing w:before="100" w:beforeAutospacing="1" w:after="100" w:afterAutospacing="1"/>
              <w:rPr>
                <w:rFonts w:eastAsia="Times New Roman" w:cstheme="minorHAnsi"/>
                <w:color w:val="000000"/>
                <w:lang w:val="en-US" w:eastAsia="pt-PT"/>
              </w:rPr>
            </w:pPr>
          </w:p>
        </w:tc>
        <w:tc>
          <w:tcPr>
            <w:tcW w:w="3651" w:type="dxa"/>
          </w:tcPr>
          <w:p w14:paraId="0B924763" w14:textId="77777777" w:rsidR="004F5E9E" w:rsidRPr="00AD5A98" w:rsidRDefault="004F5E9E" w:rsidP="00D919E5">
            <w:pPr>
              <w:spacing w:before="100" w:beforeAutospacing="1" w:after="100" w:afterAutospacing="1"/>
              <w:rPr>
                <w:rFonts w:eastAsia="Times New Roman" w:cstheme="minorHAnsi"/>
                <w:color w:val="000000"/>
                <w:lang w:val="en-US" w:eastAsia="pt-PT"/>
              </w:rPr>
            </w:pPr>
          </w:p>
        </w:tc>
        <w:tc>
          <w:tcPr>
            <w:tcW w:w="3402" w:type="dxa"/>
          </w:tcPr>
          <w:p w14:paraId="05C9677A" w14:textId="77777777" w:rsidR="004F5E9E" w:rsidRPr="00AD5A98" w:rsidRDefault="004F5E9E" w:rsidP="00D919E5">
            <w:pPr>
              <w:spacing w:before="100" w:beforeAutospacing="1" w:after="100" w:afterAutospacing="1"/>
              <w:rPr>
                <w:rFonts w:eastAsia="Times New Roman" w:cstheme="minorHAnsi"/>
                <w:color w:val="000000"/>
                <w:lang w:eastAsia="pt-PT"/>
              </w:rPr>
            </w:pPr>
          </w:p>
        </w:tc>
        <w:tc>
          <w:tcPr>
            <w:tcW w:w="5670" w:type="dxa"/>
          </w:tcPr>
          <w:p w14:paraId="1A9363E0" w14:textId="77777777" w:rsidR="004F5E9E" w:rsidRPr="00AD5A98" w:rsidRDefault="004F5E9E" w:rsidP="00D919E5">
            <w:pPr>
              <w:spacing w:before="100" w:beforeAutospacing="1" w:after="100" w:afterAutospacing="1"/>
              <w:rPr>
                <w:rFonts w:eastAsia="Times New Roman" w:cstheme="minorHAnsi"/>
                <w:color w:val="000000"/>
                <w:lang w:eastAsia="pt-PT"/>
              </w:rPr>
            </w:pPr>
          </w:p>
        </w:tc>
      </w:tr>
      <w:tr w:rsidR="004F5E9E" w:rsidRPr="00876286" w14:paraId="7E067FDA" w14:textId="77777777" w:rsidTr="00D919E5">
        <w:trPr>
          <w:trHeight w:val="300"/>
        </w:trPr>
        <w:tc>
          <w:tcPr>
            <w:tcW w:w="455" w:type="dxa"/>
          </w:tcPr>
          <w:p w14:paraId="67EEBD4F" w14:textId="77777777" w:rsidR="004F5E9E" w:rsidRPr="00AD5A98" w:rsidRDefault="004F5E9E" w:rsidP="00D919E5">
            <w:pPr>
              <w:spacing w:before="100" w:beforeAutospacing="1" w:after="100" w:afterAutospacing="1"/>
              <w:rPr>
                <w:rFonts w:eastAsia="Times New Roman" w:cstheme="minorHAnsi"/>
                <w:color w:val="000000"/>
                <w:lang w:eastAsia="pt-PT"/>
              </w:rPr>
            </w:pPr>
          </w:p>
        </w:tc>
        <w:tc>
          <w:tcPr>
            <w:tcW w:w="12723" w:type="dxa"/>
            <w:gridSpan w:val="3"/>
            <w:shd w:val="clear" w:color="auto" w:fill="B8CCE4" w:themeFill="accent1" w:themeFillTint="66"/>
            <w:hideMark/>
          </w:tcPr>
          <w:p w14:paraId="4CE165AD" w14:textId="77777777" w:rsidR="004F5E9E" w:rsidRPr="00AD5A98" w:rsidRDefault="004F5E9E" w:rsidP="00D919E5">
            <w:pPr>
              <w:spacing w:before="100" w:beforeAutospacing="1" w:after="100" w:afterAutospacing="1"/>
              <w:jc w:val="center"/>
              <w:rPr>
                <w:rFonts w:eastAsia="Times New Roman" w:cstheme="minorHAnsi"/>
                <w:b/>
                <w:bCs/>
                <w:color w:val="000000"/>
                <w:lang w:eastAsia="pt-PT"/>
              </w:rPr>
            </w:pPr>
            <w:r w:rsidRPr="00AD5A98">
              <w:rPr>
                <w:rFonts w:eastAsia="Times New Roman" w:cstheme="minorHAnsi"/>
                <w:b/>
                <w:bCs/>
                <w:color w:val="000000"/>
                <w:lang w:eastAsia="pt-PT"/>
              </w:rPr>
              <w:t>GOVERNANCE</w:t>
            </w:r>
          </w:p>
        </w:tc>
      </w:tr>
      <w:tr w:rsidR="004F5E9E" w:rsidRPr="00876286" w14:paraId="29B4CFF3" w14:textId="77777777" w:rsidTr="00D919E5">
        <w:trPr>
          <w:trHeight w:val="300"/>
        </w:trPr>
        <w:tc>
          <w:tcPr>
            <w:tcW w:w="455" w:type="dxa"/>
          </w:tcPr>
          <w:p w14:paraId="5A63BE83"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21</w:t>
            </w:r>
          </w:p>
        </w:tc>
        <w:tc>
          <w:tcPr>
            <w:tcW w:w="3651" w:type="dxa"/>
            <w:hideMark/>
          </w:tcPr>
          <w:p w14:paraId="3F908C38"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Celeste Cuchimuila J. Cassoma</w:t>
            </w:r>
          </w:p>
        </w:tc>
        <w:tc>
          <w:tcPr>
            <w:tcW w:w="3402" w:type="dxa"/>
            <w:hideMark/>
          </w:tcPr>
          <w:p w14:paraId="27601803"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Director of GEPE</w:t>
            </w:r>
          </w:p>
        </w:tc>
        <w:tc>
          <w:tcPr>
            <w:tcW w:w="5670" w:type="dxa"/>
            <w:hideMark/>
          </w:tcPr>
          <w:p w14:paraId="2C85F27F"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 xml:space="preserve">Ministry of Territorial Administration (MAT), </w:t>
            </w:r>
          </w:p>
        </w:tc>
      </w:tr>
      <w:tr w:rsidR="004F5E9E" w:rsidRPr="00876286" w14:paraId="5AA31D70" w14:textId="77777777" w:rsidTr="00D919E5">
        <w:trPr>
          <w:trHeight w:val="300"/>
        </w:trPr>
        <w:tc>
          <w:tcPr>
            <w:tcW w:w="455" w:type="dxa"/>
          </w:tcPr>
          <w:p w14:paraId="189A60A4"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22</w:t>
            </w:r>
          </w:p>
        </w:tc>
        <w:tc>
          <w:tcPr>
            <w:tcW w:w="3651" w:type="dxa"/>
            <w:hideMark/>
          </w:tcPr>
          <w:p w14:paraId="757A325D"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André Brito</w:t>
            </w:r>
          </w:p>
        </w:tc>
        <w:tc>
          <w:tcPr>
            <w:tcW w:w="3402" w:type="dxa"/>
            <w:hideMark/>
          </w:tcPr>
          <w:p w14:paraId="6BEB223A"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Assistant</w:t>
            </w:r>
          </w:p>
        </w:tc>
        <w:tc>
          <w:tcPr>
            <w:tcW w:w="5670" w:type="dxa"/>
            <w:hideMark/>
          </w:tcPr>
          <w:p w14:paraId="368D026F"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 xml:space="preserve">Attorney General's Office </w:t>
            </w:r>
          </w:p>
        </w:tc>
      </w:tr>
      <w:tr w:rsidR="004F5E9E" w:rsidRPr="009D417E" w14:paraId="48F5B2D6" w14:textId="77777777" w:rsidTr="00D919E5">
        <w:trPr>
          <w:trHeight w:val="300"/>
        </w:trPr>
        <w:tc>
          <w:tcPr>
            <w:tcW w:w="455" w:type="dxa"/>
          </w:tcPr>
          <w:p w14:paraId="3EAD259C"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23</w:t>
            </w:r>
          </w:p>
        </w:tc>
        <w:tc>
          <w:tcPr>
            <w:tcW w:w="3651" w:type="dxa"/>
            <w:hideMark/>
          </w:tcPr>
          <w:p w14:paraId="138895EF"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José Miguel</w:t>
            </w:r>
          </w:p>
        </w:tc>
        <w:tc>
          <w:tcPr>
            <w:tcW w:w="3402" w:type="dxa"/>
            <w:hideMark/>
          </w:tcPr>
          <w:p w14:paraId="79ECB781"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Assistant</w:t>
            </w:r>
          </w:p>
        </w:tc>
        <w:tc>
          <w:tcPr>
            <w:tcW w:w="5670" w:type="dxa"/>
            <w:hideMark/>
          </w:tcPr>
          <w:p w14:paraId="0948CD39" w14:textId="77777777" w:rsidR="004F5E9E" w:rsidRPr="00F80625" w:rsidRDefault="004F5E9E" w:rsidP="00D919E5">
            <w:pPr>
              <w:spacing w:before="100" w:beforeAutospacing="1" w:after="100" w:afterAutospacing="1"/>
              <w:rPr>
                <w:rFonts w:eastAsia="Times New Roman" w:cstheme="minorHAnsi"/>
                <w:color w:val="000000"/>
                <w:lang w:val="fr-FR" w:eastAsia="pt-PT"/>
              </w:rPr>
            </w:pPr>
            <w:r w:rsidRPr="00F80625">
              <w:rPr>
                <w:rFonts w:eastAsia="Times New Roman" w:cstheme="minorHAnsi"/>
                <w:color w:val="000000"/>
                <w:lang w:val="fr-FR" w:eastAsia="pt-PT"/>
              </w:rPr>
              <w:t xml:space="preserve">Audit Office (Tribunal de Contas) </w:t>
            </w:r>
          </w:p>
        </w:tc>
      </w:tr>
      <w:tr w:rsidR="004F5E9E" w:rsidRPr="00876286" w14:paraId="6523E6F1" w14:textId="77777777" w:rsidTr="00D919E5">
        <w:trPr>
          <w:trHeight w:val="300"/>
        </w:trPr>
        <w:tc>
          <w:tcPr>
            <w:tcW w:w="455" w:type="dxa"/>
          </w:tcPr>
          <w:p w14:paraId="14DA9F40"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24</w:t>
            </w:r>
          </w:p>
        </w:tc>
        <w:tc>
          <w:tcPr>
            <w:tcW w:w="3651" w:type="dxa"/>
            <w:hideMark/>
          </w:tcPr>
          <w:p w14:paraId="221C161F"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Florbela Araújo</w:t>
            </w:r>
          </w:p>
        </w:tc>
        <w:tc>
          <w:tcPr>
            <w:tcW w:w="3402" w:type="dxa"/>
            <w:hideMark/>
          </w:tcPr>
          <w:p w14:paraId="2A895BC2"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 xml:space="preserve">Chairperson </w:t>
            </w:r>
          </w:p>
        </w:tc>
        <w:tc>
          <w:tcPr>
            <w:tcW w:w="5670" w:type="dxa"/>
            <w:hideMark/>
          </w:tcPr>
          <w:p w14:paraId="7291F9AA"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 xml:space="preserve">Ombudsman office </w:t>
            </w:r>
          </w:p>
        </w:tc>
      </w:tr>
      <w:tr w:rsidR="004F5E9E" w:rsidRPr="00876286" w14:paraId="0192DFC3" w14:textId="77777777" w:rsidTr="00D919E5">
        <w:trPr>
          <w:trHeight w:val="300"/>
        </w:trPr>
        <w:tc>
          <w:tcPr>
            <w:tcW w:w="455" w:type="dxa"/>
          </w:tcPr>
          <w:p w14:paraId="2D5F92E1"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25</w:t>
            </w:r>
          </w:p>
        </w:tc>
        <w:tc>
          <w:tcPr>
            <w:tcW w:w="3651" w:type="dxa"/>
            <w:hideMark/>
          </w:tcPr>
          <w:p w14:paraId="469287B9"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Alex</w:t>
            </w:r>
          </w:p>
        </w:tc>
        <w:tc>
          <w:tcPr>
            <w:tcW w:w="3402" w:type="dxa"/>
            <w:hideMark/>
          </w:tcPr>
          <w:p w14:paraId="7E6D90B5"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Assistant</w:t>
            </w:r>
          </w:p>
        </w:tc>
        <w:tc>
          <w:tcPr>
            <w:tcW w:w="5670" w:type="dxa"/>
            <w:hideMark/>
          </w:tcPr>
          <w:p w14:paraId="4C555B0D"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Ombudsman office</w:t>
            </w:r>
          </w:p>
        </w:tc>
      </w:tr>
      <w:tr w:rsidR="004F5E9E" w:rsidRPr="00876286" w14:paraId="126FB922" w14:textId="77777777" w:rsidTr="00D919E5">
        <w:trPr>
          <w:trHeight w:val="300"/>
        </w:trPr>
        <w:tc>
          <w:tcPr>
            <w:tcW w:w="455" w:type="dxa"/>
          </w:tcPr>
          <w:p w14:paraId="7A9EEDBD"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26</w:t>
            </w:r>
          </w:p>
        </w:tc>
        <w:tc>
          <w:tcPr>
            <w:tcW w:w="3651" w:type="dxa"/>
            <w:hideMark/>
          </w:tcPr>
          <w:p w14:paraId="3E136AD1"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 xml:space="preserve">Yannick Bernardo  </w:t>
            </w:r>
          </w:p>
        </w:tc>
        <w:tc>
          <w:tcPr>
            <w:tcW w:w="3402" w:type="dxa"/>
            <w:hideMark/>
          </w:tcPr>
          <w:p w14:paraId="09F59C63"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Director</w:t>
            </w:r>
          </w:p>
        </w:tc>
        <w:tc>
          <w:tcPr>
            <w:tcW w:w="5670" w:type="dxa"/>
            <w:hideMark/>
          </w:tcPr>
          <w:p w14:paraId="2E7D27E1"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Ministry of Justice and Human Rights,</w:t>
            </w:r>
          </w:p>
        </w:tc>
      </w:tr>
      <w:tr w:rsidR="004F5E9E" w:rsidRPr="00876286" w14:paraId="3B823453" w14:textId="77777777" w:rsidTr="00D919E5">
        <w:trPr>
          <w:trHeight w:val="300"/>
        </w:trPr>
        <w:tc>
          <w:tcPr>
            <w:tcW w:w="455" w:type="dxa"/>
          </w:tcPr>
          <w:p w14:paraId="631E1162"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27</w:t>
            </w:r>
          </w:p>
        </w:tc>
        <w:tc>
          <w:tcPr>
            <w:tcW w:w="3651" w:type="dxa"/>
            <w:hideMark/>
          </w:tcPr>
          <w:p w14:paraId="138DDA1C"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Suzana Peres</w:t>
            </w:r>
          </w:p>
        </w:tc>
        <w:tc>
          <w:tcPr>
            <w:tcW w:w="3402" w:type="dxa"/>
            <w:hideMark/>
          </w:tcPr>
          <w:p w14:paraId="43F5212A"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Consultant</w:t>
            </w:r>
          </w:p>
        </w:tc>
        <w:tc>
          <w:tcPr>
            <w:tcW w:w="5670" w:type="dxa"/>
            <w:hideMark/>
          </w:tcPr>
          <w:p w14:paraId="2E061C8E"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Ministry of Justice and Human Rights,</w:t>
            </w:r>
          </w:p>
        </w:tc>
      </w:tr>
      <w:tr w:rsidR="004F5E9E" w:rsidRPr="00876286" w14:paraId="351E2142" w14:textId="77777777" w:rsidTr="00D919E5">
        <w:trPr>
          <w:trHeight w:val="300"/>
        </w:trPr>
        <w:tc>
          <w:tcPr>
            <w:tcW w:w="455" w:type="dxa"/>
          </w:tcPr>
          <w:p w14:paraId="0D1E2B99"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28</w:t>
            </w:r>
          </w:p>
        </w:tc>
        <w:tc>
          <w:tcPr>
            <w:tcW w:w="3651" w:type="dxa"/>
            <w:hideMark/>
          </w:tcPr>
          <w:p w14:paraId="597B3F15"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Wilson Adão</w:t>
            </w:r>
          </w:p>
        </w:tc>
        <w:tc>
          <w:tcPr>
            <w:tcW w:w="3402" w:type="dxa"/>
            <w:hideMark/>
          </w:tcPr>
          <w:p w14:paraId="682FF2CD"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Project Coordinator</w:t>
            </w:r>
          </w:p>
        </w:tc>
        <w:tc>
          <w:tcPr>
            <w:tcW w:w="5670" w:type="dxa"/>
            <w:hideMark/>
          </w:tcPr>
          <w:p w14:paraId="12828B13"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Field visit to legal clinic </w:t>
            </w:r>
          </w:p>
        </w:tc>
      </w:tr>
      <w:tr w:rsidR="004F5E9E" w:rsidRPr="00876286" w14:paraId="0C1A0A7D" w14:textId="77777777" w:rsidTr="00D919E5">
        <w:trPr>
          <w:trHeight w:val="300"/>
        </w:trPr>
        <w:tc>
          <w:tcPr>
            <w:tcW w:w="455" w:type="dxa"/>
          </w:tcPr>
          <w:p w14:paraId="5FEEB425"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29</w:t>
            </w:r>
          </w:p>
        </w:tc>
        <w:tc>
          <w:tcPr>
            <w:tcW w:w="3651" w:type="dxa"/>
            <w:hideMark/>
          </w:tcPr>
          <w:p w14:paraId="6381E11B"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Elsa Barber</w:t>
            </w:r>
          </w:p>
        </w:tc>
        <w:tc>
          <w:tcPr>
            <w:tcW w:w="3402" w:type="dxa"/>
            <w:hideMark/>
          </w:tcPr>
          <w:p w14:paraId="08A5B7B5"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Secretary of State</w:t>
            </w:r>
          </w:p>
        </w:tc>
        <w:tc>
          <w:tcPr>
            <w:tcW w:w="5670" w:type="dxa"/>
            <w:hideMark/>
          </w:tcPr>
          <w:p w14:paraId="588547A3"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Ministry of Family, Social Welfare and Gender Promotion</w:t>
            </w:r>
          </w:p>
        </w:tc>
      </w:tr>
      <w:tr w:rsidR="004F5E9E" w:rsidRPr="00876286" w14:paraId="79EC8E69" w14:textId="77777777" w:rsidTr="00D919E5">
        <w:trPr>
          <w:trHeight w:val="300"/>
        </w:trPr>
        <w:tc>
          <w:tcPr>
            <w:tcW w:w="455" w:type="dxa"/>
          </w:tcPr>
          <w:p w14:paraId="5E1121D1"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30</w:t>
            </w:r>
          </w:p>
        </w:tc>
        <w:tc>
          <w:tcPr>
            <w:tcW w:w="3651" w:type="dxa"/>
            <w:hideMark/>
          </w:tcPr>
          <w:p w14:paraId="524B48E9"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Margarida</w:t>
            </w:r>
          </w:p>
        </w:tc>
        <w:tc>
          <w:tcPr>
            <w:tcW w:w="3402" w:type="dxa"/>
            <w:hideMark/>
          </w:tcPr>
          <w:p w14:paraId="2D38E165"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Director</w:t>
            </w:r>
          </w:p>
        </w:tc>
        <w:tc>
          <w:tcPr>
            <w:tcW w:w="5670" w:type="dxa"/>
            <w:hideMark/>
          </w:tcPr>
          <w:p w14:paraId="7A2BB5DB"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Ministry of Family, Social Welfare and Gender Promotion</w:t>
            </w:r>
          </w:p>
        </w:tc>
      </w:tr>
      <w:tr w:rsidR="004F5E9E" w:rsidRPr="00876286" w14:paraId="62E522D0" w14:textId="77777777" w:rsidTr="00D919E5">
        <w:trPr>
          <w:trHeight w:val="300"/>
        </w:trPr>
        <w:tc>
          <w:tcPr>
            <w:tcW w:w="455" w:type="dxa"/>
          </w:tcPr>
          <w:p w14:paraId="03205C17"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31</w:t>
            </w:r>
          </w:p>
        </w:tc>
        <w:tc>
          <w:tcPr>
            <w:tcW w:w="3651" w:type="dxa"/>
            <w:hideMark/>
          </w:tcPr>
          <w:p w14:paraId="0B79A145"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Adelaide Almeida</w:t>
            </w:r>
          </w:p>
        </w:tc>
        <w:tc>
          <w:tcPr>
            <w:tcW w:w="3402" w:type="dxa"/>
            <w:hideMark/>
          </w:tcPr>
          <w:p w14:paraId="542C8F69" w14:textId="77777777" w:rsidR="004F5E9E" w:rsidRPr="00AD5A98" w:rsidRDefault="004F5E9E" w:rsidP="00D919E5">
            <w:pPr>
              <w:spacing w:before="100" w:beforeAutospacing="1" w:after="100" w:afterAutospacing="1"/>
              <w:rPr>
                <w:rFonts w:eastAsia="Times New Roman" w:cstheme="minorHAnsi"/>
                <w:color w:val="000000"/>
                <w:lang w:eastAsia="pt-PT"/>
              </w:rPr>
            </w:pPr>
            <w:r>
              <w:rPr>
                <w:rFonts w:eastAsia="Times New Roman" w:cstheme="minorHAnsi"/>
                <w:color w:val="000000"/>
                <w:lang w:eastAsia="pt-PT"/>
              </w:rPr>
              <w:t>Director of Planning</w:t>
            </w:r>
          </w:p>
        </w:tc>
        <w:tc>
          <w:tcPr>
            <w:tcW w:w="5670" w:type="dxa"/>
            <w:hideMark/>
          </w:tcPr>
          <w:p w14:paraId="4C869A95" w14:textId="77777777" w:rsidR="004F5E9E" w:rsidRPr="00AD5A98" w:rsidRDefault="004F5E9E" w:rsidP="00D919E5">
            <w:pPr>
              <w:spacing w:before="100" w:beforeAutospacing="1" w:after="100" w:afterAutospacing="1"/>
              <w:rPr>
                <w:rFonts w:eastAsia="Times New Roman" w:cstheme="minorHAnsi"/>
                <w:color w:val="000000"/>
                <w:lang w:eastAsia="pt-PT"/>
              </w:rPr>
            </w:pPr>
            <w:r>
              <w:rPr>
                <w:rFonts w:eastAsia="Times New Roman" w:cstheme="minorHAnsi"/>
                <w:color w:val="000000"/>
                <w:lang w:eastAsia="pt-PT"/>
              </w:rPr>
              <w:t>Ministry of Interior</w:t>
            </w:r>
            <w:r w:rsidRPr="00AD5A98">
              <w:rPr>
                <w:rFonts w:eastAsia="Times New Roman" w:cstheme="minorHAnsi"/>
                <w:color w:val="000000"/>
                <w:lang w:eastAsia="pt-PT"/>
              </w:rPr>
              <w:t> </w:t>
            </w:r>
          </w:p>
        </w:tc>
      </w:tr>
      <w:tr w:rsidR="004F5E9E" w:rsidRPr="00876286" w14:paraId="20B29C0C" w14:textId="77777777" w:rsidTr="00D919E5">
        <w:trPr>
          <w:trHeight w:val="300"/>
        </w:trPr>
        <w:tc>
          <w:tcPr>
            <w:tcW w:w="455" w:type="dxa"/>
          </w:tcPr>
          <w:p w14:paraId="0B7579DB"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32</w:t>
            </w:r>
          </w:p>
        </w:tc>
        <w:tc>
          <w:tcPr>
            <w:tcW w:w="3651" w:type="dxa"/>
          </w:tcPr>
          <w:p w14:paraId="34D07670"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Silvia Lunda</w:t>
            </w:r>
          </w:p>
        </w:tc>
        <w:tc>
          <w:tcPr>
            <w:tcW w:w="3402" w:type="dxa"/>
          </w:tcPr>
          <w:p w14:paraId="3C5C8326" w14:textId="77777777" w:rsidR="004F5E9E" w:rsidRPr="00AD5A98" w:rsidRDefault="004F5E9E" w:rsidP="00D919E5">
            <w:pPr>
              <w:spacing w:before="100" w:beforeAutospacing="1" w:after="100" w:afterAutospacing="1"/>
              <w:rPr>
                <w:rFonts w:eastAsia="Times New Roman" w:cstheme="minorHAnsi"/>
                <w:color w:val="000000"/>
                <w:lang w:eastAsia="pt-PT"/>
              </w:rPr>
            </w:pPr>
            <w:r>
              <w:rPr>
                <w:rFonts w:eastAsia="Times New Roman" w:cstheme="minorHAnsi"/>
                <w:color w:val="000000"/>
                <w:lang w:eastAsia="pt-PT"/>
              </w:rPr>
              <w:t>Assistant</w:t>
            </w:r>
          </w:p>
        </w:tc>
        <w:tc>
          <w:tcPr>
            <w:tcW w:w="5670" w:type="dxa"/>
          </w:tcPr>
          <w:p w14:paraId="44202830" w14:textId="77777777" w:rsidR="004F5E9E" w:rsidRPr="00AD5A98" w:rsidRDefault="004F5E9E" w:rsidP="00D919E5">
            <w:pPr>
              <w:spacing w:before="100" w:beforeAutospacing="1" w:after="100" w:afterAutospacing="1"/>
              <w:rPr>
                <w:rFonts w:eastAsia="Times New Roman" w:cstheme="minorHAnsi"/>
                <w:color w:val="000000"/>
                <w:lang w:eastAsia="pt-PT"/>
              </w:rPr>
            </w:pPr>
            <w:r>
              <w:rPr>
                <w:rFonts w:eastAsia="Times New Roman" w:cstheme="minorHAnsi"/>
                <w:color w:val="000000"/>
                <w:lang w:eastAsia="pt-PT"/>
              </w:rPr>
              <w:t>Ministry of Interior</w:t>
            </w:r>
          </w:p>
        </w:tc>
      </w:tr>
      <w:tr w:rsidR="004F5E9E" w:rsidRPr="00876286" w14:paraId="5B61D992" w14:textId="77777777" w:rsidTr="00D919E5">
        <w:trPr>
          <w:trHeight w:val="300"/>
        </w:trPr>
        <w:tc>
          <w:tcPr>
            <w:tcW w:w="455" w:type="dxa"/>
          </w:tcPr>
          <w:p w14:paraId="7F192D55" w14:textId="77777777" w:rsidR="004F5E9E" w:rsidRPr="00AD5A98" w:rsidRDefault="004F5E9E" w:rsidP="00D919E5">
            <w:pPr>
              <w:spacing w:before="100" w:beforeAutospacing="1" w:after="100" w:afterAutospacing="1"/>
              <w:rPr>
                <w:rFonts w:eastAsia="Times New Roman" w:cstheme="minorHAnsi"/>
                <w:color w:val="000000"/>
                <w:lang w:eastAsia="pt-PT"/>
              </w:rPr>
            </w:pPr>
          </w:p>
        </w:tc>
        <w:tc>
          <w:tcPr>
            <w:tcW w:w="3651" w:type="dxa"/>
          </w:tcPr>
          <w:p w14:paraId="03ECFFD5" w14:textId="77777777" w:rsidR="004F5E9E" w:rsidRPr="00AD5A98" w:rsidRDefault="004F5E9E" w:rsidP="00D919E5">
            <w:pPr>
              <w:spacing w:before="100" w:beforeAutospacing="1" w:after="100" w:afterAutospacing="1"/>
              <w:rPr>
                <w:rFonts w:eastAsia="Times New Roman" w:cstheme="minorHAnsi"/>
                <w:color w:val="000000"/>
                <w:lang w:eastAsia="pt-PT"/>
              </w:rPr>
            </w:pPr>
          </w:p>
        </w:tc>
        <w:tc>
          <w:tcPr>
            <w:tcW w:w="3402" w:type="dxa"/>
          </w:tcPr>
          <w:p w14:paraId="361F3BDC" w14:textId="77777777" w:rsidR="004F5E9E" w:rsidRPr="00AD5A98" w:rsidRDefault="004F5E9E" w:rsidP="00D919E5">
            <w:pPr>
              <w:spacing w:before="100" w:beforeAutospacing="1" w:after="100" w:afterAutospacing="1"/>
              <w:rPr>
                <w:rFonts w:eastAsia="Times New Roman" w:cstheme="minorHAnsi"/>
                <w:color w:val="000000"/>
                <w:lang w:eastAsia="pt-PT"/>
              </w:rPr>
            </w:pPr>
          </w:p>
        </w:tc>
        <w:tc>
          <w:tcPr>
            <w:tcW w:w="5670" w:type="dxa"/>
          </w:tcPr>
          <w:p w14:paraId="67484A93" w14:textId="77777777" w:rsidR="004F5E9E" w:rsidRPr="00AD5A98" w:rsidRDefault="004F5E9E" w:rsidP="00D919E5">
            <w:pPr>
              <w:spacing w:before="100" w:beforeAutospacing="1" w:after="100" w:afterAutospacing="1"/>
              <w:rPr>
                <w:rFonts w:eastAsia="Times New Roman" w:cstheme="minorHAnsi"/>
                <w:color w:val="000000"/>
                <w:lang w:eastAsia="pt-PT"/>
              </w:rPr>
            </w:pPr>
          </w:p>
        </w:tc>
      </w:tr>
      <w:tr w:rsidR="004F5E9E" w:rsidRPr="00876286" w14:paraId="2A8DD83D" w14:textId="77777777" w:rsidTr="00D919E5">
        <w:trPr>
          <w:trHeight w:val="300"/>
        </w:trPr>
        <w:tc>
          <w:tcPr>
            <w:tcW w:w="455" w:type="dxa"/>
          </w:tcPr>
          <w:p w14:paraId="53E48CA8" w14:textId="77777777" w:rsidR="004F5E9E" w:rsidRPr="00AD5A98" w:rsidRDefault="004F5E9E" w:rsidP="00D919E5">
            <w:pPr>
              <w:spacing w:before="100" w:beforeAutospacing="1" w:after="100" w:afterAutospacing="1"/>
              <w:rPr>
                <w:rFonts w:eastAsia="Times New Roman" w:cstheme="minorHAnsi"/>
                <w:color w:val="000000"/>
                <w:lang w:eastAsia="pt-PT"/>
              </w:rPr>
            </w:pPr>
          </w:p>
        </w:tc>
        <w:tc>
          <w:tcPr>
            <w:tcW w:w="12723" w:type="dxa"/>
            <w:gridSpan w:val="3"/>
            <w:shd w:val="clear" w:color="auto" w:fill="B8CCE4" w:themeFill="accent1" w:themeFillTint="66"/>
            <w:hideMark/>
          </w:tcPr>
          <w:p w14:paraId="01F4E1FA" w14:textId="77777777" w:rsidR="004F5E9E" w:rsidRPr="00AD5A98" w:rsidRDefault="004F5E9E" w:rsidP="00D919E5">
            <w:pPr>
              <w:spacing w:before="100" w:beforeAutospacing="1" w:after="100" w:afterAutospacing="1"/>
              <w:jc w:val="center"/>
              <w:rPr>
                <w:rFonts w:eastAsia="Times New Roman" w:cstheme="minorHAnsi"/>
                <w:b/>
                <w:bCs/>
                <w:color w:val="000000"/>
                <w:lang w:eastAsia="pt-PT"/>
              </w:rPr>
            </w:pPr>
            <w:r w:rsidRPr="00AD5A98">
              <w:rPr>
                <w:rFonts w:eastAsia="Times New Roman" w:cstheme="minorHAnsi"/>
                <w:b/>
                <w:bCs/>
                <w:color w:val="000000"/>
                <w:lang w:eastAsia="pt-PT"/>
              </w:rPr>
              <w:t>SUSTAINABLE DEVELOPMENT AND INCLUSIVE GROWTH</w:t>
            </w:r>
          </w:p>
        </w:tc>
      </w:tr>
      <w:tr w:rsidR="004F5E9E" w:rsidRPr="00876286" w14:paraId="167E4C2A" w14:textId="77777777" w:rsidTr="00D919E5">
        <w:trPr>
          <w:trHeight w:val="300"/>
        </w:trPr>
        <w:tc>
          <w:tcPr>
            <w:tcW w:w="455" w:type="dxa"/>
          </w:tcPr>
          <w:p w14:paraId="1EAD5A48"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33</w:t>
            </w:r>
          </w:p>
        </w:tc>
        <w:tc>
          <w:tcPr>
            <w:tcW w:w="3651" w:type="dxa"/>
            <w:hideMark/>
          </w:tcPr>
          <w:p w14:paraId="7B6D3686"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Chaney</w:t>
            </w:r>
            <w:r>
              <w:rPr>
                <w:rFonts w:eastAsia="Times New Roman" w:cstheme="minorHAnsi"/>
                <w:color w:val="000000"/>
                <w:lang w:val="en-US" w:eastAsia="pt-PT"/>
              </w:rPr>
              <w:t xml:space="preserve"> Rosa Jones</w:t>
            </w:r>
          </w:p>
        </w:tc>
        <w:tc>
          <w:tcPr>
            <w:tcW w:w="3402" w:type="dxa"/>
            <w:hideMark/>
          </w:tcPr>
          <w:p w14:paraId="27D19FA1"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Director</w:t>
            </w:r>
          </w:p>
        </w:tc>
        <w:tc>
          <w:tcPr>
            <w:tcW w:w="5670" w:type="dxa"/>
            <w:hideMark/>
          </w:tcPr>
          <w:p w14:paraId="2FE59B29"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Director, National Institute of Statistics</w:t>
            </w:r>
          </w:p>
        </w:tc>
      </w:tr>
      <w:tr w:rsidR="004F5E9E" w:rsidRPr="00876286" w14:paraId="12C47F05" w14:textId="77777777" w:rsidTr="00D919E5">
        <w:trPr>
          <w:trHeight w:val="300"/>
        </w:trPr>
        <w:tc>
          <w:tcPr>
            <w:tcW w:w="455" w:type="dxa"/>
          </w:tcPr>
          <w:p w14:paraId="063C99B0"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34</w:t>
            </w:r>
          </w:p>
        </w:tc>
        <w:tc>
          <w:tcPr>
            <w:tcW w:w="3651" w:type="dxa"/>
            <w:hideMark/>
          </w:tcPr>
          <w:p w14:paraId="5DE0B1C7"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Teresa Sangossango</w:t>
            </w:r>
          </w:p>
        </w:tc>
        <w:tc>
          <w:tcPr>
            <w:tcW w:w="3402" w:type="dxa"/>
            <w:hideMark/>
          </w:tcPr>
          <w:p w14:paraId="10110C04"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Assistant</w:t>
            </w:r>
          </w:p>
        </w:tc>
        <w:tc>
          <w:tcPr>
            <w:tcW w:w="5670" w:type="dxa"/>
            <w:hideMark/>
          </w:tcPr>
          <w:p w14:paraId="7906BE6E"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National Institute of Statistics</w:t>
            </w:r>
          </w:p>
        </w:tc>
      </w:tr>
      <w:tr w:rsidR="004F5E9E" w:rsidRPr="00876286" w14:paraId="55480B0E" w14:textId="77777777" w:rsidTr="00D919E5">
        <w:trPr>
          <w:trHeight w:val="300"/>
        </w:trPr>
        <w:tc>
          <w:tcPr>
            <w:tcW w:w="455" w:type="dxa"/>
          </w:tcPr>
          <w:p w14:paraId="17499C70"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35</w:t>
            </w:r>
          </w:p>
        </w:tc>
        <w:tc>
          <w:tcPr>
            <w:tcW w:w="3651" w:type="dxa"/>
            <w:hideMark/>
          </w:tcPr>
          <w:p w14:paraId="7E03424F"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Anália Prata</w:t>
            </w:r>
          </w:p>
        </w:tc>
        <w:tc>
          <w:tcPr>
            <w:tcW w:w="3402" w:type="dxa"/>
            <w:hideMark/>
          </w:tcPr>
          <w:p w14:paraId="5E13D7CB"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Deputy Director</w:t>
            </w:r>
          </w:p>
        </w:tc>
        <w:tc>
          <w:tcPr>
            <w:tcW w:w="5670" w:type="dxa"/>
            <w:hideMark/>
          </w:tcPr>
          <w:p w14:paraId="3A4A73C4"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Deputy Director, National Institute of Statistics</w:t>
            </w:r>
          </w:p>
        </w:tc>
      </w:tr>
      <w:tr w:rsidR="004F5E9E" w:rsidRPr="00876286" w14:paraId="163E7E70" w14:textId="77777777" w:rsidTr="00D919E5">
        <w:trPr>
          <w:trHeight w:val="300"/>
        </w:trPr>
        <w:tc>
          <w:tcPr>
            <w:tcW w:w="455" w:type="dxa"/>
          </w:tcPr>
          <w:p w14:paraId="47DD04A8"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36</w:t>
            </w:r>
          </w:p>
        </w:tc>
        <w:tc>
          <w:tcPr>
            <w:tcW w:w="3651" w:type="dxa"/>
            <w:hideMark/>
          </w:tcPr>
          <w:p w14:paraId="05088271"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Jaime Jerónimo</w:t>
            </w:r>
          </w:p>
        </w:tc>
        <w:tc>
          <w:tcPr>
            <w:tcW w:w="3402" w:type="dxa"/>
            <w:hideMark/>
          </w:tcPr>
          <w:p w14:paraId="3280E19F"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Deputy Director</w:t>
            </w:r>
          </w:p>
        </w:tc>
        <w:tc>
          <w:tcPr>
            <w:tcW w:w="5670" w:type="dxa"/>
            <w:hideMark/>
          </w:tcPr>
          <w:p w14:paraId="155C6FEC"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Deputy Director, National Institute of Statistics</w:t>
            </w:r>
          </w:p>
        </w:tc>
      </w:tr>
      <w:tr w:rsidR="004F5E9E" w:rsidRPr="00876286" w14:paraId="03832604" w14:textId="77777777" w:rsidTr="00D919E5">
        <w:trPr>
          <w:trHeight w:val="300"/>
        </w:trPr>
        <w:tc>
          <w:tcPr>
            <w:tcW w:w="455" w:type="dxa"/>
          </w:tcPr>
          <w:p w14:paraId="76855006"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37</w:t>
            </w:r>
          </w:p>
        </w:tc>
        <w:tc>
          <w:tcPr>
            <w:tcW w:w="3651" w:type="dxa"/>
            <w:hideMark/>
          </w:tcPr>
          <w:p w14:paraId="735BDF00"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 xml:space="preserve">Osvaldo Machado </w:t>
            </w:r>
          </w:p>
        </w:tc>
        <w:tc>
          <w:tcPr>
            <w:tcW w:w="3402" w:type="dxa"/>
            <w:hideMark/>
          </w:tcPr>
          <w:p w14:paraId="268707B3"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Deputy Director</w:t>
            </w:r>
          </w:p>
        </w:tc>
        <w:tc>
          <w:tcPr>
            <w:tcW w:w="5670" w:type="dxa"/>
            <w:hideMark/>
          </w:tcPr>
          <w:p w14:paraId="253F2BE1"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Professional Training Centre in Cazenga,  </w:t>
            </w:r>
          </w:p>
        </w:tc>
      </w:tr>
      <w:tr w:rsidR="004F5E9E" w:rsidRPr="00876286" w14:paraId="2DC1C437" w14:textId="77777777" w:rsidTr="00D919E5">
        <w:trPr>
          <w:trHeight w:val="300"/>
        </w:trPr>
        <w:tc>
          <w:tcPr>
            <w:tcW w:w="455" w:type="dxa"/>
          </w:tcPr>
          <w:p w14:paraId="595621AC"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38</w:t>
            </w:r>
          </w:p>
        </w:tc>
        <w:tc>
          <w:tcPr>
            <w:tcW w:w="3651" w:type="dxa"/>
            <w:hideMark/>
          </w:tcPr>
          <w:p w14:paraId="5856A27E"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Edgarda Sacramento Neto</w:t>
            </w:r>
          </w:p>
        </w:tc>
        <w:tc>
          <w:tcPr>
            <w:tcW w:w="3402" w:type="dxa"/>
            <w:hideMark/>
          </w:tcPr>
          <w:p w14:paraId="0EA4A1E7"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Deputy Director</w:t>
            </w:r>
          </w:p>
        </w:tc>
        <w:tc>
          <w:tcPr>
            <w:tcW w:w="5670" w:type="dxa"/>
            <w:hideMark/>
          </w:tcPr>
          <w:p w14:paraId="5CE3E47F"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Deputy Director of INEFOP</w:t>
            </w:r>
          </w:p>
        </w:tc>
      </w:tr>
      <w:tr w:rsidR="004F5E9E" w:rsidRPr="00876286" w14:paraId="4F6D1790" w14:textId="77777777" w:rsidTr="00D919E5">
        <w:trPr>
          <w:trHeight w:val="300"/>
        </w:trPr>
        <w:tc>
          <w:tcPr>
            <w:tcW w:w="455" w:type="dxa"/>
          </w:tcPr>
          <w:p w14:paraId="7D9130EB" w14:textId="77777777" w:rsidR="004F5E9E" w:rsidRPr="00AD5A98" w:rsidRDefault="004F5E9E" w:rsidP="00D919E5">
            <w:pPr>
              <w:spacing w:before="100" w:beforeAutospacing="1" w:after="100" w:afterAutospacing="1"/>
              <w:rPr>
                <w:rFonts w:eastAsia="Times New Roman" w:cstheme="minorHAnsi"/>
                <w:color w:val="000000"/>
                <w:lang w:eastAsia="pt-PT"/>
              </w:rPr>
            </w:pPr>
          </w:p>
        </w:tc>
        <w:tc>
          <w:tcPr>
            <w:tcW w:w="3651" w:type="dxa"/>
            <w:hideMark/>
          </w:tcPr>
          <w:p w14:paraId="460E9764"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 </w:t>
            </w:r>
          </w:p>
        </w:tc>
        <w:tc>
          <w:tcPr>
            <w:tcW w:w="3402" w:type="dxa"/>
            <w:hideMark/>
          </w:tcPr>
          <w:p w14:paraId="38D2A016"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 </w:t>
            </w:r>
          </w:p>
        </w:tc>
        <w:tc>
          <w:tcPr>
            <w:tcW w:w="5670" w:type="dxa"/>
            <w:hideMark/>
          </w:tcPr>
          <w:p w14:paraId="03542DC9"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 </w:t>
            </w:r>
          </w:p>
        </w:tc>
      </w:tr>
      <w:tr w:rsidR="004F5E9E" w:rsidRPr="00876286" w14:paraId="111E6F72" w14:textId="77777777" w:rsidTr="00D919E5">
        <w:trPr>
          <w:trHeight w:val="300"/>
        </w:trPr>
        <w:tc>
          <w:tcPr>
            <w:tcW w:w="455" w:type="dxa"/>
          </w:tcPr>
          <w:p w14:paraId="272DDB37" w14:textId="77777777" w:rsidR="004F5E9E" w:rsidRPr="00AD5A98" w:rsidRDefault="004F5E9E" w:rsidP="00D919E5">
            <w:pPr>
              <w:spacing w:before="100" w:beforeAutospacing="1" w:after="100" w:afterAutospacing="1"/>
              <w:jc w:val="center"/>
              <w:rPr>
                <w:rFonts w:eastAsia="Times New Roman" w:cstheme="minorHAnsi"/>
                <w:color w:val="000000"/>
                <w:lang w:eastAsia="pt-PT"/>
              </w:rPr>
            </w:pPr>
          </w:p>
        </w:tc>
        <w:tc>
          <w:tcPr>
            <w:tcW w:w="12723" w:type="dxa"/>
            <w:gridSpan w:val="3"/>
            <w:shd w:val="clear" w:color="auto" w:fill="B8CCE4" w:themeFill="accent1" w:themeFillTint="66"/>
            <w:hideMark/>
          </w:tcPr>
          <w:p w14:paraId="253F86AD" w14:textId="77777777" w:rsidR="004F5E9E" w:rsidRPr="00AD5A98" w:rsidRDefault="004F5E9E" w:rsidP="00D919E5">
            <w:pPr>
              <w:spacing w:before="100" w:beforeAutospacing="1" w:after="100" w:afterAutospacing="1"/>
              <w:jc w:val="center"/>
              <w:rPr>
                <w:rFonts w:eastAsia="Times New Roman" w:cstheme="minorHAnsi"/>
                <w:b/>
                <w:bCs/>
                <w:color w:val="000000"/>
                <w:lang w:eastAsia="pt-PT"/>
              </w:rPr>
            </w:pPr>
            <w:r w:rsidRPr="00AD5A98">
              <w:rPr>
                <w:rFonts w:eastAsia="Times New Roman" w:cstheme="minorHAnsi"/>
                <w:b/>
                <w:bCs/>
                <w:color w:val="000000"/>
                <w:lang w:eastAsia="pt-PT"/>
              </w:rPr>
              <w:t>ACCELATOR LAB</w:t>
            </w:r>
          </w:p>
        </w:tc>
      </w:tr>
      <w:tr w:rsidR="004F5E9E" w:rsidRPr="00876286" w14:paraId="47E8F091" w14:textId="77777777" w:rsidTr="00D919E5">
        <w:trPr>
          <w:trHeight w:val="590"/>
        </w:trPr>
        <w:tc>
          <w:tcPr>
            <w:tcW w:w="455" w:type="dxa"/>
          </w:tcPr>
          <w:p w14:paraId="57A61EA9"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39</w:t>
            </w:r>
          </w:p>
        </w:tc>
        <w:tc>
          <w:tcPr>
            <w:tcW w:w="3651" w:type="dxa"/>
            <w:hideMark/>
          </w:tcPr>
          <w:p w14:paraId="1AF326B8"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Jones Heitor</w:t>
            </w:r>
          </w:p>
        </w:tc>
        <w:tc>
          <w:tcPr>
            <w:tcW w:w="3402" w:type="dxa"/>
            <w:hideMark/>
          </w:tcPr>
          <w:p w14:paraId="7D2114D7"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Director</w:t>
            </w:r>
          </w:p>
        </w:tc>
        <w:tc>
          <w:tcPr>
            <w:tcW w:w="5670" w:type="dxa"/>
            <w:hideMark/>
          </w:tcPr>
          <w:p w14:paraId="79297E8D"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Ministry of Higher Education, Science, Technology and Innovation</w:t>
            </w:r>
          </w:p>
        </w:tc>
      </w:tr>
      <w:tr w:rsidR="004F5E9E" w:rsidRPr="00876286" w14:paraId="7A60FADE" w14:textId="77777777" w:rsidTr="00D919E5">
        <w:trPr>
          <w:trHeight w:val="300"/>
        </w:trPr>
        <w:tc>
          <w:tcPr>
            <w:tcW w:w="455" w:type="dxa"/>
          </w:tcPr>
          <w:p w14:paraId="4E61C291" w14:textId="77777777" w:rsidR="004F5E9E" w:rsidRPr="00AD5A98" w:rsidRDefault="004F5E9E" w:rsidP="00D919E5">
            <w:pPr>
              <w:spacing w:before="100" w:beforeAutospacing="1" w:after="100" w:afterAutospacing="1"/>
              <w:rPr>
                <w:rFonts w:eastAsia="Times New Roman" w:cstheme="minorHAnsi"/>
                <w:color w:val="000000"/>
                <w:lang w:eastAsia="pt-PT"/>
              </w:rPr>
            </w:pPr>
          </w:p>
        </w:tc>
        <w:tc>
          <w:tcPr>
            <w:tcW w:w="3651" w:type="dxa"/>
            <w:hideMark/>
          </w:tcPr>
          <w:p w14:paraId="177210FE"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 </w:t>
            </w:r>
          </w:p>
        </w:tc>
        <w:tc>
          <w:tcPr>
            <w:tcW w:w="3402" w:type="dxa"/>
            <w:hideMark/>
          </w:tcPr>
          <w:p w14:paraId="0E028B5C"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 </w:t>
            </w:r>
          </w:p>
        </w:tc>
        <w:tc>
          <w:tcPr>
            <w:tcW w:w="5670" w:type="dxa"/>
            <w:hideMark/>
          </w:tcPr>
          <w:p w14:paraId="12A90CE9"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 </w:t>
            </w:r>
          </w:p>
        </w:tc>
      </w:tr>
      <w:tr w:rsidR="004F5E9E" w:rsidRPr="00876286" w14:paraId="3A02784F" w14:textId="77777777" w:rsidTr="00D919E5">
        <w:trPr>
          <w:trHeight w:val="300"/>
        </w:trPr>
        <w:tc>
          <w:tcPr>
            <w:tcW w:w="455" w:type="dxa"/>
          </w:tcPr>
          <w:p w14:paraId="758507A3" w14:textId="77777777" w:rsidR="004F5E9E" w:rsidRPr="00AD5A98" w:rsidRDefault="004F5E9E" w:rsidP="00D919E5">
            <w:pPr>
              <w:spacing w:before="100" w:beforeAutospacing="1" w:after="100" w:afterAutospacing="1"/>
              <w:rPr>
                <w:rFonts w:eastAsia="Times New Roman" w:cstheme="minorHAnsi"/>
                <w:color w:val="000000"/>
                <w:lang w:eastAsia="pt-PT"/>
              </w:rPr>
            </w:pPr>
          </w:p>
        </w:tc>
        <w:tc>
          <w:tcPr>
            <w:tcW w:w="12723" w:type="dxa"/>
            <w:gridSpan w:val="3"/>
            <w:shd w:val="clear" w:color="auto" w:fill="B8CCE4" w:themeFill="accent1" w:themeFillTint="66"/>
            <w:hideMark/>
          </w:tcPr>
          <w:p w14:paraId="0B82F520" w14:textId="77777777" w:rsidR="004F5E9E" w:rsidRPr="00AD5A98" w:rsidRDefault="004F5E9E" w:rsidP="00D919E5">
            <w:pPr>
              <w:spacing w:before="100" w:beforeAutospacing="1" w:after="100" w:afterAutospacing="1"/>
              <w:jc w:val="center"/>
              <w:rPr>
                <w:rFonts w:eastAsia="Times New Roman" w:cstheme="minorHAnsi"/>
                <w:b/>
                <w:bCs/>
                <w:color w:val="000000"/>
                <w:lang w:eastAsia="pt-PT"/>
              </w:rPr>
            </w:pPr>
            <w:r w:rsidRPr="00AD5A98">
              <w:rPr>
                <w:rFonts w:eastAsia="Times New Roman" w:cstheme="minorHAnsi"/>
                <w:b/>
                <w:bCs/>
                <w:color w:val="000000"/>
                <w:lang w:eastAsia="pt-PT"/>
              </w:rPr>
              <w:t>DONORS</w:t>
            </w:r>
          </w:p>
        </w:tc>
      </w:tr>
      <w:tr w:rsidR="004F5E9E" w:rsidRPr="00876286" w14:paraId="29E08DCF" w14:textId="77777777" w:rsidTr="00D919E5">
        <w:trPr>
          <w:trHeight w:val="300"/>
        </w:trPr>
        <w:tc>
          <w:tcPr>
            <w:tcW w:w="455" w:type="dxa"/>
          </w:tcPr>
          <w:p w14:paraId="0BCE4492" w14:textId="77777777" w:rsidR="004F5E9E" w:rsidRPr="00AD5A98" w:rsidRDefault="004F5E9E" w:rsidP="00D919E5">
            <w:pPr>
              <w:spacing w:before="100" w:beforeAutospacing="1" w:after="100" w:afterAutospacing="1"/>
              <w:rPr>
                <w:rFonts w:eastAsia="Times New Roman" w:cstheme="minorHAnsi"/>
                <w:color w:val="000000"/>
                <w:lang w:eastAsia="pt-PT"/>
              </w:rPr>
            </w:pPr>
            <w:r>
              <w:rPr>
                <w:rFonts w:eastAsia="Times New Roman" w:cstheme="minorHAnsi"/>
                <w:color w:val="000000"/>
                <w:lang w:eastAsia="pt-PT"/>
              </w:rPr>
              <w:t>40</w:t>
            </w:r>
          </w:p>
        </w:tc>
        <w:tc>
          <w:tcPr>
            <w:tcW w:w="3651" w:type="dxa"/>
          </w:tcPr>
          <w:p w14:paraId="03294EAA" w14:textId="77777777" w:rsidR="004F5E9E" w:rsidRPr="00AD5A98" w:rsidRDefault="004F5E9E" w:rsidP="00D919E5">
            <w:pPr>
              <w:spacing w:before="100" w:beforeAutospacing="1" w:after="100" w:afterAutospacing="1"/>
              <w:rPr>
                <w:rFonts w:eastAsia="Times New Roman" w:cstheme="minorHAnsi"/>
                <w:color w:val="000000"/>
                <w:lang w:val="en-US" w:eastAsia="pt-PT"/>
              </w:rPr>
            </w:pPr>
            <w:r>
              <w:rPr>
                <w:rFonts w:eastAsia="Times New Roman" w:cstheme="minorHAnsi"/>
                <w:color w:val="000000"/>
                <w:lang w:val="en-US" w:eastAsia="pt-PT"/>
              </w:rPr>
              <w:t>Merethe Luis</w:t>
            </w:r>
          </w:p>
        </w:tc>
        <w:tc>
          <w:tcPr>
            <w:tcW w:w="3402" w:type="dxa"/>
          </w:tcPr>
          <w:p w14:paraId="62BB7705" w14:textId="77777777" w:rsidR="004F5E9E" w:rsidRPr="00AD5A98" w:rsidRDefault="004F5E9E" w:rsidP="00D919E5">
            <w:pPr>
              <w:spacing w:before="100" w:beforeAutospacing="1" w:after="100" w:afterAutospacing="1"/>
              <w:rPr>
                <w:rFonts w:eastAsia="Times New Roman" w:cstheme="minorHAnsi"/>
                <w:color w:val="000000"/>
                <w:lang w:eastAsia="pt-PT"/>
              </w:rPr>
            </w:pPr>
            <w:r>
              <w:rPr>
                <w:rFonts w:eastAsia="Times New Roman" w:cstheme="minorHAnsi"/>
                <w:color w:val="000000"/>
                <w:lang w:eastAsia="pt-PT"/>
              </w:rPr>
              <w:t>Deputy Head of Mission</w:t>
            </w:r>
          </w:p>
        </w:tc>
        <w:tc>
          <w:tcPr>
            <w:tcW w:w="5670" w:type="dxa"/>
          </w:tcPr>
          <w:p w14:paraId="4CD1DB8D" w14:textId="77777777" w:rsidR="004F5E9E" w:rsidRPr="00AD5A98" w:rsidRDefault="004F5E9E" w:rsidP="00D919E5">
            <w:pPr>
              <w:spacing w:before="100" w:beforeAutospacing="1" w:after="100" w:afterAutospacing="1"/>
              <w:rPr>
                <w:rFonts w:eastAsia="Times New Roman" w:cstheme="minorHAnsi"/>
                <w:color w:val="000000"/>
                <w:lang w:val="en-US" w:eastAsia="pt-PT"/>
              </w:rPr>
            </w:pPr>
            <w:r>
              <w:rPr>
                <w:rFonts w:eastAsia="Times New Roman" w:cstheme="minorHAnsi"/>
                <w:color w:val="000000"/>
                <w:lang w:val="en-US" w:eastAsia="pt-PT"/>
              </w:rPr>
              <w:t>Norway Embassy</w:t>
            </w:r>
          </w:p>
        </w:tc>
      </w:tr>
      <w:tr w:rsidR="004F5E9E" w:rsidRPr="00876286" w14:paraId="12789724" w14:textId="77777777" w:rsidTr="00D919E5">
        <w:trPr>
          <w:trHeight w:val="300"/>
        </w:trPr>
        <w:tc>
          <w:tcPr>
            <w:tcW w:w="455" w:type="dxa"/>
          </w:tcPr>
          <w:p w14:paraId="26AD1305" w14:textId="77777777" w:rsidR="004F5E9E" w:rsidRPr="00AD5A98" w:rsidRDefault="004F5E9E" w:rsidP="00D919E5">
            <w:pPr>
              <w:spacing w:before="100" w:beforeAutospacing="1" w:after="100" w:afterAutospacing="1"/>
              <w:rPr>
                <w:rFonts w:eastAsia="Times New Roman" w:cstheme="minorHAnsi"/>
                <w:color w:val="000000"/>
                <w:lang w:eastAsia="pt-PT"/>
              </w:rPr>
            </w:pPr>
            <w:r>
              <w:rPr>
                <w:rFonts w:eastAsia="Times New Roman" w:cstheme="minorHAnsi"/>
                <w:color w:val="000000"/>
                <w:lang w:eastAsia="pt-PT"/>
              </w:rPr>
              <w:t>41</w:t>
            </w:r>
          </w:p>
        </w:tc>
        <w:tc>
          <w:tcPr>
            <w:tcW w:w="3651" w:type="dxa"/>
            <w:hideMark/>
          </w:tcPr>
          <w:p w14:paraId="58BF71F8"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Irina Alves</w:t>
            </w:r>
          </w:p>
        </w:tc>
        <w:tc>
          <w:tcPr>
            <w:tcW w:w="3402" w:type="dxa"/>
            <w:hideMark/>
          </w:tcPr>
          <w:p w14:paraId="4384180D"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 Advisor</w:t>
            </w:r>
          </w:p>
        </w:tc>
        <w:tc>
          <w:tcPr>
            <w:tcW w:w="5670" w:type="dxa"/>
            <w:hideMark/>
          </w:tcPr>
          <w:p w14:paraId="3D9B8636"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val="en-US" w:eastAsia="pt-PT"/>
              </w:rPr>
              <w:t>No</w:t>
            </w:r>
            <w:r>
              <w:rPr>
                <w:rFonts w:eastAsia="Times New Roman" w:cstheme="minorHAnsi"/>
                <w:color w:val="000000"/>
                <w:lang w:val="en-US" w:eastAsia="pt-PT"/>
              </w:rPr>
              <w:t>rway</w:t>
            </w:r>
            <w:r w:rsidRPr="00AD5A98">
              <w:rPr>
                <w:rFonts w:eastAsia="Times New Roman" w:cstheme="minorHAnsi"/>
                <w:color w:val="000000"/>
                <w:lang w:val="en-US" w:eastAsia="pt-PT"/>
              </w:rPr>
              <w:t> Embassy </w:t>
            </w:r>
          </w:p>
        </w:tc>
      </w:tr>
      <w:tr w:rsidR="004F5E9E" w:rsidRPr="00876286" w14:paraId="3E507DB5" w14:textId="77777777" w:rsidTr="00D919E5">
        <w:trPr>
          <w:trHeight w:val="300"/>
        </w:trPr>
        <w:tc>
          <w:tcPr>
            <w:tcW w:w="455" w:type="dxa"/>
          </w:tcPr>
          <w:p w14:paraId="374B0B88" w14:textId="77777777" w:rsidR="004F5E9E" w:rsidRPr="00AD5A98" w:rsidRDefault="004F5E9E" w:rsidP="00D919E5">
            <w:pPr>
              <w:spacing w:before="100" w:beforeAutospacing="1" w:after="100" w:afterAutospacing="1"/>
              <w:rPr>
                <w:rFonts w:eastAsia="Times New Roman" w:cstheme="minorHAnsi"/>
                <w:color w:val="000000"/>
                <w:lang w:eastAsia="pt-PT"/>
              </w:rPr>
            </w:pPr>
            <w:r>
              <w:rPr>
                <w:rFonts w:eastAsia="Times New Roman" w:cstheme="minorHAnsi"/>
                <w:color w:val="000000"/>
                <w:lang w:eastAsia="pt-PT"/>
              </w:rPr>
              <w:lastRenderedPageBreak/>
              <w:t>42</w:t>
            </w:r>
          </w:p>
        </w:tc>
        <w:tc>
          <w:tcPr>
            <w:tcW w:w="3651" w:type="dxa"/>
            <w:hideMark/>
          </w:tcPr>
          <w:p w14:paraId="550636DF"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 </w:t>
            </w:r>
            <w:r>
              <w:rPr>
                <w:rFonts w:eastAsia="Times New Roman" w:cstheme="minorHAnsi"/>
                <w:color w:val="000000"/>
                <w:lang w:eastAsia="pt-PT"/>
              </w:rPr>
              <w:t>Ahmet Akoyol</w:t>
            </w:r>
          </w:p>
        </w:tc>
        <w:tc>
          <w:tcPr>
            <w:tcW w:w="3402" w:type="dxa"/>
            <w:hideMark/>
          </w:tcPr>
          <w:p w14:paraId="6A73FA60"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 </w:t>
            </w:r>
          </w:p>
        </w:tc>
        <w:tc>
          <w:tcPr>
            <w:tcW w:w="5670" w:type="dxa"/>
            <w:hideMark/>
          </w:tcPr>
          <w:p w14:paraId="7E592E41"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 </w:t>
            </w:r>
            <w:r>
              <w:rPr>
                <w:rFonts w:eastAsia="Times New Roman" w:cstheme="minorHAnsi"/>
                <w:color w:val="000000"/>
                <w:lang w:eastAsia="pt-PT"/>
              </w:rPr>
              <w:t>Turkey Embassy</w:t>
            </w:r>
          </w:p>
        </w:tc>
      </w:tr>
      <w:tr w:rsidR="004F5E9E" w:rsidRPr="00876286" w14:paraId="474E1784" w14:textId="77777777" w:rsidTr="00D919E5">
        <w:trPr>
          <w:trHeight w:val="300"/>
        </w:trPr>
        <w:tc>
          <w:tcPr>
            <w:tcW w:w="455" w:type="dxa"/>
          </w:tcPr>
          <w:p w14:paraId="30F3599A" w14:textId="77777777" w:rsidR="004F5E9E" w:rsidRPr="00AD5A98" w:rsidRDefault="004F5E9E" w:rsidP="00D919E5">
            <w:pPr>
              <w:spacing w:before="100" w:beforeAutospacing="1" w:after="100" w:afterAutospacing="1"/>
              <w:rPr>
                <w:rFonts w:eastAsia="Times New Roman" w:cstheme="minorHAnsi"/>
                <w:color w:val="000000"/>
                <w:lang w:eastAsia="pt-PT"/>
              </w:rPr>
            </w:pPr>
            <w:r>
              <w:rPr>
                <w:rFonts w:eastAsia="Times New Roman" w:cstheme="minorHAnsi"/>
                <w:color w:val="000000"/>
                <w:lang w:eastAsia="pt-PT"/>
              </w:rPr>
              <w:t>43</w:t>
            </w:r>
          </w:p>
        </w:tc>
        <w:tc>
          <w:tcPr>
            <w:tcW w:w="3651" w:type="dxa"/>
          </w:tcPr>
          <w:p w14:paraId="02C1426A" w14:textId="77777777" w:rsidR="004F5E9E" w:rsidRPr="00AD5A98" w:rsidRDefault="004F5E9E" w:rsidP="00D919E5">
            <w:pPr>
              <w:spacing w:before="100" w:beforeAutospacing="1" w:after="100" w:afterAutospacing="1"/>
              <w:rPr>
                <w:rFonts w:eastAsia="Times New Roman" w:cstheme="minorHAnsi"/>
                <w:color w:val="000000"/>
                <w:lang w:eastAsia="pt-PT"/>
              </w:rPr>
            </w:pPr>
            <w:r>
              <w:rPr>
                <w:rFonts w:eastAsia="Times New Roman" w:cstheme="minorHAnsi"/>
                <w:color w:val="000000"/>
                <w:lang w:eastAsia="pt-PT"/>
              </w:rPr>
              <w:t>Paulo Nelson da Costa Leitão</w:t>
            </w:r>
          </w:p>
        </w:tc>
        <w:tc>
          <w:tcPr>
            <w:tcW w:w="3402" w:type="dxa"/>
          </w:tcPr>
          <w:p w14:paraId="4B1D8B56" w14:textId="77777777" w:rsidR="004F5E9E" w:rsidRPr="00AD5A98" w:rsidRDefault="004F5E9E" w:rsidP="00D919E5">
            <w:pPr>
              <w:spacing w:before="100" w:beforeAutospacing="1" w:after="100" w:afterAutospacing="1"/>
              <w:rPr>
                <w:rFonts w:eastAsia="Times New Roman" w:cstheme="minorHAnsi"/>
                <w:color w:val="000000"/>
                <w:lang w:eastAsia="pt-PT"/>
              </w:rPr>
            </w:pPr>
            <w:r>
              <w:rPr>
                <w:rFonts w:eastAsia="Times New Roman" w:cstheme="minorHAnsi"/>
                <w:color w:val="000000"/>
                <w:lang w:eastAsia="pt-PT"/>
              </w:rPr>
              <w:t>Project Coordinator</w:t>
            </w:r>
          </w:p>
        </w:tc>
        <w:tc>
          <w:tcPr>
            <w:tcW w:w="5670" w:type="dxa"/>
          </w:tcPr>
          <w:p w14:paraId="4777503D" w14:textId="77777777" w:rsidR="004F5E9E" w:rsidRPr="00AD5A98" w:rsidRDefault="004F5E9E" w:rsidP="00D919E5">
            <w:pPr>
              <w:spacing w:before="100" w:beforeAutospacing="1" w:after="100" w:afterAutospacing="1"/>
              <w:rPr>
                <w:rFonts w:eastAsia="Times New Roman" w:cstheme="minorHAnsi"/>
                <w:color w:val="000000"/>
                <w:lang w:eastAsia="pt-PT"/>
              </w:rPr>
            </w:pPr>
            <w:r>
              <w:rPr>
                <w:rFonts w:eastAsia="Times New Roman" w:cstheme="minorHAnsi"/>
                <w:color w:val="000000"/>
                <w:lang w:eastAsia="pt-PT"/>
              </w:rPr>
              <w:t>EU</w:t>
            </w:r>
          </w:p>
        </w:tc>
      </w:tr>
      <w:tr w:rsidR="004F5E9E" w:rsidRPr="00876286" w14:paraId="627F4B5A" w14:textId="77777777" w:rsidTr="00D919E5">
        <w:trPr>
          <w:trHeight w:val="300"/>
        </w:trPr>
        <w:tc>
          <w:tcPr>
            <w:tcW w:w="455" w:type="dxa"/>
          </w:tcPr>
          <w:p w14:paraId="19E8F740" w14:textId="77777777" w:rsidR="004F5E9E" w:rsidRPr="00AD5A98" w:rsidRDefault="004F5E9E" w:rsidP="00D919E5">
            <w:pPr>
              <w:spacing w:before="100" w:beforeAutospacing="1" w:after="100" w:afterAutospacing="1"/>
              <w:rPr>
                <w:rFonts w:eastAsia="Times New Roman" w:cstheme="minorHAnsi"/>
                <w:color w:val="000000"/>
                <w:lang w:eastAsia="pt-PT"/>
              </w:rPr>
            </w:pPr>
          </w:p>
        </w:tc>
        <w:tc>
          <w:tcPr>
            <w:tcW w:w="12723" w:type="dxa"/>
            <w:gridSpan w:val="3"/>
            <w:shd w:val="clear" w:color="auto" w:fill="B8CCE4" w:themeFill="accent1" w:themeFillTint="66"/>
          </w:tcPr>
          <w:p w14:paraId="196212FE" w14:textId="77777777" w:rsidR="004F5E9E" w:rsidRPr="00AD5A98" w:rsidRDefault="004F5E9E" w:rsidP="00D919E5">
            <w:pPr>
              <w:spacing w:before="100" w:beforeAutospacing="1" w:after="100" w:afterAutospacing="1"/>
              <w:jc w:val="center"/>
              <w:rPr>
                <w:rFonts w:eastAsia="Times New Roman" w:cstheme="minorHAnsi"/>
                <w:color w:val="000000"/>
                <w:lang w:eastAsia="pt-PT"/>
              </w:rPr>
            </w:pPr>
            <w:r w:rsidRPr="00AD5A98">
              <w:rPr>
                <w:rFonts w:eastAsia="Times New Roman" w:cstheme="minorHAnsi"/>
                <w:b/>
                <w:color w:val="000000"/>
                <w:lang w:eastAsia="pt-PT"/>
              </w:rPr>
              <w:t>UN AGENCY</w:t>
            </w:r>
          </w:p>
        </w:tc>
      </w:tr>
      <w:tr w:rsidR="004F5E9E" w:rsidRPr="00876286" w14:paraId="160792C0" w14:textId="77777777" w:rsidTr="00D919E5">
        <w:trPr>
          <w:trHeight w:val="300"/>
        </w:trPr>
        <w:tc>
          <w:tcPr>
            <w:tcW w:w="455" w:type="dxa"/>
          </w:tcPr>
          <w:p w14:paraId="487A948F" w14:textId="77777777" w:rsidR="004F5E9E" w:rsidRPr="00AD5A98" w:rsidRDefault="004F5E9E" w:rsidP="00D919E5">
            <w:pPr>
              <w:spacing w:before="100" w:beforeAutospacing="1" w:after="100" w:afterAutospacing="1"/>
              <w:rPr>
                <w:rFonts w:eastAsia="Times New Roman" w:cstheme="minorHAnsi"/>
                <w:color w:val="000000"/>
                <w:lang w:eastAsia="pt-PT"/>
              </w:rPr>
            </w:pPr>
            <w:r>
              <w:rPr>
                <w:rFonts w:eastAsia="Times New Roman" w:cstheme="minorHAnsi"/>
                <w:color w:val="000000"/>
                <w:lang w:eastAsia="pt-PT"/>
              </w:rPr>
              <w:t>44</w:t>
            </w:r>
          </w:p>
        </w:tc>
        <w:tc>
          <w:tcPr>
            <w:tcW w:w="3651" w:type="dxa"/>
          </w:tcPr>
          <w:p w14:paraId="21A21C20"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Javier Aramburu</w:t>
            </w:r>
          </w:p>
        </w:tc>
        <w:tc>
          <w:tcPr>
            <w:tcW w:w="3402" w:type="dxa"/>
          </w:tcPr>
          <w:p w14:paraId="631DB9DC"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Diseas</w:t>
            </w:r>
            <w:r>
              <w:rPr>
                <w:rFonts w:eastAsia="Times New Roman" w:cstheme="minorHAnsi"/>
                <w:color w:val="000000"/>
                <w:lang w:eastAsia="pt-PT"/>
              </w:rPr>
              <w:t xml:space="preserve">e </w:t>
            </w:r>
            <w:r w:rsidRPr="00AD5A98">
              <w:rPr>
                <w:rFonts w:eastAsia="Times New Roman" w:cstheme="minorHAnsi"/>
                <w:color w:val="000000"/>
                <w:lang w:eastAsia="pt-PT"/>
              </w:rPr>
              <w:t>Prevention &amp; Control</w:t>
            </w:r>
          </w:p>
        </w:tc>
        <w:tc>
          <w:tcPr>
            <w:tcW w:w="5670" w:type="dxa"/>
          </w:tcPr>
          <w:p w14:paraId="06701CA5"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WHO</w:t>
            </w:r>
          </w:p>
        </w:tc>
      </w:tr>
      <w:tr w:rsidR="004F5E9E" w:rsidRPr="00876286" w14:paraId="1D3F2E43" w14:textId="77777777" w:rsidTr="00D919E5">
        <w:trPr>
          <w:trHeight w:val="300"/>
        </w:trPr>
        <w:tc>
          <w:tcPr>
            <w:tcW w:w="455" w:type="dxa"/>
          </w:tcPr>
          <w:p w14:paraId="3B959B0E" w14:textId="77777777" w:rsidR="004F5E9E" w:rsidRPr="00AD5A98" w:rsidRDefault="004F5E9E" w:rsidP="00D919E5">
            <w:pPr>
              <w:spacing w:before="100" w:beforeAutospacing="1" w:after="100" w:afterAutospacing="1"/>
              <w:rPr>
                <w:rFonts w:eastAsia="Times New Roman" w:cstheme="minorHAnsi"/>
                <w:color w:val="000000"/>
                <w:lang w:eastAsia="pt-PT"/>
              </w:rPr>
            </w:pPr>
            <w:r>
              <w:rPr>
                <w:rFonts w:eastAsia="Times New Roman" w:cstheme="minorHAnsi"/>
                <w:color w:val="000000"/>
                <w:lang w:eastAsia="pt-PT"/>
              </w:rPr>
              <w:t>45</w:t>
            </w:r>
          </w:p>
        </w:tc>
        <w:tc>
          <w:tcPr>
            <w:tcW w:w="3651" w:type="dxa"/>
          </w:tcPr>
          <w:p w14:paraId="756A309D"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Marina Morales</w:t>
            </w:r>
          </w:p>
        </w:tc>
        <w:tc>
          <w:tcPr>
            <w:tcW w:w="3402" w:type="dxa"/>
          </w:tcPr>
          <w:p w14:paraId="05D7F0A6"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Head of Education Section</w:t>
            </w:r>
          </w:p>
        </w:tc>
        <w:tc>
          <w:tcPr>
            <w:tcW w:w="5670" w:type="dxa"/>
          </w:tcPr>
          <w:p w14:paraId="4837BC4A" w14:textId="77777777" w:rsidR="004F5E9E" w:rsidRPr="00AD5A98" w:rsidRDefault="004F5E9E" w:rsidP="00D919E5">
            <w:pPr>
              <w:spacing w:before="100" w:beforeAutospacing="1" w:after="100" w:afterAutospacing="1"/>
              <w:rPr>
                <w:rFonts w:eastAsia="Times New Roman" w:cstheme="minorHAnsi"/>
                <w:color w:val="000000"/>
                <w:lang w:eastAsia="pt-PT"/>
              </w:rPr>
            </w:pPr>
            <w:r w:rsidRPr="00AD5A98">
              <w:rPr>
                <w:rFonts w:eastAsia="Times New Roman" w:cstheme="minorHAnsi"/>
                <w:color w:val="000000"/>
                <w:lang w:eastAsia="pt-PT"/>
              </w:rPr>
              <w:t>UNICEF</w:t>
            </w:r>
          </w:p>
        </w:tc>
      </w:tr>
      <w:tr w:rsidR="004F5E9E" w:rsidRPr="00876286" w14:paraId="0B249756" w14:textId="77777777" w:rsidTr="00D919E5">
        <w:trPr>
          <w:trHeight w:val="300"/>
        </w:trPr>
        <w:tc>
          <w:tcPr>
            <w:tcW w:w="455" w:type="dxa"/>
          </w:tcPr>
          <w:p w14:paraId="1BDE8FD7" w14:textId="77777777" w:rsidR="004F5E9E" w:rsidRPr="00AD5A98" w:rsidRDefault="004F5E9E" w:rsidP="00D919E5">
            <w:pPr>
              <w:spacing w:before="100" w:beforeAutospacing="1" w:after="100" w:afterAutospacing="1"/>
              <w:rPr>
                <w:rFonts w:eastAsia="Times New Roman" w:cstheme="minorHAnsi"/>
                <w:color w:val="000000"/>
                <w:lang w:eastAsia="pt-PT"/>
              </w:rPr>
            </w:pPr>
          </w:p>
        </w:tc>
        <w:tc>
          <w:tcPr>
            <w:tcW w:w="3651" w:type="dxa"/>
          </w:tcPr>
          <w:p w14:paraId="4440FA3B" w14:textId="77777777" w:rsidR="004F5E9E" w:rsidRPr="00AD5A98" w:rsidRDefault="004F5E9E" w:rsidP="00D919E5">
            <w:pPr>
              <w:spacing w:before="100" w:beforeAutospacing="1" w:after="100" w:afterAutospacing="1"/>
              <w:rPr>
                <w:rFonts w:eastAsia="Times New Roman" w:cstheme="minorHAnsi"/>
                <w:color w:val="000000"/>
                <w:lang w:eastAsia="pt-PT"/>
              </w:rPr>
            </w:pPr>
          </w:p>
        </w:tc>
        <w:tc>
          <w:tcPr>
            <w:tcW w:w="3402" w:type="dxa"/>
          </w:tcPr>
          <w:p w14:paraId="0BCC7C15" w14:textId="77777777" w:rsidR="004F5E9E" w:rsidRPr="00AD5A98" w:rsidRDefault="004F5E9E" w:rsidP="00D919E5">
            <w:pPr>
              <w:spacing w:before="100" w:beforeAutospacing="1" w:after="100" w:afterAutospacing="1"/>
              <w:rPr>
                <w:rFonts w:eastAsia="Times New Roman" w:cstheme="minorHAnsi"/>
                <w:color w:val="000000"/>
                <w:lang w:eastAsia="pt-PT"/>
              </w:rPr>
            </w:pPr>
          </w:p>
        </w:tc>
        <w:tc>
          <w:tcPr>
            <w:tcW w:w="5670" w:type="dxa"/>
          </w:tcPr>
          <w:p w14:paraId="3EC0F284" w14:textId="77777777" w:rsidR="004F5E9E" w:rsidRPr="00AD5A98" w:rsidRDefault="004F5E9E" w:rsidP="00D919E5">
            <w:pPr>
              <w:spacing w:before="100" w:beforeAutospacing="1" w:after="100" w:afterAutospacing="1"/>
              <w:rPr>
                <w:rFonts w:eastAsia="Times New Roman" w:cstheme="minorHAnsi"/>
                <w:color w:val="000000"/>
                <w:lang w:eastAsia="pt-PT"/>
              </w:rPr>
            </w:pPr>
          </w:p>
        </w:tc>
      </w:tr>
    </w:tbl>
    <w:p w14:paraId="0A66A105" w14:textId="77777777" w:rsidR="004F5E9E" w:rsidRDefault="004F5E9E"/>
    <w:p w14:paraId="2305464D" w14:textId="77777777" w:rsidR="004F5E9E" w:rsidRDefault="004F5E9E">
      <w:pPr>
        <w:sectPr w:rsidR="004F5E9E" w:rsidSect="0019446E">
          <w:pgSz w:w="15840" w:h="12240" w:orient="landscape"/>
          <w:pgMar w:top="1440" w:right="1440" w:bottom="1440" w:left="1440" w:header="720" w:footer="720" w:gutter="0"/>
          <w:cols w:space="720"/>
          <w:docGrid w:linePitch="360"/>
        </w:sectPr>
      </w:pPr>
    </w:p>
    <w:p w14:paraId="112674D0" w14:textId="77777777" w:rsidR="00B418C0" w:rsidRPr="00EA474B" w:rsidRDefault="00B418C0" w:rsidP="00B418C0">
      <w:pPr>
        <w:pStyle w:val="Heading1"/>
        <w:rPr>
          <w:rFonts w:asciiTheme="minorHAnsi" w:hAnsiTheme="minorHAnsi" w:cstheme="minorHAnsi"/>
          <w:sz w:val="22"/>
          <w:szCs w:val="22"/>
        </w:rPr>
      </w:pPr>
      <w:bookmarkStart w:id="83" w:name="_Toc84848124"/>
      <w:bookmarkStart w:id="84" w:name="_Toc88741829"/>
      <w:r w:rsidRPr="00EA474B">
        <w:rPr>
          <w:rFonts w:asciiTheme="minorHAnsi" w:hAnsiTheme="minorHAnsi" w:cstheme="minorHAnsi"/>
          <w:sz w:val="22"/>
          <w:szCs w:val="22"/>
        </w:rPr>
        <w:lastRenderedPageBreak/>
        <w:t xml:space="preserve">Annex </w:t>
      </w:r>
      <w:r>
        <w:rPr>
          <w:rFonts w:asciiTheme="minorHAnsi" w:hAnsiTheme="minorHAnsi" w:cstheme="minorHAnsi"/>
          <w:sz w:val="22"/>
          <w:szCs w:val="22"/>
        </w:rPr>
        <w:t>5</w:t>
      </w:r>
      <w:r w:rsidRPr="00EA474B">
        <w:rPr>
          <w:rFonts w:asciiTheme="minorHAnsi" w:hAnsiTheme="minorHAnsi" w:cstheme="minorHAnsi"/>
          <w:sz w:val="22"/>
          <w:szCs w:val="22"/>
        </w:rPr>
        <w:t>: Indicative Checklist of Questions for Stakeholders</w:t>
      </w:r>
      <w:bookmarkEnd w:id="83"/>
      <w:bookmarkEnd w:id="84"/>
    </w:p>
    <w:tbl>
      <w:tblPr>
        <w:tblStyle w:val="GridTable1Light"/>
        <w:tblW w:w="0" w:type="auto"/>
        <w:tblLook w:val="04A0" w:firstRow="1" w:lastRow="0" w:firstColumn="1" w:lastColumn="0" w:noHBand="0" w:noVBand="1"/>
      </w:tblPr>
      <w:tblGrid>
        <w:gridCol w:w="1892"/>
        <w:gridCol w:w="4105"/>
        <w:gridCol w:w="3353"/>
      </w:tblGrid>
      <w:tr w:rsidR="00B418C0" w:rsidRPr="008670F4" w14:paraId="6F98DA0E" w14:textId="77777777" w:rsidTr="00D919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14" w:type="dxa"/>
          </w:tcPr>
          <w:p w14:paraId="0B5C1A6B" w14:textId="77777777" w:rsidR="00B418C0" w:rsidRPr="008670F4" w:rsidRDefault="00B418C0" w:rsidP="00D919E5">
            <w:pPr>
              <w:rPr>
                <w:sz w:val="20"/>
                <w:szCs w:val="20"/>
                <w:lang w:val="en-US"/>
              </w:rPr>
            </w:pPr>
            <w:r w:rsidRPr="008670F4">
              <w:rPr>
                <w:sz w:val="20"/>
                <w:szCs w:val="20"/>
                <w:lang w:val="en-US"/>
              </w:rPr>
              <w:t>Area</w:t>
            </w:r>
          </w:p>
        </w:tc>
        <w:tc>
          <w:tcPr>
            <w:tcW w:w="4223" w:type="dxa"/>
          </w:tcPr>
          <w:p w14:paraId="676E3FF4" w14:textId="77777777" w:rsidR="00B418C0" w:rsidRPr="008670F4" w:rsidRDefault="00B418C0" w:rsidP="00D919E5">
            <w:pPr>
              <w:cnfStyle w:val="100000000000" w:firstRow="1" w:lastRow="0" w:firstColumn="0" w:lastColumn="0" w:oddVBand="0" w:evenVBand="0" w:oddHBand="0" w:evenHBand="0" w:firstRowFirstColumn="0" w:firstRowLastColumn="0" w:lastRowFirstColumn="0" w:lastRowLastColumn="0"/>
              <w:rPr>
                <w:sz w:val="20"/>
                <w:szCs w:val="20"/>
                <w:lang w:val="en-US"/>
              </w:rPr>
            </w:pPr>
            <w:r w:rsidRPr="008670F4">
              <w:rPr>
                <w:sz w:val="20"/>
                <w:szCs w:val="20"/>
                <w:lang w:val="en-US"/>
              </w:rPr>
              <w:t>Key Questions/Issues for Discussion</w:t>
            </w:r>
          </w:p>
        </w:tc>
        <w:tc>
          <w:tcPr>
            <w:tcW w:w="3439" w:type="dxa"/>
          </w:tcPr>
          <w:p w14:paraId="0B985F9E" w14:textId="77777777" w:rsidR="00B418C0" w:rsidRPr="008670F4" w:rsidRDefault="00B418C0" w:rsidP="00D919E5">
            <w:pPr>
              <w:cnfStyle w:val="100000000000" w:firstRow="1" w:lastRow="0" w:firstColumn="0" w:lastColumn="0" w:oddVBand="0" w:evenVBand="0" w:oddHBand="0" w:evenHBand="0" w:firstRowFirstColumn="0" w:firstRowLastColumn="0" w:lastRowFirstColumn="0" w:lastRowLastColumn="0"/>
              <w:rPr>
                <w:sz w:val="20"/>
                <w:szCs w:val="20"/>
                <w:lang w:val="en-US"/>
              </w:rPr>
            </w:pPr>
            <w:r w:rsidRPr="008670F4">
              <w:rPr>
                <w:sz w:val="20"/>
                <w:szCs w:val="20"/>
                <w:lang w:val="en-US"/>
              </w:rPr>
              <w:t>Purpose</w:t>
            </w:r>
          </w:p>
        </w:tc>
      </w:tr>
      <w:tr w:rsidR="00B418C0" w:rsidRPr="008670F4" w14:paraId="38BCBBB5" w14:textId="77777777" w:rsidTr="00D919E5">
        <w:tc>
          <w:tcPr>
            <w:cnfStyle w:val="001000000000" w:firstRow="0" w:lastRow="0" w:firstColumn="1" w:lastColumn="0" w:oddVBand="0" w:evenVBand="0" w:oddHBand="0" w:evenHBand="0" w:firstRowFirstColumn="0" w:firstRowLastColumn="0" w:lastRowFirstColumn="0" w:lastRowLastColumn="0"/>
            <w:tcW w:w="1914" w:type="dxa"/>
          </w:tcPr>
          <w:p w14:paraId="55F24AFD" w14:textId="77777777" w:rsidR="00B418C0" w:rsidRPr="008670F4" w:rsidRDefault="00B418C0" w:rsidP="00D919E5">
            <w:pPr>
              <w:rPr>
                <w:sz w:val="20"/>
                <w:szCs w:val="20"/>
                <w:lang w:val="en-US"/>
              </w:rPr>
            </w:pPr>
            <w:r w:rsidRPr="008670F4">
              <w:rPr>
                <w:sz w:val="20"/>
                <w:szCs w:val="20"/>
                <w:lang w:val="en-US"/>
              </w:rPr>
              <w:t>General</w:t>
            </w:r>
          </w:p>
        </w:tc>
        <w:tc>
          <w:tcPr>
            <w:tcW w:w="4223" w:type="dxa"/>
          </w:tcPr>
          <w:p w14:paraId="4B33A826" w14:textId="77777777" w:rsidR="00B418C0" w:rsidRPr="008670F4" w:rsidRDefault="00B418C0" w:rsidP="00790AD5">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20"/>
                <w:lang w:val="en-US"/>
              </w:rPr>
            </w:pPr>
            <w:r w:rsidRPr="008670F4">
              <w:rPr>
                <w:sz w:val="20"/>
                <w:szCs w:val="20"/>
                <w:lang w:val="en-US"/>
              </w:rPr>
              <w:t>Identification of the persons being interviewed and roles in institution</w:t>
            </w:r>
          </w:p>
          <w:p w14:paraId="17C68449" w14:textId="77777777" w:rsidR="00B418C0" w:rsidRPr="008670F4" w:rsidRDefault="00B418C0" w:rsidP="00790AD5">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20"/>
                <w:lang w:val="en-US"/>
              </w:rPr>
            </w:pPr>
            <w:r w:rsidRPr="008670F4">
              <w:rPr>
                <w:sz w:val="20"/>
                <w:szCs w:val="20"/>
                <w:lang w:val="en-US"/>
              </w:rPr>
              <w:t>Overview of stakeholder or Institution</w:t>
            </w:r>
          </w:p>
          <w:p w14:paraId="35CDAD20" w14:textId="77777777" w:rsidR="00B418C0" w:rsidRPr="008670F4" w:rsidRDefault="00B418C0" w:rsidP="00790AD5">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20"/>
                <w:lang w:val="en-US"/>
              </w:rPr>
            </w:pPr>
            <w:r w:rsidRPr="008670F4">
              <w:rPr>
                <w:sz w:val="20"/>
                <w:szCs w:val="20"/>
                <w:lang w:val="en-US"/>
              </w:rPr>
              <w:t>National context of the Sector or area of concern</w:t>
            </w:r>
          </w:p>
          <w:p w14:paraId="2E777ED7" w14:textId="77777777" w:rsidR="00B418C0" w:rsidRPr="008670F4" w:rsidRDefault="00B418C0" w:rsidP="00790AD5">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20"/>
                <w:lang w:val="en-US"/>
              </w:rPr>
            </w:pPr>
            <w:r w:rsidRPr="008670F4">
              <w:rPr>
                <w:sz w:val="20"/>
                <w:szCs w:val="20"/>
                <w:lang w:val="en-US"/>
              </w:rPr>
              <w:t>History of partnership with UNDP</w:t>
            </w:r>
          </w:p>
          <w:p w14:paraId="3949CC42" w14:textId="77777777" w:rsidR="00B418C0" w:rsidRPr="008670F4" w:rsidRDefault="00B418C0" w:rsidP="00790AD5">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20"/>
                <w:lang w:val="en-US"/>
              </w:rPr>
            </w:pPr>
            <w:r w:rsidRPr="008670F4">
              <w:rPr>
                <w:sz w:val="20"/>
                <w:szCs w:val="20"/>
                <w:lang w:val="en-US"/>
              </w:rPr>
              <w:t>Other partners working with Institution and areas of support provided</w:t>
            </w:r>
          </w:p>
        </w:tc>
        <w:tc>
          <w:tcPr>
            <w:tcW w:w="3439" w:type="dxa"/>
          </w:tcPr>
          <w:p w14:paraId="5F2DC4C2" w14:textId="77777777" w:rsidR="00B418C0" w:rsidRPr="008670F4" w:rsidRDefault="00B418C0" w:rsidP="00790AD5">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0"/>
                <w:szCs w:val="20"/>
                <w:lang w:val="en-US"/>
              </w:rPr>
            </w:pPr>
            <w:r w:rsidRPr="008670F4">
              <w:rPr>
                <w:sz w:val="20"/>
                <w:szCs w:val="20"/>
                <w:lang w:val="en-US"/>
              </w:rPr>
              <w:t>To document participants to the process</w:t>
            </w:r>
          </w:p>
          <w:p w14:paraId="79E23CEF" w14:textId="77777777" w:rsidR="00B418C0" w:rsidRPr="008670F4" w:rsidRDefault="00B418C0" w:rsidP="00790AD5">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0"/>
                <w:szCs w:val="20"/>
                <w:lang w:val="en-US"/>
              </w:rPr>
            </w:pPr>
            <w:r w:rsidRPr="008670F4">
              <w:rPr>
                <w:sz w:val="20"/>
                <w:szCs w:val="20"/>
                <w:lang w:val="en-US"/>
              </w:rPr>
              <w:t>To have an appreciation of the national context and assess the relevance of UNDP’s intervention</w:t>
            </w:r>
          </w:p>
          <w:p w14:paraId="7748A3B1" w14:textId="77777777" w:rsidR="00B418C0" w:rsidRPr="008670F4" w:rsidRDefault="00B418C0" w:rsidP="00790AD5">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0"/>
                <w:szCs w:val="20"/>
                <w:lang w:val="en-US"/>
              </w:rPr>
            </w:pPr>
            <w:r w:rsidRPr="008670F4">
              <w:rPr>
                <w:sz w:val="20"/>
                <w:szCs w:val="20"/>
                <w:lang w:val="en-US"/>
              </w:rPr>
              <w:t>Obtain a clear picture of the stakeholder and role in the UNDP intervention</w:t>
            </w:r>
          </w:p>
        </w:tc>
      </w:tr>
      <w:tr w:rsidR="00B418C0" w:rsidRPr="008670F4" w14:paraId="0EB3990C" w14:textId="77777777" w:rsidTr="00D919E5">
        <w:tc>
          <w:tcPr>
            <w:cnfStyle w:val="001000000000" w:firstRow="0" w:lastRow="0" w:firstColumn="1" w:lastColumn="0" w:oddVBand="0" w:evenVBand="0" w:oddHBand="0" w:evenHBand="0" w:firstRowFirstColumn="0" w:firstRowLastColumn="0" w:lastRowFirstColumn="0" w:lastRowLastColumn="0"/>
            <w:tcW w:w="1914" w:type="dxa"/>
          </w:tcPr>
          <w:p w14:paraId="3B79D2B7" w14:textId="77777777" w:rsidR="00B418C0" w:rsidRPr="008670F4" w:rsidRDefault="00B418C0" w:rsidP="00D919E5">
            <w:pPr>
              <w:rPr>
                <w:sz w:val="20"/>
                <w:szCs w:val="20"/>
                <w:lang w:val="en-US"/>
              </w:rPr>
            </w:pPr>
            <w:r w:rsidRPr="008670F4">
              <w:rPr>
                <w:sz w:val="20"/>
                <w:szCs w:val="20"/>
                <w:lang w:val="en-US"/>
              </w:rPr>
              <w:t>Area of collaboration with UNDP in the Context of CPD 2020-2021</w:t>
            </w:r>
          </w:p>
        </w:tc>
        <w:tc>
          <w:tcPr>
            <w:tcW w:w="4223" w:type="dxa"/>
          </w:tcPr>
          <w:p w14:paraId="4B9586A7" w14:textId="77777777" w:rsidR="00B418C0" w:rsidRPr="008670F4" w:rsidRDefault="00B418C0" w:rsidP="00790AD5">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20"/>
                <w:szCs w:val="20"/>
                <w:lang w:val="en-US"/>
              </w:rPr>
            </w:pPr>
            <w:r w:rsidRPr="008670F4">
              <w:rPr>
                <w:sz w:val="20"/>
                <w:szCs w:val="20"/>
                <w:lang w:val="en-US"/>
              </w:rPr>
              <w:t>What areas are you working with UNDP?</w:t>
            </w:r>
          </w:p>
          <w:p w14:paraId="425B9C25" w14:textId="77777777" w:rsidR="00B418C0" w:rsidRPr="008670F4" w:rsidRDefault="00B418C0" w:rsidP="00790AD5">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20"/>
                <w:szCs w:val="20"/>
                <w:lang w:val="en-US"/>
              </w:rPr>
            </w:pPr>
            <w:r w:rsidRPr="008670F4">
              <w:rPr>
                <w:sz w:val="20"/>
                <w:szCs w:val="20"/>
                <w:lang w:val="en-US"/>
              </w:rPr>
              <w:t xml:space="preserve">Are all these activities within the period 2020-2021 </w:t>
            </w:r>
          </w:p>
        </w:tc>
        <w:tc>
          <w:tcPr>
            <w:tcW w:w="3439" w:type="dxa"/>
          </w:tcPr>
          <w:p w14:paraId="4F820B5C" w14:textId="77777777" w:rsidR="00B418C0" w:rsidRPr="008670F4" w:rsidRDefault="00B418C0" w:rsidP="00790AD5">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sz w:val="20"/>
                <w:szCs w:val="20"/>
                <w:lang w:val="en-US"/>
              </w:rPr>
            </w:pPr>
            <w:r w:rsidRPr="008670F4">
              <w:rPr>
                <w:sz w:val="20"/>
                <w:szCs w:val="20"/>
                <w:lang w:val="en-US"/>
              </w:rPr>
              <w:t>To re-affirm areas of the partnership from standpoint of stakeholder</w:t>
            </w:r>
          </w:p>
          <w:p w14:paraId="4AFAB30B" w14:textId="77777777" w:rsidR="00B418C0" w:rsidRPr="008670F4" w:rsidRDefault="00B418C0" w:rsidP="00790AD5">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sz w:val="20"/>
                <w:szCs w:val="20"/>
                <w:lang w:val="en-US"/>
              </w:rPr>
            </w:pPr>
            <w:r w:rsidRPr="008670F4">
              <w:rPr>
                <w:sz w:val="20"/>
                <w:szCs w:val="20"/>
                <w:lang w:val="en-US"/>
              </w:rPr>
              <w:t>Ensure that the activities being evaluated are the right ones</w:t>
            </w:r>
          </w:p>
        </w:tc>
      </w:tr>
      <w:tr w:rsidR="00B418C0" w:rsidRPr="008670F4" w14:paraId="12B10EA0" w14:textId="77777777" w:rsidTr="00D919E5">
        <w:tc>
          <w:tcPr>
            <w:cnfStyle w:val="001000000000" w:firstRow="0" w:lastRow="0" w:firstColumn="1" w:lastColumn="0" w:oddVBand="0" w:evenVBand="0" w:oddHBand="0" w:evenHBand="0" w:firstRowFirstColumn="0" w:firstRowLastColumn="0" w:lastRowFirstColumn="0" w:lastRowLastColumn="0"/>
            <w:tcW w:w="1914" w:type="dxa"/>
          </w:tcPr>
          <w:p w14:paraId="1B0311FE" w14:textId="77777777" w:rsidR="00B418C0" w:rsidRPr="008670F4" w:rsidRDefault="00B418C0" w:rsidP="00D919E5">
            <w:pPr>
              <w:rPr>
                <w:sz w:val="20"/>
                <w:szCs w:val="20"/>
                <w:lang w:val="en-US"/>
              </w:rPr>
            </w:pPr>
            <w:r w:rsidRPr="008670F4">
              <w:rPr>
                <w:sz w:val="20"/>
                <w:szCs w:val="20"/>
                <w:lang w:val="en-US"/>
              </w:rPr>
              <w:t>Achievements and key results</w:t>
            </w:r>
          </w:p>
        </w:tc>
        <w:tc>
          <w:tcPr>
            <w:tcW w:w="4223" w:type="dxa"/>
          </w:tcPr>
          <w:p w14:paraId="5FD5EC54" w14:textId="77777777" w:rsidR="00B418C0" w:rsidRPr="008670F4" w:rsidRDefault="00B418C0" w:rsidP="00790AD5">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sz w:val="20"/>
                <w:szCs w:val="20"/>
                <w:lang w:val="en-US"/>
              </w:rPr>
            </w:pPr>
            <w:r w:rsidRPr="008670F4">
              <w:rPr>
                <w:sz w:val="20"/>
                <w:szCs w:val="20"/>
                <w:lang w:val="en-US"/>
              </w:rPr>
              <w:t>What are the main activities undertaken?</w:t>
            </w:r>
          </w:p>
          <w:p w14:paraId="2CD82F0E" w14:textId="77777777" w:rsidR="00B418C0" w:rsidRPr="008670F4" w:rsidRDefault="00B418C0" w:rsidP="00790AD5">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sz w:val="20"/>
                <w:szCs w:val="20"/>
                <w:lang w:val="en-US"/>
              </w:rPr>
            </w:pPr>
            <w:r w:rsidRPr="008670F4">
              <w:rPr>
                <w:sz w:val="20"/>
                <w:szCs w:val="20"/>
                <w:lang w:val="en-US"/>
              </w:rPr>
              <w:t>What have been the main results due to UNDP?</w:t>
            </w:r>
          </w:p>
          <w:p w14:paraId="7C91EC12" w14:textId="77777777" w:rsidR="00B418C0" w:rsidRPr="008670F4" w:rsidRDefault="00B418C0" w:rsidP="00790AD5">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sz w:val="20"/>
                <w:szCs w:val="20"/>
                <w:lang w:val="en-US"/>
              </w:rPr>
            </w:pPr>
            <w:r w:rsidRPr="008670F4">
              <w:rPr>
                <w:sz w:val="20"/>
                <w:szCs w:val="20"/>
                <w:lang w:val="en-US"/>
              </w:rPr>
              <w:t>What are the factors that contributed to the achievement of the results?</w:t>
            </w:r>
          </w:p>
          <w:p w14:paraId="051A7364" w14:textId="77777777" w:rsidR="00B418C0" w:rsidRPr="008670F4" w:rsidRDefault="00B418C0" w:rsidP="00790AD5">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sz w:val="20"/>
                <w:szCs w:val="20"/>
                <w:lang w:val="en-US"/>
              </w:rPr>
            </w:pPr>
            <w:r w:rsidRPr="008670F4">
              <w:rPr>
                <w:sz w:val="20"/>
                <w:szCs w:val="20"/>
                <w:lang w:val="en-US"/>
              </w:rPr>
              <w:t>What has not been undertaken and why?</w:t>
            </w:r>
          </w:p>
          <w:p w14:paraId="62C978C0" w14:textId="77777777" w:rsidR="00B418C0" w:rsidRPr="008670F4" w:rsidRDefault="00B418C0" w:rsidP="00790AD5">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sz w:val="20"/>
                <w:szCs w:val="20"/>
                <w:lang w:val="en-US"/>
              </w:rPr>
            </w:pPr>
            <w:r w:rsidRPr="008670F4">
              <w:rPr>
                <w:sz w:val="20"/>
                <w:szCs w:val="20"/>
                <w:lang w:val="en-US"/>
              </w:rPr>
              <w:t>How do you intend to sustain or scale up the results/achievements of the programme?</w:t>
            </w:r>
          </w:p>
        </w:tc>
        <w:tc>
          <w:tcPr>
            <w:tcW w:w="3439" w:type="dxa"/>
          </w:tcPr>
          <w:p w14:paraId="662A4B25" w14:textId="77777777" w:rsidR="00B418C0" w:rsidRPr="008670F4" w:rsidRDefault="00B418C0" w:rsidP="00790AD5">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sz w:val="20"/>
                <w:szCs w:val="20"/>
                <w:lang w:val="en-US"/>
              </w:rPr>
            </w:pPr>
            <w:r w:rsidRPr="008670F4">
              <w:rPr>
                <w:sz w:val="20"/>
                <w:szCs w:val="20"/>
                <w:lang w:val="en-US"/>
              </w:rPr>
              <w:t>Obtain from the stakeholder what the key achievements and results are?</w:t>
            </w:r>
          </w:p>
          <w:p w14:paraId="7F91ABC5" w14:textId="77777777" w:rsidR="00B418C0" w:rsidRPr="008670F4" w:rsidRDefault="00B418C0" w:rsidP="00790AD5">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sz w:val="20"/>
                <w:szCs w:val="20"/>
                <w:lang w:val="en-US"/>
              </w:rPr>
            </w:pPr>
            <w:r w:rsidRPr="008670F4">
              <w:rPr>
                <w:sz w:val="20"/>
                <w:szCs w:val="20"/>
                <w:lang w:val="en-US"/>
              </w:rPr>
              <w:t>Triangulate with reports and interviews with UNDP staff</w:t>
            </w:r>
          </w:p>
          <w:p w14:paraId="1277A2E6" w14:textId="77777777" w:rsidR="00B418C0" w:rsidRPr="008670F4" w:rsidRDefault="00B418C0" w:rsidP="00790AD5">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sz w:val="20"/>
                <w:szCs w:val="20"/>
                <w:lang w:val="en-US"/>
              </w:rPr>
            </w:pPr>
            <w:r w:rsidRPr="008670F4">
              <w:rPr>
                <w:sz w:val="20"/>
                <w:szCs w:val="20"/>
                <w:lang w:val="en-US"/>
              </w:rPr>
              <w:t>Ensure that there is clear understanding of what results can be directly attributed to UNDP and its contribution to higher level outcomes</w:t>
            </w:r>
          </w:p>
        </w:tc>
      </w:tr>
      <w:tr w:rsidR="00B418C0" w:rsidRPr="008670F4" w14:paraId="56D98538" w14:textId="77777777" w:rsidTr="00D919E5">
        <w:tc>
          <w:tcPr>
            <w:cnfStyle w:val="001000000000" w:firstRow="0" w:lastRow="0" w:firstColumn="1" w:lastColumn="0" w:oddVBand="0" w:evenVBand="0" w:oddHBand="0" w:evenHBand="0" w:firstRowFirstColumn="0" w:firstRowLastColumn="0" w:lastRowFirstColumn="0" w:lastRowLastColumn="0"/>
            <w:tcW w:w="1914" w:type="dxa"/>
          </w:tcPr>
          <w:p w14:paraId="2D8AC507" w14:textId="77777777" w:rsidR="00B418C0" w:rsidRPr="008670F4" w:rsidRDefault="00B418C0" w:rsidP="00D919E5">
            <w:pPr>
              <w:rPr>
                <w:sz w:val="20"/>
                <w:szCs w:val="20"/>
                <w:lang w:val="en-US"/>
              </w:rPr>
            </w:pPr>
            <w:r w:rsidRPr="008670F4">
              <w:rPr>
                <w:sz w:val="20"/>
                <w:szCs w:val="20"/>
                <w:lang w:val="en-US"/>
              </w:rPr>
              <w:t>Implementation challenges and Issues</w:t>
            </w:r>
          </w:p>
        </w:tc>
        <w:tc>
          <w:tcPr>
            <w:tcW w:w="4223" w:type="dxa"/>
          </w:tcPr>
          <w:p w14:paraId="3FB55A29" w14:textId="77777777" w:rsidR="00B418C0" w:rsidRPr="008670F4" w:rsidRDefault="00B418C0" w:rsidP="00790AD5">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sz w:val="20"/>
                <w:szCs w:val="20"/>
                <w:lang w:val="en-US"/>
              </w:rPr>
            </w:pPr>
            <w:r w:rsidRPr="008670F4">
              <w:rPr>
                <w:sz w:val="20"/>
                <w:szCs w:val="20"/>
                <w:lang w:val="en-US"/>
              </w:rPr>
              <w:t>What are the main challenges met in programme implementation?</w:t>
            </w:r>
          </w:p>
          <w:p w14:paraId="2B50AEB6" w14:textId="77777777" w:rsidR="00B418C0" w:rsidRPr="008670F4" w:rsidRDefault="00B418C0" w:rsidP="00790AD5">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sz w:val="20"/>
                <w:szCs w:val="20"/>
                <w:lang w:val="en-US"/>
              </w:rPr>
            </w:pPr>
            <w:r w:rsidRPr="008670F4">
              <w:rPr>
                <w:sz w:val="20"/>
                <w:szCs w:val="20"/>
                <w:lang w:val="en-US"/>
              </w:rPr>
              <w:t>Have these been overcome and how?</w:t>
            </w:r>
          </w:p>
          <w:p w14:paraId="514B5176" w14:textId="77777777" w:rsidR="00B418C0" w:rsidRPr="008670F4" w:rsidRDefault="00B418C0" w:rsidP="00790AD5">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sz w:val="20"/>
                <w:szCs w:val="20"/>
                <w:lang w:val="en-US"/>
              </w:rPr>
            </w:pPr>
            <w:r w:rsidRPr="008670F4">
              <w:rPr>
                <w:sz w:val="20"/>
                <w:szCs w:val="20"/>
                <w:lang w:val="en-US"/>
              </w:rPr>
              <w:t xml:space="preserve">How did Covid-19 impact on the programme and how did you adjust or adapt? </w:t>
            </w:r>
          </w:p>
        </w:tc>
        <w:tc>
          <w:tcPr>
            <w:tcW w:w="3439" w:type="dxa"/>
          </w:tcPr>
          <w:p w14:paraId="5180F16F" w14:textId="77777777" w:rsidR="00B418C0" w:rsidRPr="008670F4" w:rsidRDefault="00B418C0" w:rsidP="00790AD5">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sz w:val="20"/>
                <w:szCs w:val="20"/>
                <w:lang w:val="en-US"/>
              </w:rPr>
            </w:pPr>
            <w:r w:rsidRPr="008670F4">
              <w:rPr>
                <w:sz w:val="20"/>
                <w:szCs w:val="20"/>
                <w:lang w:val="en-US"/>
              </w:rPr>
              <w:t>Obtain an appreciation of implementation challenges and how to solve them</w:t>
            </w:r>
          </w:p>
          <w:p w14:paraId="5ABB19CC" w14:textId="77777777" w:rsidR="00B418C0" w:rsidRPr="008670F4" w:rsidRDefault="00B418C0" w:rsidP="00790AD5">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sz w:val="20"/>
                <w:szCs w:val="20"/>
                <w:lang w:val="en-US"/>
              </w:rPr>
            </w:pPr>
            <w:r w:rsidRPr="008670F4">
              <w:rPr>
                <w:sz w:val="20"/>
                <w:szCs w:val="20"/>
                <w:lang w:val="en-US"/>
              </w:rPr>
              <w:t>Obtain a clear idea on how Covid-19 impacted programme performance and adjustments made</w:t>
            </w:r>
          </w:p>
        </w:tc>
      </w:tr>
      <w:tr w:rsidR="00B418C0" w:rsidRPr="008670F4" w14:paraId="40D1EDB2" w14:textId="77777777" w:rsidTr="00D919E5">
        <w:tc>
          <w:tcPr>
            <w:cnfStyle w:val="001000000000" w:firstRow="0" w:lastRow="0" w:firstColumn="1" w:lastColumn="0" w:oddVBand="0" w:evenVBand="0" w:oddHBand="0" w:evenHBand="0" w:firstRowFirstColumn="0" w:firstRowLastColumn="0" w:lastRowFirstColumn="0" w:lastRowLastColumn="0"/>
            <w:tcW w:w="1914" w:type="dxa"/>
          </w:tcPr>
          <w:p w14:paraId="71D89493" w14:textId="77777777" w:rsidR="00B418C0" w:rsidRPr="008670F4" w:rsidRDefault="00B418C0" w:rsidP="00D919E5">
            <w:pPr>
              <w:rPr>
                <w:sz w:val="20"/>
                <w:szCs w:val="20"/>
                <w:lang w:val="en-US"/>
              </w:rPr>
            </w:pPr>
            <w:r w:rsidRPr="008670F4">
              <w:rPr>
                <w:sz w:val="20"/>
                <w:szCs w:val="20"/>
                <w:lang w:val="en-US"/>
              </w:rPr>
              <w:t>Partnership with UNDP</w:t>
            </w:r>
          </w:p>
        </w:tc>
        <w:tc>
          <w:tcPr>
            <w:tcW w:w="4223" w:type="dxa"/>
          </w:tcPr>
          <w:p w14:paraId="1CC8C670" w14:textId="77777777" w:rsidR="00B418C0" w:rsidRPr="008670F4" w:rsidRDefault="00B418C0" w:rsidP="00790AD5">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sz w:val="20"/>
                <w:szCs w:val="20"/>
                <w:lang w:val="en-US"/>
              </w:rPr>
            </w:pPr>
            <w:r w:rsidRPr="008670F4">
              <w:rPr>
                <w:sz w:val="20"/>
                <w:szCs w:val="20"/>
                <w:lang w:val="en-US"/>
              </w:rPr>
              <w:t>What are your perceptions of UNDP as a partner?</w:t>
            </w:r>
          </w:p>
          <w:p w14:paraId="5D71740D" w14:textId="77777777" w:rsidR="00B418C0" w:rsidRPr="008670F4" w:rsidRDefault="00B418C0" w:rsidP="00790AD5">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sz w:val="20"/>
                <w:szCs w:val="20"/>
                <w:lang w:val="en-US"/>
              </w:rPr>
            </w:pPr>
            <w:r w:rsidRPr="008670F4">
              <w:rPr>
                <w:sz w:val="20"/>
                <w:szCs w:val="20"/>
                <w:lang w:val="en-US"/>
              </w:rPr>
              <w:t>How well has the collaboration worked?</w:t>
            </w:r>
          </w:p>
          <w:p w14:paraId="647E0DDB" w14:textId="77777777" w:rsidR="00B418C0" w:rsidRPr="008670F4" w:rsidRDefault="00B418C0" w:rsidP="00790AD5">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sz w:val="20"/>
                <w:szCs w:val="20"/>
                <w:lang w:val="en-US"/>
              </w:rPr>
            </w:pPr>
            <w:r w:rsidRPr="008670F4">
              <w:rPr>
                <w:sz w:val="20"/>
                <w:szCs w:val="20"/>
                <w:lang w:val="en-US"/>
              </w:rPr>
              <w:t>What would you recommend for UNDP to improve programme implementation and the partnership?</w:t>
            </w:r>
          </w:p>
        </w:tc>
        <w:tc>
          <w:tcPr>
            <w:tcW w:w="3439" w:type="dxa"/>
          </w:tcPr>
          <w:p w14:paraId="52E6836B" w14:textId="77777777" w:rsidR="00B418C0" w:rsidRPr="008670F4" w:rsidRDefault="00B418C0" w:rsidP="00790AD5">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sz w:val="20"/>
                <w:szCs w:val="20"/>
                <w:lang w:val="en-US"/>
              </w:rPr>
            </w:pPr>
            <w:r w:rsidRPr="008670F4">
              <w:rPr>
                <w:sz w:val="20"/>
                <w:szCs w:val="20"/>
                <w:lang w:val="en-US"/>
              </w:rPr>
              <w:t>Obtain stakeholder views on partnership with UNDP</w:t>
            </w:r>
          </w:p>
          <w:p w14:paraId="704C792F" w14:textId="77777777" w:rsidR="00B418C0" w:rsidRPr="008670F4" w:rsidRDefault="00B418C0" w:rsidP="00790AD5">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sz w:val="20"/>
                <w:szCs w:val="20"/>
                <w:lang w:val="en-US"/>
              </w:rPr>
            </w:pPr>
            <w:r w:rsidRPr="008670F4">
              <w:rPr>
                <w:sz w:val="20"/>
                <w:szCs w:val="20"/>
                <w:lang w:val="en-US"/>
              </w:rPr>
              <w:t>Obtain recommendations on how UNDP can strengthen its partnerships</w:t>
            </w:r>
          </w:p>
        </w:tc>
      </w:tr>
      <w:tr w:rsidR="00B418C0" w:rsidRPr="008670F4" w14:paraId="75BEC65A" w14:textId="77777777" w:rsidTr="00D919E5">
        <w:tc>
          <w:tcPr>
            <w:cnfStyle w:val="001000000000" w:firstRow="0" w:lastRow="0" w:firstColumn="1" w:lastColumn="0" w:oddVBand="0" w:evenVBand="0" w:oddHBand="0" w:evenHBand="0" w:firstRowFirstColumn="0" w:firstRowLastColumn="0" w:lastRowFirstColumn="0" w:lastRowLastColumn="0"/>
            <w:tcW w:w="1914" w:type="dxa"/>
          </w:tcPr>
          <w:p w14:paraId="5098959D" w14:textId="77777777" w:rsidR="00B418C0" w:rsidRPr="008670F4" w:rsidRDefault="00B418C0" w:rsidP="00D919E5">
            <w:pPr>
              <w:rPr>
                <w:sz w:val="20"/>
                <w:szCs w:val="20"/>
                <w:lang w:val="en-US"/>
              </w:rPr>
            </w:pPr>
            <w:r w:rsidRPr="008670F4">
              <w:rPr>
                <w:sz w:val="20"/>
                <w:szCs w:val="20"/>
                <w:lang w:val="en-US"/>
              </w:rPr>
              <w:t>Way Forward</w:t>
            </w:r>
          </w:p>
        </w:tc>
        <w:tc>
          <w:tcPr>
            <w:tcW w:w="4223" w:type="dxa"/>
          </w:tcPr>
          <w:p w14:paraId="08B07A9C" w14:textId="77777777" w:rsidR="00B418C0" w:rsidRPr="008670F4" w:rsidRDefault="00B418C0" w:rsidP="00790AD5">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sz w:val="20"/>
                <w:szCs w:val="20"/>
                <w:lang w:val="en-US"/>
              </w:rPr>
            </w:pPr>
            <w:r w:rsidRPr="008670F4">
              <w:rPr>
                <w:sz w:val="20"/>
                <w:szCs w:val="20"/>
                <w:lang w:val="en-US"/>
              </w:rPr>
              <w:t>What are your recommendations for UNDP’s future programme?</w:t>
            </w:r>
          </w:p>
        </w:tc>
        <w:tc>
          <w:tcPr>
            <w:tcW w:w="3439" w:type="dxa"/>
          </w:tcPr>
          <w:p w14:paraId="755C6C97" w14:textId="77777777" w:rsidR="00B418C0" w:rsidRPr="008670F4" w:rsidRDefault="00B418C0" w:rsidP="00790AD5">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sz w:val="20"/>
                <w:szCs w:val="20"/>
                <w:lang w:val="en-US"/>
              </w:rPr>
            </w:pPr>
            <w:r w:rsidRPr="008670F4">
              <w:rPr>
                <w:sz w:val="20"/>
                <w:szCs w:val="20"/>
                <w:lang w:val="en-US"/>
              </w:rPr>
              <w:t>Obtain inputs for UNDP CPD successor programme</w:t>
            </w:r>
          </w:p>
        </w:tc>
      </w:tr>
    </w:tbl>
    <w:p w14:paraId="32CC614F" w14:textId="77777777" w:rsidR="00B418C0" w:rsidRDefault="00B418C0" w:rsidP="00B418C0">
      <w:pPr>
        <w:rPr>
          <w:lang w:val="en-US"/>
        </w:rPr>
      </w:pPr>
    </w:p>
    <w:p w14:paraId="06E9D3E7" w14:textId="77777777" w:rsidR="00B418C0" w:rsidRDefault="00B418C0">
      <w:pPr>
        <w:sectPr w:rsidR="00B418C0" w:rsidSect="004F5E9E">
          <w:pgSz w:w="12240" w:h="15840"/>
          <w:pgMar w:top="1440" w:right="1440" w:bottom="1440" w:left="1440" w:header="720" w:footer="720" w:gutter="0"/>
          <w:cols w:space="720"/>
          <w:docGrid w:linePitch="360"/>
        </w:sectPr>
      </w:pPr>
    </w:p>
    <w:p w14:paraId="525AAF80" w14:textId="77777777" w:rsidR="00B418C0" w:rsidRDefault="00B418C0" w:rsidP="00B418C0">
      <w:pPr>
        <w:pStyle w:val="Heading1"/>
        <w:rPr>
          <w:rFonts w:asciiTheme="minorHAnsi" w:hAnsiTheme="minorHAnsi" w:cstheme="minorHAnsi"/>
          <w:sz w:val="22"/>
          <w:szCs w:val="22"/>
        </w:rPr>
      </w:pPr>
      <w:bookmarkStart w:id="85" w:name="_Toc84848128"/>
      <w:bookmarkStart w:id="86" w:name="_Toc88741830"/>
      <w:r>
        <w:rPr>
          <w:rFonts w:asciiTheme="minorHAnsi" w:hAnsiTheme="minorHAnsi" w:cstheme="minorHAnsi"/>
          <w:sz w:val="22"/>
          <w:szCs w:val="22"/>
        </w:rPr>
        <w:lastRenderedPageBreak/>
        <w:t>Annex 6: List of Documents (In addition to those listed in ToRs)</w:t>
      </w:r>
      <w:bookmarkEnd w:id="85"/>
      <w:bookmarkEnd w:id="86"/>
    </w:p>
    <w:p w14:paraId="7C0BA66D" w14:textId="77777777" w:rsidR="00B418C0" w:rsidRPr="007C00B7" w:rsidRDefault="00B418C0" w:rsidP="00B418C0">
      <w:pPr>
        <w:rPr>
          <w:b/>
        </w:rPr>
      </w:pPr>
      <w:r w:rsidRPr="007C00B7">
        <w:rPr>
          <w:b/>
        </w:rPr>
        <w:t>GOVERNANCE</w:t>
      </w:r>
    </w:p>
    <w:p w14:paraId="65FCA299" w14:textId="77777777" w:rsidR="00B418C0" w:rsidRPr="00FC5933" w:rsidRDefault="00B418C0" w:rsidP="00B418C0">
      <w:pPr>
        <w:ind w:left="360"/>
        <w:rPr>
          <w:b/>
        </w:rPr>
      </w:pPr>
      <w:r w:rsidRPr="00FC5933">
        <w:rPr>
          <w:b/>
        </w:rPr>
        <w:t>Projects Document</w:t>
      </w:r>
    </w:p>
    <w:p w14:paraId="27F6C34A" w14:textId="77777777" w:rsidR="00B418C0" w:rsidRDefault="00B418C0" w:rsidP="00790AD5">
      <w:pPr>
        <w:pStyle w:val="ListParagraph"/>
        <w:numPr>
          <w:ilvl w:val="0"/>
          <w:numId w:val="35"/>
        </w:numPr>
      </w:pPr>
      <w:r w:rsidRPr="00FC5933">
        <w:t xml:space="preserve">Strengthening legality in economic management; </w:t>
      </w:r>
    </w:p>
    <w:p w14:paraId="40AEC374" w14:textId="77777777" w:rsidR="00B418C0" w:rsidRDefault="00B418C0" w:rsidP="00790AD5">
      <w:pPr>
        <w:pStyle w:val="ListParagraph"/>
        <w:numPr>
          <w:ilvl w:val="0"/>
          <w:numId w:val="35"/>
        </w:numPr>
      </w:pPr>
      <w:r w:rsidRPr="00FC5933">
        <w:t>Technical Assistance for the Ombudsman's Office</w:t>
      </w:r>
    </w:p>
    <w:p w14:paraId="0B8CFD41" w14:textId="77777777" w:rsidR="00B418C0" w:rsidRPr="00CA5E1E" w:rsidRDefault="00B418C0" w:rsidP="00B418C0">
      <w:pPr>
        <w:ind w:left="360"/>
        <w:rPr>
          <w:b/>
        </w:rPr>
      </w:pPr>
      <w:r w:rsidRPr="00CA5E1E">
        <w:rPr>
          <w:b/>
        </w:rPr>
        <w:t>Agreements</w:t>
      </w:r>
    </w:p>
    <w:p w14:paraId="3ADC5E5C" w14:textId="77777777" w:rsidR="00B418C0" w:rsidRPr="007C00B7" w:rsidRDefault="00B418C0" w:rsidP="00790AD5">
      <w:pPr>
        <w:pStyle w:val="ListParagraph"/>
        <w:numPr>
          <w:ilvl w:val="0"/>
          <w:numId w:val="35"/>
        </w:numPr>
      </w:pPr>
      <w:r w:rsidRPr="007C00B7">
        <w:t xml:space="preserve">Technical assistance for the protection of human rights at the local level in 2020; </w:t>
      </w:r>
    </w:p>
    <w:p w14:paraId="331CCEA8" w14:textId="77777777" w:rsidR="00B418C0" w:rsidRPr="007C00B7" w:rsidRDefault="00B418C0" w:rsidP="00790AD5">
      <w:pPr>
        <w:pStyle w:val="ListParagraph"/>
        <w:numPr>
          <w:ilvl w:val="0"/>
          <w:numId w:val="35"/>
        </w:numPr>
      </w:pPr>
      <w:r w:rsidRPr="007C00B7">
        <w:t>Letter of Agreement between the United Nations Development Program and the Human Rights Center of the Catholic University of Angola for the implementation of the project "For a fair and inclusive society";</w:t>
      </w:r>
    </w:p>
    <w:p w14:paraId="7330D7B3" w14:textId="77777777" w:rsidR="00B418C0" w:rsidRDefault="00B418C0" w:rsidP="00790AD5">
      <w:pPr>
        <w:pStyle w:val="ListParagraph"/>
        <w:numPr>
          <w:ilvl w:val="0"/>
          <w:numId w:val="35"/>
        </w:numPr>
      </w:pPr>
      <w:r w:rsidRPr="007C00B7">
        <w:t>Cooperation Protocol between the Ministry of Interior of the Republic of Angola and the United Nations Program for Development in the Matter of Human Rights;</w:t>
      </w:r>
    </w:p>
    <w:p w14:paraId="33CFD19C" w14:textId="77777777" w:rsidR="00B418C0" w:rsidRPr="00CA5E1E" w:rsidRDefault="00B418C0" w:rsidP="00B418C0">
      <w:pPr>
        <w:ind w:left="360"/>
        <w:rPr>
          <w:b/>
        </w:rPr>
      </w:pPr>
      <w:r w:rsidRPr="00CA5E1E">
        <w:rPr>
          <w:b/>
        </w:rPr>
        <w:t>General</w:t>
      </w:r>
    </w:p>
    <w:p w14:paraId="46A91095" w14:textId="77777777" w:rsidR="00B418C0" w:rsidRPr="007C00B7" w:rsidRDefault="00B418C0" w:rsidP="00790AD5">
      <w:pPr>
        <w:pStyle w:val="ListParagraph"/>
        <w:numPr>
          <w:ilvl w:val="0"/>
          <w:numId w:val="35"/>
        </w:numPr>
      </w:pPr>
      <w:r w:rsidRPr="007C00B7">
        <w:t>Women and transformative leaders for local authorities in Angola;</w:t>
      </w:r>
    </w:p>
    <w:p w14:paraId="5EEE05D5" w14:textId="77777777" w:rsidR="00B418C0" w:rsidRDefault="00B418C0" w:rsidP="00790AD5">
      <w:pPr>
        <w:pStyle w:val="ListParagraph"/>
        <w:numPr>
          <w:ilvl w:val="0"/>
          <w:numId w:val="35"/>
        </w:numPr>
      </w:pPr>
      <w:r w:rsidRPr="007C00B7">
        <w:t>Training on Local Governance Women and Development – Report – Centre of Coordination of Gender Issues – Eduardo Mondlane University – December, 2020;</w:t>
      </w:r>
    </w:p>
    <w:p w14:paraId="6C62B72F" w14:textId="77777777" w:rsidR="00B418C0" w:rsidRPr="007C00B7" w:rsidRDefault="00B418C0" w:rsidP="00790AD5">
      <w:pPr>
        <w:pStyle w:val="ListParagraph"/>
        <w:numPr>
          <w:ilvl w:val="0"/>
          <w:numId w:val="35"/>
        </w:numPr>
      </w:pPr>
      <w:r w:rsidRPr="007C00B7">
        <w:t>Strengthening legality in economic management;</w:t>
      </w:r>
    </w:p>
    <w:p w14:paraId="221A7B1D" w14:textId="77777777" w:rsidR="00B418C0" w:rsidRDefault="00B418C0" w:rsidP="00B418C0">
      <w:pPr>
        <w:rPr>
          <w:b/>
        </w:rPr>
      </w:pPr>
    </w:p>
    <w:p w14:paraId="6CF1D6E2" w14:textId="77777777" w:rsidR="00B418C0" w:rsidRPr="007C00B7" w:rsidRDefault="00B418C0" w:rsidP="00B418C0">
      <w:pPr>
        <w:rPr>
          <w:b/>
        </w:rPr>
      </w:pPr>
      <w:r w:rsidRPr="007C00B7">
        <w:rPr>
          <w:b/>
        </w:rPr>
        <w:t>SUSTAINABLE DEVELOPMENT AND INCLUSIVE GROWTH</w:t>
      </w:r>
    </w:p>
    <w:p w14:paraId="14CD83A8" w14:textId="77777777" w:rsidR="00B418C0" w:rsidRPr="00E97EA0" w:rsidRDefault="00B418C0" w:rsidP="00B418C0">
      <w:pPr>
        <w:rPr>
          <w:b/>
        </w:rPr>
      </w:pPr>
      <w:r w:rsidRPr="00E97EA0">
        <w:rPr>
          <w:b/>
        </w:rPr>
        <w:tab/>
        <w:t>Project Documents</w:t>
      </w:r>
    </w:p>
    <w:p w14:paraId="2B4078B5" w14:textId="77777777" w:rsidR="00B418C0" w:rsidRPr="007C00B7" w:rsidRDefault="00B418C0" w:rsidP="00790AD5">
      <w:pPr>
        <w:pStyle w:val="ListParagraph"/>
        <w:numPr>
          <w:ilvl w:val="0"/>
          <w:numId w:val="36"/>
        </w:numPr>
      </w:pPr>
      <w:r w:rsidRPr="007C00B7">
        <w:t>Project Proposal Template Turkey- UNDP Partnership in Development Programme (Phase II) - Vocational training for women and youth on priority skills gaps for livelihood;</w:t>
      </w:r>
    </w:p>
    <w:p w14:paraId="636385D4" w14:textId="77777777" w:rsidR="00B418C0" w:rsidRPr="007C00B7" w:rsidRDefault="00B418C0" w:rsidP="00790AD5">
      <w:pPr>
        <w:pStyle w:val="ListParagraph"/>
        <w:numPr>
          <w:ilvl w:val="0"/>
          <w:numId w:val="36"/>
        </w:numPr>
      </w:pPr>
      <w:r w:rsidRPr="007C00B7">
        <w:t>Narrative Progress Report – Funded by the European Union;</w:t>
      </w:r>
    </w:p>
    <w:p w14:paraId="7C11FA31" w14:textId="77777777" w:rsidR="00B418C0" w:rsidRPr="007C00B7" w:rsidRDefault="00B418C0" w:rsidP="00B418C0"/>
    <w:p w14:paraId="58B82462" w14:textId="77777777" w:rsidR="00B418C0" w:rsidRPr="007C00B7" w:rsidRDefault="00B418C0" w:rsidP="00B418C0">
      <w:pPr>
        <w:rPr>
          <w:b/>
        </w:rPr>
      </w:pPr>
      <w:r w:rsidRPr="007C00B7">
        <w:rPr>
          <w:b/>
        </w:rPr>
        <w:t>ACCELERATOR LAB</w:t>
      </w:r>
    </w:p>
    <w:p w14:paraId="2B58A3BC" w14:textId="77777777" w:rsidR="00B418C0" w:rsidRPr="00E97EA0" w:rsidRDefault="00B418C0" w:rsidP="00B418C0">
      <w:pPr>
        <w:ind w:firstLine="360"/>
        <w:rPr>
          <w:b/>
        </w:rPr>
      </w:pPr>
      <w:r w:rsidRPr="00E97EA0">
        <w:rPr>
          <w:b/>
        </w:rPr>
        <w:t>UNDP Corporate Documents</w:t>
      </w:r>
    </w:p>
    <w:p w14:paraId="028E3EDD" w14:textId="77777777" w:rsidR="00B418C0" w:rsidRPr="007C00B7" w:rsidRDefault="00B418C0" w:rsidP="00790AD5">
      <w:pPr>
        <w:pStyle w:val="ListParagraph"/>
        <w:numPr>
          <w:ilvl w:val="0"/>
          <w:numId w:val="37"/>
        </w:numPr>
      </w:pPr>
      <w:r w:rsidRPr="007C00B7">
        <w:t>Multi-Country Project Document Accelerator Lab Network;</w:t>
      </w:r>
    </w:p>
    <w:p w14:paraId="260E566A" w14:textId="77777777" w:rsidR="00B418C0" w:rsidRPr="007C00B7" w:rsidRDefault="00B418C0" w:rsidP="00790AD5">
      <w:pPr>
        <w:pStyle w:val="ListParagraph"/>
        <w:numPr>
          <w:ilvl w:val="0"/>
          <w:numId w:val="37"/>
        </w:numPr>
      </w:pPr>
      <w:r w:rsidRPr="007C00B7">
        <w:t>Project Document: Towards a Fair and Inclusive Society;</w:t>
      </w:r>
    </w:p>
    <w:p w14:paraId="0F15E7D8" w14:textId="77777777" w:rsidR="00B418C0" w:rsidRDefault="00B418C0" w:rsidP="00B418C0">
      <w:pPr>
        <w:pStyle w:val="ListParagraph"/>
      </w:pPr>
    </w:p>
    <w:p w14:paraId="566C10F3" w14:textId="77777777" w:rsidR="00B418C0" w:rsidRPr="00CA5E1E" w:rsidRDefault="00B418C0" w:rsidP="00B418C0">
      <w:pPr>
        <w:ind w:firstLine="360"/>
        <w:rPr>
          <w:rStyle w:val="SubtleEmphasis"/>
          <w:b/>
        </w:rPr>
      </w:pPr>
      <w:r w:rsidRPr="00CA5E1E">
        <w:rPr>
          <w:b/>
        </w:rPr>
        <w:t>Reports &amp; Studies</w:t>
      </w:r>
    </w:p>
    <w:p w14:paraId="0AD31F0F" w14:textId="77777777" w:rsidR="00B418C0" w:rsidRDefault="00B418C0" w:rsidP="00790AD5">
      <w:pPr>
        <w:pStyle w:val="ListParagraph"/>
        <w:numPr>
          <w:ilvl w:val="0"/>
          <w:numId w:val="37"/>
        </w:numPr>
      </w:pPr>
      <w:r w:rsidRPr="007C00B7">
        <w:t>PROGRESS REPORT UNDP &amp; Ministry of Higher Education, Science, Technology and Innovation Partnership;</w:t>
      </w:r>
    </w:p>
    <w:p w14:paraId="605B41B0" w14:textId="77777777" w:rsidR="00B418C0" w:rsidRPr="007061E0" w:rsidRDefault="00B418C0" w:rsidP="00790AD5">
      <w:pPr>
        <w:pStyle w:val="ListParagraph"/>
        <w:numPr>
          <w:ilvl w:val="0"/>
          <w:numId w:val="37"/>
        </w:numPr>
      </w:pPr>
      <w:r w:rsidRPr="007C00B7">
        <w:t>UNCTAD/ UNDP/MESCTI – Study on Innovation and Entrepreneurship - Diagnosis and Recommendations;</w:t>
      </w:r>
    </w:p>
    <w:p w14:paraId="27F3E278" w14:textId="77777777" w:rsidR="00B418C0" w:rsidRPr="00CA5E1E" w:rsidRDefault="00B418C0" w:rsidP="00B418C0">
      <w:pPr>
        <w:ind w:firstLine="360"/>
        <w:rPr>
          <w:b/>
        </w:rPr>
      </w:pPr>
      <w:r w:rsidRPr="00CA5E1E">
        <w:rPr>
          <w:b/>
        </w:rPr>
        <w:t>General</w:t>
      </w:r>
    </w:p>
    <w:p w14:paraId="5243CDCA" w14:textId="77777777" w:rsidR="00B418C0" w:rsidRPr="007C00B7" w:rsidRDefault="00B418C0" w:rsidP="00790AD5">
      <w:pPr>
        <w:pStyle w:val="ListParagraph"/>
        <w:numPr>
          <w:ilvl w:val="0"/>
          <w:numId w:val="37"/>
        </w:numPr>
      </w:pPr>
      <w:r w:rsidRPr="007C00B7">
        <w:lastRenderedPageBreak/>
        <w:t>Online Hackathon – Concept Note Provisional Title: “PALOP Hack the Crisis”;</w:t>
      </w:r>
    </w:p>
    <w:p w14:paraId="0E3AA111" w14:textId="77777777" w:rsidR="00B418C0" w:rsidRPr="007C00B7" w:rsidRDefault="00B418C0" w:rsidP="00790AD5">
      <w:pPr>
        <w:pStyle w:val="ListParagraph"/>
        <w:numPr>
          <w:ilvl w:val="0"/>
          <w:numId w:val="37"/>
        </w:numPr>
      </w:pPr>
      <w:r w:rsidRPr="007C00B7">
        <w:t>Luanda Entrepreneur Academy Luanda Local Government + UNDP Action Plan;</w:t>
      </w:r>
    </w:p>
    <w:p w14:paraId="7A41C51D" w14:textId="77777777" w:rsidR="00B418C0" w:rsidRPr="007C00B7" w:rsidRDefault="00B418C0" w:rsidP="00790AD5">
      <w:pPr>
        <w:pStyle w:val="ListParagraph"/>
        <w:numPr>
          <w:ilvl w:val="0"/>
          <w:numId w:val="37"/>
        </w:numPr>
      </w:pPr>
      <w:r w:rsidRPr="007C00B7">
        <w:t>Design of the Strategic Plan of the Luanda Academy of Entrepreneurs;</w:t>
      </w:r>
    </w:p>
    <w:p w14:paraId="4833F5BA" w14:textId="77777777" w:rsidR="00B418C0" w:rsidRPr="007C00B7" w:rsidRDefault="00B418C0" w:rsidP="00790AD5">
      <w:pPr>
        <w:pStyle w:val="ListParagraph"/>
        <w:numPr>
          <w:ilvl w:val="0"/>
          <w:numId w:val="37"/>
        </w:numPr>
      </w:pPr>
      <w:r w:rsidRPr="007C00B7">
        <w:t xml:space="preserve">Letter of Agreement Between Ministry of Administration of The Territory </w:t>
      </w:r>
      <w:proofErr w:type="gramStart"/>
      <w:r w:rsidRPr="007C00B7">
        <w:t>And</w:t>
      </w:r>
      <w:proofErr w:type="gramEnd"/>
      <w:r w:rsidRPr="007C00B7">
        <w:t xml:space="preserve"> United Nations Development Program - ‘Supporting the Safe Functioning of Local Markets; </w:t>
      </w:r>
    </w:p>
    <w:p w14:paraId="0C66B4B8" w14:textId="77777777" w:rsidR="00B418C0" w:rsidRPr="007C00B7" w:rsidRDefault="00B418C0" w:rsidP="00790AD5">
      <w:pPr>
        <w:pStyle w:val="ListParagraph"/>
        <w:numPr>
          <w:ilvl w:val="0"/>
          <w:numId w:val="37"/>
        </w:numPr>
      </w:pPr>
      <w:r w:rsidRPr="007C00B7">
        <w:t xml:space="preserve">Urban Markets in Angola – Fostering recognition and increasing value creation by building on the potential that lies within networks; </w:t>
      </w:r>
    </w:p>
    <w:p w14:paraId="5B2FA9A5" w14:textId="77777777" w:rsidR="00B418C0" w:rsidRPr="007C00B7" w:rsidRDefault="00B418C0" w:rsidP="00790AD5">
      <w:pPr>
        <w:pStyle w:val="ListParagraph"/>
        <w:numPr>
          <w:ilvl w:val="0"/>
          <w:numId w:val="37"/>
        </w:numPr>
      </w:pPr>
      <w:r w:rsidRPr="007C00B7">
        <w:t xml:space="preserve">NextGenCities program: Angola &amp; Urban Markets, by Daniela Lima, Judite Silva, Alberto K Hungulo - UNDP Office in Angola; </w:t>
      </w:r>
    </w:p>
    <w:p w14:paraId="4E8BFEA0" w14:textId="77777777" w:rsidR="00B418C0" w:rsidRPr="007C00B7" w:rsidRDefault="00B418C0" w:rsidP="00790AD5">
      <w:pPr>
        <w:pStyle w:val="ListParagraph"/>
        <w:numPr>
          <w:ilvl w:val="0"/>
          <w:numId w:val="37"/>
        </w:numPr>
      </w:pPr>
      <w:r w:rsidRPr="007C00B7">
        <w:t>Understanding and engaging with the complexity of Informal Urban Markets in Angola;</w:t>
      </w:r>
    </w:p>
    <w:p w14:paraId="6BB4183D" w14:textId="77777777" w:rsidR="00B418C0" w:rsidRPr="007C00B7" w:rsidRDefault="00B418C0" w:rsidP="00B418C0"/>
    <w:p w14:paraId="7712CD60" w14:textId="77777777" w:rsidR="00B418C0" w:rsidRPr="007C00B7" w:rsidRDefault="00B418C0" w:rsidP="00B418C0">
      <w:pPr>
        <w:rPr>
          <w:b/>
        </w:rPr>
      </w:pPr>
      <w:r w:rsidRPr="007C00B7">
        <w:rPr>
          <w:b/>
        </w:rPr>
        <w:t xml:space="preserve">ENVIRONMENT AND DISASTER RISK REDUCTION </w:t>
      </w:r>
    </w:p>
    <w:p w14:paraId="275DC766" w14:textId="77777777" w:rsidR="00B418C0" w:rsidRPr="00CA5E1E" w:rsidRDefault="00B418C0" w:rsidP="00B418C0">
      <w:pPr>
        <w:ind w:left="360"/>
        <w:rPr>
          <w:b/>
        </w:rPr>
      </w:pPr>
      <w:r w:rsidRPr="00CA5E1E">
        <w:rPr>
          <w:b/>
        </w:rPr>
        <w:t>Project Documents</w:t>
      </w:r>
    </w:p>
    <w:p w14:paraId="53B760B5" w14:textId="77777777" w:rsidR="00B418C0" w:rsidRPr="007C00B7" w:rsidRDefault="00B418C0" w:rsidP="00790AD5">
      <w:pPr>
        <w:pStyle w:val="ListParagraph"/>
        <w:numPr>
          <w:ilvl w:val="0"/>
          <w:numId w:val="38"/>
        </w:numPr>
      </w:pPr>
      <w:r w:rsidRPr="007C00B7">
        <w:t>Strengthening Disaster Risk Management (DRM) institutional frameworks and capacities:</w:t>
      </w:r>
    </w:p>
    <w:p w14:paraId="3D05D2A0" w14:textId="77777777" w:rsidR="00B418C0" w:rsidRPr="007C00B7" w:rsidRDefault="00B418C0" w:rsidP="00790AD5">
      <w:pPr>
        <w:pStyle w:val="ListParagraph"/>
        <w:numPr>
          <w:ilvl w:val="0"/>
          <w:numId w:val="38"/>
        </w:numPr>
      </w:pPr>
      <w:r w:rsidRPr="007C00B7">
        <w:t>Promoting climate-resilient development and enhanced adaptive capacity to withstand disaster risks in Angolan’s Cuvelai River Basin;</w:t>
      </w:r>
    </w:p>
    <w:p w14:paraId="236E19EC" w14:textId="77777777" w:rsidR="00B418C0" w:rsidRDefault="00B418C0" w:rsidP="00790AD5">
      <w:pPr>
        <w:pStyle w:val="ListParagraph"/>
        <w:numPr>
          <w:ilvl w:val="0"/>
          <w:numId w:val="38"/>
        </w:numPr>
      </w:pPr>
      <w:r w:rsidRPr="007C00B7">
        <w:t>Addressing urgent coastal adaptation needs and capacity gaps in Angola;</w:t>
      </w:r>
    </w:p>
    <w:p w14:paraId="51E52563" w14:textId="77777777" w:rsidR="00B418C0" w:rsidRPr="00F414A0" w:rsidRDefault="00B418C0" w:rsidP="00B418C0">
      <w:pPr>
        <w:ind w:left="360"/>
        <w:rPr>
          <w:b/>
        </w:rPr>
      </w:pPr>
      <w:r w:rsidRPr="00F414A0">
        <w:rPr>
          <w:b/>
        </w:rPr>
        <w:t>Reports</w:t>
      </w:r>
    </w:p>
    <w:p w14:paraId="5ED818B6" w14:textId="77777777" w:rsidR="00B418C0" w:rsidRPr="007C00B7" w:rsidRDefault="00B418C0" w:rsidP="00790AD5">
      <w:pPr>
        <w:pStyle w:val="ListParagraph"/>
        <w:numPr>
          <w:ilvl w:val="0"/>
          <w:numId w:val="38"/>
        </w:numPr>
      </w:pPr>
      <w:r w:rsidRPr="007C00B7">
        <w:t>Promoting climate-resilient development and enhanced adaptive capacity to withstand disaster risks in Angolan’s Cuvelai River Basin – Mid Term Review – Final Report;</w:t>
      </w:r>
    </w:p>
    <w:p w14:paraId="2338DE7A" w14:textId="77777777" w:rsidR="00B418C0" w:rsidRPr="007C00B7" w:rsidRDefault="00B418C0" w:rsidP="00790AD5">
      <w:pPr>
        <w:pStyle w:val="ListParagraph"/>
        <w:numPr>
          <w:ilvl w:val="0"/>
          <w:numId w:val="38"/>
        </w:numPr>
      </w:pPr>
      <w:r w:rsidRPr="007C00B7">
        <w:t>Project Implementation Review (PIR), 2020 – Promoting climate-resilient development;</w:t>
      </w:r>
    </w:p>
    <w:p w14:paraId="57BBB86C" w14:textId="77777777" w:rsidR="00B418C0" w:rsidRPr="007C00B7" w:rsidRDefault="00B418C0" w:rsidP="00790AD5">
      <w:pPr>
        <w:pStyle w:val="ListParagraph"/>
        <w:numPr>
          <w:ilvl w:val="0"/>
          <w:numId w:val="38"/>
        </w:numPr>
      </w:pPr>
      <w:r w:rsidRPr="007C00B7">
        <w:t>Project Implementation Review (PIR) – Coastal Adaptation in Angola;</w:t>
      </w:r>
      <w:r w:rsidRPr="007C00B7">
        <w:cr/>
      </w:r>
    </w:p>
    <w:p w14:paraId="579EF9B9" w14:textId="77777777" w:rsidR="00B418C0" w:rsidRPr="007C00B7" w:rsidRDefault="00B418C0" w:rsidP="00B418C0">
      <w:pPr>
        <w:rPr>
          <w:b/>
        </w:rPr>
      </w:pPr>
      <w:r w:rsidRPr="007C00B7">
        <w:rPr>
          <w:b/>
        </w:rPr>
        <w:t>GLOBAL FUND</w:t>
      </w:r>
    </w:p>
    <w:p w14:paraId="08DF1D08" w14:textId="77777777" w:rsidR="00B418C0" w:rsidRPr="00555156" w:rsidRDefault="00B418C0" w:rsidP="00B418C0">
      <w:pPr>
        <w:ind w:left="360"/>
        <w:rPr>
          <w:b/>
        </w:rPr>
      </w:pPr>
      <w:r w:rsidRPr="00555156">
        <w:rPr>
          <w:b/>
        </w:rPr>
        <w:t>Project Document</w:t>
      </w:r>
    </w:p>
    <w:p w14:paraId="726961D1" w14:textId="77777777" w:rsidR="00B418C0" w:rsidRPr="007C00B7" w:rsidRDefault="00B418C0" w:rsidP="00790AD5">
      <w:pPr>
        <w:pStyle w:val="ListParagraph"/>
        <w:numPr>
          <w:ilvl w:val="0"/>
          <w:numId w:val="39"/>
        </w:numPr>
      </w:pPr>
      <w:r w:rsidRPr="007C00B7">
        <w:t xml:space="preserve">Strengthening National Capacity to Fight HIV/AIDS in Angola; </w:t>
      </w:r>
    </w:p>
    <w:p w14:paraId="4FDA8BAE" w14:textId="77777777" w:rsidR="00B418C0" w:rsidRDefault="00B418C0" w:rsidP="00790AD5">
      <w:pPr>
        <w:pStyle w:val="ListParagraph"/>
        <w:numPr>
          <w:ilvl w:val="0"/>
          <w:numId w:val="39"/>
        </w:numPr>
        <w:spacing w:after="0" w:line="240" w:lineRule="auto"/>
      </w:pPr>
      <w:r w:rsidRPr="00B6369D">
        <w:t>Global Fund - Z Grant Implementation Map</w:t>
      </w:r>
      <w:r>
        <w:t xml:space="preserve"> - </w:t>
      </w:r>
      <w:r w:rsidRPr="00B6369D">
        <w:t>updated on 24 June 2020</w:t>
      </w:r>
    </w:p>
    <w:p w14:paraId="0E2D7CB0" w14:textId="77777777" w:rsidR="00B418C0" w:rsidRDefault="00B418C0" w:rsidP="00790AD5">
      <w:pPr>
        <w:pStyle w:val="ListParagraph"/>
        <w:numPr>
          <w:ilvl w:val="0"/>
          <w:numId w:val="39"/>
        </w:numPr>
        <w:spacing w:after="0" w:line="240" w:lineRule="auto"/>
      </w:pPr>
      <w:r>
        <w:t>Consolidated Z Grant- Angola – Narrative Proposal for the Reprogramming of Revision of Programmating Intervention under the NFM 2, Malaria, HIV and TB Grants – 1 July 2020 to 30 June 2021;</w:t>
      </w:r>
    </w:p>
    <w:p w14:paraId="021523B0" w14:textId="77777777" w:rsidR="00B418C0" w:rsidRPr="00594BCE" w:rsidRDefault="00B418C0" w:rsidP="00B418C0">
      <w:pPr>
        <w:pStyle w:val="ListParagraph"/>
        <w:spacing w:after="0" w:line="240" w:lineRule="auto"/>
      </w:pPr>
      <w:r>
        <w:t xml:space="preserve"> </w:t>
      </w:r>
    </w:p>
    <w:p w14:paraId="0006CFD0" w14:textId="77777777" w:rsidR="00B418C0" w:rsidRPr="00F414A0" w:rsidRDefault="00B418C0" w:rsidP="00B418C0">
      <w:pPr>
        <w:rPr>
          <w:b/>
        </w:rPr>
      </w:pPr>
      <w:r w:rsidRPr="00F414A0">
        <w:rPr>
          <w:b/>
        </w:rPr>
        <w:t>Reports</w:t>
      </w:r>
    </w:p>
    <w:p w14:paraId="205F0CDF" w14:textId="77777777" w:rsidR="00B418C0" w:rsidRPr="00830BFE" w:rsidRDefault="00B418C0" w:rsidP="00790AD5">
      <w:pPr>
        <w:pStyle w:val="ListParagraph"/>
        <w:numPr>
          <w:ilvl w:val="0"/>
          <w:numId w:val="39"/>
        </w:numPr>
      </w:pPr>
      <w:r w:rsidRPr="00830BFE">
        <w:t>Report to the National Global Fund Grant Coordination Mechanism in Angola (MCN ANGOLA)</w:t>
      </w:r>
      <w:r>
        <w:t>;</w:t>
      </w:r>
    </w:p>
    <w:p w14:paraId="797D9B39" w14:textId="77777777" w:rsidR="00B418C0" w:rsidRDefault="00B418C0" w:rsidP="00790AD5">
      <w:pPr>
        <w:pStyle w:val="ListParagraph"/>
        <w:numPr>
          <w:ilvl w:val="0"/>
          <w:numId w:val="39"/>
        </w:numPr>
        <w:spacing w:after="0" w:line="240" w:lineRule="auto"/>
      </w:pPr>
      <w:r>
        <w:t>Audit Report Global Fund Grants in the Republic of Angola GF-OIG-20-003 27 February 2020 Geneva, Switzerland;</w:t>
      </w:r>
    </w:p>
    <w:p w14:paraId="62B8CF3B" w14:textId="77777777" w:rsidR="00B418C0" w:rsidRPr="007C00B7" w:rsidRDefault="00B418C0" w:rsidP="00790AD5">
      <w:pPr>
        <w:pStyle w:val="ListParagraph"/>
        <w:numPr>
          <w:ilvl w:val="0"/>
          <w:numId w:val="39"/>
        </w:numPr>
      </w:pPr>
      <w:r w:rsidRPr="007C00B7">
        <w:t xml:space="preserve">REPORT Community HIV-AIDS Prevention Project – For the Quarter March-April-May 2021; </w:t>
      </w:r>
    </w:p>
    <w:p w14:paraId="66F2F3DB" w14:textId="77777777" w:rsidR="00B418C0" w:rsidRDefault="00B418C0" w:rsidP="00790AD5">
      <w:pPr>
        <w:pStyle w:val="ListParagraph"/>
        <w:numPr>
          <w:ilvl w:val="0"/>
          <w:numId w:val="39"/>
        </w:numPr>
      </w:pPr>
      <w:r>
        <w:t>AGO-H-UNDP: Performance Letter: Progress Report covering the period 1 January, 2017-30 June, 2017 with Disbursement Request covering the period 1 July 2017-30 June, 2018</w:t>
      </w:r>
    </w:p>
    <w:p w14:paraId="11820834" w14:textId="77777777" w:rsidR="00B418C0" w:rsidRPr="00F414A0" w:rsidRDefault="00B418C0" w:rsidP="00B418C0">
      <w:pPr>
        <w:ind w:left="360"/>
        <w:rPr>
          <w:b/>
        </w:rPr>
      </w:pPr>
      <w:r w:rsidRPr="00F414A0">
        <w:rPr>
          <w:b/>
        </w:rPr>
        <w:t>Funding Request</w:t>
      </w:r>
    </w:p>
    <w:p w14:paraId="44817F18" w14:textId="77777777" w:rsidR="00B418C0" w:rsidRDefault="00B418C0" w:rsidP="00790AD5">
      <w:pPr>
        <w:pStyle w:val="ListParagraph"/>
        <w:numPr>
          <w:ilvl w:val="0"/>
          <w:numId w:val="39"/>
        </w:numPr>
      </w:pPr>
      <w:r>
        <w:lastRenderedPageBreak/>
        <w:t>Global Fund – Funding Request – Tailored to Material Change;</w:t>
      </w:r>
    </w:p>
    <w:p w14:paraId="36F58B25" w14:textId="77777777" w:rsidR="00B418C0" w:rsidRPr="00725F31" w:rsidRDefault="00B418C0" w:rsidP="00B418C0">
      <w:pPr>
        <w:pStyle w:val="ListParagraph"/>
        <w:framePr w:hSpace="181" w:wrap="around" w:vAnchor="page" w:hAnchor="page" w:yAlign="top"/>
        <w:suppressOverlap/>
      </w:pPr>
    </w:p>
    <w:p w14:paraId="04E7D29A" w14:textId="77777777" w:rsidR="00B418C0" w:rsidRDefault="00B418C0" w:rsidP="00790AD5">
      <w:pPr>
        <w:pStyle w:val="ListParagraph"/>
        <w:numPr>
          <w:ilvl w:val="0"/>
          <w:numId w:val="39"/>
        </w:numPr>
      </w:pPr>
      <w:r>
        <w:t xml:space="preserve">Global Fund – </w:t>
      </w:r>
      <w:r w:rsidRPr="00725F31">
        <w:t>Allocation Period 2020-2022</w:t>
      </w:r>
      <w:r>
        <w:t>;</w:t>
      </w:r>
    </w:p>
    <w:p w14:paraId="4C870E59" w14:textId="77777777" w:rsidR="00B418C0" w:rsidRDefault="00B418C0" w:rsidP="00790AD5">
      <w:pPr>
        <w:pStyle w:val="ListParagraph"/>
        <w:numPr>
          <w:ilvl w:val="0"/>
          <w:numId w:val="39"/>
        </w:numPr>
      </w:pPr>
      <w:r>
        <w:t>AGO-H-UNDP Performance Letter for the Progress Report with Disbursement Request covering the period 01 July 2019 –30 June 2020 (and buffer period 01 July 2020 – 31 December 2020);</w:t>
      </w:r>
    </w:p>
    <w:p w14:paraId="743E5335" w14:textId="77777777" w:rsidR="00B418C0" w:rsidRDefault="00B418C0" w:rsidP="00790AD5">
      <w:pPr>
        <w:pStyle w:val="ListParagraph"/>
        <w:numPr>
          <w:ilvl w:val="0"/>
          <w:numId w:val="39"/>
        </w:numPr>
      </w:pPr>
      <w:r>
        <w:t>AGO-H-UNDP - Performance Letter Progress Report covering the period 1 July 2019-31 December 2019;</w:t>
      </w:r>
    </w:p>
    <w:p w14:paraId="160B0128" w14:textId="77777777" w:rsidR="00B418C0" w:rsidRDefault="00B418C0" w:rsidP="00790AD5">
      <w:pPr>
        <w:pStyle w:val="ListParagraph"/>
        <w:numPr>
          <w:ilvl w:val="0"/>
          <w:numId w:val="39"/>
        </w:numPr>
      </w:pPr>
      <w:r>
        <w:t>AGO-H-UNDP_Progress Report 31 Dec 2018 - Final-22 Feb 2019;</w:t>
      </w:r>
    </w:p>
    <w:p w14:paraId="3F381A65" w14:textId="77777777" w:rsidR="00B418C0" w:rsidRDefault="00B418C0" w:rsidP="00790AD5">
      <w:pPr>
        <w:pStyle w:val="ListParagraph"/>
        <w:numPr>
          <w:ilvl w:val="0"/>
          <w:numId w:val="39"/>
        </w:numPr>
      </w:pPr>
      <w:r>
        <w:t>AGO-H-UNDP: Performance Letter Progress Report covering the period 1 July, 2018 - 31 December, 2018;</w:t>
      </w:r>
    </w:p>
    <w:p w14:paraId="66597DBD" w14:textId="77777777" w:rsidR="00B418C0" w:rsidRDefault="00B418C0" w:rsidP="00790AD5">
      <w:pPr>
        <w:pStyle w:val="ListParagraph"/>
        <w:numPr>
          <w:ilvl w:val="0"/>
          <w:numId w:val="39"/>
        </w:numPr>
      </w:pPr>
      <w:r w:rsidRPr="00725F31">
        <w:t>I</w:t>
      </w:r>
      <w:r>
        <w:t xml:space="preserve">mplementation MAP </w:t>
      </w:r>
      <w:bookmarkStart w:id="87" w:name="_Hlk515543484"/>
      <w:bookmarkEnd w:id="87"/>
      <w:r w:rsidRPr="00725F31">
        <w:t xml:space="preserve">– NFM3 GRANT – 01 JUL </w:t>
      </w:r>
      <w:r>
        <w:t>20</w:t>
      </w:r>
      <w:r w:rsidRPr="00725F31">
        <w:t xml:space="preserve">21 </w:t>
      </w:r>
      <w:r>
        <w:t>to</w:t>
      </w:r>
      <w:r w:rsidRPr="00725F31">
        <w:t xml:space="preserve"> 30 JUN </w:t>
      </w:r>
      <w:r>
        <w:t>20</w:t>
      </w:r>
      <w:r w:rsidRPr="00725F31">
        <w:t xml:space="preserve">24 </w:t>
      </w:r>
      <w:r>
        <w:t xml:space="preserve"> </w:t>
      </w:r>
    </w:p>
    <w:p w14:paraId="1239AED4" w14:textId="77777777" w:rsidR="00B418C0" w:rsidRDefault="00B418C0" w:rsidP="00790AD5">
      <w:pPr>
        <w:pStyle w:val="ListParagraph"/>
        <w:numPr>
          <w:ilvl w:val="0"/>
          <w:numId w:val="39"/>
        </w:numPr>
        <w:spacing w:after="0" w:line="240" w:lineRule="auto"/>
      </w:pPr>
      <w:r>
        <w:t>Global Fund – Performance Framework</w:t>
      </w:r>
    </w:p>
    <w:p w14:paraId="49F4B576" w14:textId="77777777" w:rsidR="00B418C0" w:rsidRDefault="00B418C0" w:rsidP="00B418C0">
      <w:pPr>
        <w:pStyle w:val="NoSpacing"/>
        <w:spacing w:before="40" w:after="40"/>
        <w:rPr>
          <w:caps/>
          <w:color w:val="215868" w:themeColor="accent5" w:themeShade="80"/>
          <w:sz w:val="24"/>
          <w:szCs w:val="24"/>
        </w:rPr>
      </w:pPr>
    </w:p>
    <w:sdt>
      <w:sdtPr>
        <w:rPr>
          <w:caps/>
          <w:color w:val="215868" w:themeColor="accent5" w:themeShade="80"/>
          <w:sz w:val="24"/>
          <w:szCs w:val="24"/>
        </w:rPr>
        <w:alias w:val="Subtitle"/>
        <w:tag w:val=""/>
        <w:id w:val="1303035192"/>
        <w:dataBinding w:prefixMappings="xmlns:ns0='http://purl.org/dc/elements/1.1/' xmlns:ns1='http://schemas.openxmlformats.org/package/2006/metadata/core-properties' " w:xpath="/ns1:coreProperties[1]/ns0:subject[1]" w:storeItemID="{6C3C8BC8-F283-45AE-878A-BAB7291924A1}"/>
        <w:text/>
      </w:sdtPr>
      <w:sdtEndPr/>
      <w:sdtContent>
        <w:p w14:paraId="4BE23D6B" w14:textId="20639B8F" w:rsidR="00B418C0" w:rsidRDefault="0060744D" w:rsidP="00B418C0">
          <w:pPr>
            <w:pStyle w:val="NoSpacing"/>
            <w:spacing w:before="40" w:after="40"/>
            <w:rPr>
              <w:caps/>
              <w:color w:val="215868" w:themeColor="accent5" w:themeShade="80"/>
              <w:sz w:val="24"/>
              <w:szCs w:val="24"/>
            </w:rPr>
          </w:pPr>
          <w:r>
            <w:rPr>
              <w:caps/>
              <w:color w:val="215868" w:themeColor="accent5" w:themeShade="80"/>
              <w:sz w:val="24"/>
              <w:szCs w:val="24"/>
            </w:rPr>
            <w:t>Draft Report</w:t>
          </w:r>
        </w:p>
      </w:sdtContent>
    </w:sdt>
    <w:p w14:paraId="415B0BA3" w14:textId="77777777" w:rsidR="00B418C0" w:rsidRPr="007C00B7" w:rsidRDefault="00B418C0" w:rsidP="00B418C0">
      <w:pPr>
        <w:rPr>
          <w:b/>
        </w:rPr>
      </w:pPr>
      <w:r w:rsidRPr="007C00B7">
        <w:rPr>
          <w:b/>
        </w:rPr>
        <w:t xml:space="preserve">NATIONAL LEGISLATION </w:t>
      </w:r>
    </w:p>
    <w:p w14:paraId="5CDA36EB" w14:textId="77777777" w:rsidR="00B418C0" w:rsidRPr="007C00B7" w:rsidRDefault="00B418C0" w:rsidP="00790AD5">
      <w:pPr>
        <w:pStyle w:val="ListParagraph"/>
        <w:numPr>
          <w:ilvl w:val="0"/>
          <w:numId w:val="40"/>
        </w:numPr>
      </w:pPr>
      <w:r w:rsidRPr="007C00B7">
        <w:t>Presidential Decree nº 195/21 of August 18, which approves the Rules and Modalities for the Elaboration of the State General Budget for 2022 and addresses the issue of the gender-sensitive budget;</w:t>
      </w:r>
    </w:p>
    <w:p w14:paraId="3A79B2E2" w14:textId="77777777" w:rsidR="00B418C0" w:rsidRPr="007C00B7" w:rsidRDefault="00B418C0" w:rsidP="00790AD5">
      <w:pPr>
        <w:pStyle w:val="ListParagraph"/>
        <w:numPr>
          <w:ilvl w:val="0"/>
          <w:numId w:val="40"/>
        </w:numPr>
      </w:pPr>
      <w:r w:rsidRPr="007C00B7">
        <w:t xml:space="preserve">Presidential Decree nº 234/19 of 22 July – Defines the amount to be allocated to each </w:t>
      </w:r>
      <w:r>
        <w:t>mu</w:t>
      </w:r>
      <w:r w:rsidRPr="007C00B7">
        <w:t>nicipality under the participatory budget;</w:t>
      </w:r>
    </w:p>
    <w:p w14:paraId="69D055F3" w14:textId="77777777" w:rsidR="00B418C0" w:rsidRDefault="00B418C0" w:rsidP="00B418C0"/>
    <w:p w14:paraId="787E40E9" w14:textId="77777777" w:rsidR="00B418C0" w:rsidRPr="00FC5933" w:rsidRDefault="00B418C0" w:rsidP="00B418C0">
      <w:pPr>
        <w:rPr>
          <w:b/>
        </w:rPr>
      </w:pPr>
      <w:r w:rsidRPr="00FC5933">
        <w:rPr>
          <w:b/>
        </w:rPr>
        <w:t>UNDP CORPORATE DOCUMENTS</w:t>
      </w:r>
    </w:p>
    <w:p w14:paraId="1E8D3198" w14:textId="77777777" w:rsidR="00B418C0" w:rsidRDefault="00B418C0" w:rsidP="00790AD5">
      <w:pPr>
        <w:pStyle w:val="ListParagraph"/>
        <w:numPr>
          <w:ilvl w:val="0"/>
          <w:numId w:val="41"/>
        </w:numPr>
      </w:pPr>
      <w:r>
        <w:t>UNDP Evaluation Guidelines Revised Edition: June 2021</w:t>
      </w:r>
    </w:p>
    <w:p w14:paraId="29B44CF1" w14:textId="77777777" w:rsidR="00B418C0" w:rsidRPr="007C00B7" w:rsidRDefault="00B418C0" w:rsidP="00790AD5">
      <w:pPr>
        <w:pStyle w:val="ListParagraph"/>
        <w:numPr>
          <w:ilvl w:val="0"/>
          <w:numId w:val="41"/>
        </w:numPr>
      </w:pPr>
      <w:r>
        <w:t xml:space="preserve">Handbook On Planning, Monitoring and </w:t>
      </w:r>
      <w:r w:rsidRPr="007C087A">
        <w:rPr>
          <w:rStyle w:val="SubtleEmphasis"/>
        </w:rPr>
        <w:t>Evaluating</w:t>
      </w:r>
      <w:r>
        <w:t xml:space="preserve"> for Development Results</w:t>
      </w:r>
    </w:p>
    <w:p w14:paraId="0071FF72" w14:textId="77777777" w:rsidR="00AA3518" w:rsidRDefault="00AA3518">
      <w:pPr>
        <w:sectPr w:rsidR="00AA3518" w:rsidSect="004F5E9E">
          <w:pgSz w:w="12240" w:h="15840"/>
          <w:pgMar w:top="1440" w:right="1440" w:bottom="1440" w:left="1440" w:header="720" w:footer="720" w:gutter="0"/>
          <w:cols w:space="720"/>
          <w:docGrid w:linePitch="360"/>
        </w:sectPr>
      </w:pPr>
    </w:p>
    <w:p w14:paraId="19339555" w14:textId="77777777" w:rsidR="007C5B31" w:rsidRPr="008F755B" w:rsidRDefault="007C5B31" w:rsidP="007C5B31">
      <w:pPr>
        <w:pStyle w:val="Heading1"/>
        <w:rPr>
          <w:rFonts w:asciiTheme="minorHAnsi" w:hAnsiTheme="minorHAnsi" w:cstheme="minorHAnsi"/>
          <w:sz w:val="22"/>
          <w:szCs w:val="22"/>
        </w:rPr>
      </w:pPr>
      <w:bookmarkStart w:id="88" w:name="_Toc88741831"/>
      <w:r w:rsidRPr="008F755B">
        <w:rPr>
          <w:rFonts w:asciiTheme="minorHAnsi" w:eastAsia="Times New Roman" w:hAnsiTheme="minorHAnsi" w:cstheme="minorHAnsi"/>
          <w:color w:val="365F91"/>
          <w:sz w:val="22"/>
          <w:szCs w:val="22"/>
          <w:lang w:eastAsia="pt-PT"/>
        </w:rPr>
        <w:lastRenderedPageBreak/>
        <w:t xml:space="preserve">Annex 7: </w:t>
      </w:r>
      <w:r w:rsidRPr="008F755B">
        <w:rPr>
          <w:rFonts w:asciiTheme="minorHAnsi" w:hAnsiTheme="minorHAnsi" w:cstheme="minorHAnsi"/>
          <w:sz w:val="22"/>
          <w:szCs w:val="22"/>
        </w:rPr>
        <w:t>Fostering Poverty Eradication and Inclusive Economic Growth</w:t>
      </w:r>
      <w:r w:rsidRPr="008F755B">
        <w:rPr>
          <w:rFonts w:asciiTheme="minorHAnsi" w:eastAsia="Times New Roman" w:hAnsiTheme="minorHAnsi" w:cstheme="minorHAnsi"/>
          <w:color w:val="365F91"/>
          <w:sz w:val="22"/>
          <w:szCs w:val="22"/>
          <w:lang w:eastAsia="pt-PT"/>
        </w:rPr>
        <w:t xml:space="preserve"> Results Template</w:t>
      </w:r>
      <w:bookmarkEnd w:id="88"/>
    </w:p>
    <w:tbl>
      <w:tblPr>
        <w:tblStyle w:val="TableGrid"/>
        <w:tblW w:w="0" w:type="auto"/>
        <w:tblLook w:val="04A0" w:firstRow="1" w:lastRow="0" w:firstColumn="1" w:lastColumn="0" w:noHBand="0" w:noVBand="1"/>
      </w:tblPr>
      <w:tblGrid>
        <w:gridCol w:w="2798"/>
        <w:gridCol w:w="2799"/>
        <w:gridCol w:w="2799"/>
        <w:gridCol w:w="2799"/>
        <w:gridCol w:w="2799"/>
      </w:tblGrid>
      <w:tr w:rsidR="002941DA" w:rsidRPr="00227337" w14:paraId="370772E9" w14:textId="77777777" w:rsidTr="00401ED9">
        <w:trPr>
          <w:tblHeader/>
        </w:trPr>
        <w:tc>
          <w:tcPr>
            <w:tcW w:w="2798" w:type="dxa"/>
            <w:shd w:val="clear" w:color="auto" w:fill="DBE5F1" w:themeFill="accent1" w:themeFillTint="33"/>
            <w:vAlign w:val="center"/>
          </w:tcPr>
          <w:p w14:paraId="39506A50" w14:textId="77777777" w:rsidR="002941DA" w:rsidRPr="00227337" w:rsidRDefault="002941DA" w:rsidP="002941DA">
            <w:pPr>
              <w:jc w:val="both"/>
              <w:rPr>
                <w:sz w:val="20"/>
                <w:szCs w:val="20"/>
              </w:rPr>
            </w:pPr>
            <w:r w:rsidRPr="00227337">
              <w:rPr>
                <w:rFonts w:ascii="Calibri" w:eastAsia="Times New Roman" w:hAnsi="Calibri" w:cs="Calibri"/>
                <w:b/>
                <w:bCs/>
                <w:color w:val="000000"/>
                <w:sz w:val="20"/>
                <w:szCs w:val="20"/>
                <w:lang w:eastAsia="pt-PT"/>
              </w:rPr>
              <w:t>Outcome/Outputs</w:t>
            </w:r>
          </w:p>
        </w:tc>
        <w:tc>
          <w:tcPr>
            <w:tcW w:w="2799" w:type="dxa"/>
            <w:shd w:val="clear" w:color="auto" w:fill="DBE5F1" w:themeFill="accent1" w:themeFillTint="33"/>
            <w:vAlign w:val="center"/>
          </w:tcPr>
          <w:p w14:paraId="5D0B4F4F" w14:textId="77777777" w:rsidR="002941DA" w:rsidRPr="00227337" w:rsidRDefault="002941DA" w:rsidP="002941DA">
            <w:pPr>
              <w:jc w:val="both"/>
              <w:rPr>
                <w:sz w:val="20"/>
                <w:szCs w:val="20"/>
              </w:rPr>
            </w:pPr>
            <w:r w:rsidRPr="00227337">
              <w:rPr>
                <w:rFonts w:ascii="Calibri" w:eastAsia="Times New Roman" w:hAnsi="Calibri" w:cs="Calibri"/>
                <w:b/>
                <w:bCs/>
                <w:color w:val="000000"/>
                <w:sz w:val="20"/>
                <w:szCs w:val="20"/>
                <w:lang w:eastAsia="pt-PT"/>
              </w:rPr>
              <w:t>Indicators</w:t>
            </w:r>
          </w:p>
        </w:tc>
        <w:tc>
          <w:tcPr>
            <w:tcW w:w="2799" w:type="dxa"/>
            <w:shd w:val="clear" w:color="auto" w:fill="DBE5F1" w:themeFill="accent1" w:themeFillTint="33"/>
            <w:vAlign w:val="center"/>
          </w:tcPr>
          <w:p w14:paraId="15EE7825" w14:textId="77777777" w:rsidR="002941DA" w:rsidRPr="00227337" w:rsidRDefault="002941DA" w:rsidP="002941DA">
            <w:pPr>
              <w:jc w:val="both"/>
              <w:rPr>
                <w:sz w:val="20"/>
                <w:szCs w:val="20"/>
              </w:rPr>
            </w:pPr>
            <w:r w:rsidRPr="00227337">
              <w:rPr>
                <w:rFonts w:ascii="Calibri" w:eastAsia="Times New Roman" w:hAnsi="Calibri" w:cs="Calibri"/>
                <w:b/>
                <w:bCs/>
                <w:color w:val="000000"/>
                <w:sz w:val="20"/>
                <w:szCs w:val="20"/>
                <w:lang w:eastAsia="pt-PT"/>
              </w:rPr>
              <w:t>Key Achievements at Mid-Term</w:t>
            </w:r>
          </w:p>
        </w:tc>
        <w:tc>
          <w:tcPr>
            <w:tcW w:w="2799" w:type="dxa"/>
            <w:shd w:val="clear" w:color="auto" w:fill="DBE5F1" w:themeFill="accent1" w:themeFillTint="33"/>
            <w:vAlign w:val="center"/>
          </w:tcPr>
          <w:p w14:paraId="7883F33D" w14:textId="77777777" w:rsidR="002941DA" w:rsidRPr="00227337" w:rsidRDefault="002941DA" w:rsidP="002941DA">
            <w:pPr>
              <w:jc w:val="both"/>
              <w:rPr>
                <w:rFonts w:ascii="Calibri" w:eastAsia="Times New Roman" w:hAnsi="Calibri" w:cs="Calibri"/>
                <w:b/>
                <w:bCs/>
                <w:color w:val="000000"/>
                <w:sz w:val="20"/>
                <w:szCs w:val="20"/>
                <w:lang w:eastAsia="pt-PT"/>
              </w:rPr>
            </w:pPr>
            <w:r w:rsidRPr="00227337">
              <w:rPr>
                <w:rFonts w:ascii="Calibri" w:eastAsia="Times New Roman" w:hAnsi="Calibri" w:cs="Calibri"/>
                <w:b/>
                <w:bCs/>
                <w:color w:val="000000"/>
                <w:sz w:val="20"/>
                <w:szCs w:val="20"/>
                <w:lang w:eastAsia="pt-PT"/>
              </w:rPr>
              <w:t>Factor Contributing to Achievement of Results</w:t>
            </w:r>
          </w:p>
          <w:p w14:paraId="79175628" w14:textId="77777777" w:rsidR="002941DA" w:rsidRPr="00227337" w:rsidRDefault="002941DA" w:rsidP="002941DA">
            <w:pPr>
              <w:jc w:val="both"/>
              <w:rPr>
                <w:sz w:val="20"/>
                <w:szCs w:val="20"/>
              </w:rPr>
            </w:pPr>
          </w:p>
        </w:tc>
        <w:tc>
          <w:tcPr>
            <w:tcW w:w="2799" w:type="dxa"/>
            <w:shd w:val="clear" w:color="auto" w:fill="DBE5F1" w:themeFill="accent1" w:themeFillTint="33"/>
            <w:vAlign w:val="center"/>
          </w:tcPr>
          <w:p w14:paraId="0F51250F" w14:textId="77777777" w:rsidR="002941DA" w:rsidRPr="00227337" w:rsidRDefault="002941DA" w:rsidP="002941DA">
            <w:pPr>
              <w:jc w:val="both"/>
              <w:rPr>
                <w:sz w:val="20"/>
                <w:szCs w:val="20"/>
              </w:rPr>
            </w:pPr>
            <w:r w:rsidRPr="00227337">
              <w:rPr>
                <w:rFonts w:ascii="Calibri" w:eastAsia="Times New Roman" w:hAnsi="Calibri" w:cs="Calibri"/>
                <w:b/>
                <w:bCs/>
                <w:color w:val="000000"/>
                <w:sz w:val="20"/>
                <w:szCs w:val="20"/>
                <w:lang w:eastAsia="pt-PT"/>
              </w:rPr>
              <w:t>Factors Contributing to Non-achievement of Results</w:t>
            </w:r>
          </w:p>
        </w:tc>
      </w:tr>
      <w:tr w:rsidR="002941DA" w:rsidRPr="00227337" w14:paraId="553DB516" w14:textId="77777777" w:rsidTr="00401ED9">
        <w:tc>
          <w:tcPr>
            <w:tcW w:w="13994" w:type="dxa"/>
            <w:gridSpan w:val="5"/>
            <w:tcBorders>
              <w:bottom w:val="nil"/>
            </w:tcBorders>
          </w:tcPr>
          <w:p w14:paraId="33D032E8" w14:textId="77777777" w:rsidR="002941DA" w:rsidRPr="00227337" w:rsidRDefault="002941DA" w:rsidP="002941DA">
            <w:pPr>
              <w:jc w:val="both"/>
              <w:rPr>
                <w:sz w:val="20"/>
                <w:szCs w:val="20"/>
              </w:rPr>
            </w:pPr>
            <w:r w:rsidRPr="00227337">
              <w:rPr>
                <w:rFonts w:ascii="Calibri" w:eastAsia="Times New Roman" w:hAnsi="Calibri" w:cs="Calibri"/>
                <w:b/>
                <w:bCs/>
                <w:i/>
                <w:iCs/>
                <w:color w:val="000000"/>
                <w:sz w:val="20"/>
                <w:szCs w:val="20"/>
                <w:lang w:eastAsia="pt-PT"/>
              </w:rPr>
              <w:t>UNDP CPD Outcome 1: By 2022, the Angolan population, particularly the most vulnerable (children, adolescents, youth, women, people with disabilities), have greater access to quality, integrated, social services as well as to a diversified, job and income-creating economy, thereby realizing their rights in accordance with the Goals.</w:t>
            </w:r>
          </w:p>
        </w:tc>
      </w:tr>
      <w:tr w:rsidR="002941DA" w:rsidRPr="00227337" w14:paraId="14E39B7F" w14:textId="77777777" w:rsidTr="00401ED9">
        <w:tc>
          <w:tcPr>
            <w:tcW w:w="2798" w:type="dxa"/>
            <w:vMerge w:val="restart"/>
            <w:vAlign w:val="center"/>
          </w:tcPr>
          <w:p w14:paraId="3B58FFC8" w14:textId="77777777" w:rsidR="002941DA" w:rsidRPr="00227337" w:rsidRDefault="002941DA" w:rsidP="002941DA">
            <w:pPr>
              <w:jc w:val="both"/>
              <w:rPr>
                <w:rFonts w:ascii="Calibri" w:hAnsi="Calibri" w:cs="Calibri"/>
                <w:sz w:val="20"/>
                <w:szCs w:val="20"/>
              </w:rPr>
            </w:pPr>
            <w:r w:rsidRPr="00227337">
              <w:rPr>
                <w:rFonts w:ascii="Calibri" w:hAnsi="Calibri" w:cs="Calibri"/>
                <w:b/>
                <w:sz w:val="20"/>
                <w:szCs w:val="20"/>
              </w:rPr>
              <w:t>Output 1.1</w:t>
            </w:r>
            <w:r w:rsidRPr="00227337">
              <w:rPr>
                <w:rFonts w:ascii="Calibri" w:hAnsi="Calibri" w:cs="Calibri"/>
                <w:sz w:val="20"/>
                <w:szCs w:val="20"/>
              </w:rPr>
              <w:t>. National and subnational institutions have strengthened technical capacities to develop, implement and monitor strategies and programmes to end extreme poverty.</w:t>
            </w:r>
          </w:p>
        </w:tc>
        <w:tc>
          <w:tcPr>
            <w:tcW w:w="2799" w:type="dxa"/>
            <w:tcBorders>
              <w:top w:val="nil"/>
              <w:left w:val="nil"/>
              <w:bottom w:val="single" w:sz="4" w:space="0" w:color="auto"/>
              <w:right w:val="single" w:sz="8" w:space="0" w:color="999999"/>
            </w:tcBorders>
            <w:shd w:val="clear" w:color="auto" w:fill="auto"/>
            <w:vAlign w:val="center"/>
          </w:tcPr>
          <w:p w14:paraId="60597FFC" w14:textId="77777777" w:rsidR="002941DA" w:rsidRPr="00227337" w:rsidRDefault="002941DA" w:rsidP="002941DA">
            <w:pPr>
              <w:jc w:val="both"/>
              <w:rPr>
                <w:rFonts w:ascii="Calibri" w:hAnsi="Calibri" w:cs="Calibri"/>
                <w:color w:val="000000"/>
                <w:sz w:val="20"/>
                <w:szCs w:val="20"/>
              </w:rPr>
            </w:pPr>
            <w:r w:rsidRPr="00227337">
              <w:rPr>
                <w:rFonts w:ascii="Calibri" w:hAnsi="Calibri" w:cs="Calibri"/>
                <w:b/>
                <w:bCs/>
                <w:color w:val="000000"/>
                <w:sz w:val="20"/>
                <w:szCs w:val="20"/>
              </w:rPr>
              <w:t>Indicator 1.1.1</w:t>
            </w:r>
            <w:r w:rsidRPr="00227337">
              <w:rPr>
                <w:rFonts w:ascii="Calibri" w:hAnsi="Calibri" w:cs="Calibri"/>
                <w:color w:val="000000"/>
                <w:sz w:val="20"/>
                <w:szCs w:val="20"/>
              </w:rPr>
              <w:t xml:space="preserve">. Extent to which national strategies and programmes to end poverty are developed, implemented, budgeted and monitored.   </w:t>
            </w:r>
          </w:p>
          <w:p w14:paraId="648FC8B3" w14:textId="77777777" w:rsidR="002941DA" w:rsidRPr="00227337" w:rsidRDefault="002941DA" w:rsidP="002941DA">
            <w:pPr>
              <w:jc w:val="both"/>
              <w:rPr>
                <w:rFonts w:ascii="Calibri" w:hAnsi="Calibri" w:cs="Calibri"/>
                <w:b/>
                <w:color w:val="000000"/>
                <w:sz w:val="20"/>
                <w:szCs w:val="20"/>
              </w:rPr>
            </w:pPr>
            <w:r w:rsidRPr="00227337">
              <w:rPr>
                <w:rFonts w:ascii="Calibri" w:hAnsi="Calibri" w:cs="Calibri"/>
                <w:b/>
                <w:color w:val="000000"/>
                <w:sz w:val="20"/>
                <w:szCs w:val="20"/>
              </w:rPr>
              <w:t>Baseline: 2</w:t>
            </w:r>
          </w:p>
          <w:p w14:paraId="7B137947" w14:textId="77777777" w:rsidR="002941DA" w:rsidRPr="00227337" w:rsidRDefault="002941DA" w:rsidP="002941DA">
            <w:pPr>
              <w:jc w:val="both"/>
              <w:rPr>
                <w:rFonts w:ascii="Calibri" w:hAnsi="Calibri" w:cs="Calibri"/>
                <w:b/>
                <w:bCs/>
                <w:color w:val="000000"/>
                <w:sz w:val="20"/>
                <w:szCs w:val="20"/>
              </w:rPr>
            </w:pPr>
            <w:r w:rsidRPr="00227337">
              <w:rPr>
                <w:rFonts w:ascii="Calibri" w:hAnsi="Calibri" w:cs="Calibri"/>
                <w:b/>
                <w:color w:val="000000"/>
                <w:sz w:val="20"/>
                <w:szCs w:val="20"/>
              </w:rPr>
              <w:t>Target: 5</w:t>
            </w:r>
          </w:p>
          <w:p w14:paraId="35209B78" w14:textId="77777777" w:rsidR="002941DA" w:rsidRPr="00227337" w:rsidRDefault="002941DA" w:rsidP="002941DA">
            <w:pPr>
              <w:jc w:val="both"/>
              <w:rPr>
                <w:rFonts w:ascii="Calibri" w:hAnsi="Calibri" w:cs="Calibri"/>
                <w:b/>
                <w:bCs/>
                <w:color w:val="000000"/>
                <w:sz w:val="20"/>
                <w:szCs w:val="20"/>
              </w:rPr>
            </w:pPr>
          </w:p>
        </w:tc>
        <w:tc>
          <w:tcPr>
            <w:tcW w:w="2799" w:type="dxa"/>
          </w:tcPr>
          <w:p w14:paraId="3EF91C0B" w14:textId="6708A76B" w:rsidR="002941DA" w:rsidRPr="00227337" w:rsidRDefault="002941DA" w:rsidP="002941DA">
            <w:pPr>
              <w:jc w:val="both"/>
              <w:rPr>
                <w:rFonts w:ascii="Calibri" w:hAnsi="Calibri" w:cs="Calibri"/>
                <w:sz w:val="20"/>
                <w:szCs w:val="20"/>
              </w:rPr>
            </w:pPr>
            <w:r w:rsidRPr="00227337">
              <w:rPr>
                <w:rFonts w:ascii="Calibri" w:hAnsi="Calibri" w:cs="Calibri"/>
                <w:sz w:val="20"/>
                <w:szCs w:val="20"/>
              </w:rPr>
              <w:t>Support for government in elaboration of   National Voluntary report. The iSDG model accepted to be established in government as basis for planning process.</w:t>
            </w:r>
          </w:p>
          <w:p w14:paraId="75B5967A" w14:textId="77777777" w:rsidR="002941DA" w:rsidRPr="00227337" w:rsidRDefault="002941DA" w:rsidP="002941DA">
            <w:pPr>
              <w:jc w:val="both"/>
              <w:rPr>
                <w:rFonts w:ascii="Calibri" w:hAnsi="Calibri" w:cs="Calibri"/>
                <w:sz w:val="20"/>
                <w:szCs w:val="20"/>
              </w:rPr>
            </w:pPr>
          </w:p>
          <w:p w14:paraId="525AC745" w14:textId="77777777" w:rsidR="002941DA" w:rsidRPr="00227337" w:rsidRDefault="002941DA" w:rsidP="002941DA">
            <w:pPr>
              <w:jc w:val="both"/>
              <w:rPr>
                <w:rFonts w:ascii="Calibri" w:hAnsi="Calibri" w:cs="Calibri"/>
                <w:b/>
                <w:sz w:val="20"/>
                <w:szCs w:val="20"/>
              </w:rPr>
            </w:pPr>
            <w:r w:rsidRPr="00227337">
              <w:rPr>
                <w:rFonts w:ascii="Calibri" w:hAnsi="Calibri" w:cs="Calibri"/>
                <w:b/>
                <w:sz w:val="20"/>
                <w:szCs w:val="20"/>
              </w:rPr>
              <w:t>Rating: 3</w:t>
            </w:r>
          </w:p>
        </w:tc>
        <w:tc>
          <w:tcPr>
            <w:tcW w:w="2799" w:type="dxa"/>
            <w:vAlign w:val="center"/>
          </w:tcPr>
          <w:p w14:paraId="7F9B9321" w14:textId="3C82C2BE" w:rsidR="002941DA" w:rsidRPr="00227337" w:rsidRDefault="002941DA" w:rsidP="002941DA">
            <w:pPr>
              <w:jc w:val="both"/>
              <w:rPr>
                <w:rFonts w:ascii="Calibri" w:hAnsi="Calibri" w:cs="Calibri"/>
                <w:sz w:val="20"/>
                <w:szCs w:val="20"/>
              </w:rPr>
            </w:pPr>
            <w:r w:rsidRPr="00227337">
              <w:rPr>
                <w:rFonts w:ascii="Calibri" w:hAnsi="Calibri" w:cs="Calibri"/>
                <w:sz w:val="20"/>
                <w:szCs w:val="20"/>
              </w:rPr>
              <w:t>Political will and government interest in achievement of key SDG indicators.</w:t>
            </w:r>
          </w:p>
        </w:tc>
        <w:tc>
          <w:tcPr>
            <w:tcW w:w="2799" w:type="dxa"/>
          </w:tcPr>
          <w:p w14:paraId="0E685CDE" w14:textId="77777777" w:rsidR="002941DA" w:rsidRPr="00227337" w:rsidRDefault="002941DA" w:rsidP="002941DA">
            <w:pPr>
              <w:jc w:val="both"/>
              <w:rPr>
                <w:rFonts w:ascii="Calibri" w:hAnsi="Calibri" w:cs="Calibri"/>
                <w:sz w:val="20"/>
                <w:szCs w:val="20"/>
              </w:rPr>
            </w:pPr>
          </w:p>
          <w:p w14:paraId="54BF5822" w14:textId="77777777" w:rsidR="002941DA" w:rsidRPr="00227337" w:rsidRDefault="002941DA" w:rsidP="002941DA">
            <w:pPr>
              <w:jc w:val="both"/>
              <w:rPr>
                <w:rFonts w:ascii="Calibri" w:hAnsi="Calibri" w:cs="Calibri"/>
                <w:sz w:val="20"/>
                <w:szCs w:val="20"/>
              </w:rPr>
            </w:pPr>
          </w:p>
          <w:p w14:paraId="4BA505FD" w14:textId="77777777" w:rsidR="002941DA" w:rsidRPr="00227337" w:rsidRDefault="002941DA" w:rsidP="002941DA">
            <w:pPr>
              <w:jc w:val="both"/>
              <w:rPr>
                <w:rFonts w:ascii="Calibri" w:hAnsi="Calibri" w:cs="Calibri"/>
                <w:sz w:val="20"/>
                <w:szCs w:val="20"/>
              </w:rPr>
            </w:pPr>
            <w:r w:rsidRPr="00227337">
              <w:rPr>
                <w:rFonts w:ascii="Calibri" w:hAnsi="Calibri" w:cs="Calibri"/>
                <w:sz w:val="20"/>
                <w:szCs w:val="20"/>
              </w:rPr>
              <w:t>Continued reduced state budget for priority areas</w:t>
            </w:r>
          </w:p>
        </w:tc>
      </w:tr>
      <w:tr w:rsidR="002941DA" w:rsidRPr="00227337" w14:paraId="5ADF8F74" w14:textId="77777777" w:rsidTr="00401ED9">
        <w:tc>
          <w:tcPr>
            <w:tcW w:w="2798" w:type="dxa"/>
            <w:vMerge/>
          </w:tcPr>
          <w:p w14:paraId="7AD10FC7" w14:textId="77777777" w:rsidR="002941DA" w:rsidRPr="00227337" w:rsidRDefault="002941DA" w:rsidP="002941DA">
            <w:pPr>
              <w:jc w:val="both"/>
              <w:rPr>
                <w:rFonts w:ascii="Calibri" w:hAnsi="Calibri" w:cs="Calibri"/>
                <w:sz w:val="20"/>
                <w:szCs w:val="20"/>
              </w:rPr>
            </w:pPr>
          </w:p>
        </w:tc>
        <w:tc>
          <w:tcPr>
            <w:tcW w:w="2799" w:type="dxa"/>
            <w:tcBorders>
              <w:top w:val="single" w:sz="4" w:space="0" w:color="auto"/>
              <w:left w:val="nil"/>
              <w:bottom w:val="single" w:sz="4" w:space="0" w:color="auto"/>
              <w:right w:val="single" w:sz="4" w:space="0" w:color="auto"/>
            </w:tcBorders>
            <w:shd w:val="clear" w:color="auto" w:fill="auto"/>
            <w:vAlign w:val="center"/>
          </w:tcPr>
          <w:p w14:paraId="415751C9" w14:textId="77777777" w:rsidR="002941DA" w:rsidRPr="00227337" w:rsidRDefault="002941DA" w:rsidP="002941DA">
            <w:pPr>
              <w:jc w:val="both"/>
              <w:rPr>
                <w:rFonts w:ascii="Calibri" w:hAnsi="Calibri" w:cs="Calibri"/>
                <w:color w:val="000000"/>
                <w:sz w:val="20"/>
                <w:szCs w:val="20"/>
              </w:rPr>
            </w:pPr>
            <w:r w:rsidRPr="00227337">
              <w:rPr>
                <w:rFonts w:ascii="Calibri" w:hAnsi="Calibri" w:cs="Calibri"/>
                <w:b/>
                <w:bCs/>
                <w:color w:val="000000"/>
                <w:sz w:val="20"/>
                <w:szCs w:val="20"/>
              </w:rPr>
              <w:t>Indicator1.1</w:t>
            </w:r>
            <w:r w:rsidRPr="00227337">
              <w:rPr>
                <w:rFonts w:ascii="Calibri" w:hAnsi="Calibri" w:cs="Calibri"/>
                <w:color w:val="000000"/>
                <w:sz w:val="20"/>
                <w:szCs w:val="20"/>
              </w:rPr>
              <w:t>.</w:t>
            </w:r>
            <w:r w:rsidRPr="00227337">
              <w:rPr>
                <w:rFonts w:ascii="Calibri" w:hAnsi="Calibri" w:cs="Calibri"/>
                <w:b/>
                <w:bCs/>
                <w:color w:val="000000"/>
                <w:sz w:val="20"/>
                <w:szCs w:val="20"/>
              </w:rPr>
              <w:t xml:space="preserve">2 </w:t>
            </w:r>
            <w:r w:rsidRPr="00227337">
              <w:rPr>
                <w:rFonts w:ascii="Calibri" w:hAnsi="Calibri" w:cs="Calibri"/>
                <w:color w:val="000000"/>
                <w:sz w:val="20"/>
                <w:szCs w:val="20"/>
              </w:rPr>
              <w:t xml:space="preserve">Existence of national platform to operationalize strategies to tackle multidimensional poverty and promote the Goals. </w:t>
            </w:r>
          </w:p>
          <w:p w14:paraId="4DE955AC" w14:textId="77777777" w:rsidR="002941DA" w:rsidRPr="00227337" w:rsidRDefault="002941DA" w:rsidP="002941DA">
            <w:pPr>
              <w:jc w:val="both"/>
              <w:rPr>
                <w:rFonts w:ascii="Calibri" w:hAnsi="Calibri" w:cs="Calibri"/>
                <w:b/>
                <w:color w:val="000000"/>
                <w:sz w:val="20"/>
                <w:szCs w:val="20"/>
              </w:rPr>
            </w:pPr>
            <w:r w:rsidRPr="00227337">
              <w:rPr>
                <w:rFonts w:ascii="Calibri" w:hAnsi="Calibri" w:cs="Calibri"/>
                <w:b/>
                <w:color w:val="000000"/>
                <w:sz w:val="20"/>
                <w:szCs w:val="20"/>
              </w:rPr>
              <w:t>Baseline: No</w:t>
            </w:r>
          </w:p>
          <w:p w14:paraId="0B889688" w14:textId="77777777" w:rsidR="002941DA" w:rsidRPr="00227337" w:rsidRDefault="002941DA" w:rsidP="002941DA">
            <w:pPr>
              <w:jc w:val="both"/>
              <w:rPr>
                <w:rFonts w:ascii="Calibri" w:hAnsi="Calibri" w:cs="Calibri"/>
                <w:b/>
                <w:bCs/>
                <w:color w:val="000000"/>
                <w:sz w:val="20"/>
                <w:szCs w:val="20"/>
              </w:rPr>
            </w:pPr>
            <w:r w:rsidRPr="00227337">
              <w:rPr>
                <w:rFonts w:ascii="Calibri" w:hAnsi="Calibri" w:cs="Calibri"/>
                <w:b/>
                <w:color w:val="000000"/>
                <w:sz w:val="20"/>
                <w:szCs w:val="20"/>
              </w:rPr>
              <w:t>Target: Yes</w:t>
            </w:r>
          </w:p>
          <w:p w14:paraId="12039A3A" w14:textId="77777777" w:rsidR="002941DA" w:rsidRPr="00227337" w:rsidRDefault="002941DA" w:rsidP="002941DA">
            <w:pPr>
              <w:jc w:val="both"/>
              <w:rPr>
                <w:rFonts w:ascii="Calibri" w:hAnsi="Calibri" w:cs="Calibri"/>
                <w:b/>
                <w:bCs/>
                <w:color w:val="000000"/>
                <w:sz w:val="20"/>
                <w:szCs w:val="20"/>
              </w:rPr>
            </w:pPr>
          </w:p>
        </w:tc>
        <w:tc>
          <w:tcPr>
            <w:tcW w:w="2799" w:type="dxa"/>
            <w:tcBorders>
              <w:left w:val="single" w:sz="4" w:space="0" w:color="auto"/>
            </w:tcBorders>
            <w:vAlign w:val="center"/>
          </w:tcPr>
          <w:p w14:paraId="2F406D1A" w14:textId="77777777" w:rsidR="002941DA" w:rsidRPr="00227337" w:rsidRDefault="002941DA" w:rsidP="002941DA">
            <w:pPr>
              <w:jc w:val="both"/>
              <w:rPr>
                <w:rFonts w:ascii="Calibri" w:hAnsi="Calibri" w:cs="Calibri"/>
                <w:color w:val="000000"/>
                <w:sz w:val="20"/>
                <w:szCs w:val="20"/>
              </w:rPr>
            </w:pPr>
            <w:r w:rsidRPr="00227337">
              <w:rPr>
                <w:rFonts w:ascii="Calibri" w:hAnsi="Calibri" w:cs="Calibri"/>
                <w:color w:val="000000"/>
                <w:sz w:val="20"/>
                <w:szCs w:val="20"/>
              </w:rPr>
              <w:t>National Multidimension Poverty Indicator established and two MPI reports based in domestic statistics were also published.</w:t>
            </w:r>
          </w:p>
          <w:p w14:paraId="55A6439A" w14:textId="77777777" w:rsidR="002941DA" w:rsidRPr="00227337" w:rsidRDefault="002941DA" w:rsidP="002941DA">
            <w:pPr>
              <w:jc w:val="both"/>
              <w:rPr>
                <w:rFonts w:ascii="Calibri" w:hAnsi="Calibri" w:cs="Calibri"/>
                <w:color w:val="000000"/>
                <w:sz w:val="20"/>
                <w:szCs w:val="20"/>
              </w:rPr>
            </w:pPr>
          </w:p>
          <w:p w14:paraId="667C5DE2" w14:textId="77777777" w:rsidR="002941DA" w:rsidRPr="00227337" w:rsidRDefault="002941DA" w:rsidP="002941DA">
            <w:pPr>
              <w:jc w:val="both"/>
              <w:rPr>
                <w:rFonts w:ascii="Calibri" w:hAnsi="Calibri" w:cs="Calibri"/>
                <w:color w:val="000000"/>
                <w:sz w:val="20"/>
                <w:szCs w:val="20"/>
              </w:rPr>
            </w:pPr>
            <w:r w:rsidRPr="00227337">
              <w:rPr>
                <w:rFonts w:ascii="Calibri" w:hAnsi="Calibri" w:cs="Calibri"/>
                <w:b/>
                <w:sz w:val="20"/>
                <w:szCs w:val="20"/>
              </w:rPr>
              <w:t>Rating: 3</w:t>
            </w:r>
          </w:p>
        </w:tc>
        <w:tc>
          <w:tcPr>
            <w:tcW w:w="2799" w:type="dxa"/>
            <w:vAlign w:val="center"/>
          </w:tcPr>
          <w:p w14:paraId="4C2A995E" w14:textId="255016DA" w:rsidR="002941DA" w:rsidRPr="00227337" w:rsidRDefault="002941DA" w:rsidP="002941DA">
            <w:pPr>
              <w:jc w:val="both"/>
              <w:rPr>
                <w:rFonts w:ascii="Calibri" w:hAnsi="Calibri" w:cs="Calibri"/>
                <w:color w:val="000000"/>
                <w:sz w:val="20"/>
                <w:szCs w:val="20"/>
              </w:rPr>
            </w:pPr>
            <w:r w:rsidRPr="00227337">
              <w:rPr>
                <w:rFonts w:ascii="Calibri" w:hAnsi="Calibri" w:cs="Calibri"/>
                <w:color w:val="000000"/>
                <w:sz w:val="20"/>
                <w:szCs w:val="20"/>
              </w:rPr>
              <w:t xml:space="preserve">There is growing interest from government on evidence-based planning and budgeting. </w:t>
            </w:r>
          </w:p>
        </w:tc>
        <w:tc>
          <w:tcPr>
            <w:tcW w:w="2799" w:type="dxa"/>
            <w:vAlign w:val="center"/>
          </w:tcPr>
          <w:p w14:paraId="194A8511" w14:textId="0C897DCB" w:rsidR="002941DA" w:rsidRPr="00227337" w:rsidRDefault="002941DA" w:rsidP="002941DA">
            <w:pPr>
              <w:jc w:val="both"/>
              <w:rPr>
                <w:rFonts w:ascii="Calibri" w:hAnsi="Calibri" w:cs="Calibri"/>
                <w:color w:val="000000"/>
                <w:sz w:val="20"/>
                <w:szCs w:val="20"/>
              </w:rPr>
            </w:pPr>
            <w:r w:rsidRPr="00227337">
              <w:rPr>
                <w:rFonts w:ascii="Calibri" w:hAnsi="Calibri" w:cs="Calibri"/>
                <w:color w:val="000000"/>
                <w:sz w:val="20"/>
                <w:szCs w:val="20"/>
              </w:rPr>
              <w:t>Covid-situation has delayed the realization of</w:t>
            </w:r>
            <w:r>
              <w:rPr>
                <w:rFonts w:ascii="Calibri" w:hAnsi="Calibri" w:cs="Calibri"/>
                <w:color w:val="000000"/>
                <w:sz w:val="20"/>
                <w:szCs w:val="20"/>
              </w:rPr>
              <w:t xml:space="preserve"> </w:t>
            </w:r>
            <w:r w:rsidRPr="00227337">
              <w:rPr>
                <w:rFonts w:ascii="Calibri" w:hAnsi="Calibri" w:cs="Calibri"/>
                <w:color w:val="000000"/>
                <w:sz w:val="20"/>
                <w:szCs w:val="20"/>
              </w:rPr>
              <w:t xml:space="preserve">The Multiple Indicator Cluster Surveys (MICS) and </w:t>
            </w:r>
            <w:r w:rsidRPr="00227337">
              <w:rPr>
                <w:rFonts w:ascii="Calibri" w:hAnsi="Calibri" w:cs="Calibri"/>
                <w:color w:val="000000"/>
                <w:sz w:val="20"/>
                <w:szCs w:val="20"/>
              </w:rPr>
              <w:br/>
              <w:t>Household Income Survey, critical tools for updating the MPI</w:t>
            </w:r>
          </w:p>
        </w:tc>
      </w:tr>
      <w:tr w:rsidR="002941DA" w:rsidRPr="00227337" w14:paraId="10C19B7D" w14:textId="77777777" w:rsidTr="00401ED9">
        <w:tc>
          <w:tcPr>
            <w:tcW w:w="2798" w:type="dxa"/>
            <w:vMerge w:val="restart"/>
            <w:vAlign w:val="center"/>
          </w:tcPr>
          <w:p w14:paraId="4D8F2A69" w14:textId="77777777" w:rsidR="002941DA" w:rsidRPr="00227337" w:rsidRDefault="002941DA" w:rsidP="002941DA">
            <w:pPr>
              <w:jc w:val="both"/>
              <w:rPr>
                <w:rFonts w:ascii="Calibri" w:hAnsi="Calibri" w:cs="Calibri"/>
                <w:sz w:val="20"/>
                <w:szCs w:val="20"/>
              </w:rPr>
            </w:pPr>
            <w:r w:rsidRPr="00227337">
              <w:rPr>
                <w:rFonts w:ascii="Calibri" w:hAnsi="Calibri" w:cs="Calibri"/>
                <w:b/>
                <w:sz w:val="20"/>
                <w:szCs w:val="20"/>
              </w:rPr>
              <w:t>Output 1.2.</w:t>
            </w:r>
            <w:r w:rsidRPr="00227337">
              <w:rPr>
                <w:rFonts w:ascii="Calibri" w:hAnsi="Calibri" w:cs="Calibri"/>
                <w:sz w:val="20"/>
                <w:szCs w:val="20"/>
              </w:rPr>
              <w:t xml:space="preserve"> National institutions and programmes support job creation and inclusive growth through the strengthening of micro, small and medium-size enterprises (MSMEs) and professional skills development, particularly for women and youth</w:t>
            </w:r>
          </w:p>
        </w:tc>
        <w:tc>
          <w:tcPr>
            <w:tcW w:w="2799" w:type="dxa"/>
            <w:tcBorders>
              <w:top w:val="single" w:sz="4" w:space="0" w:color="auto"/>
              <w:left w:val="nil"/>
              <w:bottom w:val="single" w:sz="4" w:space="0" w:color="auto"/>
              <w:right w:val="single" w:sz="4" w:space="0" w:color="auto"/>
            </w:tcBorders>
            <w:shd w:val="clear" w:color="auto" w:fill="auto"/>
            <w:vAlign w:val="center"/>
          </w:tcPr>
          <w:p w14:paraId="085ACCBF" w14:textId="77777777" w:rsidR="002941DA" w:rsidRPr="00227337" w:rsidRDefault="002941DA" w:rsidP="002941DA">
            <w:pPr>
              <w:jc w:val="both"/>
              <w:rPr>
                <w:rFonts w:ascii="Calibri" w:hAnsi="Calibri" w:cs="Calibri"/>
                <w:color w:val="000000"/>
                <w:sz w:val="20"/>
                <w:szCs w:val="20"/>
              </w:rPr>
            </w:pPr>
            <w:r w:rsidRPr="00227337">
              <w:rPr>
                <w:rFonts w:ascii="Calibri" w:hAnsi="Calibri" w:cs="Calibri"/>
                <w:color w:val="000000"/>
                <w:sz w:val="20"/>
                <w:szCs w:val="20"/>
              </w:rPr>
              <w:t>I</w:t>
            </w:r>
            <w:r w:rsidRPr="00227337">
              <w:rPr>
                <w:rFonts w:ascii="Calibri" w:hAnsi="Calibri" w:cs="Calibri"/>
                <w:b/>
                <w:bCs/>
                <w:color w:val="000000"/>
                <w:sz w:val="20"/>
                <w:szCs w:val="20"/>
              </w:rPr>
              <w:t>ndicator 1.2.1</w:t>
            </w:r>
            <w:r w:rsidRPr="00227337">
              <w:rPr>
                <w:rFonts w:ascii="Calibri" w:hAnsi="Calibri" w:cs="Calibri"/>
                <w:color w:val="000000"/>
                <w:sz w:val="20"/>
                <w:szCs w:val="20"/>
              </w:rPr>
              <w:t xml:space="preserve">. Number of high-quality plans, strategies and analytical reports on labour market and entrepreneurship ecosystem produced, disaggregated data by sex, age and geographical location. </w:t>
            </w:r>
          </w:p>
          <w:p w14:paraId="1E6D839F" w14:textId="77777777" w:rsidR="002941DA" w:rsidRPr="00227337" w:rsidRDefault="002941DA" w:rsidP="002941DA">
            <w:pPr>
              <w:jc w:val="both"/>
              <w:rPr>
                <w:rFonts w:ascii="Calibri" w:hAnsi="Calibri" w:cs="Calibri"/>
                <w:b/>
                <w:color w:val="000000"/>
                <w:sz w:val="20"/>
                <w:szCs w:val="20"/>
              </w:rPr>
            </w:pPr>
            <w:r w:rsidRPr="00227337">
              <w:rPr>
                <w:rFonts w:ascii="Calibri" w:hAnsi="Calibri" w:cs="Calibri"/>
                <w:b/>
                <w:color w:val="000000"/>
                <w:sz w:val="20"/>
                <w:szCs w:val="20"/>
              </w:rPr>
              <w:t>Baseline: 1</w:t>
            </w:r>
          </w:p>
          <w:p w14:paraId="6A5F2222" w14:textId="77777777" w:rsidR="002941DA" w:rsidRPr="00227337" w:rsidRDefault="002941DA" w:rsidP="002941DA">
            <w:pPr>
              <w:jc w:val="both"/>
              <w:rPr>
                <w:rFonts w:ascii="Calibri" w:hAnsi="Calibri" w:cs="Calibri"/>
                <w:b/>
                <w:color w:val="000000"/>
                <w:sz w:val="20"/>
                <w:szCs w:val="20"/>
              </w:rPr>
            </w:pPr>
            <w:r w:rsidRPr="00227337">
              <w:rPr>
                <w:rFonts w:ascii="Calibri" w:hAnsi="Calibri" w:cs="Calibri"/>
                <w:b/>
                <w:color w:val="000000"/>
                <w:sz w:val="20"/>
                <w:szCs w:val="20"/>
              </w:rPr>
              <w:t xml:space="preserve">Target: 5 </w:t>
            </w:r>
          </w:p>
          <w:p w14:paraId="5EAD551B" w14:textId="77777777" w:rsidR="002941DA" w:rsidRPr="00227337" w:rsidRDefault="002941DA" w:rsidP="002941DA">
            <w:pPr>
              <w:jc w:val="both"/>
              <w:rPr>
                <w:rFonts w:ascii="Calibri" w:hAnsi="Calibri" w:cs="Calibri"/>
                <w:b/>
                <w:color w:val="000000"/>
                <w:sz w:val="20"/>
                <w:szCs w:val="20"/>
              </w:rPr>
            </w:pPr>
          </w:p>
        </w:tc>
        <w:tc>
          <w:tcPr>
            <w:tcW w:w="2799" w:type="dxa"/>
            <w:tcBorders>
              <w:left w:val="single" w:sz="4" w:space="0" w:color="auto"/>
            </w:tcBorders>
            <w:vAlign w:val="center"/>
          </w:tcPr>
          <w:p w14:paraId="3AA6D615" w14:textId="4153BAD7" w:rsidR="002941DA" w:rsidRPr="00227337" w:rsidRDefault="002941DA" w:rsidP="002941DA">
            <w:pPr>
              <w:jc w:val="both"/>
              <w:rPr>
                <w:rFonts w:ascii="Calibri" w:hAnsi="Calibri" w:cs="Calibri"/>
                <w:color w:val="000000"/>
                <w:sz w:val="20"/>
                <w:szCs w:val="20"/>
              </w:rPr>
            </w:pPr>
            <w:r w:rsidRPr="00227337">
              <w:rPr>
                <w:rFonts w:ascii="Calibri" w:hAnsi="Calibri" w:cs="Calibri"/>
                <w:color w:val="000000"/>
                <w:sz w:val="20"/>
                <w:szCs w:val="20"/>
              </w:rPr>
              <w:t xml:space="preserve">The study on   skills supply and demand on labour market in Huila province. Provision of 600 scholarships for young people to attend vocational training courses and professional internships with private sector. </w:t>
            </w:r>
          </w:p>
          <w:p w14:paraId="2D6FC556" w14:textId="77777777" w:rsidR="002941DA" w:rsidRPr="00227337" w:rsidRDefault="002941DA" w:rsidP="002941DA">
            <w:pPr>
              <w:jc w:val="both"/>
              <w:rPr>
                <w:rFonts w:ascii="Calibri" w:hAnsi="Calibri" w:cs="Calibri"/>
                <w:color w:val="000000"/>
                <w:sz w:val="20"/>
                <w:szCs w:val="20"/>
              </w:rPr>
            </w:pPr>
          </w:p>
          <w:p w14:paraId="33F248B0" w14:textId="77777777" w:rsidR="002941DA" w:rsidRPr="00227337" w:rsidRDefault="002941DA" w:rsidP="002941DA">
            <w:pPr>
              <w:jc w:val="both"/>
              <w:rPr>
                <w:rFonts w:ascii="Calibri" w:hAnsi="Calibri" w:cs="Calibri"/>
                <w:color w:val="000000"/>
                <w:sz w:val="20"/>
                <w:szCs w:val="20"/>
              </w:rPr>
            </w:pPr>
            <w:r w:rsidRPr="00227337">
              <w:rPr>
                <w:rFonts w:ascii="Calibri" w:hAnsi="Calibri" w:cs="Calibri"/>
                <w:b/>
                <w:sz w:val="20"/>
                <w:szCs w:val="20"/>
              </w:rPr>
              <w:t>Rating: 3</w:t>
            </w:r>
          </w:p>
        </w:tc>
        <w:tc>
          <w:tcPr>
            <w:tcW w:w="2799" w:type="dxa"/>
            <w:vAlign w:val="center"/>
          </w:tcPr>
          <w:p w14:paraId="70DB569C" w14:textId="0D224135" w:rsidR="002941DA" w:rsidRPr="00227337" w:rsidRDefault="002941DA" w:rsidP="002941DA">
            <w:pPr>
              <w:jc w:val="both"/>
              <w:rPr>
                <w:rFonts w:ascii="Calibri" w:hAnsi="Calibri" w:cs="Calibri"/>
                <w:color w:val="000000"/>
                <w:sz w:val="20"/>
                <w:szCs w:val="20"/>
              </w:rPr>
            </w:pPr>
            <w:r w:rsidRPr="00227337">
              <w:rPr>
                <w:rFonts w:ascii="Calibri" w:hAnsi="Calibri" w:cs="Calibri"/>
                <w:color w:val="000000"/>
                <w:sz w:val="20"/>
                <w:szCs w:val="20"/>
              </w:rPr>
              <w:t>The assessment of level of implementation and impact of skills development has led to review the targets of the National Programme on Promotion of Youth employment and also the revision of the curricula of vocational training education.</w:t>
            </w:r>
          </w:p>
        </w:tc>
        <w:tc>
          <w:tcPr>
            <w:tcW w:w="2799" w:type="dxa"/>
            <w:vAlign w:val="center"/>
          </w:tcPr>
          <w:p w14:paraId="2996943C" w14:textId="313373D0" w:rsidR="002941DA" w:rsidRPr="00227337" w:rsidRDefault="002941DA" w:rsidP="002941DA">
            <w:pPr>
              <w:jc w:val="both"/>
              <w:rPr>
                <w:rFonts w:ascii="Calibri" w:hAnsi="Calibri" w:cs="Calibri"/>
                <w:color w:val="000000"/>
                <w:sz w:val="20"/>
                <w:szCs w:val="20"/>
              </w:rPr>
            </w:pPr>
            <w:r w:rsidRPr="00227337">
              <w:rPr>
                <w:rFonts w:ascii="Calibri" w:hAnsi="Calibri" w:cs="Calibri"/>
                <w:color w:val="000000"/>
                <w:sz w:val="20"/>
                <w:szCs w:val="20"/>
              </w:rPr>
              <w:t xml:space="preserve">Professional internship we severely </w:t>
            </w:r>
          </w:p>
        </w:tc>
      </w:tr>
      <w:tr w:rsidR="002941DA" w:rsidRPr="00227337" w14:paraId="3840FE13" w14:textId="77777777" w:rsidTr="00401ED9">
        <w:tc>
          <w:tcPr>
            <w:tcW w:w="2798" w:type="dxa"/>
            <w:vMerge/>
          </w:tcPr>
          <w:p w14:paraId="6E76CE25" w14:textId="77777777" w:rsidR="002941DA" w:rsidRPr="00227337" w:rsidRDefault="002941DA" w:rsidP="002941DA">
            <w:pPr>
              <w:jc w:val="both"/>
              <w:rPr>
                <w:rFonts w:ascii="Calibri" w:hAnsi="Calibri" w:cs="Calibri"/>
                <w:sz w:val="20"/>
                <w:szCs w:val="20"/>
              </w:rPr>
            </w:pPr>
          </w:p>
        </w:tc>
        <w:tc>
          <w:tcPr>
            <w:tcW w:w="2799" w:type="dxa"/>
            <w:tcBorders>
              <w:top w:val="single" w:sz="4" w:space="0" w:color="auto"/>
            </w:tcBorders>
          </w:tcPr>
          <w:p w14:paraId="5ECF4312" w14:textId="77777777" w:rsidR="002941DA" w:rsidRPr="00227337" w:rsidRDefault="002941DA" w:rsidP="002941DA">
            <w:pPr>
              <w:jc w:val="both"/>
              <w:rPr>
                <w:rFonts w:ascii="Calibri" w:hAnsi="Calibri" w:cs="Calibri"/>
                <w:color w:val="000000"/>
                <w:sz w:val="20"/>
                <w:szCs w:val="20"/>
              </w:rPr>
            </w:pPr>
            <w:r w:rsidRPr="00227337">
              <w:rPr>
                <w:rFonts w:ascii="Calibri" w:hAnsi="Calibri" w:cs="Calibri"/>
                <w:b/>
                <w:bCs/>
                <w:color w:val="000000"/>
                <w:sz w:val="20"/>
                <w:szCs w:val="20"/>
              </w:rPr>
              <w:t>Indicator 1.2.2</w:t>
            </w:r>
            <w:r w:rsidRPr="00227337">
              <w:rPr>
                <w:rFonts w:ascii="Calibri" w:hAnsi="Calibri" w:cs="Calibri"/>
                <w:color w:val="000000"/>
                <w:sz w:val="20"/>
                <w:szCs w:val="20"/>
              </w:rPr>
              <w:t xml:space="preserve">. Extent to which a programme to support MSME </w:t>
            </w:r>
            <w:r w:rsidRPr="00227337">
              <w:rPr>
                <w:rFonts w:ascii="Calibri" w:hAnsi="Calibri" w:cs="Calibri"/>
                <w:color w:val="000000"/>
                <w:sz w:val="20"/>
                <w:szCs w:val="20"/>
              </w:rPr>
              <w:lastRenderedPageBreak/>
              <w:t xml:space="preserve">and enhance the economic inclusion of youth and women that targets poverty reduction is implemented and operational. </w:t>
            </w:r>
          </w:p>
          <w:p w14:paraId="504CFD74" w14:textId="77777777" w:rsidR="002941DA" w:rsidRPr="00227337" w:rsidRDefault="002941DA" w:rsidP="002941DA">
            <w:pPr>
              <w:jc w:val="both"/>
              <w:rPr>
                <w:rFonts w:ascii="Calibri" w:hAnsi="Calibri" w:cs="Calibri"/>
                <w:b/>
                <w:color w:val="000000"/>
                <w:sz w:val="20"/>
                <w:szCs w:val="20"/>
              </w:rPr>
            </w:pPr>
            <w:r w:rsidRPr="00227337">
              <w:rPr>
                <w:rFonts w:ascii="Calibri" w:hAnsi="Calibri" w:cs="Calibri"/>
                <w:b/>
                <w:color w:val="000000"/>
                <w:sz w:val="20"/>
                <w:szCs w:val="20"/>
              </w:rPr>
              <w:t>Baseline: 1</w:t>
            </w:r>
          </w:p>
          <w:p w14:paraId="34A424E8" w14:textId="77777777" w:rsidR="002941DA" w:rsidRPr="00227337" w:rsidRDefault="002941DA" w:rsidP="002941DA">
            <w:pPr>
              <w:jc w:val="both"/>
              <w:rPr>
                <w:rFonts w:ascii="Calibri" w:hAnsi="Calibri" w:cs="Calibri"/>
                <w:b/>
                <w:bCs/>
                <w:color w:val="000000"/>
                <w:sz w:val="20"/>
                <w:szCs w:val="20"/>
              </w:rPr>
            </w:pPr>
            <w:r w:rsidRPr="00227337">
              <w:rPr>
                <w:rFonts w:ascii="Calibri" w:hAnsi="Calibri" w:cs="Calibri"/>
                <w:b/>
                <w:color w:val="000000"/>
                <w:sz w:val="20"/>
                <w:szCs w:val="20"/>
              </w:rPr>
              <w:t xml:space="preserve">Target: 5  </w:t>
            </w:r>
          </w:p>
          <w:p w14:paraId="1828A2FD" w14:textId="77777777" w:rsidR="002941DA" w:rsidRPr="00227337" w:rsidRDefault="002941DA" w:rsidP="002941DA">
            <w:pPr>
              <w:jc w:val="both"/>
              <w:rPr>
                <w:rFonts w:ascii="Calibri" w:hAnsi="Calibri" w:cs="Calibri"/>
                <w:sz w:val="20"/>
                <w:szCs w:val="20"/>
              </w:rPr>
            </w:pPr>
          </w:p>
        </w:tc>
        <w:tc>
          <w:tcPr>
            <w:tcW w:w="2799" w:type="dxa"/>
            <w:vAlign w:val="center"/>
          </w:tcPr>
          <w:p w14:paraId="6A017B0E" w14:textId="651EB2F6" w:rsidR="002941DA" w:rsidRPr="00227337" w:rsidRDefault="002941DA" w:rsidP="002941DA">
            <w:pPr>
              <w:jc w:val="both"/>
              <w:rPr>
                <w:rFonts w:ascii="Calibri" w:hAnsi="Calibri" w:cs="Calibri"/>
                <w:color w:val="000000"/>
                <w:sz w:val="20"/>
                <w:szCs w:val="20"/>
              </w:rPr>
            </w:pPr>
            <w:r w:rsidRPr="00227337">
              <w:rPr>
                <w:rFonts w:ascii="Calibri" w:hAnsi="Calibri" w:cs="Calibri"/>
                <w:color w:val="000000"/>
                <w:sz w:val="20"/>
                <w:szCs w:val="20"/>
              </w:rPr>
              <w:lastRenderedPageBreak/>
              <w:t xml:space="preserve">In collaboration with Ministry of Women and Social Affairs and </w:t>
            </w:r>
            <w:r w:rsidRPr="00227337">
              <w:rPr>
                <w:rFonts w:ascii="Calibri" w:hAnsi="Calibri" w:cs="Calibri"/>
                <w:color w:val="000000"/>
                <w:sz w:val="20"/>
                <w:szCs w:val="20"/>
              </w:rPr>
              <w:lastRenderedPageBreak/>
              <w:t xml:space="preserve">National Institute for Development of Small and Micro Enterprises has led to establishment of   55 women cooperatives   through training and facilitation to legal process and access to the microfinance. </w:t>
            </w:r>
          </w:p>
          <w:p w14:paraId="55DABC4C" w14:textId="77777777" w:rsidR="002941DA" w:rsidRPr="00227337" w:rsidRDefault="002941DA" w:rsidP="002941DA">
            <w:pPr>
              <w:jc w:val="both"/>
              <w:rPr>
                <w:rFonts w:ascii="Calibri" w:hAnsi="Calibri" w:cs="Calibri"/>
                <w:color w:val="000000"/>
                <w:sz w:val="20"/>
                <w:szCs w:val="20"/>
              </w:rPr>
            </w:pPr>
          </w:p>
          <w:p w14:paraId="4376A53F" w14:textId="77777777" w:rsidR="002941DA" w:rsidRPr="00227337" w:rsidRDefault="002941DA" w:rsidP="002941DA">
            <w:pPr>
              <w:jc w:val="both"/>
              <w:rPr>
                <w:rFonts w:ascii="Calibri" w:hAnsi="Calibri" w:cs="Calibri"/>
                <w:color w:val="000000"/>
                <w:sz w:val="20"/>
                <w:szCs w:val="20"/>
              </w:rPr>
            </w:pPr>
            <w:r w:rsidRPr="00227337">
              <w:rPr>
                <w:rFonts w:ascii="Calibri" w:hAnsi="Calibri" w:cs="Calibri"/>
                <w:b/>
                <w:sz w:val="20"/>
                <w:szCs w:val="20"/>
              </w:rPr>
              <w:t>Rating: 2</w:t>
            </w:r>
          </w:p>
        </w:tc>
        <w:tc>
          <w:tcPr>
            <w:tcW w:w="2799" w:type="dxa"/>
            <w:vAlign w:val="center"/>
          </w:tcPr>
          <w:p w14:paraId="39AE4278" w14:textId="5B215BAD" w:rsidR="002941DA" w:rsidRPr="00227337" w:rsidRDefault="002941DA" w:rsidP="002941DA">
            <w:pPr>
              <w:jc w:val="both"/>
              <w:rPr>
                <w:rFonts w:ascii="Calibri" w:hAnsi="Calibri" w:cs="Calibri"/>
                <w:color w:val="000000"/>
                <w:sz w:val="20"/>
                <w:szCs w:val="20"/>
              </w:rPr>
            </w:pPr>
            <w:r w:rsidRPr="00227337">
              <w:rPr>
                <w:rFonts w:ascii="Calibri" w:hAnsi="Calibri" w:cs="Calibri"/>
                <w:color w:val="000000"/>
                <w:sz w:val="20"/>
                <w:szCs w:val="20"/>
              </w:rPr>
              <w:lastRenderedPageBreak/>
              <w:t xml:space="preserve">Definition and identification of area work with Ministry of </w:t>
            </w:r>
            <w:r w:rsidRPr="00227337">
              <w:rPr>
                <w:rFonts w:ascii="Calibri" w:hAnsi="Calibri" w:cs="Calibri"/>
                <w:color w:val="000000"/>
                <w:sz w:val="20"/>
                <w:szCs w:val="20"/>
              </w:rPr>
              <w:lastRenderedPageBreak/>
              <w:t>Economy and Planning and National Inst</w:t>
            </w:r>
            <w:r>
              <w:rPr>
                <w:rFonts w:ascii="Calibri" w:hAnsi="Calibri" w:cs="Calibri"/>
                <w:color w:val="000000"/>
                <w:sz w:val="20"/>
                <w:szCs w:val="20"/>
              </w:rPr>
              <w:t>it</w:t>
            </w:r>
            <w:r w:rsidRPr="00227337">
              <w:rPr>
                <w:rFonts w:ascii="Calibri" w:hAnsi="Calibri" w:cs="Calibri"/>
                <w:color w:val="000000"/>
                <w:sz w:val="20"/>
                <w:szCs w:val="20"/>
              </w:rPr>
              <w:t>ute for Development of Micro, Small and Medium Enterprises</w:t>
            </w:r>
          </w:p>
        </w:tc>
        <w:tc>
          <w:tcPr>
            <w:tcW w:w="2799" w:type="dxa"/>
            <w:vAlign w:val="center"/>
          </w:tcPr>
          <w:p w14:paraId="6D38D49A" w14:textId="7F97FFD9" w:rsidR="002941DA" w:rsidRPr="00227337" w:rsidRDefault="002941DA" w:rsidP="002941DA">
            <w:pPr>
              <w:jc w:val="both"/>
              <w:rPr>
                <w:rFonts w:ascii="Calibri" w:hAnsi="Calibri" w:cs="Calibri"/>
                <w:color w:val="000000"/>
                <w:sz w:val="20"/>
                <w:szCs w:val="20"/>
              </w:rPr>
            </w:pPr>
            <w:r w:rsidRPr="00227337">
              <w:rPr>
                <w:rFonts w:ascii="Calibri" w:hAnsi="Calibri" w:cs="Calibri"/>
                <w:color w:val="000000"/>
                <w:sz w:val="20"/>
                <w:szCs w:val="20"/>
              </w:rPr>
              <w:lastRenderedPageBreak/>
              <w:t>private sector heavily hit by Covid</w:t>
            </w:r>
          </w:p>
        </w:tc>
      </w:tr>
      <w:tr w:rsidR="002941DA" w:rsidRPr="00227337" w14:paraId="49DB402D" w14:textId="77777777" w:rsidTr="00401ED9">
        <w:tc>
          <w:tcPr>
            <w:tcW w:w="2798" w:type="dxa"/>
            <w:vMerge w:val="restart"/>
            <w:vAlign w:val="center"/>
          </w:tcPr>
          <w:p w14:paraId="305FE88F" w14:textId="77777777" w:rsidR="002941DA" w:rsidRPr="00227337" w:rsidRDefault="002941DA" w:rsidP="002941DA">
            <w:pPr>
              <w:jc w:val="both"/>
              <w:rPr>
                <w:rFonts w:ascii="Calibri" w:hAnsi="Calibri" w:cs="Calibri"/>
                <w:sz w:val="20"/>
                <w:szCs w:val="20"/>
              </w:rPr>
            </w:pPr>
            <w:r w:rsidRPr="00227337">
              <w:rPr>
                <w:rFonts w:ascii="Calibri" w:hAnsi="Calibri" w:cs="Calibri"/>
                <w:b/>
                <w:sz w:val="20"/>
                <w:szCs w:val="20"/>
              </w:rPr>
              <w:t>Output 1.3.</w:t>
            </w:r>
            <w:r w:rsidRPr="00227337">
              <w:rPr>
                <w:rFonts w:ascii="Calibri" w:hAnsi="Calibri" w:cs="Calibri"/>
                <w:sz w:val="20"/>
                <w:szCs w:val="20"/>
              </w:rPr>
              <w:t xml:space="preserve"> Private sector platforms enabled to participate in the achievement of the Goals.</w:t>
            </w:r>
          </w:p>
        </w:tc>
        <w:tc>
          <w:tcPr>
            <w:tcW w:w="2799" w:type="dxa"/>
            <w:tcBorders>
              <w:top w:val="single" w:sz="4" w:space="0" w:color="auto"/>
            </w:tcBorders>
          </w:tcPr>
          <w:p w14:paraId="6A697EA1" w14:textId="77777777" w:rsidR="002941DA" w:rsidRPr="00227337" w:rsidRDefault="002941DA" w:rsidP="002941DA">
            <w:pPr>
              <w:jc w:val="both"/>
              <w:rPr>
                <w:rFonts w:ascii="Calibri" w:hAnsi="Calibri" w:cs="Calibri"/>
                <w:color w:val="000000"/>
                <w:sz w:val="20"/>
                <w:szCs w:val="20"/>
              </w:rPr>
            </w:pPr>
            <w:r w:rsidRPr="00227337">
              <w:rPr>
                <w:rFonts w:ascii="Calibri" w:hAnsi="Calibri" w:cs="Calibri"/>
                <w:b/>
                <w:bCs/>
                <w:color w:val="000000"/>
                <w:sz w:val="20"/>
                <w:szCs w:val="20"/>
              </w:rPr>
              <w:t>Indicator 1.3.1.</w:t>
            </w:r>
            <w:r w:rsidRPr="00227337">
              <w:rPr>
                <w:rFonts w:ascii="Calibri" w:hAnsi="Calibri" w:cs="Calibri"/>
                <w:color w:val="000000"/>
                <w:sz w:val="20"/>
                <w:szCs w:val="20"/>
              </w:rPr>
              <w:t xml:space="preserve"> Extent to which an innovative solution for social impact investment initiatives is implemented and operational. </w:t>
            </w:r>
          </w:p>
          <w:p w14:paraId="6C2BC7AB" w14:textId="77777777" w:rsidR="002941DA" w:rsidRPr="00227337" w:rsidRDefault="002941DA" w:rsidP="002941DA">
            <w:pPr>
              <w:jc w:val="both"/>
              <w:rPr>
                <w:rFonts w:ascii="Calibri" w:hAnsi="Calibri" w:cs="Calibri"/>
                <w:b/>
                <w:color w:val="000000"/>
                <w:sz w:val="20"/>
                <w:szCs w:val="20"/>
              </w:rPr>
            </w:pPr>
            <w:r w:rsidRPr="00227337">
              <w:rPr>
                <w:rFonts w:ascii="Calibri" w:hAnsi="Calibri" w:cs="Calibri"/>
                <w:b/>
                <w:color w:val="000000"/>
                <w:sz w:val="20"/>
                <w:szCs w:val="20"/>
              </w:rPr>
              <w:t>Baseline: 1</w:t>
            </w:r>
          </w:p>
          <w:p w14:paraId="6697DB83" w14:textId="77777777" w:rsidR="002941DA" w:rsidRPr="00227337" w:rsidRDefault="002941DA" w:rsidP="002941DA">
            <w:pPr>
              <w:jc w:val="both"/>
              <w:rPr>
                <w:rFonts w:ascii="Calibri" w:hAnsi="Calibri" w:cs="Calibri"/>
                <w:b/>
                <w:bCs/>
                <w:color w:val="000000"/>
                <w:sz w:val="20"/>
                <w:szCs w:val="20"/>
              </w:rPr>
            </w:pPr>
            <w:r w:rsidRPr="00227337">
              <w:rPr>
                <w:rFonts w:ascii="Calibri" w:hAnsi="Calibri" w:cs="Calibri"/>
                <w:b/>
                <w:color w:val="000000"/>
                <w:sz w:val="20"/>
                <w:szCs w:val="20"/>
              </w:rPr>
              <w:t>Target:  5</w:t>
            </w:r>
          </w:p>
          <w:p w14:paraId="6ACD1C1C" w14:textId="77777777" w:rsidR="002941DA" w:rsidRPr="00227337" w:rsidRDefault="002941DA" w:rsidP="002941DA">
            <w:pPr>
              <w:jc w:val="both"/>
              <w:rPr>
                <w:rFonts w:ascii="Calibri" w:hAnsi="Calibri" w:cs="Calibri"/>
                <w:sz w:val="20"/>
                <w:szCs w:val="20"/>
              </w:rPr>
            </w:pPr>
          </w:p>
        </w:tc>
        <w:tc>
          <w:tcPr>
            <w:tcW w:w="2799" w:type="dxa"/>
            <w:vAlign w:val="center"/>
          </w:tcPr>
          <w:p w14:paraId="59BC511C" w14:textId="1E0E5285" w:rsidR="002941DA" w:rsidRPr="00227337" w:rsidRDefault="002941DA" w:rsidP="002941DA">
            <w:pPr>
              <w:jc w:val="both"/>
              <w:rPr>
                <w:rFonts w:ascii="Calibri" w:hAnsi="Calibri" w:cs="Calibri"/>
                <w:color w:val="000000"/>
                <w:sz w:val="20"/>
                <w:szCs w:val="20"/>
              </w:rPr>
            </w:pPr>
            <w:r w:rsidRPr="00227337">
              <w:rPr>
                <w:rFonts w:ascii="Calibri" w:hAnsi="Calibri" w:cs="Calibri"/>
                <w:color w:val="000000"/>
                <w:sz w:val="20"/>
                <w:szCs w:val="20"/>
              </w:rPr>
              <w:t xml:space="preserve">Support for establishment of the Angolan Network for corporate responsibility. </w:t>
            </w:r>
          </w:p>
          <w:p w14:paraId="28809197" w14:textId="77777777" w:rsidR="002941DA" w:rsidRPr="00227337" w:rsidRDefault="002941DA" w:rsidP="002941DA">
            <w:pPr>
              <w:jc w:val="both"/>
              <w:rPr>
                <w:rFonts w:ascii="Calibri" w:hAnsi="Calibri" w:cs="Calibri"/>
                <w:color w:val="000000"/>
                <w:sz w:val="20"/>
                <w:szCs w:val="20"/>
              </w:rPr>
            </w:pPr>
          </w:p>
          <w:p w14:paraId="675E0F57" w14:textId="77777777" w:rsidR="002941DA" w:rsidRPr="00227337" w:rsidRDefault="002941DA" w:rsidP="002941DA">
            <w:pPr>
              <w:jc w:val="both"/>
              <w:rPr>
                <w:rFonts w:ascii="Calibri" w:hAnsi="Calibri" w:cs="Calibri"/>
                <w:color w:val="000000"/>
                <w:sz w:val="20"/>
                <w:szCs w:val="20"/>
              </w:rPr>
            </w:pPr>
            <w:r w:rsidRPr="00227337">
              <w:rPr>
                <w:rFonts w:ascii="Calibri" w:hAnsi="Calibri" w:cs="Calibri"/>
                <w:b/>
                <w:sz w:val="20"/>
                <w:szCs w:val="20"/>
              </w:rPr>
              <w:t>Rating: 2</w:t>
            </w:r>
          </w:p>
        </w:tc>
        <w:tc>
          <w:tcPr>
            <w:tcW w:w="2799" w:type="dxa"/>
            <w:vAlign w:val="center"/>
          </w:tcPr>
          <w:p w14:paraId="1E7F735F" w14:textId="57ED3871" w:rsidR="002941DA" w:rsidRPr="00227337" w:rsidRDefault="002941DA" w:rsidP="002941DA">
            <w:pPr>
              <w:jc w:val="both"/>
              <w:rPr>
                <w:rFonts w:ascii="Calibri" w:hAnsi="Calibri" w:cs="Calibri"/>
                <w:color w:val="000000"/>
                <w:sz w:val="20"/>
                <w:szCs w:val="20"/>
              </w:rPr>
            </w:pPr>
            <w:r w:rsidRPr="00227337">
              <w:rPr>
                <w:rFonts w:ascii="Calibri" w:hAnsi="Calibri" w:cs="Calibri"/>
                <w:color w:val="000000"/>
                <w:sz w:val="20"/>
                <w:szCs w:val="20"/>
              </w:rPr>
              <w:t>The work with private sector has led to establishment of the National Network for Social Corporate Responsibility and engagement of private sector with SDGs</w:t>
            </w:r>
          </w:p>
        </w:tc>
        <w:tc>
          <w:tcPr>
            <w:tcW w:w="2799" w:type="dxa"/>
            <w:vAlign w:val="center"/>
          </w:tcPr>
          <w:p w14:paraId="1A79B32B" w14:textId="23CBBC12" w:rsidR="002941DA" w:rsidRPr="00227337" w:rsidRDefault="002941DA" w:rsidP="002941DA">
            <w:pPr>
              <w:jc w:val="both"/>
              <w:rPr>
                <w:rFonts w:ascii="Calibri" w:hAnsi="Calibri" w:cs="Calibri"/>
                <w:color w:val="000000"/>
                <w:sz w:val="20"/>
                <w:szCs w:val="20"/>
              </w:rPr>
            </w:pPr>
            <w:r>
              <w:rPr>
                <w:rFonts w:ascii="Calibri" w:hAnsi="Calibri" w:cs="Calibri"/>
                <w:color w:val="000000"/>
                <w:sz w:val="20"/>
                <w:szCs w:val="20"/>
              </w:rPr>
              <w:t>P</w:t>
            </w:r>
            <w:r w:rsidRPr="00227337">
              <w:rPr>
                <w:rFonts w:ascii="Calibri" w:hAnsi="Calibri" w:cs="Calibri"/>
                <w:color w:val="000000"/>
                <w:sz w:val="20"/>
                <w:szCs w:val="20"/>
              </w:rPr>
              <w:t>rivate sector heavily hit by Covid</w:t>
            </w:r>
          </w:p>
        </w:tc>
      </w:tr>
      <w:tr w:rsidR="002941DA" w:rsidRPr="00227337" w14:paraId="3BEFF484" w14:textId="77777777" w:rsidTr="00401ED9">
        <w:tc>
          <w:tcPr>
            <w:tcW w:w="2798" w:type="dxa"/>
            <w:vMerge/>
          </w:tcPr>
          <w:p w14:paraId="7B39EA17" w14:textId="77777777" w:rsidR="002941DA" w:rsidRPr="00227337" w:rsidRDefault="002941DA" w:rsidP="002941DA">
            <w:pPr>
              <w:jc w:val="both"/>
              <w:rPr>
                <w:rFonts w:ascii="Calibri" w:hAnsi="Calibri" w:cs="Calibri"/>
                <w:sz w:val="20"/>
                <w:szCs w:val="20"/>
              </w:rPr>
            </w:pPr>
          </w:p>
        </w:tc>
        <w:tc>
          <w:tcPr>
            <w:tcW w:w="2799" w:type="dxa"/>
            <w:tcBorders>
              <w:top w:val="single" w:sz="4" w:space="0" w:color="auto"/>
            </w:tcBorders>
          </w:tcPr>
          <w:p w14:paraId="77D67C33" w14:textId="77777777" w:rsidR="002941DA" w:rsidRPr="00227337" w:rsidRDefault="002941DA" w:rsidP="002941DA">
            <w:pPr>
              <w:jc w:val="both"/>
              <w:rPr>
                <w:rFonts w:ascii="Calibri" w:hAnsi="Calibri" w:cs="Calibri"/>
                <w:color w:val="000000"/>
                <w:sz w:val="20"/>
                <w:szCs w:val="20"/>
              </w:rPr>
            </w:pPr>
            <w:r w:rsidRPr="00227337">
              <w:rPr>
                <w:rFonts w:ascii="Calibri" w:hAnsi="Calibri" w:cs="Calibri"/>
                <w:b/>
                <w:bCs/>
                <w:color w:val="000000"/>
                <w:sz w:val="20"/>
                <w:szCs w:val="20"/>
              </w:rPr>
              <w:t>Indicator 1.3.2</w:t>
            </w:r>
            <w:r w:rsidRPr="00227337">
              <w:rPr>
                <w:rFonts w:ascii="Calibri" w:hAnsi="Calibri" w:cs="Calibri"/>
                <w:color w:val="000000"/>
                <w:sz w:val="20"/>
                <w:szCs w:val="20"/>
              </w:rPr>
              <w:t>. Existence of an operational new public-private partnership that contributes to the SDGs.</w:t>
            </w:r>
          </w:p>
          <w:p w14:paraId="7A679680" w14:textId="77777777" w:rsidR="002941DA" w:rsidRPr="00227337" w:rsidRDefault="002941DA" w:rsidP="002941DA">
            <w:pPr>
              <w:jc w:val="both"/>
              <w:rPr>
                <w:rFonts w:ascii="Calibri" w:hAnsi="Calibri" w:cs="Calibri"/>
                <w:b/>
                <w:color w:val="000000"/>
                <w:sz w:val="20"/>
                <w:szCs w:val="20"/>
              </w:rPr>
            </w:pPr>
            <w:r w:rsidRPr="00227337">
              <w:rPr>
                <w:rFonts w:ascii="Calibri" w:hAnsi="Calibri" w:cs="Calibri"/>
                <w:b/>
                <w:color w:val="000000"/>
                <w:sz w:val="20"/>
                <w:szCs w:val="20"/>
              </w:rPr>
              <w:t>Baseline: No</w:t>
            </w:r>
          </w:p>
          <w:p w14:paraId="7305B4F1" w14:textId="77777777" w:rsidR="002941DA" w:rsidRPr="00227337" w:rsidRDefault="002941DA" w:rsidP="002941DA">
            <w:pPr>
              <w:jc w:val="both"/>
              <w:rPr>
                <w:rFonts w:ascii="Calibri" w:hAnsi="Calibri" w:cs="Calibri"/>
                <w:b/>
                <w:bCs/>
                <w:color w:val="000000"/>
                <w:sz w:val="20"/>
                <w:szCs w:val="20"/>
              </w:rPr>
            </w:pPr>
            <w:r w:rsidRPr="00227337">
              <w:rPr>
                <w:rFonts w:ascii="Calibri" w:hAnsi="Calibri" w:cs="Calibri"/>
                <w:b/>
                <w:color w:val="000000"/>
                <w:sz w:val="20"/>
                <w:szCs w:val="20"/>
              </w:rPr>
              <w:t>Target: Yes</w:t>
            </w:r>
            <w:r w:rsidRPr="00227337">
              <w:rPr>
                <w:rFonts w:ascii="Calibri" w:hAnsi="Calibri" w:cs="Calibri"/>
                <w:color w:val="000000"/>
                <w:sz w:val="20"/>
                <w:szCs w:val="20"/>
              </w:rPr>
              <w:t xml:space="preserve"> </w:t>
            </w:r>
          </w:p>
          <w:p w14:paraId="3CFB78E9" w14:textId="77777777" w:rsidR="002941DA" w:rsidRPr="00227337" w:rsidRDefault="002941DA" w:rsidP="002941DA">
            <w:pPr>
              <w:jc w:val="both"/>
              <w:rPr>
                <w:rFonts w:ascii="Calibri" w:hAnsi="Calibri" w:cs="Calibri"/>
                <w:sz w:val="20"/>
                <w:szCs w:val="20"/>
              </w:rPr>
            </w:pPr>
          </w:p>
        </w:tc>
        <w:tc>
          <w:tcPr>
            <w:tcW w:w="2799" w:type="dxa"/>
            <w:vAlign w:val="center"/>
          </w:tcPr>
          <w:p w14:paraId="165A6A20" w14:textId="5A46C1E4" w:rsidR="002941DA" w:rsidRPr="00227337" w:rsidRDefault="002941DA" w:rsidP="002941DA">
            <w:pPr>
              <w:jc w:val="both"/>
              <w:rPr>
                <w:rFonts w:ascii="Calibri" w:hAnsi="Calibri" w:cs="Calibri"/>
                <w:color w:val="000000"/>
                <w:sz w:val="20"/>
                <w:szCs w:val="20"/>
              </w:rPr>
            </w:pPr>
            <w:r w:rsidRPr="00227337">
              <w:rPr>
                <w:rFonts w:ascii="Calibri" w:hAnsi="Calibri" w:cs="Calibri"/>
                <w:color w:val="000000"/>
                <w:sz w:val="20"/>
                <w:szCs w:val="20"/>
              </w:rPr>
              <w:t xml:space="preserve"> Realization of study on perception and mainstreaming of SDG in corporate planning, investment and reporting.</w:t>
            </w:r>
          </w:p>
          <w:p w14:paraId="25A5FB2F" w14:textId="77777777" w:rsidR="002941DA" w:rsidRPr="00227337" w:rsidRDefault="002941DA" w:rsidP="002941DA">
            <w:pPr>
              <w:jc w:val="both"/>
              <w:rPr>
                <w:rFonts w:ascii="Calibri" w:hAnsi="Calibri" w:cs="Calibri"/>
                <w:color w:val="000000"/>
                <w:sz w:val="20"/>
                <w:szCs w:val="20"/>
              </w:rPr>
            </w:pPr>
          </w:p>
          <w:p w14:paraId="6BA1FE55" w14:textId="77777777" w:rsidR="002941DA" w:rsidRPr="00227337" w:rsidRDefault="002941DA" w:rsidP="002941DA">
            <w:pPr>
              <w:jc w:val="both"/>
              <w:rPr>
                <w:rFonts w:ascii="Calibri" w:hAnsi="Calibri" w:cs="Calibri"/>
                <w:color w:val="000000"/>
                <w:sz w:val="20"/>
                <w:szCs w:val="20"/>
              </w:rPr>
            </w:pPr>
            <w:r w:rsidRPr="00227337">
              <w:rPr>
                <w:rFonts w:ascii="Calibri" w:hAnsi="Calibri" w:cs="Calibri"/>
                <w:b/>
                <w:sz w:val="20"/>
                <w:szCs w:val="20"/>
              </w:rPr>
              <w:t>Rating: 2</w:t>
            </w:r>
          </w:p>
        </w:tc>
        <w:tc>
          <w:tcPr>
            <w:tcW w:w="2799" w:type="dxa"/>
            <w:vAlign w:val="center"/>
          </w:tcPr>
          <w:p w14:paraId="40A6EEED" w14:textId="13EE8283" w:rsidR="002941DA" w:rsidRPr="00227337" w:rsidRDefault="002941DA" w:rsidP="002941DA">
            <w:pPr>
              <w:jc w:val="both"/>
              <w:rPr>
                <w:rFonts w:ascii="Calibri" w:hAnsi="Calibri" w:cs="Calibri"/>
                <w:color w:val="000000"/>
                <w:sz w:val="20"/>
                <w:szCs w:val="20"/>
              </w:rPr>
            </w:pPr>
            <w:r w:rsidRPr="00227337">
              <w:rPr>
                <w:rFonts w:ascii="Calibri" w:hAnsi="Calibri" w:cs="Calibri"/>
                <w:color w:val="000000"/>
                <w:sz w:val="20"/>
                <w:szCs w:val="20"/>
              </w:rPr>
              <w:t>The new law on Public-Private Partnership approved and with clear incentive for corporate investment in social areas.</w:t>
            </w:r>
          </w:p>
        </w:tc>
        <w:tc>
          <w:tcPr>
            <w:tcW w:w="2799" w:type="dxa"/>
            <w:vAlign w:val="center"/>
          </w:tcPr>
          <w:p w14:paraId="5F28D13D" w14:textId="1971B4E9" w:rsidR="002941DA" w:rsidRPr="00227337" w:rsidRDefault="002941DA" w:rsidP="002941DA">
            <w:pPr>
              <w:jc w:val="both"/>
              <w:rPr>
                <w:rFonts w:ascii="Calibri" w:hAnsi="Calibri" w:cs="Calibri"/>
                <w:color w:val="000000"/>
                <w:sz w:val="20"/>
                <w:szCs w:val="20"/>
              </w:rPr>
            </w:pPr>
            <w:r>
              <w:rPr>
                <w:rFonts w:ascii="Calibri" w:hAnsi="Calibri" w:cs="Calibri"/>
                <w:color w:val="000000"/>
                <w:sz w:val="20"/>
                <w:szCs w:val="20"/>
              </w:rPr>
              <w:t>P</w:t>
            </w:r>
            <w:r w:rsidRPr="00227337">
              <w:rPr>
                <w:rFonts w:ascii="Calibri" w:hAnsi="Calibri" w:cs="Calibri"/>
                <w:color w:val="000000"/>
                <w:sz w:val="20"/>
                <w:szCs w:val="20"/>
              </w:rPr>
              <w:t>rivate sector heavily hit by Covid</w:t>
            </w:r>
          </w:p>
        </w:tc>
      </w:tr>
      <w:tr w:rsidR="002941DA" w:rsidRPr="00227337" w14:paraId="6CF9878A" w14:textId="77777777" w:rsidTr="00401ED9">
        <w:tc>
          <w:tcPr>
            <w:tcW w:w="2798" w:type="dxa"/>
            <w:vMerge w:val="restart"/>
            <w:vAlign w:val="center"/>
          </w:tcPr>
          <w:p w14:paraId="7F84403E" w14:textId="77777777" w:rsidR="002941DA" w:rsidRPr="00227337" w:rsidRDefault="002941DA" w:rsidP="002941DA">
            <w:pPr>
              <w:jc w:val="both"/>
              <w:rPr>
                <w:rFonts w:ascii="Calibri" w:hAnsi="Calibri" w:cs="Calibri"/>
                <w:sz w:val="20"/>
                <w:szCs w:val="20"/>
              </w:rPr>
            </w:pPr>
            <w:r w:rsidRPr="00227337">
              <w:rPr>
                <w:rFonts w:ascii="Calibri" w:hAnsi="Calibri" w:cs="Calibri"/>
                <w:b/>
                <w:sz w:val="20"/>
                <w:szCs w:val="20"/>
              </w:rPr>
              <w:t>Output 1.4.</w:t>
            </w:r>
            <w:r w:rsidRPr="00227337">
              <w:rPr>
                <w:rFonts w:ascii="Calibri" w:hAnsi="Calibri" w:cs="Calibri"/>
                <w:sz w:val="20"/>
                <w:szCs w:val="20"/>
              </w:rPr>
              <w:t xml:space="preserve"> Capacities at national and local levels strengthened to deliver HIV and related services, including for people living with HIV, adolescent girls and young women, and key populations.</w:t>
            </w:r>
          </w:p>
          <w:p w14:paraId="0FA197FE" w14:textId="77777777" w:rsidR="002941DA" w:rsidRPr="00227337" w:rsidRDefault="002941DA" w:rsidP="002941DA">
            <w:pPr>
              <w:jc w:val="both"/>
              <w:rPr>
                <w:rFonts w:ascii="Calibri" w:hAnsi="Calibri" w:cs="Calibri"/>
                <w:sz w:val="20"/>
                <w:szCs w:val="20"/>
              </w:rPr>
            </w:pPr>
          </w:p>
          <w:p w14:paraId="45509C5A" w14:textId="77777777" w:rsidR="002941DA" w:rsidRPr="00227337" w:rsidRDefault="002941DA" w:rsidP="002941DA">
            <w:pPr>
              <w:jc w:val="both"/>
              <w:rPr>
                <w:rFonts w:ascii="Calibri" w:hAnsi="Calibri" w:cs="Calibri"/>
                <w:sz w:val="20"/>
                <w:szCs w:val="20"/>
              </w:rPr>
            </w:pPr>
          </w:p>
        </w:tc>
        <w:tc>
          <w:tcPr>
            <w:tcW w:w="2799" w:type="dxa"/>
            <w:tcBorders>
              <w:top w:val="single" w:sz="4" w:space="0" w:color="auto"/>
            </w:tcBorders>
            <w:vAlign w:val="center"/>
          </w:tcPr>
          <w:p w14:paraId="408B0190" w14:textId="77777777" w:rsidR="002941DA" w:rsidRPr="00227337" w:rsidRDefault="002941DA" w:rsidP="002941DA">
            <w:pPr>
              <w:jc w:val="both"/>
              <w:rPr>
                <w:rFonts w:ascii="Calibri" w:hAnsi="Calibri" w:cs="Calibri"/>
                <w:color w:val="000000"/>
                <w:sz w:val="20"/>
                <w:szCs w:val="20"/>
              </w:rPr>
            </w:pPr>
            <w:r w:rsidRPr="00227337">
              <w:rPr>
                <w:rFonts w:ascii="Calibri" w:hAnsi="Calibri" w:cs="Calibri"/>
                <w:b/>
                <w:bCs/>
                <w:color w:val="000000"/>
                <w:sz w:val="20"/>
                <w:szCs w:val="20"/>
              </w:rPr>
              <w:lastRenderedPageBreak/>
              <w:t>Indicator 1.4.1.</w:t>
            </w:r>
            <w:r w:rsidRPr="00227337">
              <w:rPr>
                <w:rFonts w:ascii="Calibri" w:hAnsi="Calibri" w:cs="Calibri"/>
                <w:color w:val="000000"/>
                <w:sz w:val="20"/>
                <w:szCs w:val="20"/>
              </w:rPr>
              <w:t xml:space="preserve"> Number of people living with HIV currently receiving antiretroviral treatment, including adolescent girls and young women, and key populations. </w:t>
            </w:r>
          </w:p>
          <w:p w14:paraId="2FC7B520" w14:textId="77777777" w:rsidR="002941DA" w:rsidRPr="00227337" w:rsidRDefault="002941DA" w:rsidP="002941DA">
            <w:pPr>
              <w:jc w:val="both"/>
              <w:rPr>
                <w:rFonts w:ascii="Calibri" w:hAnsi="Calibri" w:cs="Calibri"/>
                <w:b/>
                <w:color w:val="000000"/>
                <w:sz w:val="20"/>
                <w:szCs w:val="20"/>
              </w:rPr>
            </w:pPr>
            <w:r w:rsidRPr="00227337">
              <w:rPr>
                <w:rFonts w:ascii="Calibri" w:hAnsi="Calibri" w:cs="Calibri"/>
                <w:b/>
                <w:color w:val="000000"/>
                <w:sz w:val="20"/>
                <w:szCs w:val="20"/>
              </w:rPr>
              <w:t>Baseline: 77.559</w:t>
            </w:r>
          </w:p>
          <w:p w14:paraId="1B7C4EDD" w14:textId="77777777" w:rsidR="002941DA" w:rsidRPr="00227337" w:rsidRDefault="002941DA" w:rsidP="002941DA">
            <w:pPr>
              <w:jc w:val="both"/>
              <w:rPr>
                <w:rFonts w:ascii="Calibri" w:hAnsi="Calibri" w:cs="Calibri"/>
                <w:b/>
                <w:bCs/>
                <w:color w:val="000000"/>
                <w:sz w:val="20"/>
                <w:szCs w:val="20"/>
              </w:rPr>
            </w:pPr>
            <w:r w:rsidRPr="00227337">
              <w:rPr>
                <w:rFonts w:ascii="Calibri" w:hAnsi="Calibri" w:cs="Calibri"/>
                <w:b/>
                <w:bCs/>
                <w:color w:val="000000"/>
                <w:sz w:val="20"/>
                <w:szCs w:val="20"/>
              </w:rPr>
              <w:t>Target: 122,193.</w:t>
            </w:r>
          </w:p>
          <w:p w14:paraId="0AEA3DA5" w14:textId="77777777" w:rsidR="002941DA" w:rsidRPr="00227337" w:rsidRDefault="002941DA" w:rsidP="002941DA">
            <w:pPr>
              <w:jc w:val="both"/>
              <w:rPr>
                <w:rFonts w:ascii="Calibri" w:hAnsi="Calibri" w:cs="Calibri"/>
                <w:sz w:val="20"/>
                <w:szCs w:val="20"/>
              </w:rPr>
            </w:pPr>
          </w:p>
        </w:tc>
        <w:tc>
          <w:tcPr>
            <w:tcW w:w="2799" w:type="dxa"/>
            <w:vAlign w:val="center"/>
          </w:tcPr>
          <w:p w14:paraId="574B8FBF" w14:textId="77777777" w:rsidR="002941DA" w:rsidRPr="00227337" w:rsidRDefault="002941DA" w:rsidP="002941DA">
            <w:pPr>
              <w:jc w:val="both"/>
              <w:rPr>
                <w:rFonts w:ascii="Calibri" w:hAnsi="Calibri" w:cs="Calibri"/>
                <w:color w:val="000000"/>
                <w:sz w:val="20"/>
                <w:szCs w:val="20"/>
              </w:rPr>
            </w:pPr>
            <w:r w:rsidRPr="00227337">
              <w:rPr>
                <w:rFonts w:ascii="Calibri" w:hAnsi="Calibri" w:cs="Calibri"/>
                <w:color w:val="000000"/>
                <w:sz w:val="20"/>
                <w:szCs w:val="20"/>
              </w:rPr>
              <w:lastRenderedPageBreak/>
              <w:br/>
              <w:t xml:space="preserve">The first half of 2021, despite the limitations imposed by the pandemic on the national response to HIV, reached encouraging results Compared to the first half of 2021, HIV testing increased by 13.72% </w:t>
            </w:r>
            <w:r w:rsidRPr="00227337">
              <w:rPr>
                <w:rFonts w:ascii="Calibri" w:hAnsi="Calibri" w:cs="Calibri"/>
                <w:color w:val="000000"/>
                <w:sz w:val="20"/>
                <w:szCs w:val="20"/>
              </w:rPr>
              <w:lastRenderedPageBreak/>
              <w:t>(1,046,908 / 920,620). In the province of Benguela it increased by 23.96% (110.333 / 89.004). During the reporting period, 18,817 PLHIV started ART, with a higher incidence in females - 71.4% and (13426 /18,817). The gross cumulative number of 130.005 PLHIV on ART until June 2021, results from the definitive sum of patients in December 2020 (111,188), plus the total number of new patients (18,817) who started ART this semester in this report.</w:t>
            </w:r>
          </w:p>
          <w:p w14:paraId="08D6840E" w14:textId="77777777" w:rsidR="002941DA" w:rsidRPr="00227337" w:rsidRDefault="002941DA" w:rsidP="002941DA">
            <w:pPr>
              <w:jc w:val="both"/>
              <w:rPr>
                <w:rFonts w:ascii="Calibri" w:hAnsi="Calibri" w:cs="Calibri"/>
                <w:color w:val="000000"/>
                <w:sz w:val="20"/>
                <w:szCs w:val="20"/>
              </w:rPr>
            </w:pPr>
          </w:p>
          <w:p w14:paraId="2894D59E" w14:textId="5639F85E" w:rsidR="002941DA" w:rsidRPr="00227337" w:rsidRDefault="002941DA" w:rsidP="002941DA">
            <w:pPr>
              <w:jc w:val="both"/>
              <w:rPr>
                <w:rFonts w:ascii="Calibri" w:hAnsi="Calibri" w:cs="Calibri"/>
                <w:b/>
                <w:bCs/>
                <w:color w:val="000000"/>
                <w:sz w:val="20"/>
                <w:szCs w:val="20"/>
              </w:rPr>
            </w:pPr>
            <w:r w:rsidRPr="00227337">
              <w:rPr>
                <w:rFonts w:ascii="Calibri" w:hAnsi="Calibri" w:cs="Calibri"/>
                <w:b/>
                <w:bCs/>
                <w:color w:val="000000"/>
                <w:sz w:val="20"/>
                <w:szCs w:val="20"/>
              </w:rPr>
              <w:t>Rating: 3 (Green - Excellent and well on track)</w:t>
            </w:r>
            <w:r w:rsidRPr="00227337">
              <w:rPr>
                <w:rFonts w:ascii="Calibri" w:hAnsi="Calibri" w:cs="Calibri"/>
                <w:b/>
                <w:bCs/>
                <w:color w:val="000000"/>
                <w:sz w:val="20"/>
                <w:szCs w:val="20"/>
              </w:rPr>
              <w:br/>
            </w:r>
          </w:p>
        </w:tc>
        <w:tc>
          <w:tcPr>
            <w:tcW w:w="2799" w:type="dxa"/>
            <w:vAlign w:val="center"/>
          </w:tcPr>
          <w:p w14:paraId="70D3E1A4" w14:textId="232B7D30" w:rsidR="002941DA" w:rsidRPr="00227337" w:rsidRDefault="002941DA" w:rsidP="002941DA">
            <w:pPr>
              <w:jc w:val="both"/>
              <w:rPr>
                <w:rFonts w:ascii="Calibri" w:hAnsi="Calibri" w:cs="Calibri"/>
                <w:color w:val="000000"/>
                <w:sz w:val="20"/>
                <w:szCs w:val="20"/>
              </w:rPr>
            </w:pPr>
            <w:r w:rsidRPr="00227337">
              <w:rPr>
                <w:rFonts w:ascii="Calibri" w:hAnsi="Calibri" w:cs="Calibri"/>
                <w:color w:val="000000"/>
                <w:sz w:val="20"/>
                <w:szCs w:val="20"/>
              </w:rPr>
              <w:lastRenderedPageBreak/>
              <w:t xml:space="preserve">The reason for the positive performance of this indicator had the following reasons: 1. The recount of patients in active queue for ART in Benguela province. This is a good practice and its expansion to the province of Cuanza Sul will be </w:t>
            </w:r>
            <w:r w:rsidRPr="00227337">
              <w:rPr>
                <w:rFonts w:ascii="Calibri" w:hAnsi="Calibri" w:cs="Calibri"/>
                <w:color w:val="000000"/>
                <w:sz w:val="20"/>
                <w:szCs w:val="20"/>
              </w:rPr>
              <w:lastRenderedPageBreak/>
              <w:t xml:space="preserve">recommended; 2. The carrying out of training supervisions on Malaria, HIV, PTMF, TB, SSR and M&amp;E in the 18 provinces; 3. Ongoing training for program technicians on the national TA protocol and ART standards and on integrated data collection instruments; 4. In-service training of technicians on early childhood diagnosis and viral load in the provinces of Luanda, Benguela, Bié, Cunene, Huambo, Huila and Namibe; 5. The timely distribution of supplies in the provinces and in some specialized health units and private clinics (Clingiest, Girassol, 29 de Novembro and Sagrada Esperança); 6. The complementarity of community support services for prevention, diagnosis and treatment, implemented by SRs and SSRs in the provinces of Bie, Cuando Cubango, Namibe, Huila, Luanda, Benguela and Cunene, achieved the following results in this period: • Distribution of 82,059 materials on information, education and </w:t>
            </w:r>
            <w:r w:rsidRPr="00227337">
              <w:rPr>
                <w:rFonts w:ascii="Calibri" w:hAnsi="Calibri" w:cs="Calibri"/>
                <w:color w:val="000000"/>
                <w:sz w:val="20"/>
                <w:szCs w:val="20"/>
              </w:rPr>
              <w:lastRenderedPageBreak/>
              <w:t>communication related to HIV/AIDS; • Conducting IEC sessions in communities, benefiting 4,694 people; • 85 Advocacy meetings with traditional authorities, religious, community leaders and health facilities; • Community guidance on antiretroviral therapy to 11,065 people; • Home visits to 6,448 PLHIV in follow-up. Source: DHIS2 semestral DHIS2, Spectrum e base de dados consolidado SR.</w:t>
            </w:r>
          </w:p>
        </w:tc>
        <w:tc>
          <w:tcPr>
            <w:tcW w:w="2799" w:type="dxa"/>
            <w:vAlign w:val="center"/>
          </w:tcPr>
          <w:p w14:paraId="0B844937" w14:textId="77777777" w:rsidR="002941DA" w:rsidRPr="00227337" w:rsidRDefault="002941DA" w:rsidP="002941DA">
            <w:pPr>
              <w:jc w:val="both"/>
              <w:rPr>
                <w:rFonts w:ascii="Calibri" w:hAnsi="Calibri" w:cs="Calibri"/>
                <w:color w:val="000000"/>
                <w:sz w:val="20"/>
                <w:szCs w:val="20"/>
              </w:rPr>
            </w:pPr>
            <w:r w:rsidRPr="00227337">
              <w:rPr>
                <w:rFonts w:ascii="Calibri" w:hAnsi="Calibri" w:cs="Calibri"/>
                <w:color w:val="000000"/>
                <w:sz w:val="20"/>
                <w:szCs w:val="20"/>
              </w:rPr>
              <w:lastRenderedPageBreak/>
              <w:t>Not applicable</w:t>
            </w:r>
          </w:p>
        </w:tc>
      </w:tr>
      <w:tr w:rsidR="002941DA" w:rsidRPr="00227337" w14:paraId="605869EC" w14:textId="77777777" w:rsidTr="00401ED9">
        <w:tc>
          <w:tcPr>
            <w:tcW w:w="2798" w:type="dxa"/>
            <w:vMerge/>
          </w:tcPr>
          <w:p w14:paraId="3BD19AB1" w14:textId="77777777" w:rsidR="002941DA" w:rsidRPr="00227337" w:rsidRDefault="002941DA" w:rsidP="002941DA">
            <w:pPr>
              <w:jc w:val="both"/>
              <w:rPr>
                <w:rFonts w:ascii="Calibri" w:hAnsi="Calibri" w:cs="Calibri"/>
                <w:sz w:val="20"/>
                <w:szCs w:val="20"/>
              </w:rPr>
            </w:pPr>
          </w:p>
        </w:tc>
        <w:tc>
          <w:tcPr>
            <w:tcW w:w="2799" w:type="dxa"/>
            <w:tcBorders>
              <w:top w:val="single" w:sz="4" w:space="0" w:color="auto"/>
            </w:tcBorders>
            <w:vAlign w:val="center"/>
          </w:tcPr>
          <w:p w14:paraId="73283EF5" w14:textId="77777777" w:rsidR="002941DA" w:rsidRPr="00227337" w:rsidRDefault="002941DA" w:rsidP="002941DA">
            <w:pPr>
              <w:jc w:val="both"/>
              <w:rPr>
                <w:rFonts w:ascii="Calibri" w:hAnsi="Calibri" w:cs="Calibri"/>
                <w:color w:val="000000"/>
                <w:sz w:val="20"/>
                <w:szCs w:val="20"/>
              </w:rPr>
            </w:pPr>
            <w:r w:rsidRPr="00227337">
              <w:rPr>
                <w:rFonts w:ascii="Calibri" w:hAnsi="Calibri" w:cs="Calibri"/>
                <w:b/>
                <w:bCs/>
                <w:color w:val="000000"/>
                <w:sz w:val="20"/>
                <w:szCs w:val="20"/>
              </w:rPr>
              <w:t>Indicator 1.4.2</w:t>
            </w:r>
            <w:r w:rsidRPr="00227337">
              <w:rPr>
                <w:rFonts w:ascii="Calibri" w:hAnsi="Calibri" w:cs="Calibri"/>
                <w:color w:val="000000"/>
                <w:sz w:val="20"/>
                <w:szCs w:val="20"/>
              </w:rPr>
              <w:t xml:space="preserve">. Number of HIV positive pregnant women who received antiretroviral treatment during pregnancy to reduce the risk of mother-to-child transmission of HIV. </w:t>
            </w:r>
          </w:p>
          <w:p w14:paraId="6A0421DB" w14:textId="77777777" w:rsidR="002941DA" w:rsidRPr="00227337" w:rsidRDefault="002941DA" w:rsidP="002941DA">
            <w:pPr>
              <w:jc w:val="both"/>
              <w:rPr>
                <w:rFonts w:ascii="Calibri" w:hAnsi="Calibri" w:cs="Calibri"/>
                <w:b/>
                <w:bCs/>
                <w:color w:val="000000"/>
                <w:sz w:val="20"/>
                <w:szCs w:val="20"/>
              </w:rPr>
            </w:pPr>
            <w:r w:rsidRPr="00227337">
              <w:rPr>
                <w:rFonts w:ascii="Calibri" w:hAnsi="Calibri" w:cs="Calibri"/>
                <w:b/>
                <w:color w:val="000000"/>
                <w:sz w:val="20"/>
                <w:szCs w:val="20"/>
              </w:rPr>
              <w:t>Baseline: 7 008</w:t>
            </w:r>
          </w:p>
          <w:p w14:paraId="3B93BB48" w14:textId="77777777" w:rsidR="002941DA" w:rsidRPr="00227337" w:rsidRDefault="002941DA" w:rsidP="002941DA">
            <w:pPr>
              <w:jc w:val="both"/>
              <w:rPr>
                <w:rFonts w:ascii="Calibri" w:hAnsi="Calibri" w:cs="Calibri"/>
                <w:b/>
                <w:sz w:val="20"/>
                <w:szCs w:val="20"/>
              </w:rPr>
            </w:pPr>
            <w:r w:rsidRPr="00227337">
              <w:rPr>
                <w:rFonts w:ascii="Calibri" w:hAnsi="Calibri" w:cs="Calibri"/>
                <w:b/>
                <w:sz w:val="20"/>
                <w:szCs w:val="20"/>
              </w:rPr>
              <w:t>Target: 15.537</w:t>
            </w:r>
          </w:p>
          <w:p w14:paraId="2D848223" w14:textId="77777777" w:rsidR="002941DA" w:rsidRPr="00227337" w:rsidRDefault="002941DA" w:rsidP="002941DA">
            <w:pPr>
              <w:jc w:val="both"/>
              <w:rPr>
                <w:rFonts w:ascii="Calibri" w:hAnsi="Calibri" w:cs="Calibri"/>
                <w:sz w:val="20"/>
                <w:szCs w:val="20"/>
              </w:rPr>
            </w:pPr>
          </w:p>
        </w:tc>
        <w:tc>
          <w:tcPr>
            <w:tcW w:w="2799" w:type="dxa"/>
            <w:vAlign w:val="center"/>
          </w:tcPr>
          <w:p w14:paraId="4F814F68" w14:textId="315DA0BE" w:rsidR="002941DA" w:rsidRPr="00227337" w:rsidRDefault="002941DA" w:rsidP="002941DA">
            <w:pPr>
              <w:jc w:val="both"/>
              <w:rPr>
                <w:rFonts w:ascii="Calibri" w:hAnsi="Calibri" w:cs="Calibri"/>
                <w:color w:val="000000"/>
                <w:sz w:val="20"/>
                <w:szCs w:val="20"/>
              </w:rPr>
            </w:pPr>
            <w:r w:rsidRPr="00227337">
              <w:rPr>
                <w:rFonts w:ascii="Calibri" w:hAnsi="Calibri" w:cs="Calibri"/>
                <w:b/>
                <w:bCs/>
                <w:color w:val="000000"/>
                <w:sz w:val="20"/>
                <w:szCs w:val="20"/>
              </w:rPr>
              <w:br/>
            </w:r>
            <w:r w:rsidRPr="00227337">
              <w:rPr>
                <w:rFonts w:ascii="Calibri" w:hAnsi="Calibri" w:cs="Calibri"/>
                <w:color w:val="000000"/>
                <w:sz w:val="20"/>
                <w:szCs w:val="20"/>
              </w:rPr>
              <w:t>Definitive data from Spectrum 2020 estimated a vertical transmission rate of 19% (5,196/27,951) for Angola.</w:t>
            </w:r>
            <w:r w:rsidRPr="00227337">
              <w:rPr>
                <w:rFonts w:ascii="Calibri" w:hAnsi="Calibri" w:cs="Calibri"/>
                <w:color w:val="000000"/>
                <w:sz w:val="20"/>
                <w:szCs w:val="20"/>
              </w:rPr>
              <w:br/>
              <w:t xml:space="preserve">Improving programmatic indicators for mother-to-child transmission stems from the national priority of ensuring an HIV/AIDS-free generation. In the reporting period, 40% (425,249/1.046,908) of pregnant women were tested, resulting in a positivity rate of 1.3% (5,545/425,249). The number of HIV+ pregnant </w:t>
            </w:r>
            <w:r w:rsidRPr="00227337">
              <w:rPr>
                <w:rFonts w:ascii="Calibri" w:hAnsi="Calibri" w:cs="Calibri"/>
                <w:color w:val="000000"/>
                <w:sz w:val="20"/>
                <w:szCs w:val="20"/>
              </w:rPr>
              <w:lastRenderedPageBreak/>
              <w:t>women who received ART was 9,396 and 45% of these (4,226/9396) were HIV+ pregnant women who were already using ART before the current pregnancy. This result indicates that the country is in good track to achieve the set target.</w:t>
            </w:r>
          </w:p>
          <w:p w14:paraId="2ED028B1" w14:textId="77777777" w:rsidR="002941DA" w:rsidRPr="00227337" w:rsidRDefault="002941DA" w:rsidP="002941DA">
            <w:pPr>
              <w:jc w:val="both"/>
              <w:rPr>
                <w:rFonts w:ascii="Calibri" w:hAnsi="Calibri" w:cs="Calibri"/>
                <w:color w:val="000000"/>
                <w:sz w:val="20"/>
                <w:szCs w:val="20"/>
              </w:rPr>
            </w:pPr>
          </w:p>
          <w:p w14:paraId="02B5D4F6" w14:textId="484EFB59" w:rsidR="002941DA" w:rsidRPr="00227337" w:rsidRDefault="002941DA" w:rsidP="002941DA">
            <w:pPr>
              <w:jc w:val="both"/>
              <w:rPr>
                <w:rFonts w:ascii="Calibri" w:hAnsi="Calibri" w:cs="Calibri"/>
                <w:color w:val="000000"/>
                <w:sz w:val="20"/>
                <w:szCs w:val="20"/>
              </w:rPr>
            </w:pPr>
            <w:r w:rsidRPr="00227337">
              <w:rPr>
                <w:rFonts w:ascii="Calibri" w:hAnsi="Calibri" w:cs="Calibri"/>
                <w:b/>
                <w:bCs/>
                <w:color w:val="000000"/>
                <w:sz w:val="20"/>
                <w:szCs w:val="20"/>
              </w:rPr>
              <w:t>Rating: 3 (Green - Excellent and well on track)</w:t>
            </w:r>
            <w:r w:rsidRPr="00227337">
              <w:rPr>
                <w:rFonts w:ascii="Calibri" w:hAnsi="Calibri" w:cs="Calibri"/>
                <w:b/>
                <w:bCs/>
                <w:color w:val="000000"/>
                <w:sz w:val="20"/>
                <w:szCs w:val="20"/>
              </w:rPr>
              <w:br/>
            </w:r>
          </w:p>
          <w:p w14:paraId="14B79FDC" w14:textId="77777777" w:rsidR="002941DA" w:rsidRPr="00227337" w:rsidRDefault="002941DA" w:rsidP="002941DA">
            <w:pPr>
              <w:jc w:val="both"/>
              <w:rPr>
                <w:rFonts w:ascii="Calibri" w:hAnsi="Calibri" w:cs="Calibri"/>
                <w:color w:val="000000"/>
                <w:sz w:val="20"/>
                <w:szCs w:val="20"/>
              </w:rPr>
            </w:pPr>
          </w:p>
        </w:tc>
        <w:tc>
          <w:tcPr>
            <w:tcW w:w="2799" w:type="dxa"/>
            <w:vAlign w:val="center"/>
          </w:tcPr>
          <w:p w14:paraId="637C8121" w14:textId="77777777" w:rsidR="002941DA" w:rsidRPr="00227337" w:rsidRDefault="002941DA" w:rsidP="002941DA">
            <w:pPr>
              <w:jc w:val="both"/>
              <w:rPr>
                <w:rFonts w:ascii="Calibri" w:hAnsi="Calibri" w:cs="Calibri"/>
                <w:color w:val="000000"/>
                <w:sz w:val="20"/>
                <w:szCs w:val="20"/>
              </w:rPr>
            </w:pPr>
            <w:r w:rsidRPr="00227337">
              <w:rPr>
                <w:rFonts w:ascii="Calibri" w:hAnsi="Calibri" w:cs="Calibri"/>
                <w:color w:val="000000"/>
                <w:sz w:val="20"/>
                <w:szCs w:val="20"/>
              </w:rPr>
              <w:lastRenderedPageBreak/>
              <w:t xml:space="preserve">The reasons for this performance are related to good practices such as: 1. UNDP support to MOH in the acquisition of ARVs; 2. Advising UNDP in the elaboration of the National Plan for mother-to-child vertical transmission. 3. Ongoing training for providers of the Protocol and Adherence to the Prevention of Mother-to-Child Transmission of HIV; 4. Creation of a flowchart for the transport of the viral load sample to the provinces of Luanda and Benguela. 5. </w:t>
            </w:r>
            <w:r w:rsidRPr="00227337">
              <w:rPr>
                <w:rFonts w:ascii="Calibri" w:hAnsi="Calibri" w:cs="Calibri"/>
                <w:color w:val="000000"/>
                <w:sz w:val="20"/>
                <w:szCs w:val="20"/>
              </w:rPr>
              <w:lastRenderedPageBreak/>
              <w:t>Offering community support services to pregnant women reaching: • 7,244 IEC sessions on PTMF held in the community, including during antenatal sessions. • 5,910 home visits to HIV + pregnant women • 771 HIV+ pregnant women identified and monitored in the community. • 773 HIV+ pregnant women referred</w:t>
            </w:r>
          </w:p>
        </w:tc>
        <w:tc>
          <w:tcPr>
            <w:tcW w:w="2799" w:type="dxa"/>
            <w:vAlign w:val="center"/>
          </w:tcPr>
          <w:p w14:paraId="3A72C766" w14:textId="752FF894" w:rsidR="002941DA" w:rsidRPr="00227337" w:rsidRDefault="002941DA" w:rsidP="002941DA">
            <w:pPr>
              <w:jc w:val="both"/>
              <w:rPr>
                <w:rFonts w:ascii="Calibri" w:hAnsi="Calibri" w:cs="Calibri"/>
                <w:color w:val="000000"/>
                <w:sz w:val="20"/>
                <w:szCs w:val="20"/>
              </w:rPr>
            </w:pPr>
            <w:r w:rsidRPr="00227337">
              <w:rPr>
                <w:rFonts w:ascii="Calibri" w:hAnsi="Calibri" w:cs="Calibri"/>
                <w:color w:val="000000"/>
                <w:sz w:val="20"/>
                <w:szCs w:val="20"/>
              </w:rPr>
              <w:lastRenderedPageBreak/>
              <w:t xml:space="preserve">The restrictions imposed by the COVID-19 pandemic affected the regular movement of the population, including fear to visit health facilities despite the government efforts to convince </w:t>
            </w:r>
            <w:proofErr w:type="gramStart"/>
            <w:r w:rsidRPr="00227337">
              <w:rPr>
                <w:rFonts w:ascii="Calibri" w:hAnsi="Calibri" w:cs="Calibri"/>
                <w:color w:val="000000"/>
                <w:sz w:val="20"/>
                <w:szCs w:val="20"/>
              </w:rPr>
              <w:t>that pregnant wom</w:t>
            </w:r>
            <w:r>
              <w:rPr>
                <w:rFonts w:ascii="Calibri" w:hAnsi="Calibri" w:cs="Calibri"/>
                <w:color w:val="000000"/>
                <w:sz w:val="20"/>
                <w:szCs w:val="20"/>
              </w:rPr>
              <w:t>e</w:t>
            </w:r>
            <w:r w:rsidRPr="00227337">
              <w:rPr>
                <w:rFonts w:ascii="Calibri" w:hAnsi="Calibri" w:cs="Calibri"/>
                <w:color w:val="000000"/>
                <w:sz w:val="20"/>
                <w:szCs w:val="20"/>
              </w:rPr>
              <w:t>n</w:t>
            </w:r>
            <w:proofErr w:type="gramEnd"/>
            <w:r w:rsidRPr="00227337">
              <w:rPr>
                <w:rFonts w:ascii="Calibri" w:hAnsi="Calibri" w:cs="Calibri"/>
                <w:color w:val="000000"/>
                <w:sz w:val="20"/>
                <w:szCs w:val="20"/>
              </w:rPr>
              <w:t xml:space="preserve"> should not stop attending the ANC clinics and avoid home births. In addition to this, in many areas of Angola, pregnant women have a preference to not attending ANC. This is a problem that the country has recognised as a priority.</w:t>
            </w:r>
          </w:p>
        </w:tc>
      </w:tr>
      <w:tr w:rsidR="002941DA" w:rsidRPr="00227337" w14:paraId="5910CF17" w14:textId="77777777" w:rsidTr="00401ED9">
        <w:tc>
          <w:tcPr>
            <w:tcW w:w="2798" w:type="dxa"/>
            <w:vMerge/>
          </w:tcPr>
          <w:p w14:paraId="3AE462B8" w14:textId="77777777" w:rsidR="002941DA" w:rsidRPr="00227337" w:rsidRDefault="002941DA" w:rsidP="002941DA">
            <w:pPr>
              <w:jc w:val="both"/>
              <w:rPr>
                <w:rFonts w:ascii="Calibri" w:hAnsi="Calibri" w:cs="Calibri"/>
                <w:sz w:val="20"/>
                <w:szCs w:val="20"/>
              </w:rPr>
            </w:pPr>
          </w:p>
        </w:tc>
        <w:tc>
          <w:tcPr>
            <w:tcW w:w="2799" w:type="dxa"/>
            <w:tcBorders>
              <w:top w:val="single" w:sz="4" w:space="0" w:color="auto"/>
            </w:tcBorders>
          </w:tcPr>
          <w:p w14:paraId="66ABFA78" w14:textId="77777777" w:rsidR="002941DA" w:rsidRPr="00227337" w:rsidRDefault="002941DA" w:rsidP="002941DA">
            <w:pPr>
              <w:jc w:val="both"/>
              <w:rPr>
                <w:rFonts w:ascii="Calibri" w:hAnsi="Calibri" w:cs="Calibri"/>
                <w:b/>
                <w:bCs/>
                <w:color w:val="000000"/>
                <w:sz w:val="20"/>
                <w:szCs w:val="20"/>
              </w:rPr>
            </w:pPr>
            <w:r w:rsidRPr="00227337">
              <w:rPr>
                <w:rFonts w:ascii="Calibri" w:hAnsi="Calibri" w:cs="Calibri"/>
                <w:b/>
                <w:bCs/>
                <w:color w:val="000000"/>
                <w:sz w:val="20"/>
                <w:szCs w:val="20"/>
              </w:rPr>
              <w:t>Indicator 1.4.3.</w:t>
            </w:r>
            <w:r w:rsidRPr="00227337">
              <w:rPr>
                <w:rFonts w:ascii="Calibri" w:hAnsi="Calibri" w:cs="Calibri"/>
                <w:color w:val="000000"/>
                <w:sz w:val="20"/>
                <w:szCs w:val="20"/>
              </w:rPr>
              <w:t xml:space="preserve"> Number of: (a) adolescent girls and young women; and (b) female sex workers reached with HIV prevention services. </w:t>
            </w:r>
          </w:p>
          <w:p w14:paraId="6EB4AE53" w14:textId="77777777" w:rsidR="002941DA" w:rsidRPr="00227337" w:rsidRDefault="002941DA" w:rsidP="002941DA">
            <w:pPr>
              <w:jc w:val="both"/>
              <w:rPr>
                <w:rFonts w:ascii="Calibri" w:hAnsi="Calibri" w:cs="Calibri"/>
                <w:sz w:val="20"/>
                <w:szCs w:val="20"/>
              </w:rPr>
            </w:pPr>
            <w:r w:rsidRPr="00227337">
              <w:rPr>
                <w:rFonts w:ascii="Calibri" w:hAnsi="Calibri" w:cs="Calibri"/>
                <w:b/>
                <w:sz w:val="20"/>
                <w:szCs w:val="20"/>
              </w:rPr>
              <w:t>Baseline:</w:t>
            </w:r>
            <w:r w:rsidRPr="00227337">
              <w:rPr>
                <w:rFonts w:ascii="Calibri" w:hAnsi="Calibri" w:cs="Calibri"/>
                <w:sz w:val="20"/>
                <w:szCs w:val="20"/>
              </w:rPr>
              <w:t xml:space="preserve"> (a) 27,859; (b) 2,499. </w:t>
            </w:r>
          </w:p>
          <w:p w14:paraId="2490931A" w14:textId="77777777" w:rsidR="002941DA" w:rsidRPr="00227337" w:rsidRDefault="002941DA" w:rsidP="002941DA">
            <w:pPr>
              <w:jc w:val="both"/>
              <w:rPr>
                <w:rFonts w:ascii="Calibri" w:hAnsi="Calibri" w:cs="Calibri"/>
                <w:sz w:val="20"/>
                <w:szCs w:val="20"/>
              </w:rPr>
            </w:pPr>
            <w:r w:rsidRPr="00227337">
              <w:rPr>
                <w:rFonts w:ascii="Calibri" w:hAnsi="Calibri" w:cs="Calibri"/>
                <w:b/>
                <w:sz w:val="20"/>
                <w:szCs w:val="20"/>
              </w:rPr>
              <w:t>Target:</w:t>
            </w:r>
            <w:r w:rsidRPr="00227337">
              <w:rPr>
                <w:rFonts w:ascii="Calibri" w:hAnsi="Calibri" w:cs="Calibri"/>
                <w:sz w:val="20"/>
                <w:szCs w:val="20"/>
              </w:rPr>
              <w:t xml:space="preserve"> (a) 90,000; (b) 16,584.</w:t>
            </w:r>
          </w:p>
        </w:tc>
        <w:tc>
          <w:tcPr>
            <w:tcW w:w="2799" w:type="dxa"/>
            <w:vAlign w:val="center"/>
          </w:tcPr>
          <w:p w14:paraId="5968041E" w14:textId="5F6518B1" w:rsidR="002941DA" w:rsidRPr="00227337" w:rsidRDefault="002941DA" w:rsidP="002941DA">
            <w:pPr>
              <w:jc w:val="both"/>
              <w:rPr>
                <w:rFonts w:ascii="Calibri" w:hAnsi="Calibri" w:cs="Calibri"/>
                <w:color w:val="000000"/>
                <w:sz w:val="20"/>
                <w:szCs w:val="20"/>
              </w:rPr>
            </w:pPr>
            <w:r w:rsidRPr="00227337">
              <w:rPr>
                <w:rFonts w:ascii="Calibri" w:hAnsi="Calibri" w:cs="Calibri"/>
                <w:color w:val="000000"/>
                <w:sz w:val="20"/>
                <w:szCs w:val="20"/>
              </w:rPr>
              <w:br/>
              <w:t xml:space="preserve">(a) Adolescent girls and young women - 81.550 adolescent girls and young women were reached with a defined package since January 2020. Two SR's (ADPP and APDES) contributed to the performance of this indicator. The largest contributor to this component was ADPP, providing a defined package of HIV prevention services in five provinces (Huíla, Luanda, Benguela, Cunene and Cuando Cubango). This coverage is the result of actions taken at the “Bancadas </w:t>
            </w:r>
            <w:r w:rsidRPr="00227337">
              <w:rPr>
                <w:rFonts w:ascii="Calibri" w:hAnsi="Calibri" w:cs="Calibri"/>
                <w:color w:val="000000"/>
                <w:sz w:val="20"/>
                <w:szCs w:val="20"/>
              </w:rPr>
              <w:lastRenderedPageBreak/>
              <w:t>Femininas” inside and outside the school, which consisted of offering adolescents and girls, on an ongoing basis, information on HIV prevention, comprehensive sexual education and empowerment. (b) female sex workers - a total of 14625 FSW were reached with a prevention package during the reporting period. In the first half of 2021, the SRs in the provinces of Bié (APDES), Cuanza Sul and Benguela (ADPP/OIC and ASCAM) made significant progress in providing the prevention service package to female sex workers. In addition, 78.6% (6,858/8,725) of the FSWs were tested for HIV resulting in a positivity rate of 4.4% (302/6,858). The highest number of positive tests were obtained in the provinces of Luanda, Benguela and Cuanza Sul. A total of 13,738 condoms and lubricants were distributed.</w:t>
            </w:r>
          </w:p>
          <w:p w14:paraId="0672CB2B" w14:textId="77777777" w:rsidR="002941DA" w:rsidRPr="00227337" w:rsidRDefault="002941DA" w:rsidP="002941DA">
            <w:pPr>
              <w:jc w:val="both"/>
              <w:rPr>
                <w:rFonts w:ascii="Calibri" w:hAnsi="Calibri" w:cs="Calibri"/>
                <w:color w:val="000000"/>
                <w:sz w:val="20"/>
                <w:szCs w:val="20"/>
              </w:rPr>
            </w:pPr>
          </w:p>
          <w:p w14:paraId="7CE8E30B" w14:textId="77777777" w:rsidR="002941DA" w:rsidRPr="00227337" w:rsidRDefault="002941DA" w:rsidP="002941DA">
            <w:pPr>
              <w:jc w:val="both"/>
              <w:rPr>
                <w:rFonts w:ascii="Calibri" w:hAnsi="Calibri" w:cs="Calibri"/>
                <w:color w:val="000000"/>
                <w:sz w:val="20"/>
                <w:szCs w:val="20"/>
              </w:rPr>
            </w:pPr>
          </w:p>
          <w:p w14:paraId="0D5B2691" w14:textId="4EA2A57B" w:rsidR="002941DA" w:rsidRPr="00227337" w:rsidRDefault="002941DA" w:rsidP="002941DA">
            <w:pPr>
              <w:jc w:val="both"/>
              <w:rPr>
                <w:rFonts w:ascii="Calibri" w:hAnsi="Calibri" w:cs="Calibri"/>
                <w:color w:val="000000"/>
                <w:sz w:val="20"/>
                <w:szCs w:val="20"/>
              </w:rPr>
            </w:pPr>
            <w:r w:rsidRPr="00227337">
              <w:rPr>
                <w:rFonts w:ascii="Calibri" w:hAnsi="Calibri" w:cs="Calibri"/>
                <w:b/>
                <w:bCs/>
                <w:color w:val="000000"/>
                <w:sz w:val="20"/>
                <w:szCs w:val="20"/>
              </w:rPr>
              <w:lastRenderedPageBreak/>
              <w:t>Rating: 3 (Green - Excellent and well on track)</w:t>
            </w:r>
            <w:r w:rsidRPr="00227337">
              <w:rPr>
                <w:rFonts w:ascii="Calibri" w:hAnsi="Calibri" w:cs="Calibri"/>
                <w:b/>
                <w:bCs/>
                <w:color w:val="000000"/>
                <w:sz w:val="20"/>
                <w:szCs w:val="20"/>
              </w:rPr>
              <w:br/>
            </w:r>
          </w:p>
        </w:tc>
        <w:tc>
          <w:tcPr>
            <w:tcW w:w="2799" w:type="dxa"/>
            <w:vAlign w:val="center"/>
          </w:tcPr>
          <w:p w14:paraId="7CE34F08" w14:textId="77777777" w:rsidR="002941DA" w:rsidRPr="00227337" w:rsidRDefault="002941DA" w:rsidP="002941DA">
            <w:pPr>
              <w:jc w:val="both"/>
              <w:rPr>
                <w:rFonts w:ascii="Calibri" w:hAnsi="Calibri" w:cs="Calibri"/>
                <w:color w:val="000000"/>
                <w:sz w:val="20"/>
                <w:szCs w:val="20"/>
              </w:rPr>
            </w:pPr>
            <w:r w:rsidRPr="00227337">
              <w:rPr>
                <w:rFonts w:ascii="Calibri" w:hAnsi="Calibri" w:cs="Calibri"/>
                <w:color w:val="000000"/>
                <w:sz w:val="20"/>
                <w:szCs w:val="20"/>
              </w:rPr>
              <w:lastRenderedPageBreak/>
              <w:t>Adolescent girls and young women:</w:t>
            </w:r>
            <w:r w:rsidRPr="00227337">
              <w:rPr>
                <w:rFonts w:ascii="Calibri" w:hAnsi="Calibri" w:cs="Calibri"/>
                <w:color w:val="000000"/>
                <w:sz w:val="20"/>
                <w:szCs w:val="20"/>
              </w:rPr>
              <w:br/>
              <w:t xml:space="preserve">Factors that contributed to performance were: </w:t>
            </w:r>
            <w:r w:rsidRPr="00227337">
              <w:rPr>
                <w:rFonts w:ascii="Calibri" w:hAnsi="Calibri" w:cs="Calibri"/>
                <w:color w:val="000000"/>
                <w:sz w:val="20"/>
                <w:szCs w:val="20"/>
              </w:rPr>
              <w:br/>
              <w:t>a) The operationalization of community information systems and the introduction of new Risk Assessment</w:t>
            </w:r>
            <w:r w:rsidRPr="00227337">
              <w:rPr>
                <w:rFonts w:ascii="Calibri" w:hAnsi="Calibri" w:cs="Calibri"/>
                <w:color w:val="000000"/>
                <w:sz w:val="20"/>
                <w:szCs w:val="20"/>
              </w:rPr>
              <w:br/>
              <w:t>b) Sheets and ITS's Tracking Sheets;</w:t>
            </w:r>
            <w:r w:rsidRPr="00227337">
              <w:rPr>
                <w:rFonts w:ascii="Calibri" w:hAnsi="Calibri" w:cs="Calibri"/>
                <w:color w:val="000000"/>
                <w:sz w:val="20"/>
                <w:szCs w:val="20"/>
              </w:rPr>
              <w:br/>
              <w:t>c) Operationalization of the Drop-in Center in Bié for the testing of AGYW;</w:t>
            </w:r>
            <w:r w:rsidRPr="00227337">
              <w:rPr>
                <w:rFonts w:ascii="Calibri" w:hAnsi="Calibri" w:cs="Calibri"/>
                <w:color w:val="000000"/>
                <w:sz w:val="20"/>
                <w:szCs w:val="20"/>
              </w:rPr>
              <w:br/>
              <w:t xml:space="preserve">d) To circumvent the limitations imposed by COVID-19, SRs used the advantages of the various applications (WhatsApp; </w:t>
            </w:r>
            <w:r w:rsidRPr="00227337">
              <w:rPr>
                <w:rFonts w:ascii="Calibri" w:hAnsi="Calibri" w:cs="Calibri"/>
                <w:color w:val="000000"/>
                <w:sz w:val="20"/>
                <w:szCs w:val="20"/>
              </w:rPr>
              <w:lastRenderedPageBreak/>
              <w:t xml:space="preserve">Facebook; Instagram; Zoom; Twitter) for the collection and sharing of data and information, conducting group discussions, as well as raising awareness; and further strengthening and expanding the network of contacts and the interrelationship between groups of key populations individuals.              </w:t>
            </w:r>
            <w:r w:rsidRPr="00227337">
              <w:rPr>
                <w:rFonts w:ascii="Calibri" w:hAnsi="Calibri" w:cs="Calibri"/>
                <w:color w:val="000000"/>
                <w:sz w:val="20"/>
                <w:szCs w:val="20"/>
              </w:rPr>
              <w:br/>
            </w:r>
            <w:r w:rsidRPr="00227337">
              <w:rPr>
                <w:rFonts w:ascii="Calibri" w:hAnsi="Calibri" w:cs="Calibri"/>
                <w:color w:val="000000"/>
                <w:sz w:val="20"/>
                <w:szCs w:val="20"/>
              </w:rPr>
              <w:br/>
              <w:t>Female Sex workers:</w:t>
            </w:r>
            <w:r w:rsidRPr="00227337">
              <w:rPr>
                <w:rFonts w:ascii="Calibri" w:hAnsi="Calibri" w:cs="Calibri"/>
                <w:color w:val="000000"/>
                <w:sz w:val="20"/>
                <w:szCs w:val="20"/>
              </w:rPr>
              <w:br/>
              <w:t xml:space="preserve">Factors that contributed to performance were: </w:t>
            </w:r>
            <w:r w:rsidRPr="00227337">
              <w:rPr>
                <w:rFonts w:ascii="Calibri" w:hAnsi="Calibri" w:cs="Calibri"/>
                <w:color w:val="000000"/>
                <w:sz w:val="20"/>
                <w:szCs w:val="20"/>
              </w:rPr>
              <w:br/>
              <w:t>1. The expansion of the package of services to Key Populations in the province of Cuanza Sul, municipalities of Sumbe and Amboim with ASCAM, ADPP SSR;</w:t>
            </w:r>
            <w:r w:rsidRPr="00227337">
              <w:rPr>
                <w:rFonts w:ascii="Calibri" w:hAnsi="Calibri" w:cs="Calibri"/>
                <w:color w:val="000000"/>
                <w:sz w:val="20"/>
                <w:szCs w:val="20"/>
              </w:rPr>
              <w:br/>
              <w:t>2. Redefinition of the grant SSR management arrangement map placing OIC and ASCAM under ADPP management;</w:t>
            </w:r>
            <w:r w:rsidRPr="00227337">
              <w:rPr>
                <w:rFonts w:ascii="Calibri" w:hAnsi="Calibri" w:cs="Calibri"/>
                <w:color w:val="000000"/>
                <w:sz w:val="20"/>
                <w:szCs w:val="20"/>
              </w:rPr>
              <w:br/>
              <w:t>3. Mapping of new focus in the province of Cuanza Sul and strengthening the assessment during counselling;</w:t>
            </w:r>
            <w:r w:rsidRPr="00227337">
              <w:rPr>
                <w:rFonts w:ascii="Calibri" w:hAnsi="Calibri" w:cs="Calibri"/>
                <w:color w:val="000000"/>
                <w:sz w:val="20"/>
                <w:szCs w:val="20"/>
              </w:rPr>
              <w:br/>
              <w:t xml:space="preserve">4. Implementation of a FSW empowerment approach as </w:t>
            </w:r>
            <w:r w:rsidRPr="00227337">
              <w:rPr>
                <w:rFonts w:ascii="Calibri" w:hAnsi="Calibri" w:cs="Calibri"/>
                <w:color w:val="000000"/>
                <w:sz w:val="20"/>
                <w:szCs w:val="20"/>
              </w:rPr>
              <w:lastRenderedPageBreak/>
              <w:t>part of the program strategy on rights education and gender-based violence (GBV);</w:t>
            </w:r>
            <w:r w:rsidRPr="00227337">
              <w:rPr>
                <w:rFonts w:ascii="Calibri" w:hAnsi="Calibri" w:cs="Calibri"/>
                <w:color w:val="000000"/>
                <w:sz w:val="20"/>
                <w:szCs w:val="20"/>
              </w:rPr>
              <w:br/>
              <w:t>5. In Benguela, sensitization and training of health workers in the provision of friendly services for KP, without stigma and discrimination;</w:t>
            </w:r>
            <w:r w:rsidRPr="00227337">
              <w:rPr>
                <w:rFonts w:ascii="Calibri" w:hAnsi="Calibri" w:cs="Calibri"/>
                <w:color w:val="000000"/>
                <w:sz w:val="20"/>
                <w:szCs w:val="20"/>
              </w:rPr>
              <w:br/>
              <w:t>6. Conduct stigma coordination and training sessions with police department heads and health professionals.</w:t>
            </w:r>
            <w:r w:rsidRPr="00227337">
              <w:rPr>
                <w:rFonts w:ascii="Calibri" w:hAnsi="Calibri" w:cs="Calibri"/>
                <w:color w:val="000000"/>
                <w:sz w:val="20"/>
                <w:szCs w:val="20"/>
              </w:rPr>
              <w:br/>
              <w:t>7. Referral and follow-up of FSWs who test positive for HIV to ART facilities.</w:t>
            </w:r>
          </w:p>
        </w:tc>
        <w:tc>
          <w:tcPr>
            <w:tcW w:w="2799" w:type="dxa"/>
            <w:vAlign w:val="center"/>
          </w:tcPr>
          <w:p w14:paraId="375BD540" w14:textId="467D97C9" w:rsidR="002941DA" w:rsidRPr="00227337" w:rsidRDefault="002941DA" w:rsidP="002941DA">
            <w:pPr>
              <w:jc w:val="both"/>
              <w:rPr>
                <w:rFonts w:ascii="Calibri" w:hAnsi="Calibri" w:cs="Calibri"/>
                <w:color w:val="000000"/>
                <w:sz w:val="20"/>
                <w:szCs w:val="20"/>
              </w:rPr>
            </w:pPr>
            <w:r w:rsidRPr="00227337">
              <w:rPr>
                <w:rFonts w:ascii="Calibri" w:hAnsi="Calibri" w:cs="Calibri"/>
                <w:color w:val="000000"/>
                <w:sz w:val="20"/>
                <w:szCs w:val="20"/>
              </w:rPr>
              <w:lastRenderedPageBreak/>
              <w:t>The COVID-19 pandemic limited the implementation of community outreach activities due to the restrictions that were imposed. Nevertheless, the country in in good track to reach the set target.</w:t>
            </w:r>
          </w:p>
        </w:tc>
      </w:tr>
    </w:tbl>
    <w:p w14:paraId="74E59333" w14:textId="77777777" w:rsidR="002941DA" w:rsidRDefault="002941DA" w:rsidP="002941DA">
      <w:pPr>
        <w:jc w:val="both"/>
      </w:pPr>
    </w:p>
    <w:p w14:paraId="264CF04F" w14:textId="77777777" w:rsidR="002941DA" w:rsidRDefault="002941DA" w:rsidP="002941DA">
      <w:pPr>
        <w:jc w:val="both"/>
      </w:pPr>
    </w:p>
    <w:p w14:paraId="5CC96FA3" w14:textId="77777777" w:rsidR="007C5B31" w:rsidRDefault="007C5B31" w:rsidP="002941DA">
      <w:pPr>
        <w:jc w:val="both"/>
      </w:pPr>
    </w:p>
    <w:p w14:paraId="36CC9AA7" w14:textId="77777777" w:rsidR="007C5B31" w:rsidRDefault="007C5B31" w:rsidP="002941DA">
      <w:pPr>
        <w:jc w:val="both"/>
      </w:pPr>
    </w:p>
    <w:p w14:paraId="325BB6FE" w14:textId="77777777" w:rsidR="00710736" w:rsidRDefault="00710736">
      <w:pPr>
        <w:sectPr w:rsidR="00710736" w:rsidSect="00D3131E">
          <w:pgSz w:w="16838" w:h="11906" w:orient="landscape"/>
          <w:pgMar w:top="1701" w:right="1417" w:bottom="1701" w:left="1417" w:header="708" w:footer="708" w:gutter="0"/>
          <w:cols w:space="708"/>
          <w:docGrid w:linePitch="360"/>
        </w:sectPr>
      </w:pPr>
    </w:p>
    <w:p w14:paraId="105876FA" w14:textId="74025FFC" w:rsidR="005B0D17" w:rsidRPr="0065559C" w:rsidRDefault="005B0D17" w:rsidP="005B0D17">
      <w:pPr>
        <w:pStyle w:val="Heading1"/>
        <w:rPr>
          <w:rFonts w:asciiTheme="minorHAnsi" w:hAnsiTheme="minorHAnsi" w:cstheme="minorHAnsi"/>
          <w:sz w:val="22"/>
          <w:szCs w:val="22"/>
        </w:rPr>
      </w:pPr>
      <w:bookmarkStart w:id="89" w:name="_Toc88741832"/>
      <w:r w:rsidRPr="0065559C">
        <w:rPr>
          <w:rFonts w:asciiTheme="minorHAnsi" w:eastAsia="Times New Roman" w:hAnsiTheme="minorHAnsi" w:cstheme="minorHAnsi"/>
          <w:color w:val="365F91"/>
          <w:sz w:val="22"/>
          <w:szCs w:val="22"/>
          <w:lang w:eastAsia="pt-PT"/>
        </w:rPr>
        <w:lastRenderedPageBreak/>
        <w:t xml:space="preserve">Annex </w:t>
      </w:r>
      <w:r>
        <w:rPr>
          <w:rFonts w:asciiTheme="minorHAnsi" w:eastAsia="Times New Roman" w:hAnsiTheme="minorHAnsi" w:cstheme="minorHAnsi"/>
          <w:color w:val="365F91"/>
          <w:sz w:val="22"/>
          <w:szCs w:val="22"/>
          <w:lang w:eastAsia="pt-PT"/>
        </w:rPr>
        <w:t>8</w:t>
      </w:r>
      <w:r w:rsidRPr="0065559C">
        <w:rPr>
          <w:rFonts w:asciiTheme="minorHAnsi" w:eastAsia="Times New Roman" w:hAnsiTheme="minorHAnsi" w:cstheme="minorHAnsi"/>
          <w:color w:val="365F91"/>
          <w:sz w:val="22"/>
          <w:szCs w:val="22"/>
          <w:lang w:eastAsia="pt-PT"/>
        </w:rPr>
        <w:t xml:space="preserve">: </w:t>
      </w:r>
      <w:r w:rsidRPr="0065559C">
        <w:rPr>
          <w:rFonts w:asciiTheme="minorHAnsi" w:hAnsiTheme="minorHAnsi" w:cstheme="minorHAnsi"/>
          <w:sz w:val="22"/>
          <w:szCs w:val="22"/>
        </w:rPr>
        <w:t>Increasing Resilience to Shocks and crises and enhancing management of natural resources for conservation and economic development</w:t>
      </w:r>
      <w:r>
        <w:rPr>
          <w:rFonts w:asciiTheme="minorHAnsi" w:hAnsiTheme="minorHAnsi" w:cstheme="minorHAnsi"/>
          <w:sz w:val="22"/>
          <w:szCs w:val="22"/>
        </w:rPr>
        <w:t xml:space="preserve"> - </w:t>
      </w:r>
      <w:r w:rsidRPr="0065559C">
        <w:rPr>
          <w:rFonts w:asciiTheme="minorHAnsi" w:eastAsia="Times New Roman" w:hAnsiTheme="minorHAnsi" w:cstheme="minorHAnsi"/>
          <w:color w:val="365F91"/>
          <w:sz w:val="22"/>
          <w:szCs w:val="22"/>
          <w:lang w:eastAsia="pt-PT"/>
        </w:rPr>
        <w:t>Results Template</w:t>
      </w:r>
      <w:bookmarkEnd w:id="89"/>
    </w:p>
    <w:tbl>
      <w:tblPr>
        <w:tblStyle w:val="TableGrid"/>
        <w:tblW w:w="0" w:type="auto"/>
        <w:tblLook w:val="04A0" w:firstRow="1" w:lastRow="0" w:firstColumn="1" w:lastColumn="0" w:noHBand="0" w:noVBand="1"/>
      </w:tblPr>
      <w:tblGrid>
        <w:gridCol w:w="2798"/>
        <w:gridCol w:w="2799"/>
        <w:gridCol w:w="2799"/>
        <w:gridCol w:w="2799"/>
        <w:gridCol w:w="2799"/>
      </w:tblGrid>
      <w:tr w:rsidR="005B0D17" w:rsidRPr="0065559C" w14:paraId="0281D448" w14:textId="77777777" w:rsidTr="00D1310D">
        <w:trPr>
          <w:tblHeader/>
        </w:trPr>
        <w:tc>
          <w:tcPr>
            <w:tcW w:w="2798" w:type="dxa"/>
            <w:shd w:val="clear" w:color="auto" w:fill="DBE5F1" w:themeFill="accent1" w:themeFillTint="33"/>
            <w:vAlign w:val="center"/>
          </w:tcPr>
          <w:p w14:paraId="2CD90CA5" w14:textId="77777777" w:rsidR="005B0D17" w:rsidRPr="0065559C" w:rsidRDefault="005B0D17" w:rsidP="00D1310D">
            <w:pPr>
              <w:jc w:val="both"/>
              <w:rPr>
                <w:rFonts w:cstheme="minorHAnsi"/>
                <w:sz w:val="20"/>
                <w:szCs w:val="20"/>
              </w:rPr>
            </w:pPr>
            <w:r w:rsidRPr="0065559C">
              <w:rPr>
                <w:rFonts w:eastAsia="Times New Roman" w:cstheme="minorHAnsi"/>
                <w:b/>
                <w:bCs/>
                <w:color w:val="000000"/>
                <w:sz w:val="20"/>
                <w:szCs w:val="20"/>
                <w:lang w:eastAsia="pt-PT"/>
              </w:rPr>
              <w:t>Outcome/Outputs</w:t>
            </w:r>
          </w:p>
        </w:tc>
        <w:tc>
          <w:tcPr>
            <w:tcW w:w="2799" w:type="dxa"/>
            <w:shd w:val="clear" w:color="auto" w:fill="DBE5F1" w:themeFill="accent1" w:themeFillTint="33"/>
            <w:vAlign w:val="center"/>
          </w:tcPr>
          <w:p w14:paraId="1DC6D5C8" w14:textId="77777777" w:rsidR="005B0D17" w:rsidRPr="0065559C" w:rsidRDefault="005B0D17" w:rsidP="00D1310D">
            <w:pPr>
              <w:jc w:val="both"/>
              <w:rPr>
                <w:rFonts w:cstheme="minorHAnsi"/>
                <w:sz w:val="20"/>
                <w:szCs w:val="20"/>
              </w:rPr>
            </w:pPr>
            <w:r w:rsidRPr="0065559C">
              <w:rPr>
                <w:rFonts w:eastAsia="Times New Roman" w:cstheme="minorHAnsi"/>
                <w:b/>
                <w:bCs/>
                <w:color w:val="000000"/>
                <w:sz w:val="20"/>
                <w:szCs w:val="20"/>
                <w:lang w:eastAsia="pt-PT"/>
              </w:rPr>
              <w:t>Indicators</w:t>
            </w:r>
          </w:p>
        </w:tc>
        <w:tc>
          <w:tcPr>
            <w:tcW w:w="2799" w:type="dxa"/>
            <w:shd w:val="clear" w:color="auto" w:fill="DBE5F1" w:themeFill="accent1" w:themeFillTint="33"/>
            <w:vAlign w:val="center"/>
          </w:tcPr>
          <w:p w14:paraId="70042A34" w14:textId="77777777" w:rsidR="005B0D17" w:rsidRPr="0065559C" w:rsidRDefault="005B0D17" w:rsidP="00D1310D">
            <w:pPr>
              <w:jc w:val="both"/>
              <w:rPr>
                <w:rFonts w:cstheme="minorHAnsi"/>
                <w:sz w:val="20"/>
                <w:szCs w:val="20"/>
              </w:rPr>
            </w:pPr>
            <w:r w:rsidRPr="0065559C">
              <w:rPr>
                <w:rFonts w:eastAsia="Times New Roman" w:cstheme="minorHAnsi"/>
                <w:b/>
                <w:bCs/>
                <w:color w:val="000000"/>
                <w:sz w:val="20"/>
                <w:szCs w:val="20"/>
                <w:lang w:eastAsia="pt-PT"/>
              </w:rPr>
              <w:t>Key Achievements at Mid-Term</w:t>
            </w:r>
          </w:p>
        </w:tc>
        <w:tc>
          <w:tcPr>
            <w:tcW w:w="2799" w:type="dxa"/>
            <w:shd w:val="clear" w:color="auto" w:fill="DBE5F1" w:themeFill="accent1" w:themeFillTint="33"/>
            <w:vAlign w:val="center"/>
          </w:tcPr>
          <w:p w14:paraId="6AD3F0D8" w14:textId="77777777" w:rsidR="005B0D17" w:rsidRPr="0065559C" w:rsidRDefault="005B0D17" w:rsidP="00D1310D">
            <w:pPr>
              <w:jc w:val="both"/>
              <w:rPr>
                <w:rFonts w:eastAsia="Times New Roman" w:cstheme="minorHAnsi"/>
                <w:b/>
                <w:bCs/>
                <w:color w:val="000000"/>
                <w:sz w:val="20"/>
                <w:szCs w:val="20"/>
                <w:lang w:eastAsia="pt-PT"/>
              </w:rPr>
            </w:pPr>
            <w:r w:rsidRPr="0065559C">
              <w:rPr>
                <w:rFonts w:eastAsia="Times New Roman" w:cstheme="minorHAnsi"/>
                <w:b/>
                <w:bCs/>
                <w:color w:val="000000"/>
                <w:sz w:val="20"/>
                <w:szCs w:val="20"/>
                <w:lang w:eastAsia="pt-PT"/>
              </w:rPr>
              <w:t>Factor Contributing to Achievement of Results</w:t>
            </w:r>
          </w:p>
          <w:p w14:paraId="5FCB744B" w14:textId="77777777" w:rsidR="005B0D17" w:rsidRPr="0065559C" w:rsidRDefault="005B0D17" w:rsidP="00D1310D">
            <w:pPr>
              <w:jc w:val="both"/>
              <w:rPr>
                <w:rFonts w:cstheme="minorHAnsi"/>
                <w:sz w:val="20"/>
                <w:szCs w:val="20"/>
              </w:rPr>
            </w:pPr>
          </w:p>
        </w:tc>
        <w:tc>
          <w:tcPr>
            <w:tcW w:w="2799" w:type="dxa"/>
            <w:shd w:val="clear" w:color="auto" w:fill="DBE5F1" w:themeFill="accent1" w:themeFillTint="33"/>
            <w:vAlign w:val="center"/>
          </w:tcPr>
          <w:p w14:paraId="1B395BC2" w14:textId="77777777" w:rsidR="005B0D17" w:rsidRPr="0065559C" w:rsidRDefault="005B0D17" w:rsidP="00D1310D">
            <w:pPr>
              <w:jc w:val="both"/>
              <w:rPr>
                <w:rFonts w:cstheme="minorHAnsi"/>
                <w:sz w:val="20"/>
                <w:szCs w:val="20"/>
              </w:rPr>
            </w:pPr>
            <w:r w:rsidRPr="0065559C">
              <w:rPr>
                <w:rFonts w:eastAsia="Times New Roman" w:cstheme="minorHAnsi"/>
                <w:b/>
                <w:bCs/>
                <w:color w:val="000000"/>
                <w:sz w:val="20"/>
                <w:szCs w:val="20"/>
                <w:lang w:eastAsia="pt-PT"/>
              </w:rPr>
              <w:t>Factors Contributing to Non-achievement of Results</w:t>
            </w:r>
          </w:p>
        </w:tc>
      </w:tr>
      <w:tr w:rsidR="005B0D17" w:rsidRPr="0065559C" w14:paraId="6D8F2B70" w14:textId="77777777" w:rsidTr="00D1310D">
        <w:tc>
          <w:tcPr>
            <w:tcW w:w="13994" w:type="dxa"/>
            <w:gridSpan w:val="5"/>
            <w:tcBorders>
              <w:bottom w:val="nil"/>
            </w:tcBorders>
          </w:tcPr>
          <w:p w14:paraId="49B9877A" w14:textId="77777777" w:rsidR="005B0D17" w:rsidRPr="0065559C" w:rsidRDefault="005B0D17" w:rsidP="00D1310D">
            <w:pPr>
              <w:jc w:val="both"/>
              <w:rPr>
                <w:rFonts w:cstheme="minorHAnsi"/>
                <w:sz w:val="20"/>
                <w:szCs w:val="20"/>
              </w:rPr>
            </w:pPr>
            <w:r w:rsidRPr="0065559C">
              <w:rPr>
                <w:rFonts w:eastAsia="Times New Roman" w:cstheme="minorHAnsi"/>
                <w:b/>
                <w:bCs/>
                <w:i/>
                <w:iCs/>
                <w:color w:val="000000"/>
                <w:sz w:val="20"/>
                <w:szCs w:val="20"/>
                <w:lang w:eastAsia="pt-PT"/>
              </w:rPr>
              <w:t>UNDP CPD Outcome 2: By 2022, the vulnerable population is resilient to climate change and disaster risk, with sustainable and inclusive production, planning and management of the territory, cities, natural resources and the environment.</w:t>
            </w:r>
          </w:p>
        </w:tc>
      </w:tr>
      <w:tr w:rsidR="005B0D17" w:rsidRPr="0065559C" w14:paraId="1C58E896" w14:textId="77777777" w:rsidTr="00D1310D">
        <w:tc>
          <w:tcPr>
            <w:tcW w:w="2798" w:type="dxa"/>
            <w:vMerge w:val="restart"/>
            <w:vAlign w:val="center"/>
          </w:tcPr>
          <w:p w14:paraId="2882498C" w14:textId="77777777" w:rsidR="005B0D17" w:rsidRPr="0065559C" w:rsidRDefault="005B0D17" w:rsidP="00D1310D">
            <w:pPr>
              <w:jc w:val="both"/>
              <w:rPr>
                <w:rFonts w:cstheme="minorHAnsi"/>
                <w:sz w:val="20"/>
                <w:szCs w:val="20"/>
              </w:rPr>
            </w:pPr>
            <w:r w:rsidRPr="0065559C">
              <w:rPr>
                <w:rFonts w:cstheme="minorHAnsi"/>
                <w:b/>
                <w:sz w:val="20"/>
                <w:szCs w:val="20"/>
              </w:rPr>
              <w:t>Output 2.1.</w:t>
            </w:r>
            <w:r w:rsidRPr="0065559C">
              <w:rPr>
                <w:rFonts w:cstheme="minorHAnsi"/>
                <w:sz w:val="20"/>
                <w:szCs w:val="20"/>
              </w:rPr>
              <w:t xml:space="preserve"> Government institutions and local communities have enhanced technical capacity to implement low-carbon development pathways and promote renewable energy access.</w:t>
            </w:r>
          </w:p>
        </w:tc>
        <w:tc>
          <w:tcPr>
            <w:tcW w:w="2799" w:type="dxa"/>
            <w:tcBorders>
              <w:top w:val="nil"/>
              <w:left w:val="nil"/>
              <w:bottom w:val="single" w:sz="4" w:space="0" w:color="auto"/>
              <w:right w:val="single" w:sz="8" w:space="0" w:color="999999"/>
            </w:tcBorders>
            <w:shd w:val="clear" w:color="auto" w:fill="auto"/>
            <w:vAlign w:val="center"/>
          </w:tcPr>
          <w:p w14:paraId="294C3C07" w14:textId="77777777" w:rsidR="005B0D17" w:rsidRPr="0065559C" w:rsidRDefault="005B0D17" w:rsidP="00D1310D">
            <w:pPr>
              <w:jc w:val="both"/>
              <w:rPr>
                <w:rFonts w:cstheme="minorHAnsi"/>
                <w:bCs/>
                <w:color w:val="000000"/>
                <w:sz w:val="20"/>
                <w:szCs w:val="20"/>
              </w:rPr>
            </w:pPr>
            <w:r w:rsidRPr="0065559C">
              <w:rPr>
                <w:rFonts w:cstheme="minorHAnsi"/>
                <w:b/>
                <w:bCs/>
                <w:color w:val="000000"/>
                <w:sz w:val="20"/>
                <w:szCs w:val="20"/>
              </w:rPr>
              <w:t xml:space="preserve">Indicator 2.1.1. </w:t>
            </w:r>
            <w:r w:rsidRPr="0065559C">
              <w:rPr>
                <w:rFonts w:cstheme="minorHAnsi"/>
                <w:bCs/>
                <w:color w:val="000000"/>
                <w:sz w:val="20"/>
                <w:szCs w:val="20"/>
              </w:rPr>
              <w:t>Existence of targets for low emission and/or climate-resilient development in development plans and strategies.</w:t>
            </w:r>
          </w:p>
          <w:p w14:paraId="6CA7ACE9" w14:textId="77777777" w:rsidR="005B0D17" w:rsidRPr="0065559C" w:rsidRDefault="005B0D17" w:rsidP="00D1310D">
            <w:pPr>
              <w:jc w:val="both"/>
              <w:rPr>
                <w:rFonts w:cstheme="minorHAnsi"/>
                <w:bCs/>
                <w:color w:val="000000"/>
                <w:sz w:val="20"/>
                <w:szCs w:val="20"/>
              </w:rPr>
            </w:pPr>
          </w:p>
          <w:p w14:paraId="77A154B6" w14:textId="77777777" w:rsidR="005B0D17" w:rsidRPr="0065559C" w:rsidRDefault="005B0D17" w:rsidP="00D1310D">
            <w:pPr>
              <w:jc w:val="both"/>
              <w:rPr>
                <w:rFonts w:cstheme="minorHAnsi"/>
                <w:bCs/>
                <w:color w:val="000000"/>
                <w:sz w:val="20"/>
                <w:szCs w:val="20"/>
              </w:rPr>
            </w:pPr>
            <w:r w:rsidRPr="0065559C">
              <w:rPr>
                <w:rFonts w:cstheme="minorHAnsi"/>
                <w:bCs/>
                <w:color w:val="000000"/>
                <w:sz w:val="20"/>
                <w:szCs w:val="20"/>
              </w:rPr>
              <w:t>Baseline: No</w:t>
            </w:r>
          </w:p>
          <w:p w14:paraId="033BC3E1" w14:textId="77777777" w:rsidR="005B0D17" w:rsidRPr="0065559C" w:rsidRDefault="005B0D17" w:rsidP="00D1310D">
            <w:pPr>
              <w:jc w:val="both"/>
              <w:rPr>
                <w:rFonts w:cstheme="minorHAnsi"/>
                <w:b/>
                <w:bCs/>
                <w:color w:val="000000"/>
                <w:sz w:val="20"/>
                <w:szCs w:val="20"/>
              </w:rPr>
            </w:pPr>
            <w:r w:rsidRPr="0065559C">
              <w:rPr>
                <w:rFonts w:cstheme="minorHAnsi"/>
                <w:bCs/>
                <w:color w:val="000000"/>
                <w:sz w:val="20"/>
                <w:szCs w:val="20"/>
              </w:rPr>
              <w:t>Target: Yes</w:t>
            </w:r>
          </w:p>
        </w:tc>
        <w:tc>
          <w:tcPr>
            <w:tcW w:w="2799" w:type="dxa"/>
          </w:tcPr>
          <w:p w14:paraId="26D648A9" w14:textId="386FF4D5" w:rsidR="005B0D17" w:rsidRPr="0065559C" w:rsidRDefault="005B0D17" w:rsidP="00D1310D">
            <w:pPr>
              <w:jc w:val="both"/>
              <w:rPr>
                <w:rFonts w:cstheme="minorHAnsi"/>
                <w:sz w:val="20"/>
                <w:szCs w:val="20"/>
              </w:rPr>
            </w:pPr>
            <w:r w:rsidRPr="0065559C">
              <w:rPr>
                <w:rFonts w:cstheme="minorHAnsi"/>
                <w:sz w:val="20"/>
                <w:szCs w:val="20"/>
              </w:rPr>
              <w:t>After ratification of Paris Agreement in November 2020, the Government of Angola initiated the development of a Nationally Determined Contributions (NDC), which a draft has been submitted to UNFCCC in May 2021. The NDC sets out Angola´s ambitions in adaption and mitigation actions, both with clear unconditional and conditional contributions.</w:t>
            </w:r>
          </w:p>
        </w:tc>
        <w:tc>
          <w:tcPr>
            <w:tcW w:w="2799" w:type="dxa"/>
            <w:vAlign w:val="center"/>
          </w:tcPr>
          <w:p w14:paraId="05AE3E89" w14:textId="77777777" w:rsidR="005B0D17" w:rsidRPr="0065559C" w:rsidRDefault="005B0D17" w:rsidP="00D1310D">
            <w:pPr>
              <w:jc w:val="both"/>
              <w:rPr>
                <w:rFonts w:cstheme="minorHAnsi"/>
                <w:sz w:val="20"/>
                <w:szCs w:val="20"/>
              </w:rPr>
            </w:pPr>
          </w:p>
        </w:tc>
        <w:tc>
          <w:tcPr>
            <w:tcW w:w="2799" w:type="dxa"/>
          </w:tcPr>
          <w:p w14:paraId="08A1CEA9" w14:textId="77777777" w:rsidR="005B0D17" w:rsidRPr="0065559C" w:rsidRDefault="005B0D17" w:rsidP="00D1310D">
            <w:pPr>
              <w:jc w:val="both"/>
              <w:rPr>
                <w:rFonts w:cstheme="minorHAnsi"/>
                <w:sz w:val="20"/>
                <w:szCs w:val="20"/>
              </w:rPr>
            </w:pPr>
          </w:p>
          <w:p w14:paraId="4281E869" w14:textId="77777777" w:rsidR="005B0D17" w:rsidRPr="0065559C" w:rsidRDefault="005B0D17" w:rsidP="00D1310D">
            <w:pPr>
              <w:jc w:val="both"/>
              <w:rPr>
                <w:rFonts w:cstheme="minorHAnsi"/>
                <w:sz w:val="20"/>
                <w:szCs w:val="20"/>
              </w:rPr>
            </w:pPr>
          </w:p>
          <w:p w14:paraId="0CBDD4C5" w14:textId="77777777" w:rsidR="005B0D17" w:rsidRPr="0065559C" w:rsidRDefault="005B0D17" w:rsidP="00D1310D">
            <w:pPr>
              <w:jc w:val="both"/>
              <w:rPr>
                <w:rFonts w:cstheme="minorHAnsi"/>
                <w:sz w:val="20"/>
                <w:szCs w:val="20"/>
              </w:rPr>
            </w:pPr>
          </w:p>
          <w:p w14:paraId="69984E20" w14:textId="77777777" w:rsidR="005B0D17" w:rsidRPr="0065559C" w:rsidRDefault="005B0D17" w:rsidP="00D1310D">
            <w:pPr>
              <w:jc w:val="both"/>
              <w:rPr>
                <w:rFonts w:cstheme="minorHAnsi"/>
                <w:sz w:val="20"/>
                <w:szCs w:val="20"/>
              </w:rPr>
            </w:pPr>
          </w:p>
          <w:p w14:paraId="12FA032F" w14:textId="77777777" w:rsidR="005B0D17" w:rsidRPr="0065559C" w:rsidRDefault="005B0D17" w:rsidP="00D1310D">
            <w:pPr>
              <w:jc w:val="both"/>
              <w:rPr>
                <w:rFonts w:cstheme="minorHAnsi"/>
                <w:sz w:val="20"/>
                <w:szCs w:val="20"/>
              </w:rPr>
            </w:pPr>
            <w:r w:rsidRPr="0065559C">
              <w:rPr>
                <w:rFonts w:cstheme="minorHAnsi"/>
                <w:sz w:val="20"/>
                <w:szCs w:val="20"/>
              </w:rPr>
              <w:t>Changes at the IP - mainly Ministry responsible for Environment (changes at ministerial level), and COVID-19 pandemic and associated lockdowns.</w:t>
            </w:r>
          </w:p>
        </w:tc>
      </w:tr>
      <w:tr w:rsidR="005B0D17" w:rsidRPr="0065559C" w14:paraId="4B74E819" w14:textId="77777777" w:rsidTr="00D1310D">
        <w:tc>
          <w:tcPr>
            <w:tcW w:w="2798" w:type="dxa"/>
            <w:vMerge/>
          </w:tcPr>
          <w:p w14:paraId="19DF730C" w14:textId="77777777" w:rsidR="005B0D17" w:rsidRPr="0065559C" w:rsidRDefault="005B0D17" w:rsidP="00D1310D">
            <w:pPr>
              <w:jc w:val="both"/>
              <w:rPr>
                <w:rFonts w:cstheme="minorHAnsi"/>
                <w:sz w:val="20"/>
                <w:szCs w:val="20"/>
              </w:rPr>
            </w:pPr>
          </w:p>
        </w:tc>
        <w:tc>
          <w:tcPr>
            <w:tcW w:w="2799" w:type="dxa"/>
            <w:tcBorders>
              <w:top w:val="single" w:sz="4" w:space="0" w:color="auto"/>
              <w:left w:val="nil"/>
              <w:bottom w:val="single" w:sz="4" w:space="0" w:color="auto"/>
              <w:right w:val="single" w:sz="4" w:space="0" w:color="auto"/>
            </w:tcBorders>
            <w:shd w:val="clear" w:color="auto" w:fill="auto"/>
            <w:vAlign w:val="center"/>
          </w:tcPr>
          <w:p w14:paraId="2C4D61D0" w14:textId="77777777" w:rsidR="005B0D17" w:rsidRPr="0065559C" w:rsidRDefault="005B0D17" w:rsidP="00D1310D">
            <w:pPr>
              <w:jc w:val="both"/>
              <w:rPr>
                <w:rFonts w:cstheme="minorHAnsi"/>
                <w:color w:val="000000"/>
                <w:sz w:val="20"/>
                <w:szCs w:val="20"/>
              </w:rPr>
            </w:pPr>
            <w:r w:rsidRPr="0065559C">
              <w:rPr>
                <w:rFonts w:cstheme="minorHAnsi"/>
                <w:b/>
                <w:bCs/>
                <w:color w:val="000000"/>
                <w:sz w:val="20"/>
                <w:szCs w:val="20"/>
              </w:rPr>
              <w:t>Indicator 2.1.2</w:t>
            </w:r>
            <w:r w:rsidRPr="0065559C">
              <w:rPr>
                <w:rFonts w:cstheme="minorHAnsi"/>
                <w:color w:val="000000"/>
                <w:sz w:val="20"/>
                <w:szCs w:val="20"/>
              </w:rPr>
              <w:t xml:space="preserve">. Number and proportion of households benefitting from clean, affordable and sustainable energy access in rural areas. </w:t>
            </w:r>
          </w:p>
          <w:p w14:paraId="2FAE22DC" w14:textId="77777777" w:rsidR="005B0D17" w:rsidRPr="0065559C" w:rsidRDefault="005B0D17" w:rsidP="00D1310D">
            <w:pPr>
              <w:jc w:val="both"/>
              <w:rPr>
                <w:rFonts w:cstheme="minorHAnsi"/>
                <w:b/>
                <w:bCs/>
                <w:color w:val="000000"/>
                <w:sz w:val="20"/>
                <w:szCs w:val="20"/>
              </w:rPr>
            </w:pPr>
          </w:p>
          <w:p w14:paraId="467C1189" w14:textId="77777777" w:rsidR="005B0D17" w:rsidRPr="0065559C" w:rsidRDefault="005B0D17" w:rsidP="00D1310D">
            <w:pPr>
              <w:jc w:val="both"/>
              <w:rPr>
                <w:rFonts w:cstheme="minorHAnsi"/>
                <w:b/>
                <w:color w:val="000000"/>
                <w:sz w:val="20"/>
                <w:szCs w:val="20"/>
              </w:rPr>
            </w:pPr>
            <w:r w:rsidRPr="0065559C">
              <w:rPr>
                <w:rFonts w:cstheme="minorHAnsi"/>
                <w:b/>
                <w:color w:val="000000"/>
                <w:sz w:val="20"/>
                <w:szCs w:val="20"/>
              </w:rPr>
              <w:t>Baseline: 180,000 (11.2%).</w:t>
            </w:r>
          </w:p>
          <w:p w14:paraId="20B996C7" w14:textId="77777777" w:rsidR="005B0D17" w:rsidRPr="0065559C" w:rsidRDefault="005B0D17" w:rsidP="00D1310D">
            <w:pPr>
              <w:jc w:val="both"/>
              <w:rPr>
                <w:rFonts w:cstheme="minorHAnsi"/>
                <w:b/>
                <w:color w:val="000000"/>
                <w:sz w:val="20"/>
                <w:szCs w:val="20"/>
              </w:rPr>
            </w:pPr>
            <w:r w:rsidRPr="0065559C">
              <w:rPr>
                <w:rFonts w:cstheme="minorHAnsi"/>
                <w:b/>
                <w:color w:val="000000"/>
                <w:sz w:val="20"/>
                <w:szCs w:val="20"/>
              </w:rPr>
              <w:t>Target: 300,000 (18.7%).</w:t>
            </w:r>
          </w:p>
          <w:p w14:paraId="0ADA1A40" w14:textId="77777777" w:rsidR="005B0D17" w:rsidRPr="0065559C" w:rsidRDefault="005B0D17" w:rsidP="00D1310D">
            <w:pPr>
              <w:jc w:val="both"/>
              <w:rPr>
                <w:rFonts w:cstheme="minorHAnsi"/>
                <w:b/>
                <w:color w:val="000000"/>
                <w:sz w:val="20"/>
                <w:szCs w:val="20"/>
              </w:rPr>
            </w:pPr>
          </w:p>
        </w:tc>
        <w:tc>
          <w:tcPr>
            <w:tcW w:w="2799" w:type="dxa"/>
            <w:tcBorders>
              <w:left w:val="single" w:sz="4" w:space="0" w:color="auto"/>
            </w:tcBorders>
            <w:vAlign w:val="center"/>
          </w:tcPr>
          <w:p w14:paraId="6C2DC770" w14:textId="77777777" w:rsidR="005B0D17" w:rsidRPr="0065559C" w:rsidRDefault="005B0D17" w:rsidP="00D1310D">
            <w:pPr>
              <w:jc w:val="both"/>
              <w:rPr>
                <w:rFonts w:cstheme="minorHAnsi"/>
                <w:color w:val="000000"/>
                <w:sz w:val="20"/>
                <w:szCs w:val="20"/>
              </w:rPr>
            </w:pPr>
          </w:p>
        </w:tc>
        <w:tc>
          <w:tcPr>
            <w:tcW w:w="2799" w:type="dxa"/>
            <w:vAlign w:val="center"/>
          </w:tcPr>
          <w:p w14:paraId="33490AC0" w14:textId="77777777" w:rsidR="005B0D17" w:rsidRPr="0065559C" w:rsidRDefault="005B0D17" w:rsidP="00D1310D">
            <w:pPr>
              <w:jc w:val="both"/>
              <w:rPr>
                <w:rFonts w:cstheme="minorHAnsi"/>
                <w:color w:val="000000"/>
                <w:sz w:val="20"/>
                <w:szCs w:val="20"/>
              </w:rPr>
            </w:pPr>
          </w:p>
        </w:tc>
        <w:tc>
          <w:tcPr>
            <w:tcW w:w="2799" w:type="dxa"/>
          </w:tcPr>
          <w:p w14:paraId="142E335B" w14:textId="77777777" w:rsidR="005B0D17" w:rsidRPr="0065559C" w:rsidRDefault="005B0D17" w:rsidP="00D1310D">
            <w:pPr>
              <w:jc w:val="both"/>
              <w:rPr>
                <w:rFonts w:cstheme="minorHAnsi"/>
                <w:sz w:val="20"/>
                <w:szCs w:val="20"/>
              </w:rPr>
            </w:pPr>
          </w:p>
        </w:tc>
      </w:tr>
      <w:tr w:rsidR="005B0D17" w:rsidRPr="0065559C" w14:paraId="5EFE70E5" w14:textId="77777777" w:rsidTr="00D1310D">
        <w:tc>
          <w:tcPr>
            <w:tcW w:w="2798" w:type="dxa"/>
            <w:vMerge w:val="restart"/>
            <w:vAlign w:val="center"/>
          </w:tcPr>
          <w:p w14:paraId="5EF8F034" w14:textId="77777777" w:rsidR="005B0D17" w:rsidRPr="0065559C" w:rsidRDefault="005B0D17" w:rsidP="00D1310D">
            <w:pPr>
              <w:jc w:val="both"/>
              <w:rPr>
                <w:rFonts w:cstheme="minorHAnsi"/>
                <w:b/>
                <w:sz w:val="20"/>
                <w:szCs w:val="20"/>
              </w:rPr>
            </w:pPr>
          </w:p>
          <w:p w14:paraId="0F23F507" w14:textId="77777777" w:rsidR="005B0D17" w:rsidRPr="0065559C" w:rsidRDefault="005B0D17" w:rsidP="00D1310D">
            <w:pPr>
              <w:jc w:val="both"/>
              <w:rPr>
                <w:rFonts w:cstheme="minorHAnsi"/>
                <w:b/>
                <w:sz w:val="20"/>
                <w:szCs w:val="20"/>
              </w:rPr>
            </w:pPr>
          </w:p>
          <w:p w14:paraId="717BC3DD" w14:textId="77777777" w:rsidR="005B0D17" w:rsidRPr="0065559C" w:rsidRDefault="005B0D17" w:rsidP="00D1310D">
            <w:pPr>
              <w:jc w:val="both"/>
              <w:rPr>
                <w:rFonts w:cstheme="minorHAnsi"/>
                <w:b/>
                <w:sz w:val="20"/>
                <w:szCs w:val="20"/>
              </w:rPr>
            </w:pPr>
          </w:p>
          <w:p w14:paraId="3415E993" w14:textId="77777777" w:rsidR="005B0D17" w:rsidRPr="0065559C" w:rsidRDefault="005B0D17" w:rsidP="00D1310D">
            <w:pPr>
              <w:jc w:val="both"/>
              <w:rPr>
                <w:rFonts w:cstheme="minorHAnsi"/>
                <w:b/>
                <w:sz w:val="20"/>
                <w:szCs w:val="20"/>
              </w:rPr>
            </w:pPr>
          </w:p>
          <w:p w14:paraId="47AE82A5" w14:textId="77777777" w:rsidR="005B0D17" w:rsidRPr="0065559C" w:rsidRDefault="005B0D17" w:rsidP="00D1310D">
            <w:pPr>
              <w:jc w:val="both"/>
              <w:rPr>
                <w:rFonts w:cstheme="minorHAnsi"/>
                <w:b/>
                <w:sz w:val="20"/>
                <w:szCs w:val="20"/>
              </w:rPr>
            </w:pPr>
          </w:p>
          <w:p w14:paraId="0CD6D068" w14:textId="77777777" w:rsidR="005B0D17" w:rsidRPr="0065559C" w:rsidRDefault="005B0D17" w:rsidP="00D1310D">
            <w:pPr>
              <w:jc w:val="both"/>
              <w:rPr>
                <w:rFonts w:cstheme="minorHAnsi"/>
                <w:b/>
                <w:sz w:val="20"/>
                <w:szCs w:val="20"/>
              </w:rPr>
            </w:pPr>
          </w:p>
          <w:p w14:paraId="2805DECE" w14:textId="77777777" w:rsidR="005B0D17" w:rsidRPr="0065559C" w:rsidRDefault="005B0D17" w:rsidP="00D1310D">
            <w:pPr>
              <w:jc w:val="both"/>
              <w:rPr>
                <w:rFonts w:cstheme="minorHAnsi"/>
                <w:b/>
                <w:sz w:val="20"/>
                <w:szCs w:val="20"/>
              </w:rPr>
            </w:pPr>
          </w:p>
          <w:p w14:paraId="04414115" w14:textId="77777777" w:rsidR="005B0D17" w:rsidRPr="0065559C" w:rsidRDefault="005B0D17" w:rsidP="00D1310D">
            <w:pPr>
              <w:jc w:val="both"/>
              <w:rPr>
                <w:rFonts w:cstheme="minorHAnsi"/>
                <w:b/>
                <w:sz w:val="20"/>
                <w:szCs w:val="20"/>
              </w:rPr>
            </w:pPr>
          </w:p>
          <w:p w14:paraId="566A779A" w14:textId="77777777" w:rsidR="005B0D17" w:rsidRPr="0065559C" w:rsidRDefault="005B0D17" w:rsidP="00D1310D">
            <w:pPr>
              <w:jc w:val="both"/>
              <w:rPr>
                <w:rFonts w:cstheme="minorHAnsi"/>
                <w:b/>
                <w:sz w:val="20"/>
                <w:szCs w:val="20"/>
              </w:rPr>
            </w:pPr>
          </w:p>
          <w:p w14:paraId="4D7B38E5" w14:textId="77777777" w:rsidR="005B0D17" w:rsidRPr="0065559C" w:rsidRDefault="005B0D17" w:rsidP="00D1310D">
            <w:pPr>
              <w:jc w:val="both"/>
              <w:rPr>
                <w:rFonts w:cstheme="minorHAnsi"/>
                <w:b/>
                <w:sz w:val="20"/>
                <w:szCs w:val="20"/>
              </w:rPr>
            </w:pPr>
          </w:p>
          <w:p w14:paraId="0B427CE4" w14:textId="77777777" w:rsidR="005B0D17" w:rsidRPr="0065559C" w:rsidRDefault="005B0D17" w:rsidP="00D1310D">
            <w:pPr>
              <w:jc w:val="both"/>
              <w:rPr>
                <w:rFonts w:cstheme="minorHAnsi"/>
                <w:b/>
                <w:sz w:val="20"/>
                <w:szCs w:val="20"/>
              </w:rPr>
            </w:pPr>
          </w:p>
          <w:p w14:paraId="10BDE630" w14:textId="77777777" w:rsidR="005B0D17" w:rsidRPr="0065559C" w:rsidRDefault="005B0D17" w:rsidP="00D1310D">
            <w:pPr>
              <w:jc w:val="both"/>
              <w:rPr>
                <w:rFonts w:cstheme="minorHAnsi"/>
                <w:b/>
                <w:sz w:val="20"/>
                <w:szCs w:val="20"/>
              </w:rPr>
            </w:pPr>
          </w:p>
          <w:p w14:paraId="60346B1E" w14:textId="77777777" w:rsidR="005B0D17" w:rsidRPr="0065559C" w:rsidRDefault="005B0D17" w:rsidP="00D1310D">
            <w:pPr>
              <w:jc w:val="both"/>
              <w:rPr>
                <w:rFonts w:cstheme="minorHAnsi"/>
                <w:b/>
                <w:sz w:val="20"/>
                <w:szCs w:val="20"/>
              </w:rPr>
            </w:pPr>
          </w:p>
          <w:p w14:paraId="55FE5A21" w14:textId="77777777" w:rsidR="005B0D17" w:rsidRPr="0065559C" w:rsidRDefault="005B0D17" w:rsidP="00D1310D">
            <w:pPr>
              <w:jc w:val="both"/>
              <w:rPr>
                <w:rFonts w:cstheme="minorHAnsi"/>
                <w:b/>
                <w:sz w:val="20"/>
                <w:szCs w:val="20"/>
              </w:rPr>
            </w:pPr>
          </w:p>
          <w:p w14:paraId="19D483F9" w14:textId="77777777" w:rsidR="005B0D17" w:rsidRPr="0065559C" w:rsidRDefault="005B0D17" w:rsidP="00D1310D">
            <w:pPr>
              <w:jc w:val="both"/>
              <w:rPr>
                <w:rFonts w:cstheme="minorHAnsi"/>
                <w:b/>
                <w:sz w:val="20"/>
                <w:szCs w:val="20"/>
              </w:rPr>
            </w:pPr>
          </w:p>
          <w:p w14:paraId="08D7B516" w14:textId="77777777" w:rsidR="005B0D17" w:rsidRPr="0065559C" w:rsidRDefault="005B0D17" w:rsidP="00D1310D">
            <w:pPr>
              <w:jc w:val="both"/>
              <w:rPr>
                <w:rFonts w:cstheme="minorHAnsi"/>
                <w:sz w:val="20"/>
                <w:szCs w:val="20"/>
              </w:rPr>
            </w:pPr>
            <w:r w:rsidRPr="0065559C">
              <w:rPr>
                <w:rFonts w:cstheme="minorHAnsi"/>
                <w:b/>
                <w:sz w:val="20"/>
                <w:szCs w:val="20"/>
              </w:rPr>
              <w:t>Output 2.2.</w:t>
            </w:r>
            <w:r w:rsidRPr="0065559C">
              <w:rPr>
                <w:rFonts w:cstheme="minorHAnsi"/>
                <w:sz w:val="20"/>
                <w:szCs w:val="20"/>
              </w:rPr>
              <w:t xml:space="preserve"> Solutions scaled up for sustainable management of natural resources, including sustainable commodities and green and inclusive value chains.</w:t>
            </w:r>
          </w:p>
        </w:tc>
        <w:tc>
          <w:tcPr>
            <w:tcW w:w="2799" w:type="dxa"/>
            <w:tcBorders>
              <w:top w:val="single" w:sz="4" w:space="0" w:color="auto"/>
              <w:left w:val="nil"/>
              <w:bottom w:val="single" w:sz="4" w:space="0" w:color="auto"/>
              <w:right w:val="single" w:sz="4" w:space="0" w:color="auto"/>
            </w:tcBorders>
            <w:shd w:val="clear" w:color="auto" w:fill="auto"/>
            <w:vAlign w:val="center"/>
          </w:tcPr>
          <w:p w14:paraId="564AC75C" w14:textId="77777777" w:rsidR="005B0D17" w:rsidRPr="0065559C" w:rsidRDefault="005B0D17" w:rsidP="00D1310D">
            <w:pPr>
              <w:jc w:val="both"/>
              <w:rPr>
                <w:rFonts w:cstheme="minorHAnsi"/>
                <w:color w:val="000000"/>
                <w:sz w:val="20"/>
                <w:szCs w:val="20"/>
              </w:rPr>
            </w:pPr>
            <w:r w:rsidRPr="0065559C">
              <w:rPr>
                <w:rFonts w:cstheme="minorHAnsi"/>
                <w:b/>
                <w:color w:val="000000"/>
                <w:sz w:val="20"/>
                <w:szCs w:val="20"/>
              </w:rPr>
              <w:lastRenderedPageBreak/>
              <w:t>Indicator 2.2.1.</w:t>
            </w:r>
            <w:r w:rsidRPr="0065559C">
              <w:rPr>
                <w:rFonts w:cstheme="minorHAnsi"/>
                <w:color w:val="000000"/>
                <w:sz w:val="20"/>
                <w:szCs w:val="20"/>
              </w:rPr>
              <w:t xml:space="preserve"> Natural resources that are managed under a sustainable use, conservation, access and </w:t>
            </w:r>
            <w:r w:rsidRPr="0065559C">
              <w:rPr>
                <w:rFonts w:cstheme="minorHAnsi"/>
                <w:color w:val="000000"/>
                <w:sz w:val="20"/>
                <w:szCs w:val="20"/>
              </w:rPr>
              <w:lastRenderedPageBreak/>
              <w:t>benefit -sharing regime: (a) area of land and marine habitat under protection (hectares); (b) area of existing protected area under improved management (hectares); (c) number of shared water ecosystems (fresh or marine) under cooperative management; (d) amount of harmful chemicals reduced or disposed (metric tonnes); (e) number of companies involved in solid waste recycling.</w:t>
            </w:r>
          </w:p>
          <w:p w14:paraId="0DCF015F" w14:textId="77777777" w:rsidR="005B0D17" w:rsidRPr="0065559C" w:rsidRDefault="005B0D17" w:rsidP="00D1310D">
            <w:pPr>
              <w:jc w:val="both"/>
              <w:rPr>
                <w:rFonts w:cstheme="minorHAnsi"/>
                <w:color w:val="000000"/>
                <w:sz w:val="20"/>
                <w:szCs w:val="20"/>
              </w:rPr>
            </w:pPr>
          </w:p>
          <w:p w14:paraId="59745108" w14:textId="77777777" w:rsidR="005B0D17" w:rsidRPr="0065559C" w:rsidRDefault="005B0D17" w:rsidP="00D1310D">
            <w:pPr>
              <w:jc w:val="both"/>
              <w:rPr>
                <w:rFonts w:cstheme="minorHAnsi"/>
                <w:color w:val="000000"/>
                <w:sz w:val="20"/>
                <w:szCs w:val="20"/>
              </w:rPr>
            </w:pPr>
            <w:r w:rsidRPr="0065559C">
              <w:rPr>
                <w:rFonts w:cstheme="minorHAnsi"/>
                <w:b/>
                <w:color w:val="000000"/>
                <w:sz w:val="20"/>
                <w:szCs w:val="20"/>
              </w:rPr>
              <w:t>Baseline</w:t>
            </w:r>
            <w:r w:rsidRPr="0065559C">
              <w:rPr>
                <w:rFonts w:cstheme="minorHAnsi"/>
                <w:color w:val="000000"/>
                <w:sz w:val="20"/>
                <w:szCs w:val="20"/>
              </w:rPr>
              <w:t xml:space="preserve">: (a) 16,264,200 </w:t>
            </w:r>
            <w:proofErr w:type="gramStart"/>
            <w:r w:rsidRPr="0065559C">
              <w:rPr>
                <w:rFonts w:cstheme="minorHAnsi"/>
                <w:color w:val="000000"/>
                <w:sz w:val="20"/>
                <w:szCs w:val="20"/>
              </w:rPr>
              <w:t>land</w:t>
            </w:r>
            <w:proofErr w:type="gramEnd"/>
            <w:r w:rsidRPr="0065559C">
              <w:rPr>
                <w:rFonts w:cstheme="minorHAnsi"/>
                <w:color w:val="000000"/>
                <w:sz w:val="20"/>
                <w:szCs w:val="20"/>
              </w:rPr>
              <w:t>; 0 marine; (b) 1,615,000; (c) 2; (d) 0; (e) 20</w:t>
            </w:r>
          </w:p>
          <w:p w14:paraId="5E559099" w14:textId="77777777" w:rsidR="005B0D17" w:rsidRPr="0065559C" w:rsidRDefault="005B0D17" w:rsidP="00D1310D">
            <w:pPr>
              <w:jc w:val="both"/>
              <w:rPr>
                <w:rFonts w:cstheme="minorHAnsi"/>
                <w:color w:val="000000"/>
                <w:sz w:val="20"/>
                <w:szCs w:val="20"/>
              </w:rPr>
            </w:pPr>
          </w:p>
          <w:p w14:paraId="13991E9E" w14:textId="77777777" w:rsidR="005B0D17" w:rsidRPr="0065559C" w:rsidRDefault="005B0D17" w:rsidP="00D1310D">
            <w:pPr>
              <w:jc w:val="both"/>
              <w:rPr>
                <w:rFonts w:cstheme="minorHAnsi"/>
                <w:color w:val="000000"/>
                <w:sz w:val="20"/>
                <w:szCs w:val="20"/>
              </w:rPr>
            </w:pPr>
            <w:r w:rsidRPr="0065559C">
              <w:rPr>
                <w:rFonts w:cstheme="minorHAnsi"/>
                <w:b/>
                <w:color w:val="000000"/>
                <w:sz w:val="20"/>
                <w:szCs w:val="20"/>
              </w:rPr>
              <w:t xml:space="preserve">Target: </w:t>
            </w:r>
            <w:r w:rsidRPr="0065559C">
              <w:rPr>
                <w:rFonts w:cstheme="minorHAnsi"/>
                <w:color w:val="000000"/>
                <w:sz w:val="20"/>
                <w:szCs w:val="20"/>
              </w:rPr>
              <w:t>(a) 16,500,000 land, 150,000 marine; (b) 3,657,000; (c) 4; (d) TBD; (e) 30.</w:t>
            </w:r>
          </w:p>
          <w:p w14:paraId="74384F7D" w14:textId="77777777" w:rsidR="005B0D17" w:rsidRPr="0065559C" w:rsidRDefault="005B0D17" w:rsidP="00D1310D">
            <w:pPr>
              <w:jc w:val="both"/>
              <w:rPr>
                <w:rFonts w:cstheme="minorHAnsi"/>
                <w:color w:val="000000"/>
                <w:sz w:val="20"/>
                <w:szCs w:val="20"/>
              </w:rPr>
            </w:pPr>
          </w:p>
        </w:tc>
        <w:tc>
          <w:tcPr>
            <w:tcW w:w="2799" w:type="dxa"/>
            <w:tcBorders>
              <w:left w:val="single" w:sz="4" w:space="0" w:color="auto"/>
            </w:tcBorders>
            <w:vAlign w:val="center"/>
          </w:tcPr>
          <w:p w14:paraId="2F4E622D" w14:textId="77777777" w:rsidR="005B0D17" w:rsidRPr="0065559C" w:rsidRDefault="005B0D17" w:rsidP="00D1310D">
            <w:pPr>
              <w:jc w:val="both"/>
              <w:rPr>
                <w:rFonts w:cstheme="minorHAnsi"/>
                <w:sz w:val="20"/>
                <w:szCs w:val="20"/>
              </w:rPr>
            </w:pPr>
            <w:r w:rsidRPr="0065559C">
              <w:rPr>
                <w:rFonts w:cstheme="minorHAnsi"/>
                <w:sz w:val="20"/>
                <w:szCs w:val="20"/>
              </w:rPr>
              <w:lastRenderedPageBreak/>
              <w:t xml:space="preserve">Under the Expansion and Rehabilitation of Protected Areas project, 3 planned new protected areas (Kumbira </w:t>
            </w:r>
            <w:r w:rsidRPr="0065559C">
              <w:rPr>
                <w:rFonts w:cstheme="minorHAnsi"/>
                <w:sz w:val="20"/>
                <w:szCs w:val="20"/>
              </w:rPr>
              <w:lastRenderedPageBreak/>
              <w:t xml:space="preserve">Forest with 127,737 ha, Pingano Mountain range with 206,818 ha, and </w:t>
            </w:r>
          </w:p>
          <w:p w14:paraId="6D19243F" w14:textId="77777777" w:rsidR="005B0D17" w:rsidRPr="0065559C" w:rsidRDefault="005B0D17" w:rsidP="00D1310D">
            <w:pPr>
              <w:jc w:val="both"/>
              <w:rPr>
                <w:rFonts w:cstheme="minorHAnsi"/>
                <w:sz w:val="20"/>
                <w:szCs w:val="20"/>
              </w:rPr>
            </w:pPr>
            <w:r w:rsidRPr="0065559C">
              <w:rPr>
                <w:rFonts w:cstheme="minorHAnsi"/>
                <w:sz w:val="20"/>
                <w:szCs w:val="20"/>
              </w:rPr>
              <w:t xml:space="preserve">Moco Hill </w:t>
            </w:r>
            <w:proofErr w:type="gramStart"/>
            <w:r w:rsidRPr="0065559C">
              <w:rPr>
                <w:rFonts w:cstheme="minorHAnsi"/>
                <w:sz w:val="20"/>
                <w:szCs w:val="20"/>
              </w:rPr>
              <w:t>with  107,464</w:t>
            </w:r>
            <w:proofErr w:type="gramEnd"/>
            <w:r w:rsidRPr="0065559C">
              <w:rPr>
                <w:rFonts w:cstheme="minorHAnsi"/>
                <w:sz w:val="20"/>
                <w:szCs w:val="20"/>
              </w:rPr>
              <w:t xml:space="preserve"> ha) are at advanced stage on mandatory studies and management plans, which are currently under final stakeholders consultation processes at local and national levels. This will be followed by a submission of the package to the National Assembly for gazettement as New Protected Areas in Angola. In additon, another new Protected Area (Carumbo Lagoon with 228,034 ha) is at advanced stage for its gazettment by the nacional assembly. These will add up the network of Angola´s PA system by additional 442,019 hectares of land under protection, as well as under improved management; and 228,034 ha of new fresh water ecosytems. Additionally, 150,000 ha are being considered form the first Marine Protected Area in Angola, with studies and zonation process currently at </w:t>
            </w:r>
            <w:r w:rsidRPr="0065559C">
              <w:rPr>
                <w:rFonts w:cstheme="minorHAnsi"/>
                <w:sz w:val="20"/>
                <w:szCs w:val="20"/>
              </w:rPr>
              <w:lastRenderedPageBreak/>
              <w:t>advanced stages. The HCFC-22 (Chlorodifluoromethane or difluoromonochloromethane) consumption has been decreasing over the past 5 years due to the implementation of the activities under the Hydrofluorocarbons Phase Out Management Plan (HPMP) - Montreal Protocol, particularly the enforcement of the licensing and quota system, training of customs officers, improved servicing practices and containment strategies in the refrigeration servicing sector. In addition, old HCFC-based equipment has been replaced by HFC-based equipment, mainly based on R-410A and R-404A refrigerants. Angola has been able to reduce the consumption of HCFC-22 by 11.50 metric tonnes between 2019 and 2020.</w:t>
            </w:r>
          </w:p>
        </w:tc>
        <w:tc>
          <w:tcPr>
            <w:tcW w:w="2799" w:type="dxa"/>
            <w:vAlign w:val="center"/>
          </w:tcPr>
          <w:p w14:paraId="78908529" w14:textId="77777777" w:rsidR="005B0D17" w:rsidRPr="0065559C" w:rsidRDefault="005B0D17" w:rsidP="00D1310D">
            <w:pPr>
              <w:jc w:val="both"/>
              <w:rPr>
                <w:rFonts w:cstheme="minorHAnsi"/>
                <w:sz w:val="20"/>
                <w:szCs w:val="20"/>
              </w:rPr>
            </w:pPr>
            <w:r w:rsidRPr="0065559C">
              <w:rPr>
                <w:rFonts w:cstheme="minorHAnsi"/>
                <w:sz w:val="20"/>
                <w:szCs w:val="20"/>
              </w:rPr>
              <w:lastRenderedPageBreak/>
              <w:t xml:space="preserve">Despite challenges imposed by coVID-19 pandemic, adaptive management practices were employed. Virtual meetings </w:t>
            </w:r>
            <w:r w:rsidRPr="0065559C">
              <w:rPr>
                <w:rFonts w:cstheme="minorHAnsi"/>
                <w:sz w:val="20"/>
                <w:szCs w:val="20"/>
              </w:rPr>
              <w:lastRenderedPageBreak/>
              <w:t xml:space="preserve">replaced face-to-face (with some limitions when it came to interactions with local communities).  </w:t>
            </w:r>
          </w:p>
        </w:tc>
        <w:tc>
          <w:tcPr>
            <w:tcW w:w="2799" w:type="dxa"/>
            <w:vAlign w:val="center"/>
          </w:tcPr>
          <w:p w14:paraId="5B5174E6" w14:textId="77777777" w:rsidR="005B0D17" w:rsidRPr="0065559C" w:rsidRDefault="005B0D17" w:rsidP="00D1310D">
            <w:pPr>
              <w:jc w:val="both"/>
              <w:rPr>
                <w:rFonts w:cstheme="minorHAnsi"/>
                <w:sz w:val="20"/>
                <w:szCs w:val="20"/>
              </w:rPr>
            </w:pPr>
            <w:r w:rsidRPr="0065559C">
              <w:rPr>
                <w:rFonts w:cstheme="minorHAnsi"/>
                <w:sz w:val="20"/>
                <w:szCs w:val="20"/>
              </w:rPr>
              <w:lastRenderedPageBreak/>
              <w:t xml:space="preserve">Changes at the IP - mainly Ministry responsible for Environment (changes at ministerial level), and COVID-19 </w:t>
            </w:r>
            <w:r w:rsidRPr="0065559C">
              <w:rPr>
                <w:rFonts w:cstheme="minorHAnsi"/>
                <w:sz w:val="20"/>
                <w:szCs w:val="20"/>
              </w:rPr>
              <w:lastRenderedPageBreak/>
              <w:t>pandemic and associated lockdowns.</w:t>
            </w:r>
          </w:p>
        </w:tc>
      </w:tr>
      <w:tr w:rsidR="005B0D17" w:rsidRPr="0065559C" w14:paraId="3476F513" w14:textId="77777777" w:rsidTr="00D1310D">
        <w:tc>
          <w:tcPr>
            <w:tcW w:w="2798" w:type="dxa"/>
            <w:vMerge/>
          </w:tcPr>
          <w:p w14:paraId="623DFD1F" w14:textId="77777777" w:rsidR="005B0D17" w:rsidRPr="0065559C" w:rsidRDefault="005B0D17" w:rsidP="00D1310D">
            <w:pPr>
              <w:jc w:val="both"/>
              <w:rPr>
                <w:rFonts w:cstheme="minorHAnsi"/>
                <w:sz w:val="20"/>
                <w:szCs w:val="20"/>
              </w:rPr>
            </w:pPr>
          </w:p>
        </w:tc>
        <w:tc>
          <w:tcPr>
            <w:tcW w:w="2799" w:type="dxa"/>
            <w:tcBorders>
              <w:top w:val="single" w:sz="4" w:space="0" w:color="auto"/>
            </w:tcBorders>
            <w:vAlign w:val="center"/>
          </w:tcPr>
          <w:p w14:paraId="7F2478BB" w14:textId="77777777" w:rsidR="005B0D17" w:rsidRPr="0065559C" w:rsidRDefault="005B0D17" w:rsidP="00D1310D">
            <w:pPr>
              <w:jc w:val="both"/>
              <w:rPr>
                <w:rFonts w:cstheme="minorHAnsi"/>
                <w:sz w:val="20"/>
                <w:szCs w:val="20"/>
              </w:rPr>
            </w:pPr>
            <w:r w:rsidRPr="0065559C">
              <w:rPr>
                <w:rFonts w:cstheme="minorHAnsi"/>
                <w:b/>
                <w:sz w:val="20"/>
                <w:szCs w:val="20"/>
              </w:rPr>
              <w:t>Indicator 2.2.2.</w:t>
            </w:r>
            <w:r w:rsidRPr="0065559C">
              <w:rPr>
                <w:rFonts w:cstheme="minorHAnsi"/>
                <w:sz w:val="20"/>
                <w:szCs w:val="20"/>
              </w:rPr>
              <w:t xml:space="preserve"> Number of renewable energy supply chains improved, with involvement of national institutions.</w:t>
            </w:r>
          </w:p>
          <w:p w14:paraId="3538A268" w14:textId="77777777" w:rsidR="005B0D17" w:rsidRPr="0065559C" w:rsidRDefault="005B0D17" w:rsidP="00D1310D">
            <w:pPr>
              <w:jc w:val="both"/>
              <w:rPr>
                <w:rFonts w:cstheme="minorHAnsi"/>
                <w:b/>
                <w:sz w:val="20"/>
                <w:szCs w:val="20"/>
              </w:rPr>
            </w:pPr>
            <w:r w:rsidRPr="0065559C">
              <w:rPr>
                <w:rFonts w:cstheme="minorHAnsi"/>
                <w:b/>
                <w:sz w:val="20"/>
                <w:szCs w:val="20"/>
              </w:rPr>
              <w:t xml:space="preserve">Baseline: 0 </w:t>
            </w:r>
          </w:p>
          <w:p w14:paraId="58BB4F04" w14:textId="77777777" w:rsidR="005B0D17" w:rsidRPr="0065559C" w:rsidRDefault="005B0D17" w:rsidP="00D1310D">
            <w:pPr>
              <w:jc w:val="both"/>
              <w:rPr>
                <w:rFonts w:cstheme="minorHAnsi"/>
                <w:sz w:val="20"/>
                <w:szCs w:val="20"/>
              </w:rPr>
            </w:pPr>
            <w:r w:rsidRPr="0065559C">
              <w:rPr>
                <w:rFonts w:cstheme="minorHAnsi"/>
                <w:b/>
                <w:sz w:val="20"/>
                <w:szCs w:val="20"/>
              </w:rPr>
              <w:t>Target: 2</w:t>
            </w:r>
          </w:p>
        </w:tc>
        <w:tc>
          <w:tcPr>
            <w:tcW w:w="2799" w:type="dxa"/>
            <w:vAlign w:val="center"/>
          </w:tcPr>
          <w:p w14:paraId="24D32120" w14:textId="77777777" w:rsidR="005B0D17" w:rsidRPr="0065559C" w:rsidRDefault="005B0D17" w:rsidP="00D1310D">
            <w:pPr>
              <w:jc w:val="both"/>
              <w:rPr>
                <w:rFonts w:cstheme="minorHAnsi"/>
                <w:sz w:val="20"/>
                <w:szCs w:val="20"/>
              </w:rPr>
            </w:pPr>
            <w:r w:rsidRPr="0065559C">
              <w:rPr>
                <w:rFonts w:cstheme="minorHAnsi"/>
                <w:sz w:val="20"/>
                <w:szCs w:val="20"/>
              </w:rPr>
              <w:t xml:space="preserve">Angola Government throught PPP have embarked into a large program aiming at revolutionizing energy access in Angola and taking it to deprived geographical locais (in terms of </w:t>
            </w:r>
            <w:r w:rsidRPr="0065559C">
              <w:rPr>
                <w:rFonts w:cstheme="minorHAnsi"/>
                <w:sz w:val="20"/>
                <w:szCs w:val="20"/>
              </w:rPr>
              <w:lastRenderedPageBreak/>
              <w:t>supply and access to the grid). Photovoltaic panels are being installed and built, totaling 370 megawatts (MWp) as target by 2022 in 6 provinces. UNDP has recently approved a sustainable energy access project, aiming at contributing with off-grid energy supply to rural communities in Moxico province.</w:t>
            </w:r>
          </w:p>
        </w:tc>
        <w:tc>
          <w:tcPr>
            <w:tcW w:w="2799" w:type="dxa"/>
            <w:vAlign w:val="center"/>
          </w:tcPr>
          <w:p w14:paraId="52AA85D7" w14:textId="77777777" w:rsidR="005B0D17" w:rsidRPr="0065559C" w:rsidRDefault="005B0D17" w:rsidP="00D1310D">
            <w:pPr>
              <w:jc w:val="both"/>
              <w:rPr>
                <w:rFonts w:cstheme="minorHAnsi"/>
                <w:sz w:val="20"/>
                <w:szCs w:val="20"/>
              </w:rPr>
            </w:pPr>
            <w:r w:rsidRPr="0065559C">
              <w:rPr>
                <w:rFonts w:cstheme="minorHAnsi"/>
                <w:sz w:val="20"/>
                <w:szCs w:val="20"/>
              </w:rPr>
              <w:lastRenderedPageBreak/>
              <w:t>Established government incentives on investments into renewable energies in Angola.</w:t>
            </w:r>
          </w:p>
        </w:tc>
        <w:tc>
          <w:tcPr>
            <w:tcW w:w="2799" w:type="dxa"/>
          </w:tcPr>
          <w:p w14:paraId="72DD724D" w14:textId="77777777" w:rsidR="005B0D17" w:rsidRPr="0065559C" w:rsidRDefault="005B0D17" w:rsidP="00D1310D">
            <w:pPr>
              <w:jc w:val="both"/>
              <w:rPr>
                <w:rFonts w:cstheme="minorHAnsi"/>
                <w:sz w:val="20"/>
                <w:szCs w:val="20"/>
              </w:rPr>
            </w:pPr>
          </w:p>
        </w:tc>
      </w:tr>
      <w:tr w:rsidR="005B0D17" w:rsidRPr="0065559C" w14:paraId="71D0F835" w14:textId="77777777" w:rsidTr="00D1310D">
        <w:tc>
          <w:tcPr>
            <w:tcW w:w="2798" w:type="dxa"/>
            <w:vAlign w:val="center"/>
          </w:tcPr>
          <w:p w14:paraId="52A4B28B" w14:textId="77777777" w:rsidR="005B0D17" w:rsidRPr="0065559C" w:rsidRDefault="005B0D17" w:rsidP="00D1310D">
            <w:pPr>
              <w:jc w:val="both"/>
              <w:rPr>
                <w:rFonts w:cstheme="minorHAnsi"/>
                <w:sz w:val="20"/>
                <w:szCs w:val="20"/>
              </w:rPr>
            </w:pPr>
            <w:r w:rsidRPr="0065559C">
              <w:rPr>
                <w:rFonts w:cstheme="minorHAnsi"/>
                <w:b/>
                <w:sz w:val="20"/>
                <w:szCs w:val="20"/>
              </w:rPr>
              <w:t>Output 2.3.</w:t>
            </w:r>
            <w:r w:rsidRPr="0065559C">
              <w:rPr>
                <w:rFonts w:cstheme="minorHAnsi"/>
                <w:sz w:val="20"/>
                <w:szCs w:val="20"/>
              </w:rPr>
              <w:t xml:space="preserve"> Most vulnerable communities have strengthened technical capacities to respond to natural and human-induced risks and disasters and adapt to climate change.</w:t>
            </w:r>
          </w:p>
        </w:tc>
        <w:tc>
          <w:tcPr>
            <w:tcW w:w="2799" w:type="dxa"/>
            <w:vAlign w:val="center"/>
          </w:tcPr>
          <w:p w14:paraId="136253C4" w14:textId="77777777" w:rsidR="005B0D17" w:rsidRPr="0065559C" w:rsidRDefault="005B0D17" w:rsidP="00D1310D">
            <w:pPr>
              <w:jc w:val="both"/>
              <w:rPr>
                <w:rFonts w:eastAsia="Times New Roman" w:cstheme="minorHAnsi"/>
                <w:color w:val="000000"/>
                <w:sz w:val="20"/>
                <w:szCs w:val="20"/>
                <w:lang w:eastAsia="pt-PT"/>
              </w:rPr>
            </w:pPr>
            <w:r w:rsidRPr="0065559C">
              <w:rPr>
                <w:rFonts w:eastAsia="Times New Roman" w:cstheme="minorHAnsi"/>
                <w:b/>
                <w:color w:val="000000"/>
                <w:sz w:val="20"/>
                <w:szCs w:val="20"/>
                <w:lang w:eastAsia="pt-PT"/>
              </w:rPr>
              <w:t>Indicator 2.3.1</w:t>
            </w:r>
            <w:r w:rsidRPr="0065559C">
              <w:rPr>
                <w:rFonts w:eastAsia="Times New Roman" w:cstheme="minorHAnsi"/>
                <w:color w:val="000000"/>
                <w:sz w:val="20"/>
                <w:szCs w:val="20"/>
                <w:lang w:eastAsia="pt-PT"/>
              </w:rPr>
              <w:t>. Number of operational agrometeorological monitoring and early warning systems established to limit the gender-differentiated impact of natural hazards.</w:t>
            </w:r>
          </w:p>
          <w:p w14:paraId="3E3454CE" w14:textId="77777777" w:rsidR="005B0D17" w:rsidRPr="0065559C" w:rsidRDefault="005B0D17" w:rsidP="00D1310D">
            <w:pPr>
              <w:jc w:val="both"/>
              <w:rPr>
                <w:rFonts w:eastAsia="Times New Roman" w:cstheme="minorHAnsi"/>
                <w:color w:val="000000"/>
                <w:sz w:val="20"/>
                <w:szCs w:val="20"/>
                <w:lang w:eastAsia="pt-PT"/>
              </w:rPr>
            </w:pPr>
          </w:p>
          <w:p w14:paraId="78A62B10" w14:textId="77777777" w:rsidR="005B0D17" w:rsidRPr="0065559C" w:rsidRDefault="005B0D17" w:rsidP="00D1310D">
            <w:pPr>
              <w:jc w:val="both"/>
              <w:rPr>
                <w:rFonts w:eastAsia="Times New Roman" w:cstheme="minorHAnsi"/>
                <w:b/>
                <w:color w:val="000000"/>
                <w:sz w:val="20"/>
                <w:szCs w:val="20"/>
                <w:lang w:eastAsia="pt-PT"/>
              </w:rPr>
            </w:pPr>
            <w:r w:rsidRPr="0065559C">
              <w:rPr>
                <w:rFonts w:eastAsia="Times New Roman" w:cstheme="minorHAnsi"/>
                <w:b/>
                <w:color w:val="000000"/>
                <w:sz w:val="20"/>
                <w:szCs w:val="20"/>
                <w:lang w:eastAsia="pt-PT"/>
              </w:rPr>
              <w:t>Baseline: 0</w:t>
            </w:r>
          </w:p>
          <w:p w14:paraId="19CF08EA" w14:textId="77777777" w:rsidR="005B0D17" w:rsidRPr="0065559C" w:rsidRDefault="005B0D17" w:rsidP="00D1310D">
            <w:pPr>
              <w:jc w:val="both"/>
              <w:rPr>
                <w:rFonts w:eastAsia="Times New Roman" w:cstheme="minorHAnsi"/>
                <w:b/>
                <w:color w:val="000000"/>
                <w:sz w:val="20"/>
                <w:szCs w:val="20"/>
                <w:lang w:eastAsia="pt-PT"/>
              </w:rPr>
            </w:pPr>
            <w:r w:rsidRPr="0065559C">
              <w:rPr>
                <w:rFonts w:eastAsia="Times New Roman" w:cstheme="minorHAnsi"/>
                <w:b/>
                <w:color w:val="000000"/>
                <w:sz w:val="20"/>
                <w:szCs w:val="20"/>
                <w:lang w:eastAsia="pt-PT"/>
              </w:rPr>
              <w:t>Target: 15</w:t>
            </w:r>
          </w:p>
          <w:p w14:paraId="3695B57A" w14:textId="77777777" w:rsidR="005B0D17" w:rsidRPr="0065559C" w:rsidRDefault="005B0D17" w:rsidP="00D1310D">
            <w:pPr>
              <w:jc w:val="both"/>
              <w:rPr>
                <w:rFonts w:eastAsia="Times New Roman" w:cstheme="minorHAnsi"/>
                <w:color w:val="000000"/>
                <w:sz w:val="20"/>
                <w:szCs w:val="20"/>
                <w:lang w:eastAsia="pt-PT"/>
              </w:rPr>
            </w:pPr>
          </w:p>
        </w:tc>
        <w:tc>
          <w:tcPr>
            <w:tcW w:w="2799" w:type="dxa"/>
            <w:vAlign w:val="center"/>
          </w:tcPr>
          <w:p w14:paraId="285FD334" w14:textId="77777777" w:rsidR="005B0D17" w:rsidRPr="0065559C" w:rsidRDefault="005B0D17" w:rsidP="00D1310D">
            <w:pPr>
              <w:jc w:val="both"/>
              <w:rPr>
                <w:rFonts w:eastAsia="Times New Roman" w:cstheme="minorHAnsi"/>
                <w:color w:val="000000"/>
                <w:sz w:val="20"/>
                <w:szCs w:val="20"/>
                <w:lang w:eastAsia="pt-PT"/>
              </w:rPr>
            </w:pPr>
            <w:r w:rsidRPr="0065559C">
              <w:rPr>
                <w:rFonts w:eastAsia="Times New Roman" w:cstheme="minorHAnsi"/>
                <w:color w:val="000000"/>
                <w:sz w:val="20"/>
                <w:szCs w:val="20"/>
                <w:lang w:eastAsia="pt-PT"/>
              </w:rPr>
              <w:t xml:space="preserve">Through the Adaption in the Cuvelai river basin project, 10 Automated Weather Stations (AWS) and 2 calibration stations were installed across to basin (project target area) and handed over to the responsible entity (INAMET). Currently there is ongoing installations of 3 Telemetric-type hydro-climatological stations and 4 limnimetric scales under the leadership of GABHIC, entity responsible for the management of the basin, who will be responsible in the use of such equipment, collect and analyse data generated. The equipments are complemented with Satellite phone and mobile </w:t>
            </w:r>
            <w:r w:rsidRPr="0065559C">
              <w:rPr>
                <w:rFonts w:eastAsia="Times New Roman" w:cstheme="minorHAnsi"/>
                <w:color w:val="000000"/>
                <w:sz w:val="20"/>
                <w:szCs w:val="20"/>
                <w:lang w:eastAsia="pt-PT"/>
              </w:rPr>
              <w:lastRenderedPageBreak/>
              <w:t>radios to ensure efficient transmission and dissemination of information in the advent of extreme weather events to relevant stakeholders, with emphasis to the local communities.</w:t>
            </w:r>
          </w:p>
        </w:tc>
        <w:tc>
          <w:tcPr>
            <w:tcW w:w="2799" w:type="dxa"/>
            <w:vAlign w:val="center"/>
          </w:tcPr>
          <w:p w14:paraId="7F36291C" w14:textId="77777777" w:rsidR="005B0D17" w:rsidRPr="0065559C" w:rsidRDefault="005B0D17" w:rsidP="00D1310D">
            <w:pPr>
              <w:jc w:val="both"/>
              <w:rPr>
                <w:rFonts w:cstheme="minorHAnsi"/>
                <w:sz w:val="20"/>
                <w:szCs w:val="20"/>
              </w:rPr>
            </w:pPr>
            <w:r w:rsidRPr="0065559C">
              <w:rPr>
                <w:rFonts w:cstheme="minorHAnsi"/>
                <w:sz w:val="20"/>
                <w:szCs w:val="20"/>
              </w:rPr>
              <w:lastRenderedPageBreak/>
              <w:t xml:space="preserve">Despite challenges imposed by the pandemic, new ways of working were </w:t>
            </w:r>
            <w:proofErr w:type="gramStart"/>
            <w:r w:rsidRPr="0065559C">
              <w:rPr>
                <w:rFonts w:cstheme="minorHAnsi"/>
                <w:sz w:val="20"/>
                <w:szCs w:val="20"/>
              </w:rPr>
              <w:t>adopted,ie</w:t>
            </w:r>
            <w:proofErr w:type="gramEnd"/>
            <w:r w:rsidRPr="0065559C">
              <w:rPr>
                <w:rFonts w:cstheme="minorHAnsi"/>
                <w:sz w:val="20"/>
                <w:szCs w:val="20"/>
              </w:rPr>
              <w:t xml:space="preserve"> characterized by shifting of face to face trainings into virtual mode. When air travels resumed to Luanda, contracts were ammended to allow consultants to come in country and accommodated costs related to mandatory self-quarentine.</w:t>
            </w:r>
          </w:p>
        </w:tc>
        <w:tc>
          <w:tcPr>
            <w:tcW w:w="2799" w:type="dxa"/>
            <w:vAlign w:val="center"/>
          </w:tcPr>
          <w:p w14:paraId="5BD4125A" w14:textId="77777777" w:rsidR="005B0D17" w:rsidRPr="0065559C" w:rsidRDefault="005B0D17" w:rsidP="00D1310D">
            <w:pPr>
              <w:jc w:val="both"/>
              <w:rPr>
                <w:rFonts w:cstheme="minorHAnsi"/>
                <w:sz w:val="20"/>
                <w:szCs w:val="20"/>
              </w:rPr>
            </w:pPr>
            <w:r w:rsidRPr="0065559C">
              <w:rPr>
                <w:rFonts w:cstheme="minorHAnsi"/>
                <w:sz w:val="20"/>
                <w:szCs w:val="20"/>
              </w:rPr>
              <w:t>Changes at the IP - mainly Ministry responsible for Environment (changes at ministerial level), weak capacity of the recipient directorate to manage complex multi-sector projects, and COVID-19 pandemic and associated lockdowns.</w:t>
            </w:r>
          </w:p>
        </w:tc>
      </w:tr>
      <w:tr w:rsidR="005B0D17" w:rsidRPr="0065559C" w14:paraId="2894CFCD" w14:textId="77777777" w:rsidTr="00D1310D">
        <w:tc>
          <w:tcPr>
            <w:tcW w:w="2798" w:type="dxa"/>
            <w:vAlign w:val="center"/>
          </w:tcPr>
          <w:p w14:paraId="78CF1092" w14:textId="77777777" w:rsidR="005B0D17" w:rsidRPr="0065559C" w:rsidRDefault="005B0D17" w:rsidP="00D1310D">
            <w:pPr>
              <w:jc w:val="both"/>
              <w:rPr>
                <w:rFonts w:cstheme="minorHAnsi"/>
                <w:sz w:val="20"/>
                <w:szCs w:val="20"/>
              </w:rPr>
            </w:pPr>
            <w:r w:rsidRPr="0065559C">
              <w:rPr>
                <w:rFonts w:cstheme="minorHAnsi"/>
                <w:b/>
                <w:sz w:val="20"/>
                <w:szCs w:val="20"/>
              </w:rPr>
              <w:t>Output 2.4.</w:t>
            </w:r>
            <w:r w:rsidRPr="0065559C">
              <w:rPr>
                <w:rFonts w:cstheme="minorHAnsi"/>
                <w:sz w:val="20"/>
                <w:szCs w:val="20"/>
              </w:rPr>
              <w:t xml:space="preserve"> The Government has increased technical and financial capacities to support drought recovery and resilience building in the southern provinces.</w:t>
            </w:r>
          </w:p>
        </w:tc>
        <w:tc>
          <w:tcPr>
            <w:tcW w:w="2799" w:type="dxa"/>
            <w:vAlign w:val="center"/>
          </w:tcPr>
          <w:p w14:paraId="3ABBB30A" w14:textId="77777777" w:rsidR="005B0D17" w:rsidRPr="0065559C" w:rsidRDefault="005B0D17" w:rsidP="00D1310D">
            <w:pPr>
              <w:jc w:val="both"/>
              <w:rPr>
                <w:rFonts w:eastAsia="Times New Roman" w:cstheme="minorHAnsi"/>
                <w:color w:val="000000"/>
                <w:sz w:val="20"/>
                <w:szCs w:val="20"/>
                <w:lang w:eastAsia="pt-PT"/>
              </w:rPr>
            </w:pPr>
            <w:r w:rsidRPr="0065559C">
              <w:rPr>
                <w:rFonts w:eastAsia="Times New Roman" w:cstheme="minorHAnsi"/>
                <w:b/>
                <w:color w:val="000000"/>
                <w:sz w:val="20"/>
                <w:szCs w:val="20"/>
                <w:lang w:eastAsia="pt-PT"/>
              </w:rPr>
              <w:t>Indicator 2.4.1</w:t>
            </w:r>
            <w:r w:rsidRPr="0065559C">
              <w:rPr>
                <w:rFonts w:eastAsia="Times New Roman" w:cstheme="minorHAnsi"/>
                <w:color w:val="000000"/>
                <w:sz w:val="20"/>
                <w:szCs w:val="20"/>
                <w:lang w:eastAsia="pt-PT"/>
              </w:rPr>
              <w:t>. Number of newly designed gender-responsive disaster risk reduction plans/strategies budgeted, implemented and monitored in accordance with the drought recovery framework, the Sendai Framework for Disaster Risk reduction, and the NDP, 2018- 2022.</w:t>
            </w:r>
          </w:p>
          <w:p w14:paraId="4DD0662A" w14:textId="77777777" w:rsidR="005B0D17" w:rsidRPr="0065559C" w:rsidRDefault="005B0D17" w:rsidP="00D1310D">
            <w:pPr>
              <w:jc w:val="both"/>
              <w:rPr>
                <w:rFonts w:eastAsia="Times New Roman" w:cstheme="minorHAnsi"/>
                <w:color w:val="000000"/>
                <w:sz w:val="20"/>
                <w:szCs w:val="20"/>
                <w:lang w:eastAsia="pt-PT"/>
              </w:rPr>
            </w:pPr>
          </w:p>
          <w:p w14:paraId="4EEC49CD" w14:textId="77777777" w:rsidR="005B0D17" w:rsidRPr="0065559C" w:rsidRDefault="005B0D17" w:rsidP="00D1310D">
            <w:pPr>
              <w:jc w:val="both"/>
              <w:rPr>
                <w:rFonts w:eastAsia="Times New Roman" w:cstheme="minorHAnsi"/>
                <w:b/>
                <w:color w:val="000000"/>
                <w:sz w:val="20"/>
                <w:szCs w:val="20"/>
                <w:lang w:eastAsia="pt-PT"/>
              </w:rPr>
            </w:pPr>
            <w:r w:rsidRPr="0065559C">
              <w:rPr>
                <w:rFonts w:eastAsia="Times New Roman" w:cstheme="minorHAnsi"/>
                <w:b/>
                <w:color w:val="000000"/>
                <w:sz w:val="20"/>
                <w:szCs w:val="20"/>
                <w:lang w:eastAsia="pt-PT"/>
              </w:rPr>
              <w:t>Baseline: 0</w:t>
            </w:r>
          </w:p>
          <w:p w14:paraId="59D81091" w14:textId="77777777" w:rsidR="005B0D17" w:rsidRPr="0065559C" w:rsidRDefault="005B0D17" w:rsidP="00D1310D">
            <w:pPr>
              <w:jc w:val="both"/>
              <w:rPr>
                <w:rFonts w:eastAsia="Times New Roman" w:cstheme="minorHAnsi"/>
                <w:color w:val="000000"/>
                <w:sz w:val="20"/>
                <w:szCs w:val="20"/>
                <w:lang w:eastAsia="pt-PT"/>
              </w:rPr>
            </w:pPr>
            <w:r w:rsidRPr="0065559C">
              <w:rPr>
                <w:rFonts w:eastAsia="Times New Roman" w:cstheme="minorHAnsi"/>
                <w:b/>
                <w:color w:val="000000"/>
                <w:sz w:val="20"/>
                <w:szCs w:val="20"/>
                <w:lang w:eastAsia="pt-PT"/>
              </w:rPr>
              <w:t xml:space="preserve">Target: 3 </w:t>
            </w:r>
          </w:p>
        </w:tc>
        <w:tc>
          <w:tcPr>
            <w:tcW w:w="2799" w:type="dxa"/>
            <w:vAlign w:val="center"/>
          </w:tcPr>
          <w:p w14:paraId="5100755F" w14:textId="77777777" w:rsidR="005B0D17" w:rsidRPr="0065559C" w:rsidRDefault="005B0D17" w:rsidP="00D1310D">
            <w:pPr>
              <w:jc w:val="both"/>
              <w:rPr>
                <w:rFonts w:eastAsia="Times New Roman" w:cstheme="minorHAnsi"/>
                <w:color w:val="000000"/>
                <w:sz w:val="20"/>
                <w:szCs w:val="20"/>
                <w:lang w:eastAsia="pt-PT"/>
              </w:rPr>
            </w:pPr>
            <w:r w:rsidRPr="0065559C">
              <w:rPr>
                <w:rFonts w:eastAsia="Times New Roman" w:cstheme="minorHAnsi"/>
                <w:color w:val="000000"/>
                <w:sz w:val="20"/>
                <w:szCs w:val="20"/>
                <w:lang w:eastAsia="pt-PT"/>
              </w:rPr>
              <w:t>Three Provincial Flood Contingency and Response Plans were developed and approved (in Cunene, Huila and Namibe provinces) under the framework of the FRESAN project. Support for the elaboration and approval of provincial contingency plans for Covid-19 in the three target provinces has been provided and the plans were approved in 2020, followed by immediate implementation by the Provincial Governments.</w:t>
            </w:r>
          </w:p>
        </w:tc>
        <w:tc>
          <w:tcPr>
            <w:tcW w:w="2799" w:type="dxa"/>
            <w:vAlign w:val="center"/>
          </w:tcPr>
          <w:p w14:paraId="19A3B088" w14:textId="77777777" w:rsidR="005B0D17" w:rsidRPr="0065559C" w:rsidRDefault="005B0D17" w:rsidP="00D1310D">
            <w:pPr>
              <w:jc w:val="both"/>
              <w:rPr>
                <w:rFonts w:cstheme="minorHAnsi"/>
                <w:sz w:val="20"/>
                <w:szCs w:val="20"/>
              </w:rPr>
            </w:pPr>
            <w:r w:rsidRPr="0065559C">
              <w:rPr>
                <w:rFonts w:cstheme="minorHAnsi"/>
                <w:sz w:val="20"/>
                <w:szCs w:val="20"/>
              </w:rPr>
              <w:t xml:space="preserve">Despite challenges imposed by COVID-19 pandemic, the </w:t>
            </w:r>
            <w:proofErr w:type="gramStart"/>
            <w:r w:rsidRPr="0065559C">
              <w:rPr>
                <w:rFonts w:cstheme="minorHAnsi"/>
                <w:sz w:val="20"/>
                <w:szCs w:val="20"/>
              </w:rPr>
              <w:t>field based</w:t>
            </w:r>
            <w:proofErr w:type="gramEnd"/>
            <w:r w:rsidRPr="0065559C">
              <w:rPr>
                <w:rFonts w:cstheme="minorHAnsi"/>
                <w:sz w:val="20"/>
                <w:szCs w:val="20"/>
              </w:rPr>
              <w:t xml:space="preserve"> project staff remained on site working closely with provincial governments on activities that were possible to be implemented under the circunstances. Adaptive management has been employed, by re-prioriotizing the risks response lens into emerging pandemic, and with additional resources dedicated to COVID-19, the project was able to deliver contingency plans at provincial level.</w:t>
            </w:r>
          </w:p>
        </w:tc>
        <w:tc>
          <w:tcPr>
            <w:tcW w:w="2799" w:type="dxa"/>
            <w:vAlign w:val="center"/>
          </w:tcPr>
          <w:p w14:paraId="37B7FDEA" w14:textId="77777777" w:rsidR="005B0D17" w:rsidRPr="0065559C" w:rsidRDefault="005B0D17" w:rsidP="00D1310D">
            <w:pPr>
              <w:jc w:val="both"/>
              <w:rPr>
                <w:rFonts w:cstheme="minorHAnsi"/>
                <w:sz w:val="20"/>
                <w:szCs w:val="20"/>
              </w:rPr>
            </w:pPr>
            <w:r w:rsidRPr="0065559C">
              <w:rPr>
                <w:rFonts w:cstheme="minorHAnsi"/>
                <w:sz w:val="20"/>
                <w:szCs w:val="20"/>
              </w:rPr>
              <w:t>COVID-19 pandemic and associated lockdowns impacted negatively the delivery of most of the expected results under this output.</w:t>
            </w:r>
          </w:p>
        </w:tc>
      </w:tr>
    </w:tbl>
    <w:p w14:paraId="6FF4C47C" w14:textId="77777777" w:rsidR="005B0D17" w:rsidRPr="0065559C" w:rsidRDefault="005B0D17" w:rsidP="005B0D17">
      <w:pPr>
        <w:jc w:val="both"/>
        <w:rPr>
          <w:rFonts w:cstheme="minorHAnsi"/>
          <w:sz w:val="20"/>
          <w:szCs w:val="20"/>
        </w:rPr>
      </w:pPr>
    </w:p>
    <w:p w14:paraId="1C22C129" w14:textId="77777777" w:rsidR="005B0D17" w:rsidRDefault="005B0D17" w:rsidP="005B0D17">
      <w:pPr>
        <w:jc w:val="both"/>
      </w:pPr>
    </w:p>
    <w:p w14:paraId="7D226B6B" w14:textId="77777777" w:rsidR="00227CCB" w:rsidRDefault="00227CCB" w:rsidP="00710736">
      <w:pPr>
        <w:sectPr w:rsidR="00227CCB" w:rsidSect="00D3131E">
          <w:pgSz w:w="16838" w:h="11906" w:orient="landscape"/>
          <w:pgMar w:top="1701" w:right="1417" w:bottom="1701" w:left="1417" w:header="708" w:footer="708" w:gutter="0"/>
          <w:cols w:space="708"/>
          <w:docGrid w:linePitch="360"/>
        </w:sectPr>
      </w:pPr>
    </w:p>
    <w:p w14:paraId="568691A0" w14:textId="77777777" w:rsidR="00227CCB" w:rsidRPr="00227CCB" w:rsidRDefault="00227CCB" w:rsidP="00227CCB">
      <w:pPr>
        <w:pStyle w:val="Heading1"/>
        <w:rPr>
          <w:rFonts w:asciiTheme="minorHAnsi" w:hAnsiTheme="minorHAnsi" w:cstheme="minorHAnsi"/>
          <w:sz w:val="22"/>
          <w:szCs w:val="22"/>
        </w:rPr>
      </w:pPr>
      <w:bookmarkStart w:id="90" w:name="_Toc88741833"/>
      <w:r w:rsidRPr="00227CCB">
        <w:rPr>
          <w:rFonts w:asciiTheme="minorHAnsi" w:eastAsia="Times New Roman" w:hAnsiTheme="minorHAnsi" w:cstheme="minorHAnsi"/>
          <w:color w:val="365F91"/>
          <w:sz w:val="22"/>
          <w:szCs w:val="22"/>
          <w:lang w:eastAsia="pt-PT"/>
        </w:rPr>
        <w:lastRenderedPageBreak/>
        <w:t>Annex 9:</w:t>
      </w:r>
      <w:r w:rsidRPr="00227CCB">
        <w:rPr>
          <w:rFonts w:asciiTheme="minorHAnsi" w:hAnsiTheme="minorHAnsi" w:cstheme="minorHAnsi"/>
          <w:sz w:val="22"/>
          <w:szCs w:val="22"/>
        </w:rPr>
        <w:t xml:space="preserve"> Strengthening Inclusive Democracy, Human Rights, Justice and Rule of Law:</w:t>
      </w:r>
      <w:r w:rsidRPr="00227CCB">
        <w:rPr>
          <w:rFonts w:asciiTheme="minorHAnsi" w:eastAsia="Times New Roman" w:hAnsiTheme="minorHAnsi" w:cstheme="minorHAnsi"/>
          <w:color w:val="365F91"/>
          <w:sz w:val="22"/>
          <w:szCs w:val="22"/>
          <w:lang w:eastAsia="pt-PT"/>
        </w:rPr>
        <w:t xml:space="preserve"> Consolidated Results Template</w:t>
      </w:r>
      <w:bookmarkEnd w:id="90"/>
    </w:p>
    <w:tbl>
      <w:tblPr>
        <w:tblStyle w:val="TableGrid"/>
        <w:tblW w:w="0" w:type="auto"/>
        <w:tblLook w:val="04A0" w:firstRow="1" w:lastRow="0" w:firstColumn="1" w:lastColumn="0" w:noHBand="0" w:noVBand="1"/>
      </w:tblPr>
      <w:tblGrid>
        <w:gridCol w:w="2798"/>
        <w:gridCol w:w="2799"/>
        <w:gridCol w:w="2799"/>
        <w:gridCol w:w="2799"/>
        <w:gridCol w:w="2799"/>
      </w:tblGrid>
      <w:tr w:rsidR="00227CCB" w:rsidRPr="00577711" w14:paraId="4E9171C3" w14:textId="77777777" w:rsidTr="00DB0234">
        <w:trPr>
          <w:tblHeader/>
        </w:trPr>
        <w:tc>
          <w:tcPr>
            <w:tcW w:w="2798" w:type="dxa"/>
            <w:shd w:val="clear" w:color="auto" w:fill="DBE5F1" w:themeFill="accent1" w:themeFillTint="33"/>
            <w:vAlign w:val="center"/>
          </w:tcPr>
          <w:p w14:paraId="038D7CD9" w14:textId="77777777" w:rsidR="00227CCB" w:rsidRPr="00577711" w:rsidRDefault="00227CCB" w:rsidP="00DB0234">
            <w:pPr>
              <w:rPr>
                <w:sz w:val="20"/>
                <w:szCs w:val="20"/>
              </w:rPr>
            </w:pPr>
            <w:r w:rsidRPr="00577711">
              <w:rPr>
                <w:rFonts w:ascii="Calibri" w:eastAsia="Times New Roman" w:hAnsi="Calibri" w:cs="Calibri"/>
                <w:b/>
                <w:bCs/>
                <w:color w:val="000000"/>
                <w:sz w:val="20"/>
                <w:szCs w:val="20"/>
                <w:lang w:eastAsia="pt-PT"/>
              </w:rPr>
              <w:t>Outcome/Outputs</w:t>
            </w:r>
          </w:p>
        </w:tc>
        <w:tc>
          <w:tcPr>
            <w:tcW w:w="2799" w:type="dxa"/>
            <w:shd w:val="clear" w:color="auto" w:fill="DBE5F1" w:themeFill="accent1" w:themeFillTint="33"/>
            <w:vAlign w:val="center"/>
          </w:tcPr>
          <w:p w14:paraId="65FB3C83" w14:textId="77777777" w:rsidR="00227CCB" w:rsidRPr="00577711" w:rsidRDefault="00227CCB" w:rsidP="00DB0234">
            <w:pPr>
              <w:rPr>
                <w:sz w:val="20"/>
                <w:szCs w:val="20"/>
              </w:rPr>
            </w:pPr>
            <w:r w:rsidRPr="00577711">
              <w:rPr>
                <w:rFonts w:ascii="Calibri" w:eastAsia="Times New Roman" w:hAnsi="Calibri" w:cs="Calibri"/>
                <w:b/>
                <w:bCs/>
                <w:color w:val="000000"/>
                <w:sz w:val="20"/>
                <w:szCs w:val="20"/>
                <w:lang w:eastAsia="pt-PT"/>
              </w:rPr>
              <w:t>Indicators</w:t>
            </w:r>
          </w:p>
        </w:tc>
        <w:tc>
          <w:tcPr>
            <w:tcW w:w="2799" w:type="dxa"/>
            <w:shd w:val="clear" w:color="auto" w:fill="DBE5F1" w:themeFill="accent1" w:themeFillTint="33"/>
            <w:vAlign w:val="center"/>
          </w:tcPr>
          <w:p w14:paraId="724D69D1" w14:textId="77777777" w:rsidR="00227CCB" w:rsidRPr="00577711" w:rsidRDefault="00227CCB" w:rsidP="00DB0234">
            <w:pPr>
              <w:rPr>
                <w:sz w:val="20"/>
                <w:szCs w:val="20"/>
              </w:rPr>
            </w:pPr>
            <w:r w:rsidRPr="00577711">
              <w:rPr>
                <w:rFonts w:ascii="Calibri" w:eastAsia="Times New Roman" w:hAnsi="Calibri" w:cs="Calibri"/>
                <w:b/>
                <w:bCs/>
                <w:color w:val="000000"/>
                <w:sz w:val="20"/>
                <w:szCs w:val="20"/>
                <w:lang w:eastAsia="pt-PT"/>
              </w:rPr>
              <w:t>Key Achievements at Mid-Term</w:t>
            </w:r>
          </w:p>
        </w:tc>
        <w:tc>
          <w:tcPr>
            <w:tcW w:w="2799" w:type="dxa"/>
            <w:shd w:val="clear" w:color="auto" w:fill="DBE5F1" w:themeFill="accent1" w:themeFillTint="33"/>
            <w:vAlign w:val="center"/>
          </w:tcPr>
          <w:p w14:paraId="1EE17D46" w14:textId="77777777" w:rsidR="00227CCB" w:rsidRPr="00577711" w:rsidRDefault="00227CCB" w:rsidP="00DB0234">
            <w:pPr>
              <w:rPr>
                <w:rFonts w:ascii="Calibri" w:eastAsia="Times New Roman" w:hAnsi="Calibri" w:cs="Calibri"/>
                <w:b/>
                <w:bCs/>
                <w:color w:val="000000"/>
                <w:sz w:val="20"/>
                <w:szCs w:val="20"/>
                <w:lang w:eastAsia="pt-PT"/>
              </w:rPr>
            </w:pPr>
            <w:r w:rsidRPr="00577711">
              <w:rPr>
                <w:rFonts w:ascii="Calibri" w:eastAsia="Times New Roman" w:hAnsi="Calibri" w:cs="Calibri"/>
                <w:b/>
                <w:bCs/>
                <w:color w:val="000000"/>
                <w:sz w:val="20"/>
                <w:szCs w:val="20"/>
                <w:lang w:eastAsia="pt-PT"/>
              </w:rPr>
              <w:t>Factor Contributing to Achievement of Results</w:t>
            </w:r>
          </w:p>
          <w:p w14:paraId="4B8FB421" w14:textId="77777777" w:rsidR="00227CCB" w:rsidRPr="00577711" w:rsidRDefault="00227CCB" w:rsidP="00DB0234">
            <w:pPr>
              <w:rPr>
                <w:sz w:val="20"/>
                <w:szCs w:val="20"/>
              </w:rPr>
            </w:pPr>
          </w:p>
        </w:tc>
        <w:tc>
          <w:tcPr>
            <w:tcW w:w="2799" w:type="dxa"/>
            <w:shd w:val="clear" w:color="auto" w:fill="DBE5F1" w:themeFill="accent1" w:themeFillTint="33"/>
            <w:vAlign w:val="center"/>
          </w:tcPr>
          <w:p w14:paraId="62FE3DB0" w14:textId="77777777" w:rsidR="00227CCB" w:rsidRPr="00577711" w:rsidRDefault="00227CCB" w:rsidP="00DB0234">
            <w:pPr>
              <w:rPr>
                <w:sz w:val="20"/>
                <w:szCs w:val="20"/>
              </w:rPr>
            </w:pPr>
            <w:r w:rsidRPr="00577711">
              <w:rPr>
                <w:rFonts w:ascii="Calibri" w:eastAsia="Times New Roman" w:hAnsi="Calibri" w:cs="Calibri"/>
                <w:b/>
                <w:bCs/>
                <w:color w:val="000000"/>
                <w:sz w:val="20"/>
                <w:szCs w:val="20"/>
                <w:lang w:eastAsia="pt-PT"/>
              </w:rPr>
              <w:t>Factors Contributing to Non-achievement of Results</w:t>
            </w:r>
          </w:p>
        </w:tc>
      </w:tr>
      <w:tr w:rsidR="00227CCB" w:rsidRPr="00577711" w14:paraId="1863C041" w14:textId="77777777" w:rsidTr="00DB0234">
        <w:tc>
          <w:tcPr>
            <w:tcW w:w="13994" w:type="dxa"/>
            <w:gridSpan w:val="5"/>
            <w:tcBorders>
              <w:bottom w:val="nil"/>
            </w:tcBorders>
          </w:tcPr>
          <w:p w14:paraId="3CC6241A" w14:textId="77777777" w:rsidR="00227CCB" w:rsidRPr="00577711" w:rsidRDefault="00227CCB" w:rsidP="00DB0234">
            <w:pPr>
              <w:rPr>
                <w:sz w:val="20"/>
                <w:szCs w:val="20"/>
              </w:rPr>
            </w:pPr>
            <w:r w:rsidRPr="00577711">
              <w:rPr>
                <w:rFonts w:ascii="Calibri" w:eastAsia="Times New Roman" w:hAnsi="Calibri" w:cs="Calibri"/>
                <w:b/>
                <w:bCs/>
                <w:i/>
                <w:iCs/>
                <w:color w:val="000000"/>
                <w:sz w:val="20"/>
                <w:szCs w:val="20"/>
                <w:lang w:eastAsia="pt-PT"/>
              </w:rPr>
              <w:t>UNDP CPD Outcome 3: By 2022, citizens participate and exercise governance oversight, people have access to justice, and human rights are observed in a context of regional peace and stability.</w:t>
            </w:r>
          </w:p>
        </w:tc>
      </w:tr>
      <w:tr w:rsidR="00227CCB" w:rsidRPr="00577711" w14:paraId="1423B64F" w14:textId="77777777" w:rsidTr="00DB0234">
        <w:tc>
          <w:tcPr>
            <w:tcW w:w="2798" w:type="dxa"/>
            <w:vMerge w:val="restart"/>
            <w:vAlign w:val="center"/>
          </w:tcPr>
          <w:p w14:paraId="45D34A0A" w14:textId="77777777" w:rsidR="00227CCB" w:rsidRPr="00577711" w:rsidRDefault="00227CCB" w:rsidP="00DB0234">
            <w:pPr>
              <w:jc w:val="both"/>
              <w:rPr>
                <w:sz w:val="20"/>
                <w:szCs w:val="20"/>
              </w:rPr>
            </w:pPr>
            <w:r w:rsidRPr="00577711">
              <w:rPr>
                <w:rFonts w:ascii="Calibri" w:eastAsia="Times New Roman" w:hAnsi="Calibri" w:cs="Calibri"/>
                <w:b/>
                <w:bCs/>
                <w:color w:val="000000"/>
                <w:sz w:val="20"/>
                <w:szCs w:val="20"/>
                <w:lang w:eastAsia="pt-PT"/>
              </w:rPr>
              <w:t xml:space="preserve">Output 3.1. </w:t>
            </w:r>
            <w:r w:rsidRPr="00577711">
              <w:rPr>
                <w:rFonts w:ascii="Calibri" w:eastAsia="Times New Roman" w:hAnsi="Calibri" w:cs="Calibri"/>
                <w:i/>
                <w:iCs/>
                <w:color w:val="000000"/>
                <w:sz w:val="20"/>
                <w:szCs w:val="20"/>
                <w:lang w:eastAsia="pt-PT"/>
              </w:rPr>
              <w:t>Inclusive and participatory local governance model, laws and regulations enabled for effective participation of individuals, particularly women and youth.</w:t>
            </w:r>
          </w:p>
        </w:tc>
        <w:tc>
          <w:tcPr>
            <w:tcW w:w="2799" w:type="dxa"/>
            <w:tcBorders>
              <w:bottom w:val="single" w:sz="4" w:space="0" w:color="auto"/>
            </w:tcBorders>
            <w:vAlign w:val="center"/>
          </w:tcPr>
          <w:p w14:paraId="55CC45F6" w14:textId="77777777" w:rsidR="00227CCB" w:rsidRPr="00577711" w:rsidRDefault="00227CCB" w:rsidP="00DB0234">
            <w:pPr>
              <w:jc w:val="both"/>
              <w:rPr>
                <w:rFonts w:ascii="Calibri" w:hAnsi="Calibri" w:cs="Calibri"/>
                <w:color w:val="000000"/>
                <w:sz w:val="20"/>
                <w:szCs w:val="20"/>
              </w:rPr>
            </w:pPr>
            <w:r w:rsidRPr="00577711">
              <w:rPr>
                <w:rFonts w:ascii="Calibri" w:hAnsi="Calibri" w:cs="Calibri"/>
                <w:b/>
                <w:bCs/>
                <w:color w:val="000000"/>
                <w:sz w:val="20"/>
                <w:szCs w:val="20"/>
              </w:rPr>
              <w:t>Indicator 3.1.1</w:t>
            </w:r>
            <w:r w:rsidRPr="00577711">
              <w:rPr>
                <w:rFonts w:ascii="Calibri" w:hAnsi="Calibri" w:cs="Calibri"/>
                <w:color w:val="000000"/>
                <w:sz w:val="20"/>
                <w:szCs w:val="20"/>
              </w:rPr>
              <w:t xml:space="preserve">. Percentage of women and youth under 35 years that participate as candidates in local governance elections.  </w:t>
            </w:r>
          </w:p>
          <w:p w14:paraId="18A4D087" w14:textId="77777777" w:rsidR="00227CCB" w:rsidRPr="00577711" w:rsidRDefault="00227CCB" w:rsidP="00DB0234">
            <w:pPr>
              <w:rPr>
                <w:rFonts w:ascii="Calibri" w:hAnsi="Calibri" w:cs="Calibri"/>
                <w:color w:val="000000"/>
                <w:sz w:val="20"/>
                <w:szCs w:val="20"/>
              </w:rPr>
            </w:pPr>
          </w:p>
          <w:p w14:paraId="05E07C93" w14:textId="77777777" w:rsidR="00227CCB" w:rsidRPr="00577711" w:rsidRDefault="00227CCB" w:rsidP="00DB0234">
            <w:pPr>
              <w:rPr>
                <w:rFonts w:ascii="Calibri" w:hAnsi="Calibri" w:cs="Calibri"/>
                <w:b/>
                <w:bCs/>
                <w:color w:val="000000"/>
                <w:sz w:val="20"/>
                <w:szCs w:val="20"/>
              </w:rPr>
            </w:pPr>
            <w:r w:rsidRPr="00577711">
              <w:rPr>
                <w:rFonts w:ascii="Calibri" w:hAnsi="Calibri" w:cs="Calibri"/>
                <w:b/>
                <w:color w:val="000000"/>
                <w:sz w:val="20"/>
                <w:szCs w:val="20"/>
              </w:rPr>
              <w:t>Baseline: 0                                  Target: Women: 30</w:t>
            </w:r>
            <w:proofErr w:type="gramStart"/>
            <w:r w:rsidRPr="00577711">
              <w:rPr>
                <w:rFonts w:ascii="Calibri" w:hAnsi="Calibri" w:cs="Calibri"/>
                <w:b/>
                <w:color w:val="000000"/>
                <w:sz w:val="20"/>
                <w:szCs w:val="20"/>
              </w:rPr>
              <w:t xml:space="preserve">%;   </w:t>
            </w:r>
            <w:proofErr w:type="gramEnd"/>
            <w:r w:rsidRPr="00577711">
              <w:rPr>
                <w:rFonts w:ascii="Calibri" w:hAnsi="Calibri" w:cs="Calibri"/>
                <w:b/>
                <w:color w:val="000000"/>
                <w:sz w:val="20"/>
                <w:szCs w:val="20"/>
              </w:rPr>
              <w:t xml:space="preserve">             Youth: 10%</w:t>
            </w:r>
          </w:p>
          <w:p w14:paraId="1017C95B" w14:textId="77777777" w:rsidR="00227CCB" w:rsidRPr="00577711" w:rsidRDefault="00227CCB" w:rsidP="00DB0234">
            <w:pPr>
              <w:rPr>
                <w:sz w:val="20"/>
                <w:szCs w:val="20"/>
              </w:rPr>
            </w:pPr>
          </w:p>
        </w:tc>
        <w:tc>
          <w:tcPr>
            <w:tcW w:w="2799" w:type="dxa"/>
            <w:vAlign w:val="center"/>
          </w:tcPr>
          <w:p w14:paraId="7B945324" w14:textId="77777777" w:rsidR="00227CCB" w:rsidRPr="00577711" w:rsidRDefault="00227CCB" w:rsidP="00DB0234">
            <w:pPr>
              <w:jc w:val="both"/>
              <w:rPr>
                <w:sz w:val="20"/>
                <w:szCs w:val="20"/>
              </w:rPr>
            </w:pPr>
            <w:r w:rsidRPr="00577711">
              <w:rPr>
                <w:rFonts w:ascii="Calibri" w:hAnsi="Calibri" w:cs="Calibri"/>
                <w:color w:val="000000"/>
                <w:sz w:val="20"/>
                <w:szCs w:val="20"/>
              </w:rPr>
              <w:t>50 leading women from a diverse range of political party affiliations and civil society prepared to participate as candidates and mobilizers in Angola's local elections</w:t>
            </w:r>
          </w:p>
        </w:tc>
        <w:tc>
          <w:tcPr>
            <w:tcW w:w="2799" w:type="dxa"/>
            <w:vAlign w:val="center"/>
          </w:tcPr>
          <w:p w14:paraId="044676EE" w14:textId="77777777" w:rsidR="00227CCB" w:rsidRPr="00577711" w:rsidRDefault="00227CCB" w:rsidP="00DB0234">
            <w:pPr>
              <w:jc w:val="both"/>
              <w:rPr>
                <w:rFonts w:ascii="Calibri" w:hAnsi="Calibri" w:cs="Calibri"/>
                <w:color w:val="000000"/>
                <w:sz w:val="20"/>
                <w:szCs w:val="20"/>
              </w:rPr>
            </w:pPr>
            <w:r w:rsidRPr="00577711">
              <w:rPr>
                <w:rFonts w:ascii="Calibri" w:hAnsi="Calibri" w:cs="Calibri"/>
                <w:color w:val="000000"/>
                <w:sz w:val="20"/>
                <w:szCs w:val="20"/>
              </w:rPr>
              <w:t xml:space="preserve">Successful partnerships with the Government (at national and local levels) based on technical value proposition offered by UNDP; UNDP's programmatic alignment with national priorities per the PDN 2018-2022; availability of funding through cost sharing contributions by development partners </w:t>
            </w:r>
            <w:proofErr w:type="gramStart"/>
            <w:r w:rsidRPr="00577711">
              <w:rPr>
                <w:rFonts w:ascii="Calibri" w:hAnsi="Calibri" w:cs="Calibri"/>
                <w:color w:val="000000"/>
                <w:sz w:val="20"/>
                <w:szCs w:val="20"/>
              </w:rPr>
              <w:t>e.g.</w:t>
            </w:r>
            <w:proofErr w:type="gramEnd"/>
            <w:r w:rsidRPr="00577711">
              <w:rPr>
                <w:rFonts w:ascii="Calibri" w:hAnsi="Calibri" w:cs="Calibri"/>
                <w:color w:val="000000"/>
                <w:sz w:val="20"/>
                <w:szCs w:val="20"/>
              </w:rPr>
              <w:t xml:space="preserve"> Norway, Netherlands</w:t>
            </w:r>
          </w:p>
        </w:tc>
        <w:tc>
          <w:tcPr>
            <w:tcW w:w="2799" w:type="dxa"/>
            <w:vAlign w:val="center"/>
          </w:tcPr>
          <w:p w14:paraId="1E4D3CD7" w14:textId="77777777" w:rsidR="00227CCB" w:rsidRPr="00577711" w:rsidRDefault="00227CCB" w:rsidP="00DB0234">
            <w:pPr>
              <w:jc w:val="both"/>
              <w:rPr>
                <w:rFonts w:ascii="Calibri" w:hAnsi="Calibri" w:cs="Calibri"/>
                <w:color w:val="000000"/>
                <w:sz w:val="20"/>
                <w:szCs w:val="20"/>
              </w:rPr>
            </w:pPr>
            <w:r w:rsidRPr="00577711">
              <w:rPr>
                <w:rFonts w:ascii="Calibri" w:hAnsi="Calibri" w:cs="Calibri"/>
                <w:color w:val="000000"/>
                <w:sz w:val="20"/>
                <w:szCs w:val="20"/>
              </w:rPr>
              <w:t>Local elections postponed due to lack of adequate material conditions and to Covid-19 concerns</w:t>
            </w:r>
          </w:p>
        </w:tc>
      </w:tr>
      <w:tr w:rsidR="00227CCB" w:rsidRPr="00577711" w14:paraId="7B08AE91" w14:textId="77777777" w:rsidTr="00DB0234">
        <w:tc>
          <w:tcPr>
            <w:tcW w:w="2798" w:type="dxa"/>
            <w:vMerge/>
            <w:vAlign w:val="center"/>
          </w:tcPr>
          <w:p w14:paraId="3915C300" w14:textId="77777777" w:rsidR="00227CCB" w:rsidRPr="00577711" w:rsidRDefault="00227CCB" w:rsidP="00DB0234">
            <w:pPr>
              <w:rPr>
                <w:sz w:val="20"/>
                <w:szCs w:val="20"/>
              </w:rPr>
            </w:pPr>
          </w:p>
        </w:tc>
        <w:tc>
          <w:tcPr>
            <w:tcW w:w="2799" w:type="dxa"/>
            <w:tcBorders>
              <w:top w:val="nil"/>
              <w:left w:val="nil"/>
              <w:bottom w:val="single" w:sz="4" w:space="0" w:color="auto"/>
              <w:right w:val="single" w:sz="8" w:space="0" w:color="999999"/>
            </w:tcBorders>
            <w:shd w:val="clear" w:color="auto" w:fill="auto"/>
            <w:vAlign w:val="center"/>
          </w:tcPr>
          <w:p w14:paraId="12E6A9B9" w14:textId="77777777" w:rsidR="00227CCB" w:rsidRPr="00577711" w:rsidRDefault="00227CCB" w:rsidP="00DB0234">
            <w:pPr>
              <w:jc w:val="both"/>
              <w:rPr>
                <w:rFonts w:ascii="Calibri" w:hAnsi="Calibri" w:cs="Calibri"/>
                <w:color w:val="000000"/>
                <w:sz w:val="20"/>
                <w:szCs w:val="20"/>
              </w:rPr>
            </w:pPr>
            <w:r w:rsidRPr="00577711">
              <w:rPr>
                <w:rFonts w:ascii="Calibri" w:hAnsi="Calibri" w:cs="Calibri"/>
                <w:b/>
                <w:bCs/>
                <w:color w:val="000000"/>
                <w:sz w:val="20"/>
                <w:szCs w:val="20"/>
              </w:rPr>
              <w:t>Indicator 3.1.2</w:t>
            </w:r>
            <w:r w:rsidRPr="00577711">
              <w:rPr>
                <w:rFonts w:ascii="Calibri" w:hAnsi="Calibri" w:cs="Calibri"/>
                <w:color w:val="000000"/>
                <w:sz w:val="20"/>
                <w:szCs w:val="20"/>
              </w:rPr>
              <w:t xml:space="preserve">. Percentage of supported municipalities with platforms for participatory engagements of youth in budgetary development processes. </w:t>
            </w:r>
          </w:p>
          <w:p w14:paraId="3609E610" w14:textId="77777777" w:rsidR="00227CCB" w:rsidRPr="00577711" w:rsidRDefault="00227CCB" w:rsidP="00DB0234">
            <w:pPr>
              <w:rPr>
                <w:rFonts w:ascii="Calibri" w:hAnsi="Calibri" w:cs="Calibri"/>
                <w:color w:val="000000"/>
                <w:sz w:val="20"/>
                <w:szCs w:val="20"/>
              </w:rPr>
            </w:pPr>
          </w:p>
          <w:p w14:paraId="34CBD512" w14:textId="77777777" w:rsidR="00227CCB" w:rsidRPr="00577711" w:rsidRDefault="00227CCB" w:rsidP="00DB0234">
            <w:pPr>
              <w:rPr>
                <w:rFonts w:ascii="Calibri" w:hAnsi="Calibri" w:cs="Calibri"/>
                <w:b/>
                <w:bCs/>
                <w:color w:val="000000"/>
                <w:sz w:val="20"/>
                <w:szCs w:val="20"/>
              </w:rPr>
            </w:pPr>
            <w:r w:rsidRPr="00577711">
              <w:rPr>
                <w:rFonts w:ascii="Calibri" w:hAnsi="Calibri" w:cs="Calibri"/>
                <w:b/>
                <w:color w:val="000000"/>
                <w:sz w:val="20"/>
                <w:szCs w:val="20"/>
              </w:rPr>
              <w:t>Baseline: 0                                  Target: 20%</w:t>
            </w:r>
          </w:p>
        </w:tc>
        <w:tc>
          <w:tcPr>
            <w:tcW w:w="2799" w:type="dxa"/>
          </w:tcPr>
          <w:p w14:paraId="0AB9E48A" w14:textId="77777777" w:rsidR="00227CCB" w:rsidRPr="00577711" w:rsidRDefault="00227CCB" w:rsidP="00DB0234">
            <w:pPr>
              <w:jc w:val="both"/>
              <w:rPr>
                <w:sz w:val="20"/>
                <w:szCs w:val="20"/>
              </w:rPr>
            </w:pPr>
            <w:r w:rsidRPr="00577711">
              <w:rPr>
                <w:rFonts w:ascii="Calibri" w:hAnsi="Calibri" w:cs="Calibri"/>
                <w:color w:val="000000"/>
                <w:sz w:val="20"/>
                <w:szCs w:val="20"/>
              </w:rPr>
              <w:t xml:space="preserve">5 of the 6 Local Governance Legal Framework developed and approved based on political consensus; Participatory Budgeting (PB) instituted (Presidential Decrees n.˚234 and n.˚235) in Angola; Participatory Budgeting Committees for the Citizen Budget (component 1 of PB) established and functional in 100 municipalities; Municipal Forums for Participatory Budgeting of Municipal Administrations (component 2 of PB) established in all the 164 </w:t>
            </w:r>
            <w:r w:rsidRPr="00577711">
              <w:rPr>
                <w:rFonts w:ascii="Calibri" w:hAnsi="Calibri" w:cs="Calibri"/>
                <w:color w:val="000000"/>
                <w:sz w:val="20"/>
                <w:szCs w:val="20"/>
              </w:rPr>
              <w:lastRenderedPageBreak/>
              <w:t>municipalities; Residence Committees instituted (Executive Decree n.˚170/20) and 3,213 Residence Committees established countrywide; established and functional Digital Database for Residence Committees networking and for public verification of official data on voter registration.</w:t>
            </w:r>
          </w:p>
        </w:tc>
        <w:tc>
          <w:tcPr>
            <w:tcW w:w="2799" w:type="dxa"/>
            <w:vAlign w:val="center"/>
          </w:tcPr>
          <w:p w14:paraId="1881432C" w14:textId="77777777" w:rsidR="00227CCB" w:rsidRPr="00577711" w:rsidRDefault="00227CCB" w:rsidP="00DB0234">
            <w:pPr>
              <w:jc w:val="center"/>
              <w:rPr>
                <w:sz w:val="20"/>
                <w:szCs w:val="20"/>
              </w:rPr>
            </w:pPr>
            <w:r w:rsidRPr="00577711">
              <w:rPr>
                <w:sz w:val="20"/>
                <w:szCs w:val="20"/>
              </w:rPr>
              <w:lastRenderedPageBreak/>
              <w:t>ibid</w:t>
            </w:r>
          </w:p>
        </w:tc>
        <w:tc>
          <w:tcPr>
            <w:tcW w:w="2799" w:type="dxa"/>
          </w:tcPr>
          <w:p w14:paraId="31FABBF0" w14:textId="77777777" w:rsidR="00227CCB" w:rsidRPr="00577711" w:rsidRDefault="00227CCB" w:rsidP="00DB0234">
            <w:pPr>
              <w:rPr>
                <w:sz w:val="20"/>
                <w:szCs w:val="20"/>
              </w:rPr>
            </w:pPr>
          </w:p>
        </w:tc>
      </w:tr>
      <w:tr w:rsidR="00227CCB" w:rsidRPr="00577711" w14:paraId="1A880A17" w14:textId="77777777" w:rsidTr="00DB0234">
        <w:tc>
          <w:tcPr>
            <w:tcW w:w="2798" w:type="dxa"/>
            <w:vMerge/>
          </w:tcPr>
          <w:p w14:paraId="171DDC5A" w14:textId="77777777" w:rsidR="00227CCB" w:rsidRPr="00577711" w:rsidRDefault="00227CCB" w:rsidP="00DB0234">
            <w:pPr>
              <w:rPr>
                <w:sz w:val="20"/>
                <w:szCs w:val="20"/>
              </w:rPr>
            </w:pPr>
          </w:p>
        </w:tc>
        <w:tc>
          <w:tcPr>
            <w:tcW w:w="2799" w:type="dxa"/>
            <w:tcBorders>
              <w:top w:val="single" w:sz="4" w:space="0" w:color="auto"/>
              <w:left w:val="nil"/>
              <w:bottom w:val="single" w:sz="4" w:space="0" w:color="auto"/>
              <w:right w:val="single" w:sz="4" w:space="0" w:color="auto"/>
            </w:tcBorders>
            <w:shd w:val="clear" w:color="auto" w:fill="auto"/>
            <w:vAlign w:val="center"/>
          </w:tcPr>
          <w:p w14:paraId="6F9B1CEB" w14:textId="77777777" w:rsidR="00227CCB" w:rsidRPr="00577711" w:rsidRDefault="00227CCB" w:rsidP="00DB0234">
            <w:pPr>
              <w:jc w:val="both"/>
              <w:rPr>
                <w:rFonts w:ascii="Calibri" w:hAnsi="Calibri" w:cs="Calibri"/>
                <w:color w:val="000000"/>
                <w:sz w:val="20"/>
                <w:szCs w:val="20"/>
              </w:rPr>
            </w:pPr>
            <w:r w:rsidRPr="00577711">
              <w:rPr>
                <w:rFonts w:ascii="Calibri" w:hAnsi="Calibri" w:cs="Calibri"/>
                <w:b/>
                <w:color w:val="000000"/>
                <w:sz w:val="20"/>
                <w:szCs w:val="20"/>
              </w:rPr>
              <w:t>Indicator 3.1.3</w:t>
            </w:r>
            <w:r w:rsidRPr="00577711">
              <w:rPr>
                <w:rFonts w:ascii="Calibri" w:hAnsi="Calibri" w:cs="Calibri"/>
                <w:color w:val="000000"/>
                <w:sz w:val="20"/>
                <w:szCs w:val="20"/>
              </w:rPr>
              <w:t xml:space="preserve">. Existence of a functioning gender-responsive advocacy platform for pro-youth policies and programmes.   </w:t>
            </w:r>
          </w:p>
          <w:p w14:paraId="2CB1545D" w14:textId="77777777" w:rsidR="00227CCB" w:rsidRPr="00577711" w:rsidRDefault="00227CCB" w:rsidP="00DB0234">
            <w:pPr>
              <w:rPr>
                <w:rFonts w:ascii="Calibri" w:hAnsi="Calibri" w:cs="Calibri"/>
                <w:color w:val="000000"/>
                <w:sz w:val="20"/>
                <w:szCs w:val="20"/>
              </w:rPr>
            </w:pPr>
          </w:p>
          <w:p w14:paraId="29FE4A54" w14:textId="77777777" w:rsidR="00227CCB" w:rsidRPr="00577711" w:rsidRDefault="00227CCB" w:rsidP="00DB0234">
            <w:pPr>
              <w:rPr>
                <w:rFonts w:ascii="Calibri" w:hAnsi="Calibri" w:cs="Calibri"/>
                <w:b/>
                <w:color w:val="000000"/>
                <w:sz w:val="20"/>
                <w:szCs w:val="20"/>
              </w:rPr>
            </w:pPr>
            <w:r w:rsidRPr="00577711">
              <w:rPr>
                <w:rFonts w:ascii="Calibri" w:hAnsi="Calibri" w:cs="Calibri"/>
                <w:b/>
                <w:color w:val="000000"/>
                <w:sz w:val="20"/>
                <w:szCs w:val="20"/>
              </w:rPr>
              <w:t>Baseline: No.                                         Target: Yes</w:t>
            </w:r>
          </w:p>
        </w:tc>
        <w:tc>
          <w:tcPr>
            <w:tcW w:w="2799" w:type="dxa"/>
            <w:tcBorders>
              <w:left w:val="single" w:sz="4" w:space="0" w:color="auto"/>
            </w:tcBorders>
            <w:vAlign w:val="center"/>
          </w:tcPr>
          <w:p w14:paraId="1B764A7D" w14:textId="77777777" w:rsidR="00227CCB" w:rsidRPr="00577711" w:rsidRDefault="00227CCB" w:rsidP="00DB0234">
            <w:pPr>
              <w:rPr>
                <w:rFonts w:ascii="Calibri" w:hAnsi="Calibri" w:cs="Calibri"/>
                <w:color w:val="000000"/>
                <w:sz w:val="20"/>
                <w:szCs w:val="20"/>
              </w:rPr>
            </w:pPr>
            <w:r w:rsidRPr="00577711">
              <w:rPr>
                <w:rFonts w:ascii="Calibri" w:hAnsi="Calibri" w:cs="Calibri"/>
                <w:color w:val="000000"/>
                <w:sz w:val="20"/>
                <w:szCs w:val="20"/>
              </w:rPr>
              <w:t>Established and functional digital platform for women and women's organizations networking</w:t>
            </w:r>
          </w:p>
        </w:tc>
        <w:tc>
          <w:tcPr>
            <w:tcW w:w="2799" w:type="dxa"/>
            <w:vAlign w:val="center"/>
          </w:tcPr>
          <w:p w14:paraId="24146C50" w14:textId="77777777" w:rsidR="00227CCB" w:rsidRPr="00577711" w:rsidRDefault="00227CCB" w:rsidP="00DB0234">
            <w:pPr>
              <w:jc w:val="both"/>
              <w:rPr>
                <w:rFonts w:ascii="Calibri" w:hAnsi="Calibri" w:cs="Calibri"/>
                <w:color w:val="000000"/>
                <w:sz w:val="20"/>
                <w:szCs w:val="20"/>
              </w:rPr>
            </w:pPr>
            <w:r w:rsidRPr="00577711">
              <w:rPr>
                <w:rFonts w:ascii="Calibri" w:hAnsi="Calibri" w:cs="Calibri"/>
                <w:color w:val="000000"/>
                <w:sz w:val="20"/>
                <w:szCs w:val="20"/>
              </w:rPr>
              <w:t>Successful partnerships with Parliament (esp. Caucus of Women Parliamentarians), political parties and civil society based on UNDP's technical value proposition and alignment with national priorities; availability of funding by third parties.</w:t>
            </w:r>
          </w:p>
        </w:tc>
        <w:tc>
          <w:tcPr>
            <w:tcW w:w="2799" w:type="dxa"/>
          </w:tcPr>
          <w:p w14:paraId="3E8BF6CE" w14:textId="77777777" w:rsidR="00227CCB" w:rsidRPr="00577711" w:rsidRDefault="00227CCB" w:rsidP="00DB0234">
            <w:pPr>
              <w:rPr>
                <w:sz w:val="20"/>
                <w:szCs w:val="20"/>
              </w:rPr>
            </w:pPr>
          </w:p>
        </w:tc>
      </w:tr>
      <w:tr w:rsidR="00227CCB" w:rsidRPr="00577711" w14:paraId="11577419" w14:textId="77777777" w:rsidTr="00DB0234">
        <w:tc>
          <w:tcPr>
            <w:tcW w:w="2798" w:type="dxa"/>
            <w:vMerge w:val="restart"/>
            <w:vAlign w:val="center"/>
          </w:tcPr>
          <w:p w14:paraId="6FF7D23E" w14:textId="77777777" w:rsidR="00227CCB" w:rsidRPr="00577711" w:rsidRDefault="00227CCB" w:rsidP="00DB0234">
            <w:pPr>
              <w:jc w:val="both"/>
              <w:rPr>
                <w:sz w:val="20"/>
                <w:szCs w:val="20"/>
              </w:rPr>
            </w:pPr>
            <w:r w:rsidRPr="00577711">
              <w:rPr>
                <w:rFonts w:ascii="Calibri" w:eastAsia="Times New Roman" w:hAnsi="Calibri" w:cs="Calibri"/>
                <w:b/>
                <w:bCs/>
                <w:color w:val="000000"/>
                <w:sz w:val="20"/>
                <w:szCs w:val="20"/>
                <w:lang w:eastAsia="pt-PT"/>
              </w:rPr>
              <w:t xml:space="preserve">Output 3.2. </w:t>
            </w:r>
            <w:r w:rsidRPr="00577711">
              <w:rPr>
                <w:rFonts w:ascii="Calibri" w:eastAsia="Times New Roman" w:hAnsi="Calibri" w:cs="Calibri"/>
                <w:i/>
                <w:iCs/>
                <w:color w:val="000000"/>
                <w:sz w:val="20"/>
                <w:szCs w:val="20"/>
                <w:lang w:eastAsia="pt-PT"/>
              </w:rPr>
              <w:t>Institutions and systems enabled to address awareness, prevention and enforcement of anti-corruption measures to maximize availability of resources for poverty eradication.</w:t>
            </w:r>
          </w:p>
        </w:tc>
        <w:tc>
          <w:tcPr>
            <w:tcW w:w="2799" w:type="dxa"/>
            <w:tcBorders>
              <w:top w:val="single" w:sz="4" w:space="0" w:color="auto"/>
              <w:left w:val="nil"/>
              <w:bottom w:val="single" w:sz="4" w:space="0" w:color="auto"/>
              <w:right w:val="single" w:sz="4" w:space="0" w:color="auto"/>
            </w:tcBorders>
            <w:shd w:val="clear" w:color="auto" w:fill="auto"/>
            <w:vAlign w:val="center"/>
          </w:tcPr>
          <w:p w14:paraId="11499614" w14:textId="77777777" w:rsidR="00227CCB" w:rsidRPr="00577711" w:rsidRDefault="00227CCB" w:rsidP="00DB0234">
            <w:pPr>
              <w:jc w:val="both"/>
              <w:rPr>
                <w:rFonts w:ascii="Calibri" w:eastAsia="Times New Roman" w:hAnsi="Calibri" w:cs="Calibri"/>
                <w:color w:val="000000"/>
                <w:sz w:val="20"/>
                <w:szCs w:val="20"/>
                <w:lang w:eastAsia="pt-PT"/>
              </w:rPr>
            </w:pPr>
            <w:r w:rsidRPr="00577711">
              <w:rPr>
                <w:rFonts w:ascii="Calibri" w:eastAsia="Times New Roman" w:hAnsi="Calibri" w:cs="Calibri"/>
                <w:b/>
                <w:bCs/>
                <w:color w:val="000000"/>
                <w:sz w:val="20"/>
                <w:szCs w:val="20"/>
                <w:lang w:eastAsia="pt-PT"/>
              </w:rPr>
              <w:t>Indicator 3.2.1</w:t>
            </w:r>
            <w:r w:rsidRPr="00577711">
              <w:rPr>
                <w:rFonts w:ascii="Calibri" w:eastAsia="Times New Roman" w:hAnsi="Calibri" w:cs="Calibri"/>
                <w:color w:val="000000"/>
                <w:sz w:val="20"/>
                <w:szCs w:val="20"/>
                <w:lang w:eastAsia="pt-PT"/>
              </w:rPr>
              <w:t xml:space="preserve">. Percentage of public institutions that implement the national anti-corruption plan, 2018-2022, for effective assessment of risks and prevention of the impact of corruption on public interest.                                 </w:t>
            </w:r>
          </w:p>
          <w:p w14:paraId="4F0F32FD" w14:textId="77777777" w:rsidR="00227CCB" w:rsidRPr="00577711" w:rsidRDefault="00227CCB" w:rsidP="00DB0234">
            <w:pPr>
              <w:rPr>
                <w:rFonts w:ascii="Calibri" w:eastAsia="Times New Roman" w:hAnsi="Calibri" w:cs="Calibri"/>
                <w:color w:val="000000"/>
                <w:sz w:val="20"/>
                <w:szCs w:val="20"/>
                <w:lang w:eastAsia="pt-PT"/>
              </w:rPr>
            </w:pPr>
          </w:p>
          <w:p w14:paraId="1523F6D2" w14:textId="77777777" w:rsidR="00227CCB" w:rsidRPr="00577711" w:rsidRDefault="00227CCB" w:rsidP="00DB0234">
            <w:pPr>
              <w:rPr>
                <w:rFonts w:ascii="Calibri" w:hAnsi="Calibri" w:cs="Calibri"/>
                <w:b/>
                <w:color w:val="000000"/>
                <w:sz w:val="20"/>
                <w:szCs w:val="20"/>
              </w:rPr>
            </w:pPr>
            <w:r w:rsidRPr="00577711">
              <w:rPr>
                <w:rFonts w:ascii="Calibri" w:eastAsia="Times New Roman" w:hAnsi="Calibri" w:cs="Calibri"/>
                <w:b/>
                <w:color w:val="000000"/>
                <w:sz w:val="20"/>
                <w:szCs w:val="20"/>
                <w:lang w:eastAsia="pt-PT"/>
              </w:rPr>
              <w:t>Baseline: 0                                            Target: 20%</w:t>
            </w:r>
          </w:p>
        </w:tc>
        <w:tc>
          <w:tcPr>
            <w:tcW w:w="2799" w:type="dxa"/>
            <w:tcBorders>
              <w:left w:val="single" w:sz="4" w:space="0" w:color="auto"/>
            </w:tcBorders>
            <w:vAlign w:val="center"/>
          </w:tcPr>
          <w:p w14:paraId="1FC080C7" w14:textId="77777777" w:rsidR="00227CCB" w:rsidRPr="00577711" w:rsidRDefault="00227CCB" w:rsidP="00DB0234">
            <w:pPr>
              <w:rPr>
                <w:sz w:val="20"/>
                <w:szCs w:val="20"/>
              </w:rPr>
            </w:pPr>
            <w:r w:rsidRPr="00577711">
              <w:rPr>
                <w:rFonts w:ascii="Calibri" w:hAnsi="Calibri" w:cs="Calibri"/>
                <w:color w:val="000000"/>
                <w:sz w:val="20"/>
                <w:szCs w:val="20"/>
              </w:rPr>
              <w:t>Agreement was signed with the General Inspections Office (IGAE) to foster risk assessment and preventive measures at sectoral level.</w:t>
            </w:r>
          </w:p>
        </w:tc>
        <w:tc>
          <w:tcPr>
            <w:tcW w:w="2799" w:type="dxa"/>
          </w:tcPr>
          <w:p w14:paraId="37190565" w14:textId="77777777" w:rsidR="00227CCB" w:rsidRPr="00577711" w:rsidRDefault="00227CCB" w:rsidP="00DB0234">
            <w:pPr>
              <w:rPr>
                <w:sz w:val="20"/>
                <w:szCs w:val="20"/>
              </w:rPr>
            </w:pPr>
          </w:p>
        </w:tc>
        <w:tc>
          <w:tcPr>
            <w:tcW w:w="2799" w:type="dxa"/>
          </w:tcPr>
          <w:p w14:paraId="55F0C8E2" w14:textId="77777777" w:rsidR="00227CCB" w:rsidRPr="00577711" w:rsidRDefault="00227CCB" w:rsidP="00DB0234">
            <w:pPr>
              <w:jc w:val="both"/>
              <w:rPr>
                <w:sz w:val="20"/>
                <w:szCs w:val="20"/>
              </w:rPr>
            </w:pPr>
            <w:r w:rsidRPr="00577711">
              <w:rPr>
                <w:rFonts w:ascii="Calibri" w:hAnsi="Calibri" w:cs="Calibri"/>
                <w:color w:val="000000"/>
                <w:sz w:val="20"/>
                <w:szCs w:val="20"/>
              </w:rPr>
              <w:t xml:space="preserve">Agreement with IGAE (General Inspection Office) is on hold because the latter has reviewed priorities, focusing now on building a training institution, which UNDP is not in a position to support (both technically and financially). Assessment of the current plan is still ongoing with results expected in 2022. Meanwhile, with the </w:t>
            </w:r>
            <w:r w:rsidRPr="00577711">
              <w:rPr>
                <w:rFonts w:ascii="Calibri" w:hAnsi="Calibri" w:cs="Calibri"/>
                <w:color w:val="000000"/>
                <w:sz w:val="20"/>
                <w:szCs w:val="20"/>
              </w:rPr>
              <w:lastRenderedPageBreak/>
              <w:t>establishment of a High-Level Working Group led by Casa Civil, a new strategy is already under development and UNDP was consulted and provided the blueprint for the strategy.</w:t>
            </w:r>
          </w:p>
        </w:tc>
      </w:tr>
      <w:tr w:rsidR="00227CCB" w:rsidRPr="00577711" w14:paraId="14522068" w14:textId="77777777" w:rsidTr="00DB0234">
        <w:tc>
          <w:tcPr>
            <w:tcW w:w="2798" w:type="dxa"/>
            <w:vMerge/>
          </w:tcPr>
          <w:p w14:paraId="630DAF6F" w14:textId="77777777" w:rsidR="00227CCB" w:rsidRPr="00577711" w:rsidRDefault="00227CCB" w:rsidP="00DB0234">
            <w:pPr>
              <w:rPr>
                <w:sz w:val="20"/>
                <w:szCs w:val="20"/>
              </w:rPr>
            </w:pPr>
          </w:p>
        </w:tc>
        <w:tc>
          <w:tcPr>
            <w:tcW w:w="2799" w:type="dxa"/>
            <w:tcBorders>
              <w:top w:val="single" w:sz="4" w:space="0" w:color="auto"/>
            </w:tcBorders>
          </w:tcPr>
          <w:p w14:paraId="1F1012B0" w14:textId="77777777" w:rsidR="00227CCB" w:rsidRPr="00577711" w:rsidRDefault="00227CCB" w:rsidP="00DB0234">
            <w:pPr>
              <w:rPr>
                <w:sz w:val="20"/>
                <w:szCs w:val="20"/>
              </w:rPr>
            </w:pPr>
            <w:r w:rsidRPr="00577711">
              <w:rPr>
                <w:rFonts w:ascii="Calibri" w:eastAsia="Times New Roman" w:hAnsi="Calibri" w:cs="Calibri"/>
                <w:b/>
                <w:color w:val="000000"/>
                <w:sz w:val="20"/>
                <w:szCs w:val="20"/>
                <w:lang w:eastAsia="pt-PT"/>
              </w:rPr>
              <w:t>Indicator 3.2.2</w:t>
            </w:r>
            <w:r w:rsidRPr="00577711">
              <w:rPr>
                <w:rFonts w:ascii="Calibri" w:eastAsia="Times New Roman" w:hAnsi="Calibri" w:cs="Calibri"/>
                <w:color w:val="000000"/>
                <w:sz w:val="20"/>
                <w:szCs w:val="20"/>
                <w:lang w:eastAsia="pt-PT"/>
              </w:rPr>
              <w:t xml:space="preserve">. Extent to which institutions at the national and local levels carryout gender responsive service delivery. </w:t>
            </w:r>
            <w:r w:rsidRPr="00577711">
              <w:rPr>
                <w:rFonts w:ascii="Calibri" w:eastAsia="Times New Roman" w:hAnsi="Calibri" w:cs="Calibri"/>
                <w:b/>
                <w:color w:val="000000"/>
                <w:sz w:val="20"/>
                <w:szCs w:val="20"/>
                <w:lang w:eastAsia="pt-PT"/>
              </w:rPr>
              <w:t>Baseline: 2 23                                 Target: 5 23</w:t>
            </w:r>
          </w:p>
        </w:tc>
        <w:tc>
          <w:tcPr>
            <w:tcW w:w="2799" w:type="dxa"/>
          </w:tcPr>
          <w:p w14:paraId="46A9A9DA" w14:textId="77777777" w:rsidR="00227CCB" w:rsidRPr="00577711" w:rsidRDefault="00227CCB" w:rsidP="00DB0234">
            <w:pPr>
              <w:jc w:val="both"/>
              <w:rPr>
                <w:sz w:val="20"/>
                <w:szCs w:val="20"/>
              </w:rPr>
            </w:pPr>
            <w:r w:rsidRPr="00577711">
              <w:rPr>
                <w:rFonts w:ascii="Calibri" w:eastAsia="Times New Roman" w:hAnsi="Calibri" w:cs="Calibri"/>
                <w:color w:val="000000"/>
                <w:sz w:val="20"/>
                <w:szCs w:val="20"/>
                <w:lang w:eastAsia="pt-PT"/>
              </w:rPr>
              <w:t>Gender-Sensitive Budgeting instituted as a requirement in the 2022 State Budget (Presidential Decree n.˚195/21); gender markers introduced in the Sistema Integrado de Gestão das Finanças Públicas (SIFGE); sectors trained in Gender-Sensitive Budgeting</w:t>
            </w:r>
          </w:p>
        </w:tc>
        <w:tc>
          <w:tcPr>
            <w:tcW w:w="2799" w:type="dxa"/>
          </w:tcPr>
          <w:p w14:paraId="75E5E7B5" w14:textId="77777777" w:rsidR="00227CCB" w:rsidRPr="00577711" w:rsidRDefault="00227CCB" w:rsidP="00DB0234">
            <w:pPr>
              <w:jc w:val="both"/>
              <w:rPr>
                <w:sz w:val="20"/>
                <w:szCs w:val="20"/>
              </w:rPr>
            </w:pPr>
            <w:r w:rsidRPr="00577711">
              <w:rPr>
                <w:rFonts w:ascii="Calibri" w:eastAsia="Times New Roman" w:hAnsi="Calibri" w:cs="Calibri"/>
                <w:color w:val="000000"/>
                <w:sz w:val="20"/>
                <w:szCs w:val="20"/>
                <w:lang w:eastAsia="pt-PT"/>
              </w:rPr>
              <w:t>Principal factors were UNDP's strategic vision and technical value proposition.</w:t>
            </w:r>
          </w:p>
        </w:tc>
        <w:tc>
          <w:tcPr>
            <w:tcW w:w="2799" w:type="dxa"/>
          </w:tcPr>
          <w:p w14:paraId="0FF710F4" w14:textId="77777777" w:rsidR="00227CCB" w:rsidRPr="00577711" w:rsidRDefault="00227CCB" w:rsidP="00DB0234">
            <w:pPr>
              <w:rPr>
                <w:sz w:val="20"/>
                <w:szCs w:val="20"/>
              </w:rPr>
            </w:pPr>
          </w:p>
        </w:tc>
      </w:tr>
      <w:tr w:rsidR="00227CCB" w:rsidRPr="00577711" w14:paraId="64814D0E" w14:textId="77777777" w:rsidTr="00DB0234">
        <w:tc>
          <w:tcPr>
            <w:tcW w:w="2798" w:type="dxa"/>
            <w:vMerge w:val="restart"/>
            <w:vAlign w:val="center"/>
          </w:tcPr>
          <w:p w14:paraId="2DB1FF5D" w14:textId="77777777" w:rsidR="00227CCB" w:rsidRPr="00577711" w:rsidRDefault="00227CCB" w:rsidP="00DB0234">
            <w:pPr>
              <w:jc w:val="both"/>
              <w:rPr>
                <w:sz w:val="20"/>
                <w:szCs w:val="20"/>
              </w:rPr>
            </w:pPr>
            <w:r w:rsidRPr="00577711">
              <w:rPr>
                <w:rFonts w:ascii="Calibri" w:eastAsia="Times New Roman" w:hAnsi="Calibri" w:cs="Calibri"/>
                <w:b/>
                <w:color w:val="000000"/>
                <w:sz w:val="20"/>
                <w:szCs w:val="20"/>
                <w:lang w:eastAsia="pt-PT"/>
              </w:rPr>
              <w:t>Output 3.3</w:t>
            </w:r>
            <w:r w:rsidRPr="00577711">
              <w:rPr>
                <w:rFonts w:ascii="Calibri" w:eastAsia="Times New Roman" w:hAnsi="Calibri" w:cs="Calibri"/>
                <w:color w:val="000000"/>
                <w:sz w:val="20"/>
                <w:szCs w:val="20"/>
                <w:lang w:eastAsia="pt-PT"/>
              </w:rPr>
              <w:t>. Capacities, functions and financing of rule of law and national human rights institutions and systems strengthened to expand access to justice and combat discrimination, with a focus on women and other marginalized groups.</w:t>
            </w:r>
          </w:p>
        </w:tc>
        <w:tc>
          <w:tcPr>
            <w:tcW w:w="2799" w:type="dxa"/>
          </w:tcPr>
          <w:p w14:paraId="209E5480" w14:textId="77777777" w:rsidR="00227CCB" w:rsidRPr="00577711" w:rsidRDefault="00227CCB" w:rsidP="00DB0234">
            <w:pPr>
              <w:jc w:val="both"/>
              <w:rPr>
                <w:rFonts w:ascii="Calibri" w:eastAsia="Times New Roman" w:hAnsi="Calibri" w:cs="Calibri"/>
                <w:color w:val="000000"/>
                <w:sz w:val="20"/>
                <w:szCs w:val="20"/>
                <w:lang w:eastAsia="pt-PT"/>
              </w:rPr>
            </w:pPr>
            <w:r w:rsidRPr="00577711">
              <w:rPr>
                <w:rFonts w:ascii="Calibri" w:eastAsia="Times New Roman" w:hAnsi="Calibri" w:cs="Calibri"/>
                <w:b/>
                <w:color w:val="000000"/>
                <w:sz w:val="20"/>
                <w:szCs w:val="20"/>
                <w:lang w:eastAsia="pt-PT"/>
              </w:rPr>
              <w:t>Indicator 3.3.1</w:t>
            </w:r>
            <w:r w:rsidRPr="00577711">
              <w:rPr>
                <w:rFonts w:ascii="Calibri" w:eastAsia="Times New Roman" w:hAnsi="Calibri" w:cs="Calibri"/>
                <w:color w:val="000000"/>
                <w:sz w:val="20"/>
                <w:szCs w:val="20"/>
                <w:lang w:eastAsia="pt-PT"/>
              </w:rPr>
              <w:t xml:space="preserve">. Existence of strengthened local level institutions and systems supporting fulfilment of nationally and internationally ratified human rights obligations. </w:t>
            </w:r>
          </w:p>
          <w:p w14:paraId="751C7170" w14:textId="77777777" w:rsidR="00227CCB" w:rsidRPr="00577711" w:rsidRDefault="00227CCB" w:rsidP="00DB0234">
            <w:pPr>
              <w:rPr>
                <w:rFonts w:ascii="Calibri" w:eastAsia="Times New Roman" w:hAnsi="Calibri" w:cs="Calibri"/>
                <w:color w:val="000000"/>
                <w:sz w:val="20"/>
                <w:szCs w:val="20"/>
                <w:lang w:eastAsia="pt-PT"/>
              </w:rPr>
            </w:pPr>
          </w:p>
          <w:p w14:paraId="5F38C5B4" w14:textId="77777777" w:rsidR="00227CCB" w:rsidRPr="00577711" w:rsidRDefault="00227CCB" w:rsidP="00DB0234">
            <w:pPr>
              <w:rPr>
                <w:rFonts w:ascii="Calibri" w:eastAsia="Times New Roman" w:hAnsi="Calibri" w:cs="Calibri"/>
                <w:color w:val="000000"/>
                <w:sz w:val="20"/>
                <w:szCs w:val="20"/>
                <w:lang w:eastAsia="pt-PT"/>
              </w:rPr>
            </w:pPr>
            <w:r w:rsidRPr="00577711">
              <w:rPr>
                <w:rFonts w:ascii="Calibri" w:eastAsia="Times New Roman" w:hAnsi="Calibri" w:cs="Calibri"/>
                <w:b/>
                <w:color w:val="000000"/>
                <w:sz w:val="20"/>
                <w:szCs w:val="20"/>
                <w:lang w:eastAsia="pt-PT"/>
              </w:rPr>
              <w:t>Baseline:15</w:t>
            </w:r>
            <w:r w:rsidRPr="00577711">
              <w:rPr>
                <w:rFonts w:ascii="Calibri" w:eastAsia="Times New Roman" w:hAnsi="Calibri" w:cs="Calibri"/>
                <w:color w:val="000000"/>
                <w:sz w:val="20"/>
                <w:szCs w:val="20"/>
                <w:lang w:eastAsia="pt-PT"/>
              </w:rPr>
              <w:t xml:space="preserve"> Provincial Human Right Committee (PHRCs) </w:t>
            </w:r>
          </w:p>
          <w:p w14:paraId="20057983" w14:textId="77777777" w:rsidR="00227CCB" w:rsidRPr="00577711" w:rsidRDefault="00227CCB" w:rsidP="00DB0234">
            <w:pPr>
              <w:rPr>
                <w:rFonts w:ascii="Calibri" w:eastAsia="Times New Roman" w:hAnsi="Calibri" w:cs="Calibri"/>
                <w:color w:val="000000"/>
                <w:sz w:val="20"/>
                <w:szCs w:val="20"/>
                <w:lang w:eastAsia="pt-PT"/>
              </w:rPr>
            </w:pPr>
          </w:p>
          <w:p w14:paraId="0D135861" w14:textId="77777777" w:rsidR="00227CCB" w:rsidRPr="00577711" w:rsidRDefault="00227CCB" w:rsidP="00DB0234">
            <w:pPr>
              <w:rPr>
                <w:rFonts w:ascii="Calibri" w:eastAsia="Times New Roman" w:hAnsi="Calibri" w:cs="Calibri"/>
                <w:color w:val="000000"/>
                <w:sz w:val="20"/>
                <w:szCs w:val="20"/>
                <w:lang w:eastAsia="pt-PT"/>
              </w:rPr>
            </w:pPr>
            <w:r w:rsidRPr="00577711">
              <w:rPr>
                <w:rFonts w:ascii="Calibri" w:eastAsia="Times New Roman" w:hAnsi="Calibri" w:cs="Calibri"/>
                <w:b/>
                <w:color w:val="000000"/>
                <w:sz w:val="20"/>
                <w:szCs w:val="20"/>
                <w:lang w:eastAsia="pt-PT"/>
              </w:rPr>
              <w:t>Target: 18</w:t>
            </w:r>
            <w:r w:rsidRPr="00577711">
              <w:rPr>
                <w:rFonts w:ascii="Calibri" w:eastAsia="Times New Roman" w:hAnsi="Calibri" w:cs="Calibri"/>
                <w:color w:val="000000"/>
                <w:sz w:val="20"/>
                <w:szCs w:val="20"/>
                <w:lang w:eastAsia="pt-PT"/>
              </w:rPr>
              <w:t xml:space="preserve"> Provincial Human Rights Committees (PHRC)</w:t>
            </w:r>
          </w:p>
        </w:tc>
        <w:tc>
          <w:tcPr>
            <w:tcW w:w="2799" w:type="dxa"/>
          </w:tcPr>
          <w:p w14:paraId="3A324726" w14:textId="77777777" w:rsidR="00227CCB" w:rsidRPr="00577711" w:rsidRDefault="00227CCB" w:rsidP="00DB0234">
            <w:pPr>
              <w:jc w:val="both"/>
              <w:rPr>
                <w:rFonts w:ascii="Calibri" w:eastAsia="Times New Roman" w:hAnsi="Calibri" w:cs="Calibri"/>
                <w:color w:val="000000"/>
                <w:sz w:val="20"/>
                <w:szCs w:val="20"/>
                <w:lang w:eastAsia="pt-PT"/>
              </w:rPr>
            </w:pPr>
            <w:r w:rsidRPr="00577711">
              <w:rPr>
                <w:rFonts w:ascii="Calibri" w:eastAsia="Times New Roman" w:hAnsi="Calibri" w:cs="Calibri"/>
                <w:color w:val="000000"/>
                <w:sz w:val="20"/>
                <w:szCs w:val="20"/>
                <w:lang w:eastAsia="pt-PT"/>
              </w:rPr>
              <w:t xml:space="preserve">Designed and adopted the National Strategy for Human Rights Education;  18 Local Human Rights Councils established; 52 Municipal Human Rights Committees established (5 of which in Luanda) to respond to local human rights cases; Local Facility for training of Law Enforcement established in the Ministry of Interior; a digital platform for tracking the implementation of national human rights </w:t>
            </w:r>
            <w:r w:rsidRPr="00577711">
              <w:rPr>
                <w:rFonts w:ascii="Calibri" w:eastAsia="Times New Roman" w:hAnsi="Calibri" w:cs="Calibri"/>
                <w:color w:val="000000"/>
                <w:sz w:val="20"/>
                <w:szCs w:val="20"/>
                <w:lang w:eastAsia="pt-PT"/>
              </w:rPr>
              <w:lastRenderedPageBreak/>
              <w:t>recommendations at testing phase; ongoing digitalization of justice administration services, starting with the establishment of virtual courtrooms in 10 penitentiary services across the country and already benefiting over 20,000 inmates.</w:t>
            </w:r>
          </w:p>
        </w:tc>
        <w:tc>
          <w:tcPr>
            <w:tcW w:w="2799" w:type="dxa"/>
          </w:tcPr>
          <w:p w14:paraId="35E04257" w14:textId="77777777" w:rsidR="00227CCB" w:rsidRPr="00577711" w:rsidRDefault="00227CCB" w:rsidP="00DB0234">
            <w:pPr>
              <w:jc w:val="both"/>
              <w:rPr>
                <w:sz w:val="20"/>
                <w:szCs w:val="20"/>
              </w:rPr>
            </w:pPr>
            <w:r w:rsidRPr="00577711">
              <w:rPr>
                <w:rFonts w:ascii="Calibri" w:eastAsia="Times New Roman" w:hAnsi="Calibri" w:cs="Calibri"/>
                <w:color w:val="000000"/>
                <w:sz w:val="20"/>
                <w:szCs w:val="20"/>
                <w:lang w:eastAsia="pt-PT"/>
              </w:rPr>
              <w:lastRenderedPageBreak/>
              <w:t>Critical success factors have been integrated approach to human rights with social and development issues, as well as strong multisectoral partnerships with Ministries of Justice and Human Rights and Interior and civil society.</w:t>
            </w:r>
          </w:p>
        </w:tc>
        <w:tc>
          <w:tcPr>
            <w:tcW w:w="2799" w:type="dxa"/>
          </w:tcPr>
          <w:p w14:paraId="775DCCA8" w14:textId="77777777" w:rsidR="00227CCB" w:rsidRPr="00577711" w:rsidRDefault="00227CCB" w:rsidP="00DB0234">
            <w:pPr>
              <w:rPr>
                <w:sz w:val="20"/>
                <w:szCs w:val="20"/>
              </w:rPr>
            </w:pPr>
          </w:p>
        </w:tc>
      </w:tr>
      <w:tr w:rsidR="00227CCB" w:rsidRPr="00577711" w14:paraId="1B25A94C" w14:textId="77777777" w:rsidTr="00DB0234">
        <w:tc>
          <w:tcPr>
            <w:tcW w:w="2798" w:type="dxa"/>
            <w:vMerge/>
          </w:tcPr>
          <w:p w14:paraId="4F75EE06" w14:textId="77777777" w:rsidR="00227CCB" w:rsidRPr="00577711" w:rsidRDefault="00227CCB" w:rsidP="00DB0234">
            <w:pPr>
              <w:rPr>
                <w:sz w:val="20"/>
                <w:szCs w:val="20"/>
              </w:rPr>
            </w:pPr>
          </w:p>
        </w:tc>
        <w:tc>
          <w:tcPr>
            <w:tcW w:w="2799" w:type="dxa"/>
          </w:tcPr>
          <w:p w14:paraId="7A393125" w14:textId="77777777" w:rsidR="00227CCB" w:rsidRPr="00577711" w:rsidRDefault="00227CCB" w:rsidP="00DB0234">
            <w:pPr>
              <w:jc w:val="both"/>
              <w:rPr>
                <w:rFonts w:ascii="Calibri" w:eastAsia="Times New Roman" w:hAnsi="Calibri" w:cs="Calibri"/>
                <w:color w:val="000000"/>
                <w:sz w:val="20"/>
                <w:szCs w:val="20"/>
                <w:lang w:eastAsia="pt-PT"/>
              </w:rPr>
            </w:pPr>
            <w:r w:rsidRPr="00577711">
              <w:rPr>
                <w:rFonts w:ascii="Calibri" w:eastAsia="Times New Roman" w:hAnsi="Calibri" w:cs="Calibri"/>
                <w:b/>
                <w:color w:val="000000"/>
                <w:sz w:val="20"/>
                <w:szCs w:val="20"/>
                <w:lang w:eastAsia="pt-PT"/>
              </w:rPr>
              <w:t>Indicator 3.3.2</w:t>
            </w:r>
            <w:r w:rsidRPr="00577711">
              <w:rPr>
                <w:rFonts w:ascii="Calibri" w:eastAsia="Times New Roman" w:hAnsi="Calibri" w:cs="Calibri"/>
                <w:color w:val="000000"/>
                <w:sz w:val="20"/>
                <w:szCs w:val="20"/>
                <w:lang w:eastAsia="pt-PT"/>
              </w:rPr>
              <w:t>. Percentage of people who have access to justice, disaggregated by sex and marginalized groups.</w:t>
            </w:r>
          </w:p>
          <w:p w14:paraId="7F1F57E4" w14:textId="77777777" w:rsidR="00227CCB" w:rsidRPr="00577711" w:rsidRDefault="00227CCB" w:rsidP="00DB0234">
            <w:pPr>
              <w:rPr>
                <w:rFonts w:ascii="Calibri" w:eastAsia="Times New Roman" w:hAnsi="Calibri" w:cs="Calibri"/>
                <w:b/>
                <w:color w:val="000000"/>
                <w:sz w:val="20"/>
                <w:szCs w:val="20"/>
                <w:lang w:eastAsia="pt-PT"/>
              </w:rPr>
            </w:pPr>
          </w:p>
          <w:p w14:paraId="707BC4FB" w14:textId="77777777" w:rsidR="00227CCB" w:rsidRPr="00577711" w:rsidRDefault="00227CCB" w:rsidP="00DB0234">
            <w:pPr>
              <w:rPr>
                <w:rFonts w:ascii="Calibri" w:eastAsia="Times New Roman" w:hAnsi="Calibri" w:cs="Calibri"/>
                <w:b/>
                <w:color w:val="000000"/>
                <w:sz w:val="20"/>
                <w:szCs w:val="20"/>
                <w:lang w:eastAsia="pt-PT"/>
              </w:rPr>
            </w:pPr>
            <w:r w:rsidRPr="00577711">
              <w:rPr>
                <w:rFonts w:ascii="Calibri" w:eastAsia="Times New Roman" w:hAnsi="Calibri" w:cs="Calibri"/>
                <w:b/>
                <w:color w:val="000000"/>
                <w:sz w:val="20"/>
                <w:szCs w:val="20"/>
                <w:lang w:eastAsia="pt-PT"/>
              </w:rPr>
              <w:t>Baseline: 20%</w:t>
            </w:r>
          </w:p>
          <w:p w14:paraId="5740B476" w14:textId="77777777" w:rsidR="00227CCB" w:rsidRPr="00577711" w:rsidRDefault="00227CCB" w:rsidP="00DB0234">
            <w:pPr>
              <w:rPr>
                <w:rFonts w:ascii="Calibri" w:eastAsia="Times New Roman" w:hAnsi="Calibri" w:cs="Calibri"/>
                <w:color w:val="000000"/>
                <w:sz w:val="20"/>
                <w:szCs w:val="20"/>
                <w:lang w:eastAsia="pt-PT"/>
              </w:rPr>
            </w:pPr>
            <w:r w:rsidRPr="00577711">
              <w:rPr>
                <w:rFonts w:ascii="Calibri" w:eastAsia="Times New Roman" w:hAnsi="Calibri" w:cs="Calibri"/>
                <w:b/>
                <w:color w:val="000000"/>
                <w:sz w:val="20"/>
                <w:szCs w:val="20"/>
                <w:lang w:eastAsia="pt-PT"/>
              </w:rPr>
              <w:t>Target: 80%</w:t>
            </w:r>
          </w:p>
        </w:tc>
        <w:tc>
          <w:tcPr>
            <w:tcW w:w="2799" w:type="dxa"/>
            <w:vAlign w:val="center"/>
          </w:tcPr>
          <w:p w14:paraId="685806A1" w14:textId="77777777" w:rsidR="00227CCB" w:rsidRPr="00577711" w:rsidRDefault="00227CCB" w:rsidP="00DB0234">
            <w:pPr>
              <w:rPr>
                <w:rFonts w:ascii="Calibri" w:eastAsia="Times New Roman" w:hAnsi="Calibri" w:cs="Calibri"/>
                <w:color w:val="000000"/>
                <w:sz w:val="20"/>
                <w:szCs w:val="20"/>
                <w:lang w:eastAsia="pt-PT"/>
              </w:rPr>
            </w:pPr>
            <w:r w:rsidRPr="00577711">
              <w:rPr>
                <w:rFonts w:ascii="Calibri" w:eastAsia="Times New Roman" w:hAnsi="Calibri" w:cs="Calibri"/>
                <w:color w:val="000000"/>
                <w:sz w:val="20"/>
                <w:szCs w:val="20"/>
                <w:lang w:eastAsia="pt-PT"/>
              </w:rPr>
              <w:t>Not yet achieved</w:t>
            </w:r>
          </w:p>
        </w:tc>
        <w:tc>
          <w:tcPr>
            <w:tcW w:w="2799" w:type="dxa"/>
          </w:tcPr>
          <w:p w14:paraId="140340AF" w14:textId="77777777" w:rsidR="00227CCB" w:rsidRPr="00577711" w:rsidRDefault="00227CCB" w:rsidP="00DB0234">
            <w:pPr>
              <w:rPr>
                <w:sz w:val="20"/>
                <w:szCs w:val="20"/>
              </w:rPr>
            </w:pPr>
          </w:p>
        </w:tc>
        <w:tc>
          <w:tcPr>
            <w:tcW w:w="2799" w:type="dxa"/>
          </w:tcPr>
          <w:p w14:paraId="5BD52628" w14:textId="77777777" w:rsidR="00227CCB" w:rsidRPr="00577711" w:rsidRDefault="00227CCB" w:rsidP="00DB0234">
            <w:pPr>
              <w:jc w:val="both"/>
              <w:rPr>
                <w:sz w:val="20"/>
                <w:szCs w:val="20"/>
              </w:rPr>
            </w:pPr>
            <w:r w:rsidRPr="00577711">
              <w:rPr>
                <w:rFonts w:ascii="Calibri" w:eastAsia="Times New Roman" w:hAnsi="Calibri" w:cs="Calibri"/>
                <w:color w:val="000000"/>
                <w:sz w:val="20"/>
                <w:szCs w:val="20"/>
                <w:lang w:eastAsia="pt-PT"/>
              </w:rPr>
              <w:t>Government's priority is currently the composition and establishment of Human Rights Committees in all the municipalities. Indicators and case tracking system are going to be developed as a next step, in the context of the capacity building of the Local Human Rights Committees. This is a target for 2022.</w:t>
            </w:r>
          </w:p>
        </w:tc>
      </w:tr>
      <w:tr w:rsidR="00227CCB" w:rsidRPr="00577711" w14:paraId="551A1F9A" w14:textId="77777777" w:rsidTr="00DB0234">
        <w:tc>
          <w:tcPr>
            <w:tcW w:w="2798" w:type="dxa"/>
            <w:vMerge/>
          </w:tcPr>
          <w:p w14:paraId="0EDC7725" w14:textId="77777777" w:rsidR="00227CCB" w:rsidRPr="00577711" w:rsidRDefault="00227CCB" w:rsidP="00DB0234">
            <w:pPr>
              <w:rPr>
                <w:sz w:val="20"/>
                <w:szCs w:val="20"/>
              </w:rPr>
            </w:pPr>
          </w:p>
        </w:tc>
        <w:tc>
          <w:tcPr>
            <w:tcW w:w="2799" w:type="dxa"/>
          </w:tcPr>
          <w:p w14:paraId="3AD37233" w14:textId="77777777" w:rsidR="00227CCB" w:rsidRPr="00577711" w:rsidRDefault="00227CCB" w:rsidP="00DB0234">
            <w:pPr>
              <w:rPr>
                <w:rFonts w:ascii="Calibri" w:eastAsia="Times New Roman" w:hAnsi="Calibri" w:cs="Calibri"/>
                <w:color w:val="000000"/>
                <w:sz w:val="20"/>
                <w:szCs w:val="20"/>
                <w:lang w:eastAsia="pt-PT"/>
              </w:rPr>
            </w:pPr>
            <w:r w:rsidRPr="00577711">
              <w:rPr>
                <w:rFonts w:ascii="Calibri" w:eastAsia="Times New Roman" w:hAnsi="Calibri" w:cs="Calibri"/>
                <w:b/>
                <w:color w:val="000000"/>
                <w:sz w:val="20"/>
                <w:szCs w:val="20"/>
                <w:lang w:eastAsia="pt-PT"/>
              </w:rPr>
              <w:t>Indicator 3.3.3</w:t>
            </w:r>
            <w:r w:rsidRPr="00577711">
              <w:rPr>
                <w:rFonts w:ascii="Calibri" w:eastAsia="Times New Roman" w:hAnsi="Calibri" w:cs="Calibri"/>
                <w:color w:val="000000"/>
                <w:sz w:val="20"/>
                <w:szCs w:val="20"/>
                <w:lang w:eastAsia="pt-PT"/>
              </w:rPr>
              <w:t xml:space="preserve">. Percentage of gender-based violence cases reported and cases prosecuted. </w:t>
            </w:r>
          </w:p>
          <w:p w14:paraId="5CD0EB5D" w14:textId="77777777" w:rsidR="00227CCB" w:rsidRPr="00577711" w:rsidRDefault="00227CCB" w:rsidP="00DB0234">
            <w:pPr>
              <w:rPr>
                <w:rFonts w:ascii="Calibri" w:eastAsia="Times New Roman" w:hAnsi="Calibri" w:cs="Calibri"/>
                <w:color w:val="000000"/>
                <w:sz w:val="20"/>
                <w:szCs w:val="20"/>
                <w:lang w:eastAsia="pt-PT"/>
              </w:rPr>
            </w:pPr>
          </w:p>
          <w:p w14:paraId="55E22AA5" w14:textId="77777777" w:rsidR="00227CCB" w:rsidRPr="00577711" w:rsidRDefault="00227CCB" w:rsidP="00DB0234">
            <w:pPr>
              <w:rPr>
                <w:rFonts w:ascii="Calibri" w:eastAsia="Times New Roman" w:hAnsi="Calibri" w:cs="Calibri"/>
                <w:b/>
                <w:color w:val="000000"/>
                <w:sz w:val="20"/>
                <w:szCs w:val="20"/>
                <w:lang w:eastAsia="pt-PT"/>
              </w:rPr>
            </w:pPr>
            <w:r w:rsidRPr="00577711">
              <w:rPr>
                <w:rFonts w:ascii="Calibri" w:eastAsia="Times New Roman" w:hAnsi="Calibri" w:cs="Calibri"/>
                <w:b/>
                <w:color w:val="000000"/>
                <w:sz w:val="20"/>
                <w:szCs w:val="20"/>
                <w:lang w:eastAsia="pt-PT"/>
              </w:rPr>
              <w:t>Baseline: 41%</w:t>
            </w:r>
          </w:p>
          <w:p w14:paraId="608AF04E" w14:textId="77777777" w:rsidR="00227CCB" w:rsidRPr="00577711" w:rsidRDefault="00227CCB" w:rsidP="00DB0234">
            <w:pPr>
              <w:rPr>
                <w:rFonts w:ascii="Calibri" w:eastAsia="Times New Roman" w:hAnsi="Calibri" w:cs="Calibri"/>
                <w:color w:val="000000"/>
                <w:sz w:val="20"/>
                <w:szCs w:val="20"/>
                <w:lang w:eastAsia="pt-PT"/>
              </w:rPr>
            </w:pPr>
            <w:r w:rsidRPr="00577711">
              <w:rPr>
                <w:rFonts w:ascii="Calibri" w:eastAsia="Times New Roman" w:hAnsi="Calibri" w:cs="Calibri"/>
                <w:b/>
                <w:color w:val="000000"/>
                <w:sz w:val="20"/>
                <w:szCs w:val="20"/>
                <w:lang w:eastAsia="pt-PT"/>
              </w:rPr>
              <w:t>Target: 71%</w:t>
            </w:r>
          </w:p>
        </w:tc>
        <w:tc>
          <w:tcPr>
            <w:tcW w:w="2799" w:type="dxa"/>
          </w:tcPr>
          <w:p w14:paraId="4D31BD8C" w14:textId="77777777" w:rsidR="00227CCB" w:rsidRPr="00577711" w:rsidRDefault="00227CCB" w:rsidP="00DB0234">
            <w:pPr>
              <w:jc w:val="both"/>
              <w:rPr>
                <w:rFonts w:ascii="Calibri" w:eastAsia="Times New Roman" w:hAnsi="Calibri" w:cs="Calibri"/>
                <w:color w:val="000000"/>
                <w:sz w:val="20"/>
                <w:szCs w:val="20"/>
                <w:lang w:eastAsia="pt-PT"/>
              </w:rPr>
            </w:pPr>
            <w:r w:rsidRPr="00577711">
              <w:rPr>
                <w:rFonts w:ascii="Calibri" w:eastAsia="Times New Roman" w:hAnsi="Calibri" w:cs="Calibri"/>
                <w:color w:val="000000"/>
                <w:sz w:val="20"/>
                <w:szCs w:val="20"/>
                <w:lang w:eastAsia="pt-PT"/>
              </w:rPr>
              <w:t>Model of integrated support for survivors of GBV (involving hotline, police protection, legal aid, psychological assistance and data tracking system) developed and already rolled out in six municipalities; a total of 2,600 beneficiaries to date (legal aid provided at 100% rate based on need).</w:t>
            </w:r>
          </w:p>
        </w:tc>
        <w:tc>
          <w:tcPr>
            <w:tcW w:w="2799" w:type="dxa"/>
          </w:tcPr>
          <w:p w14:paraId="08417C34" w14:textId="77777777" w:rsidR="00227CCB" w:rsidRPr="00577711" w:rsidRDefault="00227CCB" w:rsidP="00DB0234">
            <w:pPr>
              <w:jc w:val="both"/>
              <w:rPr>
                <w:sz w:val="20"/>
                <w:szCs w:val="20"/>
              </w:rPr>
            </w:pPr>
            <w:r w:rsidRPr="00577711">
              <w:rPr>
                <w:rFonts w:ascii="Calibri" w:eastAsia="Times New Roman" w:hAnsi="Calibri" w:cs="Calibri"/>
                <w:color w:val="000000"/>
                <w:sz w:val="20"/>
                <w:szCs w:val="20"/>
                <w:lang w:eastAsia="pt-PT"/>
              </w:rPr>
              <w:t>Critical success factors have been the multisectoral collaboration with ministries of Women's Affairs, Interior and Justice and Human Rights, civil society organizations and the academy.</w:t>
            </w:r>
          </w:p>
        </w:tc>
        <w:tc>
          <w:tcPr>
            <w:tcW w:w="2799" w:type="dxa"/>
          </w:tcPr>
          <w:p w14:paraId="53469049" w14:textId="77777777" w:rsidR="00227CCB" w:rsidRPr="00577711" w:rsidRDefault="00227CCB" w:rsidP="00DB0234">
            <w:pPr>
              <w:rPr>
                <w:sz w:val="20"/>
                <w:szCs w:val="20"/>
              </w:rPr>
            </w:pPr>
          </w:p>
        </w:tc>
      </w:tr>
    </w:tbl>
    <w:p w14:paraId="7ACEF40C" w14:textId="77777777" w:rsidR="00564D7E" w:rsidRDefault="00564D7E" w:rsidP="00710736">
      <w:pPr>
        <w:sectPr w:rsidR="00564D7E" w:rsidSect="00D3131E">
          <w:pgSz w:w="16838" w:h="11906" w:orient="landscape"/>
          <w:pgMar w:top="1701" w:right="1417" w:bottom="1701" w:left="1417" w:header="708" w:footer="708" w:gutter="0"/>
          <w:cols w:space="708"/>
          <w:docGrid w:linePitch="360"/>
        </w:sectPr>
      </w:pPr>
    </w:p>
    <w:p w14:paraId="70755F7A" w14:textId="77777777" w:rsidR="00564D7E" w:rsidRPr="00564D7E" w:rsidRDefault="00564D7E" w:rsidP="00564D7E">
      <w:pPr>
        <w:pStyle w:val="Heading1"/>
        <w:rPr>
          <w:rFonts w:asciiTheme="minorHAnsi" w:hAnsiTheme="minorHAnsi" w:cstheme="minorHAnsi"/>
          <w:sz w:val="22"/>
          <w:szCs w:val="22"/>
        </w:rPr>
      </w:pPr>
      <w:bookmarkStart w:id="91" w:name="_Toc88741834"/>
      <w:r w:rsidRPr="00564D7E">
        <w:rPr>
          <w:rFonts w:asciiTheme="minorHAnsi" w:hAnsiTheme="minorHAnsi" w:cstheme="minorHAnsi"/>
          <w:sz w:val="22"/>
          <w:szCs w:val="22"/>
        </w:rPr>
        <w:lastRenderedPageBreak/>
        <w:t>Annex 10: Implementation Plan for Evaluation Recommendations</w:t>
      </w:r>
      <w:bookmarkEnd w:id="91"/>
    </w:p>
    <w:tbl>
      <w:tblPr>
        <w:tblStyle w:val="GridTable1Light"/>
        <w:tblW w:w="0" w:type="auto"/>
        <w:tblLook w:val="04A0" w:firstRow="1" w:lastRow="0" w:firstColumn="1" w:lastColumn="0" w:noHBand="0" w:noVBand="1"/>
      </w:tblPr>
      <w:tblGrid>
        <w:gridCol w:w="2155"/>
        <w:gridCol w:w="4950"/>
        <w:gridCol w:w="5845"/>
      </w:tblGrid>
      <w:tr w:rsidR="00564D7E" w:rsidRPr="004E1C02" w14:paraId="14D20E60" w14:textId="77777777" w:rsidTr="00170B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61DCB38B" w14:textId="77777777" w:rsidR="00564D7E" w:rsidRPr="004E1C02" w:rsidRDefault="00564D7E" w:rsidP="00170B7C">
            <w:pPr>
              <w:jc w:val="both"/>
              <w:rPr>
                <w:sz w:val="20"/>
                <w:szCs w:val="20"/>
              </w:rPr>
            </w:pPr>
            <w:r w:rsidRPr="004E1C02">
              <w:rPr>
                <w:sz w:val="20"/>
                <w:szCs w:val="20"/>
              </w:rPr>
              <w:t>Theme/Area</w:t>
            </w:r>
          </w:p>
        </w:tc>
        <w:tc>
          <w:tcPr>
            <w:tcW w:w="4950" w:type="dxa"/>
          </w:tcPr>
          <w:p w14:paraId="6AE0CECF" w14:textId="77777777" w:rsidR="00564D7E" w:rsidRPr="004E1C02" w:rsidRDefault="00564D7E" w:rsidP="00170B7C">
            <w:pPr>
              <w:jc w:val="both"/>
              <w:cnfStyle w:val="100000000000" w:firstRow="1" w:lastRow="0" w:firstColumn="0" w:lastColumn="0" w:oddVBand="0" w:evenVBand="0" w:oddHBand="0" w:evenHBand="0" w:firstRowFirstColumn="0" w:firstRowLastColumn="0" w:lastRowFirstColumn="0" w:lastRowLastColumn="0"/>
              <w:rPr>
                <w:sz w:val="20"/>
                <w:szCs w:val="20"/>
              </w:rPr>
            </w:pPr>
            <w:r w:rsidRPr="004E1C02">
              <w:rPr>
                <w:sz w:val="20"/>
                <w:szCs w:val="20"/>
              </w:rPr>
              <w:t>Issue</w:t>
            </w:r>
          </w:p>
        </w:tc>
        <w:tc>
          <w:tcPr>
            <w:tcW w:w="5845" w:type="dxa"/>
          </w:tcPr>
          <w:p w14:paraId="4D6AC9F1" w14:textId="77777777" w:rsidR="00564D7E" w:rsidRPr="004E1C02" w:rsidRDefault="00564D7E" w:rsidP="00170B7C">
            <w:pPr>
              <w:jc w:val="both"/>
              <w:cnfStyle w:val="100000000000" w:firstRow="1" w:lastRow="0" w:firstColumn="0" w:lastColumn="0" w:oddVBand="0" w:evenVBand="0" w:oddHBand="0" w:evenHBand="0" w:firstRowFirstColumn="0" w:firstRowLastColumn="0" w:lastRowFirstColumn="0" w:lastRowLastColumn="0"/>
              <w:rPr>
                <w:sz w:val="20"/>
                <w:szCs w:val="20"/>
              </w:rPr>
            </w:pPr>
            <w:r w:rsidRPr="004E1C02">
              <w:rPr>
                <w:sz w:val="20"/>
                <w:szCs w:val="20"/>
              </w:rPr>
              <w:t>Recommendations</w:t>
            </w:r>
          </w:p>
        </w:tc>
      </w:tr>
      <w:tr w:rsidR="00564D7E" w:rsidRPr="004E1C02" w14:paraId="719980E5" w14:textId="77777777" w:rsidTr="00170B7C">
        <w:tc>
          <w:tcPr>
            <w:cnfStyle w:val="001000000000" w:firstRow="0" w:lastRow="0" w:firstColumn="1" w:lastColumn="0" w:oddVBand="0" w:evenVBand="0" w:oddHBand="0" w:evenHBand="0" w:firstRowFirstColumn="0" w:firstRowLastColumn="0" w:lastRowFirstColumn="0" w:lastRowLastColumn="0"/>
            <w:tcW w:w="2155" w:type="dxa"/>
          </w:tcPr>
          <w:p w14:paraId="597E3AF6" w14:textId="77777777" w:rsidR="00564D7E" w:rsidRPr="004E1C02" w:rsidRDefault="00564D7E" w:rsidP="00170B7C">
            <w:pPr>
              <w:jc w:val="both"/>
              <w:rPr>
                <w:sz w:val="20"/>
                <w:szCs w:val="20"/>
              </w:rPr>
            </w:pPr>
            <w:r w:rsidRPr="004E1C02">
              <w:rPr>
                <w:sz w:val="20"/>
                <w:szCs w:val="20"/>
              </w:rPr>
              <w:t>General</w:t>
            </w:r>
          </w:p>
        </w:tc>
        <w:tc>
          <w:tcPr>
            <w:tcW w:w="4950" w:type="dxa"/>
          </w:tcPr>
          <w:p w14:paraId="5AA8D126" w14:textId="77777777" w:rsidR="00564D7E" w:rsidRPr="004E1C02" w:rsidRDefault="00564D7E" w:rsidP="00170B7C">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5845" w:type="dxa"/>
          </w:tcPr>
          <w:p w14:paraId="196C7A38" w14:textId="77777777" w:rsidR="00564D7E" w:rsidRPr="004E1C02" w:rsidRDefault="00564D7E" w:rsidP="00170B7C">
            <w:pPr>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564D7E" w:rsidRPr="004E1C02" w14:paraId="41772293" w14:textId="77777777" w:rsidTr="00170B7C">
        <w:tc>
          <w:tcPr>
            <w:cnfStyle w:val="001000000000" w:firstRow="0" w:lastRow="0" w:firstColumn="1" w:lastColumn="0" w:oddVBand="0" w:evenVBand="0" w:oddHBand="0" w:evenHBand="0" w:firstRowFirstColumn="0" w:firstRowLastColumn="0" w:lastRowFirstColumn="0" w:lastRowLastColumn="0"/>
            <w:tcW w:w="2155" w:type="dxa"/>
          </w:tcPr>
          <w:p w14:paraId="28F2C721" w14:textId="77777777" w:rsidR="00564D7E" w:rsidRPr="004E1C02" w:rsidRDefault="00564D7E" w:rsidP="00170B7C">
            <w:pPr>
              <w:jc w:val="both"/>
              <w:rPr>
                <w:sz w:val="20"/>
                <w:szCs w:val="20"/>
              </w:rPr>
            </w:pPr>
          </w:p>
        </w:tc>
        <w:tc>
          <w:tcPr>
            <w:tcW w:w="4950" w:type="dxa"/>
          </w:tcPr>
          <w:p w14:paraId="04CE133C" w14:textId="77777777" w:rsidR="00564D7E" w:rsidRPr="004E1C02" w:rsidRDefault="00564D7E" w:rsidP="00170B7C">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5845" w:type="dxa"/>
          </w:tcPr>
          <w:p w14:paraId="70C49AE4" w14:textId="77777777" w:rsidR="00564D7E" w:rsidRPr="004E1C02" w:rsidRDefault="00564D7E" w:rsidP="00170B7C">
            <w:pPr>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564D7E" w:rsidRPr="004E1C02" w14:paraId="520BCBBD" w14:textId="77777777" w:rsidTr="00170B7C">
        <w:tc>
          <w:tcPr>
            <w:cnfStyle w:val="001000000000" w:firstRow="0" w:lastRow="0" w:firstColumn="1" w:lastColumn="0" w:oddVBand="0" w:evenVBand="0" w:oddHBand="0" w:evenHBand="0" w:firstRowFirstColumn="0" w:firstRowLastColumn="0" w:lastRowFirstColumn="0" w:lastRowLastColumn="0"/>
            <w:tcW w:w="2155" w:type="dxa"/>
          </w:tcPr>
          <w:p w14:paraId="12764416" w14:textId="77777777" w:rsidR="00564D7E" w:rsidRPr="004E1C02" w:rsidRDefault="00564D7E" w:rsidP="00170B7C">
            <w:pPr>
              <w:jc w:val="both"/>
              <w:rPr>
                <w:sz w:val="20"/>
                <w:szCs w:val="20"/>
              </w:rPr>
            </w:pPr>
          </w:p>
        </w:tc>
        <w:tc>
          <w:tcPr>
            <w:tcW w:w="4950" w:type="dxa"/>
          </w:tcPr>
          <w:p w14:paraId="5E1EBBEF" w14:textId="77777777" w:rsidR="00564D7E" w:rsidRPr="004E1C02" w:rsidRDefault="00564D7E" w:rsidP="00170B7C">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5845" w:type="dxa"/>
          </w:tcPr>
          <w:p w14:paraId="5C1CA5A6" w14:textId="77777777" w:rsidR="00564D7E" w:rsidRPr="004E1C02" w:rsidRDefault="00564D7E" w:rsidP="00170B7C">
            <w:pPr>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564D7E" w:rsidRPr="004E1C02" w14:paraId="0024E06C" w14:textId="77777777" w:rsidTr="00170B7C">
        <w:tc>
          <w:tcPr>
            <w:cnfStyle w:val="001000000000" w:firstRow="0" w:lastRow="0" w:firstColumn="1" w:lastColumn="0" w:oddVBand="0" w:evenVBand="0" w:oddHBand="0" w:evenHBand="0" w:firstRowFirstColumn="0" w:firstRowLastColumn="0" w:lastRowFirstColumn="0" w:lastRowLastColumn="0"/>
            <w:tcW w:w="2155" w:type="dxa"/>
          </w:tcPr>
          <w:p w14:paraId="2993E3DC" w14:textId="77777777" w:rsidR="00564D7E" w:rsidRPr="004E1C02" w:rsidRDefault="00564D7E" w:rsidP="00170B7C">
            <w:pPr>
              <w:jc w:val="both"/>
              <w:rPr>
                <w:sz w:val="20"/>
                <w:szCs w:val="20"/>
              </w:rPr>
            </w:pPr>
          </w:p>
        </w:tc>
        <w:tc>
          <w:tcPr>
            <w:tcW w:w="4950" w:type="dxa"/>
          </w:tcPr>
          <w:p w14:paraId="29992C5D" w14:textId="77777777" w:rsidR="00564D7E" w:rsidRPr="004E1C02" w:rsidRDefault="00564D7E" w:rsidP="00170B7C">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5845" w:type="dxa"/>
          </w:tcPr>
          <w:p w14:paraId="7447C386" w14:textId="77777777" w:rsidR="00564D7E" w:rsidRPr="004E1C02" w:rsidRDefault="00564D7E" w:rsidP="00170B7C">
            <w:pPr>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564D7E" w:rsidRPr="004E1C02" w14:paraId="4940A053" w14:textId="77777777" w:rsidTr="00170B7C">
        <w:tc>
          <w:tcPr>
            <w:cnfStyle w:val="001000000000" w:firstRow="0" w:lastRow="0" w:firstColumn="1" w:lastColumn="0" w:oddVBand="0" w:evenVBand="0" w:oddHBand="0" w:evenHBand="0" w:firstRowFirstColumn="0" w:firstRowLastColumn="0" w:lastRowFirstColumn="0" w:lastRowLastColumn="0"/>
            <w:tcW w:w="2155" w:type="dxa"/>
          </w:tcPr>
          <w:p w14:paraId="21C242B6" w14:textId="77777777" w:rsidR="00564D7E" w:rsidRPr="004E1C02" w:rsidRDefault="00564D7E" w:rsidP="00170B7C">
            <w:pPr>
              <w:jc w:val="both"/>
              <w:rPr>
                <w:sz w:val="20"/>
                <w:szCs w:val="20"/>
              </w:rPr>
            </w:pPr>
          </w:p>
        </w:tc>
        <w:tc>
          <w:tcPr>
            <w:tcW w:w="4950" w:type="dxa"/>
          </w:tcPr>
          <w:p w14:paraId="348611CB" w14:textId="77777777" w:rsidR="00564D7E" w:rsidRPr="004E1C02" w:rsidRDefault="00564D7E" w:rsidP="00170B7C">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5845" w:type="dxa"/>
          </w:tcPr>
          <w:p w14:paraId="16655A29" w14:textId="77777777" w:rsidR="00564D7E" w:rsidRPr="004E1C02" w:rsidRDefault="00564D7E" w:rsidP="00170B7C">
            <w:pPr>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564D7E" w:rsidRPr="004E1C02" w14:paraId="5F27FE5F" w14:textId="77777777" w:rsidTr="00170B7C">
        <w:tc>
          <w:tcPr>
            <w:cnfStyle w:val="001000000000" w:firstRow="0" w:lastRow="0" w:firstColumn="1" w:lastColumn="0" w:oddVBand="0" w:evenVBand="0" w:oddHBand="0" w:evenHBand="0" w:firstRowFirstColumn="0" w:firstRowLastColumn="0" w:lastRowFirstColumn="0" w:lastRowLastColumn="0"/>
            <w:tcW w:w="2155" w:type="dxa"/>
          </w:tcPr>
          <w:p w14:paraId="4F536A4A" w14:textId="77777777" w:rsidR="00564D7E" w:rsidRPr="004E1C02" w:rsidRDefault="00564D7E" w:rsidP="00170B7C">
            <w:pPr>
              <w:jc w:val="both"/>
              <w:rPr>
                <w:sz w:val="20"/>
                <w:szCs w:val="20"/>
              </w:rPr>
            </w:pPr>
          </w:p>
        </w:tc>
        <w:tc>
          <w:tcPr>
            <w:tcW w:w="4950" w:type="dxa"/>
          </w:tcPr>
          <w:p w14:paraId="4E21866D" w14:textId="77777777" w:rsidR="00564D7E" w:rsidRPr="004E1C02" w:rsidRDefault="00564D7E" w:rsidP="00170B7C">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5845" w:type="dxa"/>
          </w:tcPr>
          <w:p w14:paraId="772EF2DD" w14:textId="77777777" w:rsidR="00564D7E" w:rsidRPr="004E1C02" w:rsidRDefault="00564D7E" w:rsidP="00170B7C">
            <w:pPr>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564D7E" w:rsidRPr="004E1C02" w14:paraId="72BBF4EE" w14:textId="77777777" w:rsidTr="00170B7C">
        <w:tc>
          <w:tcPr>
            <w:cnfStyle w:val="001000000000" w:firstRow="0" w:lastRow="0" w:firstColumn="1" w:lastColumn="0" w:oddVBand="0" w:evenVBand="0" w:oddHBand="0" w:evenHBand="0" w:firstRowFirstColumn="0" w:firstRowLastColumn="0" w:lastRowFirstColumn="0" w:lastRowLastColumn="0"/>
            <w:tcW w:w="2155" w:type="dxa"/>
          </w:tcPr>
          <w:p w14:paraId="1C56668B" w14:textId="77777777" w:rsidR="00564D7E" w:rsidRPr="004E1C02" w:rsidRDefault="00564D7E" w:rsidP="00170B7C">
            <w:pPr>
              <w:jc w:val="both"/>
              <w:rPr>
                <w:sz w:val="20"/>
                <w:szCs w:val="20"/>
              </w:rPr>
            </w:pPr>
          </w:p>
        </w:tc>
        <w:tc>
          <w:tcPr>
            <w:tcW w:w="4950" w:type="dxa"/>
          </w:tcPr>
          <w:p w14:paraId="39A8A8C8" w14:textId="77777777" w:rsidR="00564D7E" w:rsidRPr="004E1C02" w:rsidRDefault="00564D7E" w:rsidP="00170B7C">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5845" w:type="dxa"/>
          </w:tcPr>
          <w:p w14:paraId="165FC2AC" w14:textId="77777777" w:rsidR="00564D7E" w:rsidRPr="004E1C02" w:rsidRDefault="00564D7E" w:rsidP="00170B7C">
            <w:pPr>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564D7E" w:rsidRPr="004E1C02" w14:paraId="391FCE39" w14:textId="77777777" w:rsidTr="00170B7C">
        <w:tc>
          <w:tcPr>
            <w:cnfStyle w:val="001000000000" w:firstRow="0" w:lastRow="0" w:firstColumn="1" w:lastColumn="0" w:oddVBand="0" w:evenVBand="0" w:oddHBand="0" w:evenHBand="0" w:firstRowFirstColumn="0" w:firstRowLastColumn="0" w:lastRowFirstColumn="0" w:lastRowLastColumn="0"/>
            <w:tcW w:w="2155" w:type="dxa"/>
          </w:tcPr>
          <w:p w14:paraId="2FB0545C" w14:textId="77777777" w:rsidR="00564D7E" w:rsidRPr="004E1C02" w:rsidRDefault="00564D7E" w:rsidP="00170B7C">
            <w:pPr>
              <w:jc w:val="both"/>
              <w:rPr>
                <w:sz w:val="20"/>
                <w:szCs w:val="20"/>
              </w:rPr>
            </w:pPr>
          </w:p>
        </w:tc>
        <w:tc>
          <w:tcPr>
            <w:tcW w:w="4950" w:type="dxa"/>
          </w:tcPr>
          <w:p w14:paraId="1AA117AE" w14:textId="77777777" w:rsidR="00564D7E" w:rsidRPr="004E1C02" w:rsidRDefault="00564D7E" w:rsidP="00170B7C">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5845" w:type="dxa"/>
          </w:tcPr>
          <w:p w14:paraId="311621EA" w14:textId="77777777" w:rsidR="00564D7E" w:rsidRPr="004E1C02" w:rsidRDefault="00564D7E" w:rsidP="00170B7C">
            <w:pPr>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564D7E" w:rsidRPr="004E1C02" w14:paraId="7E692DA8" w14:textId="77777777" w:rsidTr="00170B7C">
        <w:tc>
          <w:tcPr>
            <w:cnfStyle w:val="001000000000" w:firstRow="0" w:lastRow="0" w:firstColumn="1" w:lastColumn="0" w:oddVBand="0" w:evenVBand="0" w:oddHBand="0" w:evenHBand="0" w:firstRowFirstColumn="0" w:firstRowLastColumn="0" w:lastRowFirstColumn="0" w:lastRowLastColumn="0"/>
            <w:tcW w:w="2155" w:type="dxa"/>
          </w:tcPr>
          <w:p w14:paraId="14372DBC" w14:textId="77777777" w:rsidR="00564D7E" w:rsidRPr="004E1C02" w:rsidRDefault="00564D7E" w:rsidP="00170B7C">
            <w:pPr>
              <w:jc w:val="both"/>
              <w:rPr>
                <w:sz w:val="20"/>
                <w:szCs w:val="20"/>
              </w:rPr>
            </w:pPr>
          </w:p>
        </w:tc>
        <w:tc>
          <w:tcPr>
            <w:tcW w:w="4950" w:type="dxa"/>
          </w:tcPr>
          <w:p w14:paraId="23E254A6" w14:textId="77777777" w:rsidR="00564D7E" w:rsidRPr="004E1C02" w:rsidRDefault="00564D7E" w:rsidP="00170B7C">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5845" w:type="dxa"/>
          </w:tcPr>
          <w:p w14:paraId="3CD6257E" w14:textId="77777777" w:rsidR="00564D7E" w:rsidRPr="004E1C02" w:rsidRDefault="00564D7E" w:rsidP="00170B7C">
            <w:pPr>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564D7E" w:rsidRPr="004E1C02" w14:paraId="1C10AD0B" w14:textId="77777777" w:rsidTr="00170B7C">
        <w:tc>
          <w:tcPr>
            <w:cnfStyle w:val="001000000000" w:firstRow="0" w:lastRow="0" w:firstColumn="1" w:lastColumn="0" w:oddVBand="0" w:evenVBand="0" w:oddHBand="0" w:evenHBand="0" w:firstRowFirstColumn="0" w:firstRowLastColumn="0" w:lastRowFirstColumn="0" w:lastRowLastColumn="0"/>
            <w:tcW w:w="2155" w:type="dxa"/>
          </w:tcPr>
          <w:p w14:paraId="240992E6" w14:textId="77777777" w:rsidR="00564D7E" w:rsidRPr="004E1C02" w:rsidRDefault="00564D7E" w:rsidP="00170B7C">
            <w:pPr>
              <w:jc w:val="both"/>
              <w:rPr>
                <w:sz w:val="20"/>
                <w:szCs w:val="20"/>
              </w:rPr>
            </w:pPr>
          </w:p>
        </w:tc>
        <w:tc>
          <w:tcPr>
            <w:tcW w:w="4950" w:type="dxa"/>
          </w:tcPr>
          <w:p w14:paraId="1E55479D" w14:textId="77777777" w:rsidR="00564D7E" w:rsidRPr="004E1C02" w:rsidRDefault="00564D7E" w:rsidP="00170B7C">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5845" w:type="dxa"/>
          </w:tcPr>
          <w:p w14:paraId="48A92581" w14:textId="77777777" w:rsidR="00564D7E" w:rsidRPr="004E1C02" w:rsidRDefault="00564D7E" w:rsidP="00170B7C">
            <w:pPr>
              <w:jc w:val="both"/>
              <w:cnfStyle w:val="000000000000" w:firstRow="0" w:lastRow="0" w:firstColumn="0" w:lastColumn="0" w:oddVBand="0" w:evenVBand="0" w:oddHBand="0" w:evenHBand="0" w:firstRowFirstColumn="0" w:firstRowLastColumn="0" w:lastRowFirstColumn="0" w:lastRowLastColumn="0"/>
              <w:rPr>
                <w:sz w:val="20"/>
                <w:szCs w:val="20"/>
              </w:rPr>
            </w:pPr>
          </w:p>
        </w:tc>
      </w:tr>
    </w:tbl>
    <w:p w14:paraId="46CB370B" w14:textId="77777777" w:rsidR="00564D7E" w:rsidRDefault="00564D7E" w:rsidP="00564D7E">
      <w:pPr>
        <w:jc w:val="both"/>
      </w:pPr>
    </w:p>
    <w:p w14:paraId="5F405091" w14:textId="685AB497" w:rsidR="00AA3518" w:rsidRDefault="00AA3518" w:rsidP="00710736"/>
    <w:sectPr w:rsidR="00AA3518" w:rsidSect="00D3131E">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2C102" w14:textId="77777777" w:rsidR="00790AD5" w:rsidRDefault="00790AD5" w:rsidP="00B02046">
      <w:pPr>
        <w:spacing w:after="0" w:line="240" w:lineRule="auto"/>
      </w:pPr>
      <w:r>
        <w:separator/>
      </w:r>
    </w:p>
  </w:endnote>
  <w:endnote w:type="continuationSeparator" w:id="0">
    <w:p w14:paraId="34E04289" w14:textId="77777777" w:rsidR="00790AD5" w:rsidRDefault="00790AD5" w:rsidP="00B02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venir Book">
    <w:altName w:val="Corbel"/>
    <w:charset w:val="00"/>
    <w:family w:val="auto"/>
    <w:pitch w:val="variable"/>
    <w:sig w:usb0="00000001"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2014099"/>
      <w:docPartObj>
        <w:docPartGallery w:val="Page Numbers (Bottom of Page)"/>
        <w:docPartUnique/>
      </w:docPartObj>
    </w:sdtPr>
    <w:sdtEndPr>
      <w:rPr>
        <w:color w:val="7F7F7F" w:themeColor="background1" w:themeShade="7F"/>
        <w:spacing w:val="60"/>
      </w:rPr>
    </w:sdtEndPr>
    <w:sdtContent>
      <w:p w14:paraId="1766C35D" w14:textId="25902C00" w:rsidR="0060744D" w:rsidRDefault="0060744D">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F17A632" w14:textId="77777777" w:rsidR="0060744D" w:rsidRDefault="006074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140C8" w14:textId="77777777" w:rsidR="00790AD5" w:rsidRDefault="00790AD5" w:rsidP="00B02046">
      <w:pPr>
        <w:spacing w:after="0" w:line="240" w:lineRule="auto"/>
      </w:pPr>
      <w:r>
        <w:separator/>
      </w:r>
    </w:p>
  </w:footnote>
  <w:footnote w:type="continuationSeparator" w:id="0">
    <w:p w14:paraId="5559EEBA" w14:textId="77777777" w:rsidR="00790AD5" w:rsidRDefault="00790AD5" w:rsidP="00B02046">
      <w:pPr>
        <w:spacing w:after="0" w:line="240" w:lineRule="auto"/>
      </w:pPr>
      <w:r>
        <w:continuationSeparator/>
      </w:r>
    </w:p>
  </w:footnote>
  <w:footnote w:id="1">
    <w:p w14:paraId="3C5195A5" w14:textId="3E7F1F70" w:rsidR="00F8068A" w:rsidRPr="00F8068A" w:rsidRDefault="00F8068A">
      <w:pPr>
        <w:pStyle w:val="FootnoteText"/>
        <w:rPr>
          <w:lang w:val="en-US"/>
        </w:rPr>
      </w:pPr>
      <w:r>
        <w:rPr>
          <w:rStyle w:val="FootnoteReference"/>
        </w:rPr>
        <w:footnoteRef/>
      </w:r>
      <w:r>
        <w:t xml:space="preserve"> </w:t>
      </w:r>
      <w:r>
        <w:rPr>
          <w:lang w:val="en-US"/>
        </w:rPr>
        <w:t>Angola Voluntary National Report April 2021</w:t>
      </w:r>
    </w:p>
  </w:footnote>
  <w:footnote w:id="2">
    <w:p w14:paraId="69938796" w14:textId="08936213" w:rsidR="00F8068A" w:rsidRPr="00F8068A" w:rsidRDefault="00F8068A">
      <w:pPr>
        <w:pStyle w:val="FootnoteText"/>
        <w:rPr>
          <w:lang w:val="en-US"/>
        </w:rPr>
      </w:pPr>
      <w:r>
        <w:rPr>
          <w:rStyle w:val="FootnoteReference"/>
        </w:rPr>
        <w:footnoteRef/>
      </w:r>
      <w:r>
        <w:t xml:space="preserve"> </w:t>
      </w:r>
      <w:r>
        <w:rPr>
          <w:lang w:val="en-US"/>
        </w:rPr>
        <w:t>Ibid</w:t>
      </w:r>
    </w:p>
  </w:footnote>
  <w:footnote w:id="3">
    <w:p w14:paraId="4A0F488D" w14:textId="7098F626" w:rsidR="008C3FF3" w:rsidRPr="008C3FF3" w:rsidRDefault="008C3FF3">
      <w:pPr>
        <w:pStyle w:val="FootnoteText"/>
        <w:rPr>
          <w:lang w:val="en-US"/>
        </w:rPr>
      </w:pPr>
      <w:r>
        <w:rPr>
          <w:rStyle w:val="FootnoteReference"/>
        </w:rPr>
        <w:footnoteRef/>
      </w:r>
      <w:r>
        <w:t xml:space="preserve"> </w:t>
      </w:r>
      <w:r>
        <w:rPr>
          <w:lang w:val="en-US"/>
        </w:rPr>
        <w:t>Ibid</w:t>
      </w:r>
    </w:p>
  </w:footnote>
  <w:footnote w:id="4">
    <w:p w14:paraId="735B629F" w14:textId="2DFF1896" w:rsidR="00547D8A" w:rsidRPr="00547D8A" w:rsidRDefault="00547D8A">
      <w:pPr>
        <w:pStyle w:val="FootnoteText"/>
        <w:rPr>
          <w:lang w:val="en-US"/>
        </w:rPr>
      </w:pPr>
      <w:r>
        <w:rPr>
          <w:rStyle w:val="FootnoteReference"/>
        </w:rPr>
        <w:footnoteRef/>
      </w:r>
      <w:r>
        <w:t xml:space="preserve"> </w:t>
      </w:r>
      <w:r>
        <w:rPr>
          <w:lang w:val="en-US"/>
        </w:rPr>
        <w:t>World Bank Macro Poverty Framework 2021</w:t>
      </w:r>
    </w:p>
  </w:footnote>
  <w:footnote w:id="5">
    <w:p w14:paraId="156CB9FC" w14:textId="503226A3" w:rsidR="00547D8A" w:rsidRPr="00547D8A" w:rsidRDefault="00547D8A">
      <w:pPr>
        <w:pStyle w:val="FootnoteText"/>
        <w:rPr>
          <w:lang w:val="en-US"/>
        </w:rPr>
      </w:pPr>
      <w:r>
        <w:rPr>
          <w:rStyle w:val="FootnoteReference"/>
        </w:rPr>
        <w:footnoteRef/>
      </w:r>
      <w:r>
        <w:t xml:space="preserve"> </w:t>
      </w:r>
      <w:r>
        <w:rPr>
          <w:lang w:val="en-US"/>
        </w:rPr>
        <w:t>Angola UNSDF 2018-2022</w:t>
      </w:r>
    </w:p>
  </w:footnote>
  <w:footnote w:id="6">
    <w:p w14:paraId="6E2C5699" w14:textId="420A6856" w:rsidR="00734643" w:rsidRPr="00734643" w:rsidRDefault="00734643">
      <w:pPr>
        <w:pStyle w:val="FootnoteText"/>
        <w:rPr>
          <w:lang w:val="en-US"/>
        </w:rPr>
      </w:pPr>
      <w:r>
        <w:rPr>
          <w:rStyle w:val="FootnoteReference"/>
        </w:rPr>
        <w:footnoteRef/>
      </w:r>
      <w:r>
        <w:t xml:space="preserve"> World Bank-UNDP: Confronting the Socio-economic Consequences of Covid-19 In Angola</w:t>
      </w:r>
    </w:p>
  </w:footnote>
  <w:footnote w:id="7">
    <w:p w14:paraId="1E78F65E" w14:textId="31C4CE19" w:rsidR="008B1F9C" w:rsidRPr="008B1F9C" w:rsidRDefault="008B1F9C">
      <w:pPr>
        <w:pStyle w:val="FootnoteText"/>
        <w:rPr>
          <w:lang w:val="en-US"/>
        </w:rPr>
      </w:pPr>
      <w:r>
        <w:rPr>
          <w:rStyle w:val="FootnoteReference"/>
        </w:rPr>
        <w:footnoteRef/>
      </w:r>
      <w:r>
        <w:t xml:space="preserve"> </w:t>
      </w:r>
      <w:r w:rsidR="00C60EEB">
        <w:t>World Bank Macro Poverty Outlook, Angola April 2021</w:t>
      </w:r>
    </w:p>
  </w:footnote>
  <w:footnote w:id="8">
    <w:p w14:paraId="389B7191" w14:textId="013182A0" w:rsidR="000200C0" w:rsidRPr="000200C0" w:rsidRDefault="000200C0">
      <w:pPr>
        <w:pStyle w:val="FootnoteText"/>
        <w:rPr>
          <w:lang w:val="en-US"/>
        </w:rPr>
      </w:pPr>
      <w:r>
        <w:rPr>
          <w:rStyle w:val="FootnoteReference"/>
        </w:rPr>
        <w:footnoteRef/>
      </w:r>
      <w:r>
        <w:t xml:space="preserve"> </w:t>
      </w:r>
      <w:r w:rsidR="00446F46">
        <w:t>World Bank-UNDP: Confronting the Socio-economic Consequences of Covid-19 In Angola</w:t>
      </w:r>
    </w:p>
  </w:footnote>
  <w:footnote w:id="9">
    <w:p w14:paraId="77B3CD4B" w14:textId="11AFF15B" w:rsidR="00C60EEB" w:rsidRPr="00C60EEB" w:rsidRDefault="00C60EEB">
      <w:pPr>
        <w:pStyle w:val="FootnoteText"/>
        <w:rPr>
          <w:lang w:val="en-US"/>
        </w:rPr>
      </w:pPr>
      <w:r>
        <w:rPr>
          <w:rStyle w:val="FootnoteReference"/>
        </w:rPr>
        <w:footnoteRef/>
      </w:r>
      <w:r>
        <w:t xml:space="preserve"> </w:t>
      </w:r>
      <w:r w:rsidR="000200C0">
        <w:rPr>
          <w:lang w:val="en-US"/>
        </w:rPr>
        <w:t>World Bank Macro Poverty Outlook, Angola April 2021</w:t>
      </w:r>
    </w:p>
  </w:footnote>
  <w:footnote w:id="10">
    <w:p w14:paraId="0EC3B120" w14:textId="0BBCC052" w:rsidR="00C60EEB" w:rsidRPr="00C60EEB" w:rsidRDefault="00C60EEB">
      <w:pPr>
        <w:pStyle w:val="FootnoteText"/>
        <w:rPr>
          <w:lang w:val="en-US"/>
        </w:rPr>
      </w:pPr>
      <w:r>
        <w:rPr>
          <w:rStyle w:val="FootnoteReference"/>
        </w:rPr>
        <w:footnoteRef/>
      </w:r>
      <w:r>
        <w:t xml:space="preserve"> </w:t>
      </w:r>
      <w:r>
        <w:rPr>
          <w:lang w:val="en-US"/>
        </w:rPr>
        <w:t>Ibid</w:t>
      </w:r>
    </w:p>
  </w:footnote>
  <w:footnote w:id="11">
    <w:p w14:paraId="7B48093E" w14:textId="6521519A" w:rsidR="00CE76F8" w:rsidRPr="00CE76F8" w:rsidRDefault="00CE76F8">
      <w:pPr>
        <w:pStyle w:val="FootnoteText"/>
        <w:rPr>
          <w:lang w:val="en-US"/>
        </w:rPr>
      </w:pPr>
      <w:r>
        <w:rPr>
          <w:rStyle w:val="FootnoteReference"/>
        </w:rPr>
        <w:footnoteRef/>
      </w:r>
      <w:r>
        <w:t xml:space="preserve"> </w:t>
      </w:r>
      <w:r>
        <w:rPr>
          <w:lang w:val="en-US"/>
        </w:rPr>
        <w:t>Angola owes huge amounts of debt to Chinese Commercial Banks</w:t>
      </w:r>
      <w:r w:rsidR="004C083E">
        <w:rPr>
          <w:lang w:val="en-US"/>
        </w:rPr>
        <w:t xml:space="preserve"> as well as to </w:t>
      </w:r>
      <w:r w:rsidR="00AC6FE7">
        <w:rPr>
          <w:lang w:val="en-US"/>
        </w:rPr>
        <w:t>M</w:t>
      </w:r>
      <w:r w:rsidR="004C083E">
        <w:rPr>
          <w:lang w:val="en-US"/>
        </w:rPr>
        <w:t xml:space="preserve">ultilateral </w:t>
      </w:r>
      <w:r w:rsidR="00AC6FE7">
        <w:rPr>
          <w:lang w:val="en-US"/>
        </w:rPr>
        <w:t>Financial I</w:t>
      </w:r>
      <w:r w:rsidR="004C083E">
        <w:rPr>
          <w:lang w:val="en-US"/>
        </w:rPr>
        <w:t>nstitutions (World Bank, ADB, European Investment Bank</w:t>
      </w:r>
      <w:r w:rsidR="00AC6FE7">
        <w:rPr>
          <w:lang w:val="en-US"/>
        </w:rPr>
        <w:t>)</w:t>
      </w:r>
    </w:p>
  </w:footnote>
  <w:footnote w:id="12">
    <w:p w14:paraId="4C658ADA" w14:textId="67139469" w:rsidR="00455756" w:rsidRPr="00455756" w:rsidRDefault="00455756">
      <w:pPr>
        <w:pStyle w:val="FootnoteText"/>
        <w:rPr>
          <w:lang w:val="en-US"/>
        </w:rPr>
      </w:pPr>
      <w:r>
        <w:rPr>
          <w:rStyle w:val="FootnoteReference"/>
        </w:rPr>
        <w:footnoteRef/>
      </w:r>
      <w:r>
        <w:t xml:space="preserve"> </w:t>
      </w:r>
      <w:r>
        <w:rPr>
          <w:lang w:val="en-US"/>
        </w:rPr>
        <w:t>IMF Country Report 21/140 June 2021</w:t>
      </w:r>
    </w:p>
  </w:footnote>
  <w:footnote w:id="13">
    <w:p w14:paraId="2DFA4A0D" w14:textId="4146DD7D" w:rsidR="00CB3176" w:rsidRPr="00CB3176" w:rsidRDefault="00CB3176">
      <w:pPr>
        <w:pStyle w:val="FootnoteText"/>
        <w:rPr>
          <w:lang w:val="en-US"/>
        </w:rPr>
      </w:pPr>
      <w:r>
        <w:rPr>
          <w:rStyle w:val="FootnoteReference"/>
        </w:rPr>
        <w:footnoteRef/>
      </w:r>
      <w:r>
        <w:t xml:space="preserve"> </w:t>
      </w:r>
      <w:r>
        <w:rPr>
          <w:lang w:val="en-US"/>
        </w:rPr>
        <w:t>ADB Angola Economic Outlook</w:t>
      </w:r>
    </w:p>
  </w:footnote>
  <w:footnote w:id="14">
    <w:p w14:paraId="5FB95045" w14:textId="6CF51788" w:rsidR="001412AD" w:rsidRPr="001412AD" w:rsidRDefault="001412AD">
      <w:pPr>
        <w:pStyle w:val="FootnoteText"/>
        <w:rPr>
          <w:lang w:val="en-US"/>
        </w:rPr>
      </w:pPr>
      <w:r>
        <w:rPr>
          <w:rStyle w:val="FootnoteReference"/>
        </w:rPr>
        <w:footnoteRef/>
      </w:r>
      <w:r>
        <w:t xml:space="preserve"> </w:t>
      </w:r>
      <w:r w:rsidR="00CB3176">
        <w:rPr>
          <w:lang w:val="en-US"/>
        </w:rPr>
        <w:t xml:space="preserve">World Bank Macro </w:t>
      </w:r>
      <w:r w:rsidR="00455756">
        <w:rPr>
          <w:lang w:val="en-US"/>
        </w:rPr>
        <w:t>P</w:t>
      </w:r>
      <w:r w:rsidR="00CB3176">
        <w:rPr>
          <w:lang w:val="en-US"/>
        </w:rPr>
        <w:t>overty Outlook, Angola April, 2021</w:t>
      </w:r>
    </w:p>
  </w:footnote>
  <w:footnote w:id="15">
    <w:p w14:paraId="0580A820" w14:textId="6FA689C1" w:rsidR="00C60EEB" w:rsidRPr="00C60EEB" w:rsidRDefault="00C60EEB">
      <w:pPr>
        <w:pStyle w:val="FootnoteText"/>
        <w:rPr>
          <w:lang w:val="en-US"/>
        </w:rPr>
      </w:pPr>
      <w:r>
        <w:rPr>
          <w:rStyle w:val="FootnoteReference"/>
        </w:rPr>
        <w:footnoteRef/>
      </w:r>
      <w:r>
        <w:t xml:space="preserve"> </w:t>
      </w:r>
      <w:r w:rsidR="002767BD">
        <w:rPr>
          <w:lang w:val="en-US"/>
        </w:rPr>
        <w:t>World Bank Macro poverty Outlook, Angola, April 2021</w:t>
      </w:r>
    </w:p>
  </w:footnote>
  <w:footnote w:id="16">
    <w:p w14:paraId="14C08942" w14:textId="64D5B546" w:rsidR="00347874" w:rsidRPr="00347874" w:rsidRDefault="00347874">
      <w:pPr>
        <w:pStyle w:val="FootnoteText"/>
        <w:rPr>
          <w:lang w:val="en-US"/>
        </w:rPr>
      </w:pPr>
      <w:r>
        <w:rPr>
          <w:rStyle w:val="FootnoteReference"/>
        </w:rPr>
        <w:footnoteRef/>
      </w:r>
      <w:r>
        <w:t xml:space="preserve"> This Index includes four dimensions – health, education, quality of life, and employment – with indicators that express the different deprivations faced by people living in poverty.</w:t>
      </w:r>
    </w:p>
  </w:footnote>
  <w:footnote w:id="17">
    <w:p w14:paraId="5A9204C6" w14:textId="77777777" w:rsidR="00DF56AE" w:rsidRPr="001412AD" w:rsidRDefault="00DF56AE" w:rsidP="00DF56AE">
      <w:pPr>
        <w:pStyle w:val="FootnoteText"/>
        <w:rPr>
          <w:lang w:val="en-US"/>
        </w:rPr>
      </w:pPr>
      <w:r>
        <w:rPr>
          <w:rStyle w:val="FootnoteReference"/>
        </w:rPr>
        <w:footnoteRef/>
      </w:r>
      <w:r>
        <w:t xml:space="preserve"> </w:t>
      </w:r>
      <w:r>
        <w:rPr>
          <w:lang w:val="en-US"/>
        </w:rPr>
        <w:t>Angola VNR 2021</w:t>
      </w:r>
    </w:p>
  </w:footnote>
  <w:footnote w:id="18">
    <w:p w14:paraId="71AB3021" w14:textId="64E6B6B7" w:rsidR="00DF56AE" w:rsidRPr="00DF56AE" w:rsidRDefault="00DF56AE">
      <w:pPr>
        <w:pStyle w:val="FootnoteText"/>
        <w:rPr>
          <w:lang w:val="en-US"/>
        </w:rPr>
      </w:pPr>
      <w:r>
        <w:rPr>
          <w:rStyle w:val="FootnoteReference"/>
        </w:rPr>
        <w:footnoteRef/>
      </w:r>
      <w:r>
        <w:t xml:space="preserve"> </w:t>
      </w:r>
      <w:r>
        <w:rPr>
          <w:lang w:val="en-US"/>
        </w:rPr>
        <w:t>Ibid</w:t>
      </w:r>
    </w:p>
  </w:footnote>
  <w:footnote w:id="19">
    <w:p w14:paraId="2B4F31DC" w14:textId="53AE785B" w:rsidR="008B588B" w:rsidRPr="008B588B" w:rsidRDefault="008B588B">
      <w:pPr>
        <w:pStyle w:val="FootnoteText"/>
        <w:rPr>
          <w:lang w:val="en-US"/>
        </w:rPr>
      </w:pPr>
      <w:r>
        <w:rPr>
          <w:rStyle w:val="FootnoteReference"/>
        </w:rPr>
        <w:footnoteRef/>
      </w:r>
      <w:r>
        <w:t xml:space="preserve"> </w:t>
      </w:r>
      <w:r w:rsidR="009A336D">
        <w:t>National Voluntary Report of Angola 2021 Highlights</w:t>
      </w:r>
    </w:p>
  </w:footnote>
  <w:footnote w:id="20">
    <w:p w14:paraId="7082026B" w14:textId="425D0751" w:rsidR="009A336D" w:rsidRPr="009A336D" w:rsidRDefault="009A336D">
      <w:pPr>
        <w:pStyle w:val="FootnoteText"/>
        <w:rPr>
          <w:lang w:val="en-US"/>
        </w:rPr>
      </w:pPr>
      <w:r>
        <w:rPr>
          <w:rStyle w:val="FootnoteReference"/>
        </w:rPr>
        <w:footnoteRef/>
      </w:r>
      <w:r>
        <w:t xml:space="preserve"> </w:t>
      </w:r>
      <w:r>
        <w:rPr>
          <w:lang w:val="en-US"/>
        </w:rPr>
        <w:t>Angola VNR 2021</w:t>
      </w:r>
    </w:p>
  </w:footnote>
  <w:footnote w:id="21">
    <w:p w14:paraId="3D0E62D9" w14:textId="1BD86D0E" w:rsidR="005209F8" w:rsidRPr="005209F8" w:rsidRDefault="005209F8">
      <w:pPr>
        <w:pStyle w:val="FootnoteText"/>
        <w:rPr>
          <w:lang w:val="en-US"/>
        </w:rPr>
      </w:pPr>
      <w:r>
        <w:rPr>
          <w:rStyle w:val="FootnoteReference"/>
        </w:rPr>
        <w:footnoteRef/>
      </w:r>
      <w:r>
        <w:t xml:space="preserve"> </w:t>
      </w:r>
      <w:r>
        <w:rPr>
          <w:lang w:val="en-US"/>
        </w:rPr>
        <w:t>NFM3</w:t>
      </w:r>
    </w:p>
  </w:footnote>
  <w:footnote w:id="22">
    <w:p w14:paraId="59827098" w14:textId="4019973C" w:rsidR="005209F8" w:rsidRPr="005209F8" w:rsidRDefault="005209F8">
      <w:pPr>
        <w:pStyle w:val="FootnoteText"/>
        <w:rPr>
          <w:lang w:val="en-US"/>
        </w:rPr>
      </w:pPr>
      <w:r>
        <w:rPr>
          <w:rStyle w:val="FootnoteReference"/>
        </w:rPr>
        <w:footnoteRef/>
      </w:r>
      <w:r>
        <w:t xml:space="preserve"> </w:t>
      </w:r>
      <w:r>
        <w:rPr>
          <w:lang w:val="en-US"/>
        </w:rPr>
        <w:t>NFM2</w:t>
      </w:r>
    </w:p>
  </w:footnote>
  <w:footnote w:id="23">
    <w:p w14:paraId="7CE40279" w14:textId="59D8B139" w:rsidR="009A336D" w:rsidRPr="009A336D" w:rsidRDefault="009A336D">
      <w:pPr>
        <w:pStyle w:val="FootnoteText"/>
        <w:rPr>
          <w:lang w:val="en-US"/>
        </w:rPr>
      </w:pPr>
      <w:r>
        <w:rPr>
          <w:rStyle w:val="FootnoteReference"/>
        </w:rPr>
        <w:footnoteRef/>
      </w:r>
      <w:r>
        <w:t xml:space="preserve"> </w:t>
      </w:r>
      <w:r>
        <w:rPr>
          <w:lang w:val="en-US"/>
        </w:rPr>
        <w:t>Ibid</w:t>
      </w:r>
    </w:p>
  </w:footnote>
  <w:footnote w:id="24">
    <w:p w14:paraId="334FDC61" w14:textId="4AFF1595" w:rsidR="009A336D" w:rsidRPr="009A336D" w:rsidRDefault="009A336D">
      <w:pPr>
        <w:pStyle w:val="FootnoteText"/>
        <w:rPr>
          <w:lang w:val="en-US"/>
        </w:rPr>
      </w:pPr>
      <w:r>
        <w:rPr>
          <w:rStyle w:val="FootnoteReference"/>
        </w:rPr>
        <w:footnoteRef/>
      </w:r>
      <w:r>
        <w:t xml:space="preserve"> </w:t>
      </w:r>
      <w:r>
        <w:rPr>
          <w:lang w:val="en-US"/>
        </w:rPr>
        <w:t>Ibid</w:t>
      </w:r>
    </w:p>
  </w:footnote>
  <w:footnote w:id="25">
    <w:p w14:paraId="322D3E37" w14:textId="251D6EA7" w:rsidR="00A22157" w:rsidRPr="00A22157" w:rsidRDefault="00A22157">
      <w:pPr>
        <w:pStyle w:val="FootnoteText"/>
        <w:rPr>
          <w:lang w:val="en-US"/>
        </w:rPr>
      </w:pPr>
      <w:r>
        <w:rPr>
          <w:rStyle w:val="FootnoteReference"/>
        </w:rPr>
        <w:footnoteRef/>
      </w:r>
      <w:r>
        <w:t xml:space="preserve"> </w:t>
      </w:r>
      <w:r>
        <w:rPr>
          <w:lang w:val="en-US"/>
        </w:rPr>
        <w:t>Angola VNR 2021</w:t>
      </w:r>
    </w:p>
  </w:footnote>
  <w:footnote w:id="26">
    <w:p w14:paraId="04D64909" w14:textId="270E2DC9" w:rsidR="00A22157" w:rsidRPr="00A22157" w:rsidRDefault="00A22157">
      <w:pPr>
        <w:pStyle w:val="FootnoteText"/>
        <w:rPr>
          <w:lang w:val="en-US"/>
        </w:rPr>
      </w:pPr>
      <w:r>
        <w:rPr>
          <w:rStyle w:val="FootnoteReference"/>
        </w:rPr>
        <w:footnoteRef/>
      </w:r>
      <w:r>
        <w:t xml:space="preserve"> </w:t>
      </w:r>
      <w:r>
        <w:rPr>
          <w:lang w:val="en-US"/>
        </w:rPr>
        <w:t>Ibid</w:t>
      </w:r>
    </w:p>
  </w:footnote>
  <w:footnote w:id="27">
    <w:p w14:paraId="0D228B8C" w14:textId="70DB781C" w:rsidR="00A22157" w:rsidRPr="00A22157" w:rsidRDefault="00A22157">
      <w:pPr>
        <w:pStyle w:val="FootnoteText"/>
        <w:rPr>
          <w:lang w:val="en-US"/>
        </w:rPr>
      </w:pPr>
      <w:r>
        <w:rPr>
          <w:rStyle w:val="FootnoteReference"/>
        </w:rPr>
        <w:footnoteRef/>
      </w:r>
      <w:r>
        <w:t xml:space="preserve"> </w:t>
      </w:r>
      <w:r>
        <w:rPr>
          <w:lang w:val="en-US"/>
        </w:rPr>
        <w:t>Ibid</w:t>
      </w:r>
    </w:p>
  </w:footnote>
  <w:footnote w:id="28">
    <w:p w14:paraId="328119C2" w14:textId="483B3818" w:rsidR="00845BDB" w:rsidRPr="00845BDB" w:rsidRDefault="00845BDB">
      <w:pPr>
        <w:pStyle w:val="FootnoteText"/>
        <w:rPr>
          <w:lang w:val="en-US"/>
        </w:rPr>
      </w:pPr>
      <w:r>
        <w:rPr>
          <w:rStyle w:val="FootnoteReference"/>
        </w:rPr>
        <w:footnoteRef/>
      </w:r>
      <w:r>
        <w:t xml:space="preserve"> </w:t>
      </w:r>
      <w:r>
        <w:rPr>
          <w:lang w:val="en-US"/>
        </w:rPr>
        <w:t>Angola VNR 2021</w:t>
      </w:r>
    </w:p>
  </w:footnote>
  <w:footnote w:id="29">
    <w:p w14:paraId="47B5CACC" w14:textId="6B41C7A4" w:rsidR="00A22157" w:rsidRPr="00A22157" w:rsidRDefault="00A22157">
      <w:pPr>
        <w:pStyle w:val="FootnoteText"/>
        <w:rPr>
          <w:lang w:val="en-US"/>
        </w:rPr>
      </w:pPr>
      <w:r>
        <w:rPr>
          <w:rStyle w:val="FootnoteReference"/>
        </w:rPr>
        <w:footnoteRef/>
      </w:r>
      <w:r>
        <w:t xml:space="preserve"> </w:t>
      </w:r>
      <w:r>
        <w:rPr>
          <w:lang w:val="en-US"/>
        </w:rPr>
        <w:t xml:space="preserve">See </w:t>
      </w:r>
      <w:r>
        <w:t>the latest FAO forest study carried out in 235 countries cited in Angola VNR 2021</w:t>
      </w:r>
    </w:p>
  </w:footnote>
  <w:footnote w:id="30">
    <w:p w14:paraId="59022FD3" w14:textId="6B6C6702" w:rsidR="00B02046" w:rsidRPr="00B02046" w:rsidRDefault="00B02046">
      <w:pPr>
        <w:pStyle w:val="FootnoteText"/>
        <w:rPr>
          <w:lang w:val="en-US"/>
        </w:rPr>
      </w:pPr>
      <w:r>
        <w:rPr>
          <w:rStyle w:val="FootnoteReference"/>
        </w:rPr>
        <w:footnoteRef/>
      </w:r>
      <w:r>
        <w:t xml:space="preserve"> </w:t>
      </w:r>
      <w:r>
        <w:rPr>
          <w:lang w:val="en-US"/>
        </w:rPr>
        <w:t>African Business October 2021</w:t>
      </w:r>
    </w:p>
  </w:footnote>
  <w:footnote w:id="31">
    <w:p w14:paraId="54ADBD42" w14:textId="14401BB6" w:rsidR="004F7D50" w:rsidRPr="004F7D50" w:rsidRDefault="004F7D50">
      <w:pPr>
        <w:pStyle w:val="FootnoteText"/>
        <w:rPr>
          <w:lang w:val="en-US"/>
        </w:rPr>
      </w:pPr>
      <w:r>
        <w:rPr>
          <w:rStyle w:val="FootnoteReference"/>
        </w:rPr>
        <w:footnoteRef/>
      </w:r>
      <w:r>
        <w:t xml:space="preserve"> UNDP-World Bank: Confronting the Socio-economic Consequences of Covid-19 in Angola</w:t>
      </w:r>
    </w:p>
  </w:footnote>
  <w:footnote w:id="32">
    <w:p w14:paraId="618F4959" w14:textId="3FF195D0" w:rsidR="00C344DD" w:rsidRDefault="00C344DD" w:rsidP="00C344DD">
      <w:pPr>
        <w:jc w:val="both"/>
      </w:pPr>
      <w:r>
        <w:rPr>
          <w:rStyle w:val="FootnoteReference"/>
        </w:rPr>
        <w:footnoteRef/>
      </w:r>
      <w:r>
        <w:t xml:space="preserve"> See also </w:t>
      </w:r>
      <w:r w:rsidRPr="00C344DD">
        <w:rPr>
          <w:sz w:val="20"/>
          <w:szCs w:val="20"/>
          <w:lang w:val="en-US"/>
        </w:rPr>
        <w:t>T</w:t>
      </w:r>
      <w:r w:rsidRPr="00C344DD">
        <w:rPr>
          <w:sz w:val="20"/>
          <w:szCs w:val="20"/>
        </w:rPr>
        <w:t>he United Nations Socio-Economic Response &amp; Recovery Framework COVID-19 in Angola</w:t>
      </w:r>
      <w:r w:rsidR="00E259D8">
        <w:rPr>
          <w:sz w:val="20"/>
          <w:szCs w:val="20"/>
        </w:rPr>
        <w:t xml:space="preserve">, </w:t>
      </w:r>
      <w:r w:rsidRPr="00C344DD">
        <w:rPr>
          <w:sz w:val="20"/>
          <w:szCs w:val="20"/>
        </w:rPr>
        <w:t>June 2020.</w:t>
      </w:r>
    </w:p>
    <w:p w14:paraId="360BF84E" w14:textId="50FDC967" w:rsidR="00C344DD" w:rsidRPr="00C344DD" w:rsidRDefault="00C344DD">
      <w:pPr>
        <w:pStyle w:val="FootnoteText"/>
        <w:rPr>
          <w:lang w:val="en-US"/>
        </w:rPr>
      </w:pPr>
    </w:p>
  </w:footnote>
  <w:footnote w:id="33">
    <w:p w14:paraId="3ED714BD" w14:textId="1011E948" w:rsidR="00BD73F1" w:rsidRPr="00BD73F1" w:rsidRDefault="00BD73F1">
      <w:pPr>
        <w:pStyle w:val="FootnoteText"/>
        <w:rPr>
          <w:lang w:val="en-US"/>
        </w:rPr>
      </w:pPr>
      <w:r>
        <w:rPr>
          <w:rStyle w:val="FootnoteReference"/>
        </w:rPr>
        <w:footnoteRef/>
      </w:r>
      <w:r>
        <w:t xml:space="preserve"> </w:t>
      </w:r>
      <w:r>
        <w:rPr>
          <w:lang w:val="en-US"/>
        </w:rPr>
        <w:t xml:space="preserve">The request of the Evaluation Team for a copy of the 2020 Audit Report was turned down supposedly because it was an internal document </w:t>
      </w:r>
    </w:p>
  </w:footnote>
  <w:footnote w:id="34">
    <w:p w14:paraId="2C43E857" w14:textId="67EB7A26" w:rsidR="0056374F" w:rsidRPr="0056374F" w:rsidRDefault="0056374F">
      <w:pPr>
        <w:pStyle w:val="FootnoteText"/>
        <w:rPr>
          <w:lang w:val="en-US"/>
        </w:rPr>
      </w:pPr>
      <w:r>
        <w:rPr>
          <w:rStyle w:val="FootnoteReference"/>
        </w:rPr>
        <w:footnoteRef/>
      </w:r>
      <w:r>
        <w:t xml:space="preserve"> </w:t>
      </w:r>
      <w:r>
        <w:rPr>
          <w:lang w:val="en-US"/>
        </w:rPr>
        <w:t>ANASO is a civil society platform established in 1994 coordinating 315 NGOS in 18 Provinces of Angola (115 NGOS; 100 Faith-based organizations; and 100 HIV/LBGT organizations)</w:t>
      </w:r>
    </w:p>
  </w:footnote>
  <w:footnote w:id="35">
    <w:p w14:paraId="6A536710" w14:textId="4CD09A2A" w:rsidR="00222EAD" w:rsidRPr="00222EAD" w:rsidRDefault="00222EAD">
      <w:pPr>
        <w:pStyle w:val="FootnoteText"/>
        <w:rPr>
          <w:lang w:val="en-US"/>
        </w:rPr>
      </w:pPr>
      <w:r>
        <w:rPr>
          <w:rStyle w:val="FootnoteReference"/>
        </w:rPr>
        <w:footnoteRef/>
      </w:r>
      <w:r>
        <w:t xml:space="preserve"> The </w:t>
      </w:r>
      <w:r>
        <w:rPr>
          <w:lang w:val="en-US"/>
        </w:rPr>
        <w:t xml:space="preserve">Government of Angola is responsible for purchasing 80% of the ARV drugs while the Global Fund </w:t>
      </w:r>
      <w:r w:rsidR="00F40781">
        <w:rPr>
          <w:lang w:val="en-US"/>
        </w:rPr>
        <w:t>c</w:t>
      </w:r>
      <w:r>
        <w:rPr>
          <w:lang w:val="en-US"/>
        </w:rPr>
        <w:t>o</w:t>
      </w:r>
      <w:r w:rsidR="00F40781">
        <w:rPr>
          <w:lang w:val="en-US"/>
        </w:rPr>
        <w:t>v</w:t>
      </w:r>
      <w:r>
        <w:rPr>
          <w:lang w:val="en-US"/>
        </w:rPr>
        <w:t>ers the remaining 20%</w:t>
      </w:r>
    </w:p>
  </w:footnote>
  <w:footnote w:id="36">
    <w:p w14:paraId="1DF242D8" w14:textId="178242ED" w:rsidR="00650382" w:rsidRPr="00650382" w:rsidRDefault="00650382">
      <w:pPr>
        <w:pStyle w:val="FootnoteText"/>
        <w:rPr>
          <w:lang w:val="en-US"/>
        </w:rPr>
      </w:pPr>
      <w:r>
        <w:rPr>
          <w:rStyle w:val="FootnoteReference"/>
        </w:rPr>
        <w:footnoteRef/>
      </w:r>
      <w:r>
        <w:t xml:space="preserve"> The new UNDP GF Coordinator was recruited in April 2021 but fell ill soon after in July 2021 and is yet to resume duties. Redeployment of staff from Luanda to the sub-offices in the two provinces is still incomplete at the time of reporting</w:t>
      </w:r>
    </w:p>
  </w:footnote>
  <w:footnote w:id="37">
    <w:p w14:paraId="1C7EDF7D" w14:textId="64026361" w:rsidR="00007202" w:rsidRPr="00007202" w:rsidRDefault="00007202">
      <w:pPr>
        <w:pStyle w:val="FootnoteText"/>
        <w:rPr>
          <w:lang w:val="en-US"/>
        </w:rPr>
      </w:pPr>
      <w:r>
        <w:rPr>
          <w:rStyle w:val="FootnoteReference"/>
        </w:rPr>
        <w:footnoteRef/>
      </w:r>
      <w:r>
        <w:t xml:space="preserve"> </w:t>
      </w:r>
      <w:r>
        <w:rPr>
          <w:lang w:val="en-US"/>
        </w:rPr>
        <w:t xml:space="preserve">Actual transfers from the </w:t>
      </w:r>
      <w:r w:rsidR="00461D82">
        <w:rPr>
          <w:lang w:val="en-US"/>
        </w:rPr>
        <w:t>M</w:t>
      </w:r>
      <w:r>
        <w:rPr>
          <w:lang w:val="en-US"/>
        </w:rPr>
        <w:t xml:space="preserve">inistry of Finance are at present quite small </w:t>
      </w:r>
      <w:r w:rsidR="00461D82">
        <w:rPr>
          <w:lang w:val="en-US"/>
        </w:rPr>
        <w:t xml:space="preserve">reportedly </w:t>
      </w:r>
      <w:r>
        <w:rPr>
          <w:lang w:val="en-US"/>
        </w:rPr>
        <w:t xml:space="preserve">at US$40,000 for each </w:t>
      </w:r>
      <w:r w:rsidR="00461D82">
        <w:rPr>
          <w:lang w:val="en-US"/>
        </w:rPr>
        <w:t xml:space="preserve">Municipality, especially when set against a state budget of US$ 15 billion. </w:t>
      </w:r>
      <w:r w:rsidR="00255159">
        <w:rPr>
          <w:lang w:val="en-US"/>
        </w:rPr>
        <w:t>However,</w:t>
      </w:r>
      <w:r w:rsidR="00461D82">
        <w:rPr>
          <w:lang w:val="en-US"/>
        </w:rPr>
        <w:t xml:space="preserve"> it is good start for hitherto highly centralized state</w:t>
      </w:r>
    </w:p>
  </w:footnote>
  <w:footnote w:id="38">
    <w:p w14:paraId="5ABB102F" w14:textId="2F15274A" w:rsidR="007A7938" w:rsidRPr="007A7938" w:rsidRDefault="007A7938">
      <w:pPr>
        <w:pStyle w:val="FootnoteText"/>
        <w:rPr>
          <w:lang w:val="en-US"/>
        </w:rPr>
      </w:pPr>
      <w:r>
        <w:rPr>
          <w:rStyle w:val="FootnoteReference"/>
        </w:rPr>
        <w:footnoteRef/>
      </w:r>
      <w:r>
        <w:t xml:space="preserve"> </w:t>
      </w:r>
      <w:r w:rsidR="00D12322">
        <w:rPr>
          <w:lang w:val="en-US"/>
        </w:rPr>
        <w:t>Ma</w:t>
      </w:r>
      <w:r>
        <w:rPr>
          <w:lang w:val="en-US"/>
        </w:rPr>
        <w:t>nag</w:t>
      </w:r>
      <w:r w:rsidR="00D12322">
        <w:rPr>
          <w:lang w:val="en-US"/>
        </w:rPr>
        <w:t>ing</w:t>
      </w:r>
      <w:r>
        <w:rPr>
          <w:lang w:val="en-US"/>
        </w:rPr>
        <w:t xml:space="preserve"> loans to </w:t>
      </w:r>
      <w:r w:rsidR="00D12322">
        <w:rPr>
          <w:lang w:val="en-US"/>
        </w:rPr>
        <w:t>Government</w:t>
      </w:r>
      <w:r>
        <w:rPr>
          <w:lang w:val="en-US"/>
        </w:rPr>
        <w:t xml:space="preserve"> of Angola by IFIs </w:t>
      </w:r>
      <w:r w:rsidR="00D12322">
        <w:rPr>
          <w:lang w:val="en-US"/>
        </w:rPr>
        <w:t>could</w:t>
      </w:r>
      <w:r>
        <w:rPr>
          <w:lang w:val="en-US"/>
        </w:rPr>
        <w:t xml:space="preserve"> also</w:t>
      </w:r>
      <w:r w:rsidR="00D12322">
        <w:rPr>
          <w:lang w:val="en-US"/>
        </w:rPr>
        <w:t xml:space="preserve"> be a promising avenue but requires the good </w:t>
      </w:r>
      <w:r w:rsidR="005E48D2">
        <w:rPr>
          <w:lang w:val="en-US"/>
        </w:rPr>
        <w:t>will and</w:t>
      </w:r>
      <w:r w:rsidR="00D12322">
        <w:rPr>
          <w:lang w:val="en-US"/>
        </w:rPr>
        <w:t xml:space="preserve"> authorization of government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B709A"/>
    <w:multiLevelType w:val="hybridMultilevel"/>
    <w:tmpl w:val="ACC2392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4D754AF"/>
    <w:multiLevelType w:val="hybridMultilevel"/>
    <w:tmpl w:val="FBEE8C7A"/>
    <w:lvl w:ilvl="0" w:tplc="9C18CD02">
      <w:start w:val="1"/>
      <w:numFmt w:val="decimal"/>
      <w:lvlText w:val="%1."/>
      <w:lvlJc w:val="left"/>
      <w:pPr>
        <w:ind w:left="360" w:hanging="360"/>
      </w:pPr>
      <w:rPr>
        <w:rFonts w:asciiTheme="minorHAnsi" w:eastAsiaTheme="minorHAnsi" w:hAnsiTheme="minorHAnsi" w:cstheme="minorBid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B766154"/>
    <w:multiLevelType w:val="hybridMultilevel"/>
    <w:tmpl w:val="295AAD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A703CB"/>
    <w:multiLevelType w:val="hybridMultilevel"/>
    <w:tmpl w:val="4F2CC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C114C8"/>
    <w:multiLevelType w:val="multilevel"/>
    <w:tmpl w:val="E9FE4A58"/>
    <w:lvl w:ilvl="0">
      <w:start w:val="4"/>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0897827"/>
    <w:multiLevelType w:val="hybridMultilevel"/>
    <w:tmpl w:val="D2C216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1FB060E"/>
    <w:multiLevelType w:val="multilevel"/>
    <w:tmpl w:val="02E44C26"/>
    <w:lvl w:ilvl="0">
      <w:start w:val="4"/>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2016434"/>
    <w:multiLevelType w:val="hybridMultilevel"/>
    <w:tmpl w:val="8FA4FD6A"/>
    <w:lvl w:ilvl="0" w:tplc="CF44F49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30304CB"/>
    <w:multiLevelType w:val="hybridMultilevel"/>
    <w:tmpl w:val="41A6000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32F1F9D"/>
    <w:multiLevelType w:val="hybridMultilevel"/>
    <w:tmpl w:val="10FAC0C0"/>
    <w:lvl w:ilvl="0" w:tplc="4F80717C">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13DF7E93"/>
    <w:multiLevelType w:val="hybridMultilevel"/>
    <w:tmpl w:val="D2EA185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4814699"/>
    <w:multiLevelType w:val="multilevel"/>
    <w:tmpl w:val="29227CC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4AE1048"/>
    <w:multiLevelType w:val="hybridMultilevel"/>
    <w:tmpl w:val="A874F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B1510A"/>
    <w:multiLevelType w:val="hybridMultilevel"/>
    <w:tmpl w:val="542CA842"/>
    <w:lvl w:ilvl="0" w:tplc="F8EAEAB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65D1657"/>
    <w:multiLevelType w:val="hybridMultilevel"/>
    <w:tmpl w:val="6D9A0E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993623E"/>
    <w:multiLevelType w:val="multilevel"/>
    <w:tmpl w:val="33883288"/>
    <w:lvl w:ilvl="0">
      <w:start w:val="1"/>
      <w:numFmt w:val="decimal"/>
      <w:lvlText w:val="%1."/>
      <w:lvlJc w:val="left"/>
      <w:pPr>
        <w:ind w:left="720" w:hanging="360"/>
      </w:pPr>
      <w:rPr>
        <w:rFonts w:hint="default"/>
        <w:lang w:val="en-U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1C8B373E"/>
    <w:multiLevelType w:val="hybridMultilevel"/>
    <w:tmpl w:val="9E44171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E932B09"/>
    <w:multiLevelType w:val="hybridMultilevel"/>
    <w:tmpl w:val="412CC10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F7C15B0"/>
    <w:multiLevelType w:val="hybridMultilevel"/>
    <w:tmpl w:val="5FF0CF00"/>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1FCA4307"/>
    <w:multiLevelType w:val="multilevel"/>
    <w:tmpl w:val="6F44E5A4"/>
    <w:lvl w:ilvl="0">
      <w:start w:val="4"/>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2204342E"/>
    <w:multiLevelType w:val="hybridMultilevel"/>
    <w:tmpl w:val="1B9806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54622B4"/>
    <w:multiLevelType w:val="hybridMultilevel"/>
    <w:tmpl w:val="8BA0FA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6D62462"/>
    <w:multiLevelType w:val="hybridMultilevel"/>
    <w:tmpl w:val="9166753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2774431F"/>
    <w:multiLevelType w:val="hybridMultilevel"/>
    <w:tmpl w:val="52304EE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7F7727D"/>
    <w:multiLevelType w:val="hybridMultilevel"/>
    <w:tmpl w:val="6808935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2914262C"/>
    <w:multiLevelType w:val="hybridMultilevel"/>
    <w:tmpl w:val="BED6B80E"/>
    <w:lvl w:ilvl="0" w:tplc="E47E652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2B174826"/>
    <w:multiLevelType w:val="hybridMultilevel"/>
    <w:tmpl w:val="54E42C82"/>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D9E2F4E"/>
    <w:multiLevelType w:val="hybridMultilevel"/>
    <w:tmpl w:val="98C67AA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2E0367CD"/>
    <w:multiLevelType w:val="hybridMultilevel"/>
    <w:tmpl w:val="3256698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E5A0046"/>
    <w:multiLevelType w:val="hybridMultilevel"/>
    <w:tmpl w:val="D088B012"/>
    <w:lvl w:ilvl="0" w:tplc="04090017">
      <w:start w:val="1"/>
      <w:numFmt w:val="lowerLetter"/>
      <w:lvlText w:val="%1)"/>
      <w:lvlJc w:val="left"/>
      <w:pPr>
        <w:ind w:left="720" w:hanging="360"/>
      </w:pPr>
    </w:lvl>
    <w:lvl w:ilvl="1" w:tplc="1B0292C8">
      <w:numFmt w:val="bullet"/>
      <w:lvlText w:val="-"/>
      <w:lvlJc w:val="left"/>
      <w:pPr>
        <w:ind w:left="1800" w:hanging="720"/>
      </w:pPr>
      <w:rPr>
        <w:rFonts w:ascii="Calibri" w:eastAsiaTheme="minorHAns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E8431B3"/>
    <w:multiLevelType w:val="hybridMultilevel"/>
    <w:tmpl w:val="DDF8F09C"/>
    <w:lvl w:ilvl="0" w:tplc="505C44D4">
      <w:start w:val="1"/>
      <w:numFmt w:val="lowerRoman"/>
      <w:lvlText w:val="(%1)"/>
      <w:lvlJc w:val="left"/>
      <w:pPr>
        <w:ind w:left="720" w:hanging="720"/>
      </w:pPr>
      <w:rPr>
        <w:rFonts w:asciiTheme="minorHAnsi" w:eastAsiaTheme="minorHAnsi" w:hAnsiTheme="minorHAnsi" w:cstheme="minorBid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300E5809"/>
    <w:multiLevelType w:val="multilevel"/>
    <w:tmpl w:val="3126E888"/>
    <w:lvl w:ilvl="0">
      <w:start w:val="4"/>
      <w:numFmt w:val="decimal"/>
      <w:lvlText w:val="%1"/>
      <w:lvlJc w:val="left"/>
      <w:pPr>
        <w:ind w:left="360" w:hanging="360"/>
      </w:pPr>
      <w:rPr>
        <w:rFonts w:asciiTheme="minorHAnsi" w:hAnsiTheme="minorHAnsi" w:cstheme="minorHAnsi" w:hint="default"/>
        <w:sz w:val="22"/>
      </w:rPr>
    </w:lvl>
    <w:lvl w:ilvl="1">
      <w:start w:val="9"/>
      <w:numFmt w:val="decimal"/>
      <w:lvlText w:val="%1.%2"/>
      <w:lvlJc w:val="left"/>
      <w:pPr>
        <w:ind w:left="360" w:hanging="360"/>
      </w:pPr>
      <w:rPr>
        <w:rFonts w:asciiTheme="minorHAnsi" w:hAnsiTheme="minorHAnsi" w:cstheme="minorHAnsi" w:hint="default"/>
        <w:sz w:val="22"/>
      </w:rPr>
    </w:lvl>
    <w:lvl w:ilvl="2">
      <w:start w:val="1"/>
      <w:numFmt w:val="decimal"/>
      <w:lvlText w:val="%1.%2.%3"/>
      <w:lvlJc w:val="left"/>
      <w:pPr>
        <w:ind w:left="720" w:hanging="720"/>
      </w:pPr>
      <w:rPr>
        <w:rFonts w:asciiTheme="minorHAnsi" w:hAnsiTheme="minorHAnsi" w:cstheme="minorHAnsi" w:hint="default"/>
        <w:sz w:val="22"/>
      </w:rPr>
    </w:lvl>
    <w:lvl w:ilvl="3">
      <w:start w:val="1"/>
      <w:numFmt w:val="decimal"/>
      <w:lvlText w:val="%1.%2.%3.%4"/>
      <w:lvlJc w:val="left"/>
      <w:pPr>
        <w:ind w:left="720" w:hanging="720"/>
      </w:pPr>
      <w:rPr>
        <w:rFonts w:asciiTheme="minorHAnsi" w:hAnsiTheme="minorHAnsi" w:cstheme="minorHAnsi" w:hint="default"/>
        <w:sz w:val="22"/>
      </w:rPr>
    </w:lvl>
    <w:lvl w:ilvl="4">
      <w:start w:val="1"/>
      <w:numFmt w:val="decimal"/>
      <w:lvlText w:val="%1.%2.%3.%4.%5"/>
      <w:lvlJc w:val="left"/>
      <w:pPr>
        <w:ind w:left="1080" w:hanging="1080"/>
      </w:pPr>
      <w:rPr>
        <w:rFonts w:asciiTheme="minorHAnsi" w:hAnsiTheme="minorHAnsi" w:cstheme="minorHAnsi" w:hint="default"/>
        <w:sz w:val="22"/>
      </w:rPr>
    </w:lvl>
    <w:lvl w:ilvl="5">
      <w:start w:val="1"/>
      <w:numFmt w:val="decimal"/>
      <w:lvlText w:val="%1.%2.%3.%4.%5.%6"/>
      <w:lvlJc w:val="left"/>
      <w:pPr>
        <w:ind w:left="1080" w:hanging="1080"/>
      </w:pPr>
      <w:rPr>
        <w:rFonts w:asciiTheme="minorHAnsi" w:hAnsiTheme="minorHAnsi" w:cstheme="minorHAnsi" w:hint="default"/>
        <w:sz w:val="22"/>
      </w:rPr>
    </w:lvl>
    <w:lvl w:ilvl="6">
      <w:start w:val="1"/>
      <w:numFmt w:val="decimal"/>
      <w:lvlText w:val="%1.%2.%3.%4.%5.%6.%7"/>
      <w:lvlJc w:val="left"/>
      <w:pPr>
        <w:ind w:left="1440" w:hanging="1440"/>
      </w:pPr>
      <w:rPr>
        <w:rFonts w:asciiTheme="minorHAnsi" w:hAnsiTheme="minorHAnsi" w:cstheme="minorHAnsi" w:hint="default"/>
        <w:sz w:val="22"/>
      </w:rPr>
    </w:lvl>
    <w:lvl w:ilvl="7">
      <w:start w:val="1"/>
      <w:numFmt w:val="decimal"/>
      <w:lvlText w:val="%1.%2.%3.%4.%5.%6.%7.%8"/>
      <w:lvlJc w:val="left"/>
      <w:pPr>
        <w:ind w:left="1440" w:hanging="1440"/>
      </w:pPr>
      <w:rPr>
        <w:rFonts w:asciiTheme="minorHAnsi" w:hAnsiTheme="minorHAnsi" w:cstheme="minorHAnsi" w:hint="default"/>
        <w:sz w:val="22"/>
      </w:rPr>
    </w:lvl>
    <w:lvl w:ilvl="8">
      <w:start w:val="1"/>
      <w:numFmt w:val="decimal"/>
      <w:lvlText w:val="%1.%2.%3.%4.%5.%6.%7.%8.%9"/>
      <w:lvlJc w:val="left"/>
      <w:pPr>
        <w:ind w:left="1440" w:hanging="1440"/>
      </w:pPr>
      <w:rPr>
        <w:rFonts w:asciiTheme="minorHAnsi" w:hAnsiTheme="minorHAnsi" w:cstheme="minorHAnsi" w:hint="default"/>
        <w:sz w:val="22"/>
      </w:rPr>
    </w:lvl>
  </w:abstractNum>
  <w:abstractNum w:abstractNumId="32" w15:restartNumberingAfterBreak="0">
    <w:nsid w:val="30C10C0D"/>
    <w:multiLevelType w:val="multilevel"/>
    <w:tmpl w:val="F94ED3F6"/>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15:restartNumberingAfterBreak="0">
    <w:nsid w:val="30F67E3A"/>
    <w:multiLevelType w:val="hybridMultilevel"/>
    <w:tmpl w:val="E5A4623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1DF02B2"/>
    <w:multiLevelType w:val="hybridMultilevel"/>
    <w:tmpl w:val="094619A4"/>
    <w:lvl w:ilvl="0" w:tplc="4F80717C">
      <w:start w:val="1"/>
      <w:numFmt w:val="decimal"/>
      <w:lvlText w:val="%1."/>
      <w:lvlJc w:val="left"/>
      <w:pPr>
        <w:ind w:left="720" w:hanging="360"/>
      </w:pPr>
      <w:rPr>
        <w:rFont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5" w15:restartNumberingAfterBreak="0">
    <w:nsid w:val="35C17299"/>
    <w:multiLevelType w:val="hybridMultilevel"/>
    <w:tmpl w:val="A74824BA"/>
    <w:lvl w:ilvl="0" w:tplc="4D948264">
      <w:start w:val="1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361A41F7"/>
    <w:multiLevelType w:val="hybridMultilevel"/>
    <w:tmpl w:val="52F4CF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371B4667"/>
    <w:multiLevelType w:val="hybridMultilevel"/>
    <w:tmpl w:val="2EA0042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3B0578E4"/>
    <w:multiLevelType w:val="hybridMultilevel"/>
    <w:tmpl w:val="273A31E8"/>
    <w:lvl w:ilvl="0" w:tplc="4F80717C">
      <w:start w:val="1"/>
      <w:numFmt w:val="decimal"/>
      <w:lvlText w:val="%1."/>
      <w:lvlJc w:val="left"/>
      <w:pPr>
        <w:ind w:left="720" w:hanging="360"/>
      </w:pPr>
      <w:rPr>
        <w:rFont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9" w15:restartNumberingAfterBreak="0">
    <w:nsid w:val="3E091BA9"/>
    <w:multiLevelType w:val="hybridMultilevel"/>
    <w:tmpl w:val="A65A58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3E806C5E"/>
    <w:multiLevelType w:val="hybridMultilevel"/>
    <w:tmpl w:val="198ED404"/>
    <w:lvl w:ilvl="0" w:tplc="D5A2267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1BB7390"/>
    <w:multiLevelType w:val="hybridMultilevel"/>
    <w:tmpl w:val="03F8B5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43073437"/>
    <w:multiLevelType w:val="multilevel"/>
    <w:tmpl w:val="A78C1D50"/>
    <w:lvl w:ilvl="0">
      <w:start w:val="4"/>
      <w:numFmt w:val="decimal"/>
      <w:lvlText w:val="%1"/>
      <w:lvlJc w:val="left"/>
      <w:pPr>
        <w:ind w:left="450" w:hanging="450"/>
      </w:pPr>
      <w:rPr>
        <w:rFonts w:hint="default"/>
      </w:rPr>
    </w:lvl>
    <w:lvl w:ilvl="1">
      <w:start w:val="6"/>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45243E30"/>
    <w:multiLevelType w:val="hybridMultilevel"/>
    <w:tmpl w:val="E9F28EA8"/>
    <w:lvl w:ilvl="0" w:tplc="0816000F">
      <w:start w:val="1"/>
      <w:numFmt w:val="decimal"/>
      <w:lvlText w:val="%1."/>
      <w:lvlJc w:val="left"/>
      <w:pPr>
        <w:ind w:left="720" w:hanging="360"/>
      </w:pPr>
      <w:rPr>
        <w:rFont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4" w15:restartNumberingAfterBreak="0">
    <w:nsid w:val="452D19F3"/>
    <w:multiLevelType w:val="hybridMultilevel"/>
    <w:tmpl w:val="A16C1D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5DF3048"/>
    <w:multiLevelType w:val="hybridMultilevel"/>
    <w:tmpl w:val="48E6347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9EC326B"/>
    <w:multiLevelType w:val="hybridMultilevel"/>
    <w:tmpl w:val="B25049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9ED51D3"/>
    <w:multiLevelType w:val="hybridMultilevel"/>
    <w:tmpl w:val="467443E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50D676F3"/>
    <w:multiLevelType w:val="hybridMultilevel"/>
    <w:tmpl w:val="4F0CF2EE"/>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32202DE"/>
    <w:multiLevelType w:val="hybridMultilevel"/>
    <w:tmpl w:val="6FE88A14"/>
    <w:lvl w:ilvl="0" w:tplc="0816000F">
      <w:start w:val="1"/>
      <w:numFmt w:val="decimal"/>
      <w:lvlText w:val="%1."/>
      <w:lvlJc w:val="left"/>
      <w:pPr>
        <w:ind w:left="720" w:hanging="360"/>
      </w:pPr>
      <w:rPr>
        <w:rFont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0" w15:restartNumberingAfterBreak="0">
    <w:nsid w:val="53BB7B9A"/>
    <w:multiLevelType w:val="hybridMultilevel"/>
    <w:tmpl w:val="0F2A056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56536AAA"/>
    <w:multiLevelType w:val="hybridMultilevel"/>
    <w:tmpl w:val="BF14D38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566E7E66"/>
    <w:multiLevelType w:val="hybridMultilevel"/>
    <w:tmpl w:val="047E98B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5D432EB9"/>
    <w:multiLevelType w:val="hybridMultilevel"/>
    <w:tmpl w:val="C3F2BCC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F8126D8"/>
    <w:multiLevelType w:val="hybridMultilevel"/>
    <w:tmpl w:val="C69E18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1E84BDC"/>
    <w:multiLevelType w:val="hybridMultilevel"/>
    <w:tmpl w:val="994CA63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62400E59"/>
    <w:multiLevelType w:val="hybridMultilevel"/>
    <w:tmpl w:val="33C0981A"/>
    <w:lvl w:ilvl="0" w:tplc="4F80717C">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7" w15:restartNumberingAfterBreak="0">
    <w:nsid w:val="64387B9D"/>
    <w:multiLevelType w:val="hybridMultilevel"/>
    <w:tmpl w:val="7C449A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670A47DF"/>
    <w:multiLevelType w:val="hybridMultilevel"/>
    <w:tmpl w:val="1BCE066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A627ACF"/>
    <w:multiLevelType w:val="hybridMultilevel"/>
    <w:tmpl w:val="3C98F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48D11F8"/>
    <w:multiLevelType w:val="hybridMultilevel"/>
    <w:tmpl w:val="DDF248A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755D409F"/>
    <w:multiLevelType w:val="hybridMultilevel"/>
    <w:tmpl w:val="B39CE512"/>
    <w:lvl w:ilvl="0" w:tplc="4F80717C">
      <w:start w:val="1"/>
      <w:numFmt w:val="decimal"/>
      <w:lvlText w:val="%1."/>
      <w:lvlJc w:val="left"/>
      <w:pPr>
        <w:ind w:left="720" w:hanging="360"/>
      </w:pPr>
      <w:rPr>
        <w:rFont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2" w15:restartNumberingAfterBreak="0">
    <w:nsid w:val="79E05C26"/>
    <w:multiLevelType w:val="hybridMultilevel"/>
    <w:tmpl w:val="DCD8D65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7ACF184E"/>
    <w:multiLevelType w:val="hybridMultilevel"/>
    <w:tmpl w:val="1B68DA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7BD43C30"/>
    <w:multiLevelType w:val="hybridMultilevel"/>
    <w:tmpl w:val="A384A5F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7CA405E2"/>
    <w:multiLevelType w:val="hybridMultilevel"/>
    <w:tmpl w:val="4704C4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D9063D3"/>
    <w:multiLevelType w:val="hybridMultilevel"/>
    <w:tmpl w:val="EC7E5AE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7DBA1394"/>
    <w:multiLevelType w:val="hybridMultilevel"/>
    <w:tmpl w:val="87008AB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7EDD2F2C"/>
    <w:multiLevelType w:val="hybridMultilevel"/>
    <w:tmpl w:val="ACC6D8C2"/>
    <w:lvl w:ilvl="0" w:tplc="484C0A24">
      <w:start w:val="1"/>
      <w:numFmt w:val="lowerLetter"/>
      <w:lvlText w:val="%1)"/>
      <w:lvlJc w:val="left"/>
      <w:pPr>
        <w:ind w:left="720"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59"/>
  </w:num>
  <w:num w:numId="3">
    <w:abstractNumId w:val="26"/>
  </w:num>
  <w:num w:numId="4">
    <w:abstractNumId w:val="54"/>
  </w:num>
  <w:num w:numId="5">
    <w:abstractNumId w:val="12"/>
  </w:num>
  <w:num w:numId="6">
    <w:abstractNumId w:val="20"/>
  </w:num>
  <w:num w:numId="7">
    <w:abstractNumId w:val="45"/>
  </w:num>
  <w:num w:numId="8">
    <w:abstractNumId w:val="65"/>
  </w:num>
  <w:num w:numId="9">
    <w:abstractNumId w:val="4"/>
  </w:num>
  <w:num w:numId="10">
    <w:abstractNumId w:val="46"/>
  </w:num>
  <w:num w:numId="11">
    <w:abstractNumId w:val="16"/>
  </w:num>
  <w:num w:numId="12">
    <w:abstractNumId w:val="27"/>
  </w:num>
  <w:num w:numId="13">
    <w:abstractNumId w:val="57"/>
  </w:num>
  <w:num w:numId="14">
    <w:abstractNumId w:val="51"/>
  </w:num>
  <w:num w:numId="15">
    <w:abstractNumId w:val="17"/>
  </w:num>
  <w:num w:numId="16">
    <w:abstractNumId w:val="36"/>
  </w:num>
  <w:num w:numId="17">
    <w:abstractNumId w:val="32"/>
  </w:num>
  <w:num w:numId="18">
    <w:abstractNumId w:val="66"/>
  </w:num>
  <w:num w:numId="19">
    <w:abstractNumId w:val="22"/>
  </w:num>
  <w:num w:numId="20">
    <w:abstractNumId w:val="10"/>
  </w:num>
  <w:num w:numId="21">
    <w:abstractNumId w:val="47"/>
  </w:num>
  <w:num w:numId="22">
    <w:abstractNumId w:val="50"/>
  </w:num>
  <w:num w:numId="23">
    <w:abstractNumId w:val="37"/>
  </w:num>
  <w:num w:numId="24">
    <w:abstractNumId w:val="23"/>
  </w:num>
  <w:num w:numId="25">
    <w:abstractNumId w:val="14"/>
  </w:num>
  <w:num w:numId="26">
    <w:abstractNumId w:val="64"/>
  </w:num>
  <w:num w:numId="27">
    <w:abstractNumId w:val="5"/>
  </w:num>
  <w:num w:numId="28">
    <w:abstractNumId w:val="41"/>
  </w:num>
  <w:num w:numId="29">
    <w:abstractNumId w:val="8"/>
  </w:num>
  <w:num w:numId="30">
    <w:abstractNumId w:val="67"/>
  </w:num>
  <w:num w:numId="31">
    <w:abstractNumId w:val="52"/>
  </w:num>
  <w:num w:numId="32">
    <w:abstractNumId w:val="39"/>
  </w:num>
  <w:num w:numId="33">
    <w:abstractNumId w:val="2"/>
  </w:num>
  <w:num w:numId="34">
    <w:abstractNumId w:val="3"/>
  </w:num>
  <w:num w:numId="35">
    <w:abstractNumId w:val="49"/>
  </w:num>
  <w:num w:numId="36">
    <w:abstractNumId w:val="43"/>
  </w:num>
  <w:num w:numId="37">
    <w:abstractNumId w:val="34"/>
  </w:num>
  <w:num w:numId="38">
    <w:abstractNumId w:val="9"/>
  </w:num>
  <w:num w:numId="39">
    <w:abstractNumId w:val="56"/>
  </w:num>
  <w:num w:numId="40">
    <w:abstractNumId w:val="61"/>
  </w:num>
  <w:num w:numId="41">
    <w:abstractNumId w:val="38"/>
  </w:num>
  <w:num w:numId="42">
    <w:abstractNumId w:val="1"/>
  </w:num>
  <w:num w:numId="43">
    <w:abstractNumId w:val="60"/>
  </w:num>
  <w:num w:numId="44">
    <w:abstractNumId w:val="33"/>
  </w:num>
  <w:num w:numId="45">
    <w:abstractNumId w:val="21"/>
  </w:num>
  <w:num w:numId="46">
    <w:abstractNumId w:val="29"/>
  </w:num>
  <w:num w:numId="47">
    <w:abstractNumId w:val="48"/>
  </w:num>
  <w:num w:numId="48">
    <w:abstractNumId w:val="18"/>
  </w:num>
  <w:num w:numId="49">
    <w:abstractNumId w:val="24"/>
  </w:num>
  <w:num w:numId="50">
    <w:abstractNumId w:val="11"/>
  </w:num>
  <w:num w:numId="51">
    <w:abstractNumId w:val="6"/>
  </w:num>
  <w:num w:numId="52">
    <w:abstractNumId w:val="19"/>
  </w:num>
  <w:num w:numId="53">
    <w:abstractNumId w:val="31"/>
  </w:num>
  <w:num w:numId="54">
    <w:abstractNumId w:val="42"/>
  </w:num>
  <w:num w:numId="55">
    <w:abstractNumId w:val="55"/>
  </w:num>
  <w:num w:numId="56">
    <w:abstractNumId w:val="68"/>
  </w:num>
  <w:num w:numId="57">
    <w:abstractNumId w:val="35"/>
  </w:num>
  <w:num w:numId="58">
    <w:abstractNumId w:val="25"/>
  </w:num>
  <w:num w:numId="59">
    <w:abstractNumId w:val="63"/>
  </w:num>
  <w:num w:numId="60">
    <w:abstractNumId w:val="13"/>
  </w:num>
  <w:num w:numId="61">
    <w:abstractNumId w:val="62"/>
  </w:num>
  <w:num w:numId="62">
    <w:abstractNumId w:val="28"/>
  </w:num>
  <w:num w:numId="63">
    <w:abstractNumId w:val="53"/>
  </w:num>
  <w:num w:numId="64">
    <w:abstractNumId w:val="30"/>
  </w:num>
  <w:num w:numId="65">
    <w:abstractNumId w:val="7"/>
  </w:num>
  <w:num w:numId="66">
    <w:abstractNumId w:val="0"/>
  </w:num>
  <w:num w:numId="67">
    <w:abstractNumId w:val="40"/>
  </w:num>
  <w:num w:numId="68">
    <w:abstractNumId w:val="44"/>
  </w:num>
  <w:num w:numId="69">
    <w:abstractNumId w:val="5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016"/>
    <w:rsid w:val="000023A0"/>
    <w:rsid w:val="000031C1"/>
    <w:rsid w:val="00003201"/>
    <w:rsid w:val="00004423"/>
    <w:rsid w:val="00006EF1"/>
    <w:rsid w:val="00007202"/>
    <w:rsid w:val="00014647"/>
    <w:rsid w:val="000155F0"/>
    <w:rsid w:val="00017062"/>
    <w:rsid w:val="000200C0"/>
    <w:rsid w:val="00026717"/>
    <w:rsid w:val="00034F21"/>
    <w:rsid w:val="0003583B"/>
    <w:rsid w:val="000365C0"/>
    <w:rsid w:val="0003792C"/>
    <w:rsid w:val="00041AEB"/>
    <w:rsid w:val="00050C0E"/>
    <w:rsid w:val="0005104F"/>
    <w:rsid w:val="000520AE"/>
    <w:rsid w:val="00052801"/>
    <w:rsid w:val="000546B4"/>
    <w:rsid w:val="00060706"/>
    <w:rsid w:val="00074F0F"/>
    <w:rsid w:val="00075CC8"/>
    <w:rsid w:val="00084638"/>
    <w:rsid w:val="000852FA"/>
    <w:rsid w:val="00085DBF"/>
    <w:rsid w:val="00085DDB"/>
    <w:rsid w:val="000905A5"/>
    <w:rsid w:val="00090C00"/>
    <w:rsid w:val="00095A75"/>
    <w:rsid w:val="00096F94"/>
    <w:rsid w:val="00097349"/>
    <w:rsid w:val="000A2783"/>
    <w:rsid w:val="000A4CC7"/>
    <w:rsid w:val="000A5DA4"/>
    <w:rsid w:val="000A5E87"/>
    <w:rsid w:val="000A7A3D"/>
    <w:rsid w:val="000B0B99"/>
    <w:rsid w:val="000C1502"/>
    <w:rsid w:val="000C2A1A"/>
    <w:rsid w:val="000C54C8"/>
    <w:rsid w:val="000C7A43"/>
    <w:rsid w:val="000D0642"/>
    <w:rsid w:val="000D116C"/>
    <w:rsid w:val="000D204E"/>
    <w:rsid w:val="000D588D"/>
    <w:rsid w:val="000D5D7E"/>
    <w:rsid w:val="000D6564"/>
    <w:rsid w:val="000E0C09"/>
    <w:rsid w:val="000E0EB0"/>
    <w:rsid w:val="000E49DA"/>
    <w:rsid w:val="000E6607"/>
    <w:rsid w:val="000F3F0A"/>
    <w:rsid w:val="000F4C3D"/>
    <w:rsid w:val="00100097"/>
    <w:rsid w:val="001001E6"/>
    <w:rsid w:val="00106DB3"/>
    <w:rsid w:val="00111C90"/>
    <w:rsid w:val="001202EB"/>
    <w:rsid w:val="001222DA"/>
    <w:rsid w:val="0012241D"/>
    <w:rsid w:val="00123BB2"/>
    <w:rsid w:val="0012425A"/>
    <w:rsid w:val="00130C2E"/>
    <w:rsid w:val="00132764"/>
    <w:rsid w:val="001330BE"/>
    <w:rsid w:val="00134B36"/>
    <w:rsid w:val="00137577"/>
    <w:rsid w:val="00137846"/>
    <w:rsid w:val="00140A4A"/>
    <w:rsid w:val="00140DBB"/>
    <w:rsid w:val="001412AD"/>
    <w:rsid w:val="001425BE"/>
    <w:rsid w:val="00143140"/>
    <w:rsid w:val="00145430"/>
    <w:rsid w:val="001466B9"/>
    <w:rsid w:val="00146905"/>
    <w:rsid w:val="00146BC2"/>
    <w:rsid w:val="00146D4C"/>
    <w:rsid w:val="001476EA"/>
    <w:rsid w:val="00150146"/>
    <w:rsid w:val="00151F6F"/>
    <w:rsid w:val="00156FE7"/>
    <w:rsid w:val="001601AD"/>
    <w:rsid w:val="00161DF4"/>
    <w:rsid w:val="00165BCC"/>
    <w:rsid w:val="001728A0"/>
    <w:rsid w:val="00192869"/>
    <w:rsid w:val="00194230"/>
    <w:rsid w:val="0019446E"/>
    <w:rsid w:val="0019681C"/>
    <w:rsid w:val="001A0B4C"/>
    <w:rsid w:val="001A21E3"/>
    <w:rsid w:val="001A2289"/>
    <w:rsid w:val="001A3DA4"/>
    <w:rsid w:val="001A3DBA"/>
    <w:rsid w:val="001A47FD"/>
    <w:rsid w:val="001A4864"/>
    <w:rsid w:val="001B0E84"/>
    <w:rsid w:val="001B3673"/>
    <w:rsid w:val="001B51B9"/>
    <w:rsid w:val="001B6798"/>
    <w:rsid w:val="001C12DB"/>
    <w:rsid w:val="001C1E7B"/>
    <w:rsid w:val="001C3364"/>
    <w:rsid w:val="001C3BE0"/>
    <w:rsid w:val="001C3CEC"/>
    <w:rsid w:val="001C5D47"/>
    <w:rsid w:val="001D11A2"/>
    <w:rsid w:val="001D138D"/>
    <w:rsid w:val="001D2DA9"/>
    <w:rsid w:val="001D709D"/>
    <w:rsid w:val="001E1033"/>
    <w:rsid w:val="001E31A6"/>
    <w:rsid w:val="001E3DB6"/>
    <w:rsid w:val="001E6056"/>
    <w:rsid w:val="001E71A2"/>
    <w:rsid w:val="001F29A1"/>
    <w:rsid w:val="001F3FC1"/>
    <w:rsid w:val="00201087"/>
    <w:rsid w:val="00201227"/>
    <w:rsid w:val="00205CBE"/>
    <w:rsid w:val="00206D4C"/>
    <w:rsid w:val="002141EB"/>
    <w:rsid w:val="002154ED"/>
    <w:rsid w:val="0021560F"/>
    <w:rsid w:val="00222EAD"/>
    <w:rsid w:val="0022494B"/>
    <w:rsid w:val="00226940"/>
    <w:rsid w:val="00227CCB"/>
    <w:rsid w:val="00231058"/>
    <w:rsid w:val="00232C30"/>
    <w:rsid w:val="00233AD2"/>
    <w:rsid w:val="002358BB"/>
    <w:rsid w:val="00237DCB"/>
    <w:rsid w:val="00241228"/>
    <w:rsid w:val="00243337"/>
    <w:rsid w:val="00251479"/>
    <w:rsid w:val="00251D3B"/>
    <w:rsid w:val="00252054"/>
    <w:rsid w:val="002523D1"/>
    <w:rsid w:val="00252598"/>
    <w:rsid w:val="00254BF5"/>
    <w:rsid w:val="00254EF9"/>
    <w:rsid w:val="00255159"/>
    <w:rsid w:val="00256148"/>
    <w:rsid w:val="00261BE0"/>
    <w:rsid w:val="00264CB5"/>
    <w:rsid w:val="002660C3"/>
    <w:rsid w:val="00272040"/>
    <w:rsid w:val="002767BD"/>
    <w:rsid w:val="00281A53"/>
    <w:rsid w:val="00282640"/>
    <w:rsid w:val="00283468"/>
    <w:rsid w:val="00283DA1"/>
    <w:rsid w:val="00284515"/>
    <w:rsid w:val="00287F5A"/>
    <w:rsid w:val="002917C9"/>
    <w:rsid w:val="002941DA"/>
    <w:rsid w:val="00294B97"/>
    <w:rsid w:val="0029531D"/>
    <w:rsid w:val="00295BD3"/>
    <w:rsid w:val="002A1326"/>
    <w:rsid w:val="002A2B6A"/>
    <w:rsid w:val="002B2D92"/>
    <w:rsid w:val="002B34F1"/>
    <w:rsid w:val="002B6EF0"/>
    <w:rsid w:val="002B77D9"/>
    <w:rsid w:val="002B7E5C"/>
    <w:rsid w:val="002C4C94"/>
    <w:rsid w:val="002D3908"/>
    <w:rsid w:val="002D4A23"/>
    <w:rsid w:val="002D4A46"/>
    <w:rsid w:val="002D600F"/>
    <w:rsid w:val="002E12C4"/>
    <w:rsid w:val="002E20F6"/>
    <w:rsid w:val="002F30F5"/>
    <w:rsid w:val="00303B73"/>
    <w:rsid w:val="003072E0"/>
    <w:rsid w:val="003133EB"/>
    <w:rsid w:val="00313DBC"/>
    <w:rsid w:val="003174C3"/>
    <w:rsid w:val="00317830"/>
    <w:rsid w:val="00322252"/>
    <w:rsid w:val="00325E9B"/>
    <w:rsid w:val="00326AD2"/>
    <w:rsid w:val="00332D14"/>
    <w:rsid w:val="00336F0A"/>
    <w:rsid w:val="003409BA"/>
    <w:rsid w:val="003411CE"/>
    <w:rsid w:val="003436F7"/>
    <w:rsid w:val="00344217"/>
    <w:rsid w:val="00347874"/>
    <w:rsid w:val="003549BC"/>
    <w:rsid w:val="00361FB9"/>
    <w:rsid w:val="00361FCE"/>
    <w:rsid w:val="00364F36"/>
    <w:rsid w:val="003655FB"/>
    <w:rsid w:val="0036587D"/>
    <w:rsid w:val="00365978"/>
    <w:rsid w:val="00371D71"/>
    <w:rsid w:val="003739C7"/>
    <w:rsid w:val="00374102"/>
    <w:rsid w:val="00374711"/>
    <w:rsid w:val="00377755"/>
    <w:rsid w:val="00377C9D"/>
    <w:rsid w:val="0038401E"/>
    <w:rsid w:val="00384306"/>
    <w:rsid w:val="00386235"/>
    <w:rsid w:val="00387390"/>
    <w:rsid w:val="003913C4"/>
    <w:rsid w:val="0039292B"/>
    <w:rsid w:val="00394FC0"/>
    <w:rsid w:val="00396C06"/>
    <w:rsid w:val="003A0901"/>
    <w:rsid w:val="003A0FE9"/>
    <w:rsid w:val="003A1E3B"/>
    <w:rsid w:val="003A2238"/>
    <w:rsid w:val="003A3AF7"/>
    <w:rsid w:val="003A5F62"/>
    <w:rsid w:val="003A613D"/>
    <w:rsid w:val="003A6CB4"/>
    <w:rsid w:val="003B3D89"/>
    <w:rsid w:val="003B3F15"/>
    <w:rsid w:val="003B527F"/>
    <w:rsid w:val="003B6333"/>
    <w:rsid w:val="003B6378"/>
    <w:rsid w:val="003C0605"/>
    <w:rsid w:val="003C3027"/>
    <w:rsid w:val="003C5567"/>
    <w:rsid w:val="003D266B"/>
    <w:rsid w:val="003D5A11"/>
    <w:rsid w:val="003E291C"/>
    <w:rsid w:val="003E3296"/>
    <w:rsid w:val="003E4457"/>
    <w:rsid w:val="003E7191"/>
    <w:rsid w:val="003E7C6D"/>
    <w:rsid w:val="003F017B"/>
    <w:rsid w:val="003F2815"/>
    <w:rsid w:val="00401A35"/>
    <w:rsid w:val="0040237B"/>
    <w:rsid w:val="004048BD"/>
    <w:rsid w:val="004121D9"/>
    <w:rsid w:val="00422284"/>
    <w:rsid w:val="00424D8A"/>
    <w:rsid w:val="00425544"/>
    <w:rsid w:val="00427E80"/>
    <w:rsid w:val="004305F8"/>
    <w:rsid w:val="00430A03"/>
    <w:rsid w:val="004348CC"/>
    <w:rsid w:val="0044044C"/>
    <w:rsid w:val="00446BE8"/>
    <w:rsid w:val="00446F46"/>
    <w:rsid w:val="00450ED8"/>
    <w:rsid w:val="00454997"/>
    <w:rsid w:val="00455756"/>
    <w:rsid w:val="00456550"/>
    <w:rsid w:val="004576D7"/>
    <w:rsid w:val="00461534"/>
    <w:rsid w:val="00461D82"/>
    <w:rsid w:val="00462BE6"/>
    <w:rsid w:val="00462FE9"/>
    <w:rsid w:val="00465817"/>
    <w:rsid w:val="00476BAD"/>
    <w:rsid w:val="00476BC4"/>
    <w:rsid w:val="00477C0A"/>
    <w:rsid w:val="00487670"/>
    <w:rsid w:val="0049221D"/>
    <w:rsid w:val="0049576D"/>
    <w:rsid w:val="00497DCA"/>
    <w:rsid w:val="004A3128"/>
    <w:rsid w:val="004A4832"/>
    <w:rsid w:val="004A591E"/>
    <w:rsid w:val="004B36D2"/>
    <w:rsid w:val="004C0329"/>
    <w:rsid w:val="004C083E"/>
    <w:rsid w:val="004C0FB3"/>
    <w:rsid w:val="004C1475"/>
    <w:rsid w:val="004C200E"/>
    <w:rsid w:val="004C568B"/>
    <w:rsid w:val="004C5F3A"/>
    <w:rsid w:val="004C63A0"/>
    <w:rsid w:val="004C786F"/>
    <w:rsid w:val="004D0CB0"/>
    <w:rsid w:val="004D7546"/>
    <w:rsid w:val="004D7610"/>
    <w:rsid w:val="004E1C02"/>
    <w:rsid w:val="004E2AC3"/>
    <w:rsid w:val="004E56B3"/>
    <w:rsid w:val="004F1E19"/>
    <w:rsid w:val="004F2ED8"/>
    <w:rsid w:val="004F3426"/>
    <w:rsid w:val="004F417D"/>
    <w:rsid w:val="004F5E9E"/>
    <w:rsid w:val="004F62B8"/>
    <w:rsid w:val="004F7D50"/>
    <w:rsid w:val="00502D18"/>
    <w:rsid w:val="005036CC"/>
    <w:rsid w:val="005065E8"/>
    <w:rsid w:val="005133EC"/>
    <w:rsid w:val="005164FF"/>
    <w:rsid w:val="005209F8"/>
    <w:rsid w:val="005243E8"/>
    <w:rsid w:val="00530113"/>
    <w:rsid w:val="005338A7"/>
    <w:rsid w:val="00533D97"/>
    <w:rsid w:val="00540C7D"/>
    <w:rsid w:val="005417BC"/>
    <w:rsid w:val="0054335D"/>
    <w:rsid w:val="00543AC0"/>
    <w:rsid w:val="00543B0D"/>
    <w:rsid w:val="0054479F"/>
    <w:rsid w:val="00547D8A"/>
    <w:rsid w:val="005506FB"/>
    <w:rsid w:val="00550C2D"/>
    <w:rsid w:val="00550D51"/>
    <w:rsid w:val="005612B9"/>
    <w:rsid w:val="0056187D"/>
    <w:rsid w:val="00562956"/>
    <w:rsid w:val="005634A0"/>
    <w:rsid w:val="0056374F"/>
    <w:rsid w:val="00563987"/>
    <w:rsid w:val="00564D7E"/>
    <w:rsid w:val="0057097E"/>
    <w:rsid w:val="00570F19"/>
    <w:rsid w:val="00574DFD"/>
    <w:rsid w:val="005804C0"/>
    <w:rsid w:val="00582A0C"/>
    <w:rsid w:val="005916DF"/>
    <w:rsid w:val="005956CE"/>
    <w:rsid w:val="005A22C7"/>
    <w:rsid w:val="005A2DD2"/>
    <w:rsid w:val="005A3C22"/>
    <w:rsid w:val="005A6635"/>
    <w:rsid w:val="005B0D17"/>
    <w:rsid w:val="005B2B98"/>
    <w:rsid w:val="005B4E64"/>
    <w:rsid w:val="005C172C"/>
    <w:rsid w:val="005C31A0"/>
    <w:rsid w:val="005C3DF6"/>
    <w:rsid w:val="005C5BEF"/>
    <w:rsid w:val="005D253E"/>
    <w:rsid w:val="005D4572"/>
    <w:rsid w:val="005E1696"/>
    <w:rsid w:val="005E48D2"/>
    <w:rsid w:val="005F1585"/>
    <w:rsid w:val="005F2D70"/>
    <w:rsid w:val="00602A9B"/>
    <w:rsid w:val="0060744D"/>
    <w:rsid w:val="006115A9"/>
    <w:rsid w:val="00613E3D"/>
    <w:rsid w:val="006146A2"/>
    <w:rsid w:val="0061786B"/>
    <w:rsid w:val="00622532"/>
    <w:rsid w:val="0062556A"/>
    <w:rsid w:val="00631C9A"/>
    <w:rsid w:val="0063296B"/>
    <w:rsid w:val="0063341F"/>
    <w:rsid w:val="006368DE"/>
    <w:rsid w:val="00637689"/>
    <w:rsid w:val="00643039"/>
    <w:rsid w:val="006444DF"/>
    <w:rsid w:val="00647C63"/>
    <w:rsid w:val="00647F7E"/>
    <w:rsid w:val="00650382"/>
    <w:rsid w:val="0065251F"/>
    <w:rsid w:val="00655702"/>
    <w:rsid w:val="00655904"/>
    <w:rsid w:val="00665734"/>
    <w:rsid w:val="006661AB"/>
    <w:rsid w:val="006671D3"/>
    <w:rsid w:val="00667690"/>
    <w:rsid w:val="006710C4"/>
    <w:rsid w:val="006740E4"/>
    <w:rsid w:val="00675CB2"/>
    <w:rsid w:val="00682030"/>
    <w:rsid w:val="0068629A"/>
    <w:rsid w:val="006925EC"/>
    <w:rsid w:val="006938C6"/>
    <w:rsid w:val="00694354"/>
    <w:rsid w:val="006948CD"/>
    <w:rsid w:val="00695FE6"/>
    <w:rsid w:val="006B1B55"/>
    <w:rsid w:val="006C4C0D"/>
    <w:rsid w:val="006D161C"/>
    <w:rsid w:val="006D302C"/>
    <w:rsid w:val="006D4FA3"/>
    <w:rsid w:val="006D5B2D"/>
    <w:rsid w:val="006D730E"/>
    <w:rsid w:val="006E090E"/>
    <w:rsid w:val="006E27E2"/>
    <w:rsid w:val="006E2EFC"/>
    <w:rsid w:val="006E3F1E"/>
    <w:rsid w:val="006E72FA"/>
    <w:rsid w:val="006E77F9"/>
    <w:rsid w:val="006F3865"/>
    <w:rsid w:val="00701F96"/>
    <w:rsid w:val="007020A8"/>
    <w:rsid w:val="00702F17"/>
    <w:rsid w:val="00710736"/>
    <w:rsid w:val="007152F3"/>
    <w:rsid w:val="00717EE1"/>
    <w:rsid w:val="00717FD6"/>
    <w:rsid w:val="00725849"/>
    <w:rsid w:val="00727A92"/>
    <w:rsid w:val="00731E6C"/>
    <w:rsid w:val="00732315"/>
    <w:rsid w:val="00734643"/>
    <w:rsid w:val="007477C4"/>
    <w:rsid w:val="00747EEE"/>
    <w:rsid w:val="00752765"/>
    <w:rsid w:val="007544DC"/>
    <w:rsid w:val="00755306"/>
    <w:rsid w:val="00757D3E"/>
    <w:rsid w:val="007640CB"/>
    <w:rsid w:val="00767654"/>
    <w:rsid w:val="00770CA5"/>
    <w:rsid w:val="00773E94"/>
    <w:rsid w:val="00776C83"/>
    <w:rsid w:val="00776F90"/>
    <w:rsid w:val="00781CB1"/>
    <w:rsid w:val="00783E07"/>
    <w:rsid w:val="00785016"/>
    <w:rsid w:val="007850C2"/>
    <w:rsid w:val="00786A4E"/>
    <w:rsid w:val="00787ECA"/>
    <w:rsid w:val="007905E5"/>
    <w:rsid w:val="00790AD5"/>
    <w:rsid w:val="007924D9"/>
    <w:rsid w:val="007939A2"/>
    <w:rsid w:val="007943B5"/>
    <w:rsid w:val="007A1687"/>
    <w:rsid w:val="007A4D90"/>
    <w:rsid w:val="007A59D5"/>
    <w:rsid w:val="007A5A64"/>
    <w:rsid w:val="007A5DD0"/>
    <w:rsid w:val="007A7938"/>
    <w:rsid w:val="007B234D"/>
    <w:rsid w:val="007C0CC4"/>
    <w:rsid w:val="007C1D8A"/>
    <w:rsid w:val="007C264D"/>
    <w:rsid w:val="007C3AFA"/>
    <w:rsid w:val="007C425E"/>
    <w:rsid w:val="007C5B31"/>
    <w:rsid w:val="007D076E"/>
    <w:rsid w:val="007D0AD3"/>
    <w:rsid w:val="007D16EB"/>
    <w:rsid w:val="007D4743"/>
    <w:rsid w:val="007D6FE9"/>
    <w:rsid w:val="007E29A8"/>
    <w:rsid w:val="007E370B"/>
    <w:rsid w:val="007E4DF6"/>
    <w:rsid w:val="007E6DDC"/>
    <w:rsid w:val="007F69E2"/>
    <w:rsid w:val="007F74BD"/>
    <w:rsid w:val="007F7798"/>
    <w:rsid w:val="00801D01"/>
    <w:rsid w:val="00802616"/>
    <w:rsid w:val="008057C4"/>
    <w:rsid w:val="00806BD0"/>
    <w:rsid w:val="008102E0"/>
    <w:rsid w:val="00813BFD"/>
    <w:rsid w:val="00817C6C"/>
    <w:rsid w:val="00821FBB"/>
    <w:rsid w:val="00830267"/>
    <w:rsid w:val="008309C7"/>
    <w:rsid w:val="00831446"/>
    <w:rsid w:val="00832CA5"/>
    <w:rsid w:val="008339E2"/>
    <w:rsid w:val="008342DD"/>
    <w:rsid w:val="0083445C"/>
    <w:rsid w:val="008353FD"/>
    <w:rsid w:val="00836CE9"/>
    <w:rsid w:val="00841752"/>
    <w:rsid w:val="00841A4C"/>
    <w:rsid w:val="00845544"/>
    <w:rsid w:val="00845BDB"/>
    <w:rsid w:val="00854F92"/>
    <w:rsid w:val="00857ECA"/>
    <w:rsid w:val="00862076"/>
    <w:rsid w:val="008621E7"/>
    <w:rsid w:val="00864843"/>
    <w:rsid w:val="008650CB"/>
    <w:rsid w:val="008723ED"/>
    <w:rsid w:val="008735D7"/>
    <w:rsid w:val="00877645"/>
    <w:rsid w:val="0088420F"/>
    <w:rsid w:val="008872A7"/>
    <w:rsid w:val="00887F0E"/>
    <w:rsid w:val="0089379E"/>
    <w:rsid w:val="008A0042"/>
    <w:rsid w:val="008A08AF"/>
    <w:rsid w:val="008A3321"/>
    <w:rsid w:val="008A3673"/>
    <w:rsid w:val="008A6FEE"/>
    <w:rsid w:val="008B0367"/>
    <w:rsid w:val="008B0425"/>
    <w:rsid w:val="008B1365"/>
    <w:rsid w:val="008B1F9C"/>
    <w:rsid w:val="008B362D"/>
    <w:rsid w:val="008B3EB6"/>
    <w:rsid w:val="008B588B"/>
    <w:rsid w:val="008B7135"/>
    <w:rsid w:val="008C3FF3"/>
    <w:rsid w:val="008C4FD4"/>
    <w:rsid w:val="008C6AEF"/>
    <w:rsid w:val="008D260B"/>
    <w:rsid w:val="008D46F1"/>
    <w:rsid w:val="008D4724"/>
    <w:rsid w:val="008D5255"/>
    <w:rsid w:val="008D5793"/>
    <w:rsid w:val="008D5A80"/>
    <w:rsid w:val="008E15FD"/>
    <w:rsid w:val="008E2486"/>
    <w:rsid w:val="008E5384"/>
    <w:rsid w:val="008E75FE"/>
    <w:rsid w:val="008F2AB3"/>
    <w:rsid w:val="008F3B77"/>
    <w:rsid w:val="008F447C"/>
    <w:rsid w:val="008F5658"/>
    <w:rsid w:val="008F627E"/>
    <w:rsid w:val="008F755B"/>
    <w:rsid w:val="009006B8"/>
    <w:rsid w:val="00906308"/>
    <w:rsid w:val="00910688"/>
    <w:rsid w:val="009108CF"/>
    <w:rsid w:val="00911DAC"/>
    <w:rsid w:val="009133E8"/>
    <w:rsid w:val="009151F6"/>
    <w:rsid w:val="00916DD3"/>
    <w:rsid w:val="00917425"/>
    <w:rsid w:val="00924178"/>
    <w:rsid w:val="00924588"/>
    <w:rsid w:val="009267A0"/>
    <w:rsid w:val="00927A6D"/>
    <w:rsid w:val="00931F3A"/>
    <w:rsid w:val="009344C3"/>
    <w:rsid w:val="00936EF6"/>
    <w:rsid w:val="0094461E"/>
    <w:rsid w:val="00947F27"/>
    <w:rsid w:val="00953A05"/>
    <w:rsid w:val="009540FC"/>
    <w:rsid w:val="00955824"/>
    <w:rsid w:val="00955E44"/>
    <w:rsid w:val="00956A6E"/>
    <w:rsid w:val="00963423"/>
    <w:rsid w:val="00963AA5"/>
    <w:rsid w:val="00964233"/>
    <w:rsid w:val="009743D2"/>
    <w:rsid w:val="00974D0E"/>
    <w:rsid w:val="009761AC"/>
    <w:rsid w:val="0098685C"/>
    <w:rsid w:val="00986D1A"/>
    <w:rsid w:val="009907B5"/>
    <w:rsid w:val="00991FDB"/>
    <w:rsid w:val="009947B7"/>
    <w:rsid w:val="00994BBE"/>
    <w:rsid w:val="009A3258"/>
    <w:rsid w:val="009A336D"/>
    <w:rsid w:val="009A4E81"/>
    <w:rsid w:val="009A57E0"/>
    <w:rsid w:val="009A663F"/>
    <w:rsid w:val="009B089E"/>
    <w:rsid w:val="009D6633"/>
    <w:rsid w:val="009E0298"/>
    <w:rsid w:val="009E5D72"/>
    <w:rsid w:val="009E7C12"/>
    <w:rsid w:val="009F29CB"/>
    <w:rsid w:val="009F2DD0"/>
    <w:rsid w:val="00A01C15"/>
    <w:rsid w:val="00A026BF"/>
    <w:rsid w:val="00A065DB"/>
    <w:rsid w:val="00A10573"/>
    <w:rsid w:val="00A10D5B"/>
    <w:rsid w:val="00A119F0"/>
    <w:rsid w:val="00A15900"/>
    <w:rsid w:val="00A20A4C"/>
    <w:rsid w:val="00A21230"/>
    <w:rsid w:val="00A22157"/>
    <w:rsid w:val="00A22933"/>
    <w:rsid w:val="00A2494F"/>
    <w:rsid w:val="00A262ED"/>
    <w:rsid w:val="00A27D78"/>
    <w:rsid w:val="00A3109D"/>
    <w:rsid w:val="00A31D15"/>
    <w:rsid w:val="00A3292D"/>
    <w:rsid w:val="00A32FBA"/>
    <w:rsid w:val="00A33912"/>
    <w:rsid w:val="00A358A3"/>
    <w:rsid w:val="00A40403"/>
    <w:rsid w:val="00A404B6"/>
    <w:rsid w:val="00A412AD"/>
    <w:rsid w:val="00A43BEB"/>
    <w:rsid w:val="00A523FE"/>
    <w:rsid w:val="00A544E9"/>
    <w:rsid w:val="00A558D6"/>
    <w:rsid w:val="00A5596E"/>
    <w:rsid w:val="00A618FA"/>
    <w:rsid w:val="00A67163"/>
    <w:rsid w:val="00A71F9E"/>
    <w:rsid w:val="00A73EEA"/>
    <w:rsid w:val="00A75B55"/>
    <w:rsid w:val="00A8385A"/>
    <w:rsid w:val="00A8461A"/>
    <w:rsid w:val="00A86AF3"/>
    <w:rsid w:val="00A93FC7"/>
    <w:rsid w:val="00A9633B"/>
    <w:rsid w:val="00A96385"/>
    <w:rsid w:val="00AA3518"/>
    <w:rsid w:val="00AB58EC"/>
    <w:rsid w:val="00AB786A"/>
    <w:rsid w:val="00AC25B2"/>
    <w:rsid w:val="00AC33A2"/>
    <w:rsid w:val="00AC55A9"/>
    <w:rsid w:val="00AC6FE7"/>
    <w:rsid w:val="00AD1014"/>
    <w:rsid w:val="00AE4F41"/>
    <w:rsid w:val="00AF5DAC"/>
    <w:rsid w:val="00AF7CFF"/>
    <w:rsid w:val="00B01C9B"/>
    <w:rsid w:val="00B02046"/>
    <w:rsid w:val="00B0329A"/>
    <w:rsid w:val="00B070B6"/>
    <w:rsid w:val="00B07AE2"/>
    <w:rsid w:val="00B146CC"/>
    <w:rsid w:val="00B15831"/>
    <w:rsid w:val="00B20628"/>
    <w:rsid w:val="00B234E8"/>
    <w:rsid w:val="00B24D94"/>
    <w:rsid w:val="00B32D28"/>
    <w:rsid w:val="00B332FA"/>
    <w:rsid w:val="00B35046"/>
    <w:rsid w:val="00B355FE"/>
    <w:rsid w:val="00B36154"/>
    <w:rsid w:val="00B3737E"/>
    <w:rsid w:val="00B37433"/>
    <w:rsid w:val="00B418C0"/>
    <w:rsid w:val="00B42289"/>
    <w:rsid w:val="00B4529B"/>
    <w:rsid w:val="00B45670"/>
    <w:rsid w:val="00B51A9A"/>
    <w:rsid w:val="00B531A1"/>
    <w:rsid w:val="00B62DA6"/>
    <w:rsid w:val="00B64344"/>
    <w:rsid w:val="00B673CE"/>
    <w:rsid w:val="00B67EFA"/>
    <w:rsid w:val="00B719F8"/>
    <w:rsid w:val="00B71D60"/>
    <w:rsid w:val="00B74F78"/>
    <w:rsid w:val="00B7688A"/>
    <w:rsid w:val="00B80742"/>
    <w:rsid w:val="00B8132C"/>
    <w:rsid w:val="00B84D17"/>
    <w:rsid w:val="00B86125"/>
    <w:rsid w:val="00B91DBD"/>
    <w:rsid w:val="00B92D99"/>
    <w:rsid w:val="00B94F31"/>
    <w:rsid w:val="00B95438"/>
    <w:rsid w:val="00B961A5"/>
    <w:rsid w:val="00B96F7B"/>
    <w:rsid w:val="00BA0DD7"/>
    <w:rsid w:val="00BA1D12"/>
    <w:rsid w:val="00BA5705"/>
    <w:rsid w:val="00BB0FBA"/>
    <w:rsid w:val="00BB3AF3"/>
    <w:rsid w:val="00BC05A3"/>
    <w:rsid w:val="00BC15FF"/>
    <w:rsid w:val="00BC23A2"/>
    <w:rsid w:val="00BC4633"/>
    <w:rsid w:val="00BC5A32"/>
    <w:rsid w:val="00BD3739"/>
    <w:rsid w:val="00BD3E8A"/>
    <w:rsid w:val="00BD6FE5"/>
    <w:rsid w:val="00BD708F"/>
    <w:rsid w:val="00BD73F1"/>
    <w:rsid w:val="00BF0B2D"/>
    <w:rsid w:val="00C0172D"/>
    <w:rsid w:val="00C05D70"/>
    <w:rsid w:val="00C069AC"/>
    <w:rsid w:val="00C07E3C"/>
    <w:rsid w:val="00C1077F"/>
    <w:rsid w:val="00C11BB2"/>
    <w:rsid w:val="00C150A0"/>
    <w:rsid w:val="00C16830"/>
    <w:rsid w:val="00C1728D"/>
    <w:rsid w:val="00C20329"/>
    <w:rsid w:val="00C249DE"/>
    <w:rsid w:val="00C25AF9"/>
    <w:rsid w:val="00C277A6"/>
    <w:rsid w:val="00C333B6"/>
    <w:rsid w:val="00C344DD"/>
    <w:rsid w:val="00C34832"/>
    <w:rsid w:val="00C35D8B"/>
    <w:rsid w:val="00C36D88"/>
    <w:rsid w:val="00C36E2B"/>
    <w:rsid w:val="00C5251F"/>
    <w:rsid w:val="00C52F76"/>
    <w:rsid w:val="00C53BBA"/>
    <w:rsid w:val="00C53F86"/>
    <w:rsid w:val="00C54DA8"/>
    <w:rsid w:val="00C577DD"/>
    <w:rsid w:val="00C60EEB"/>
    <w:rsid w:val="00C643F4"/>
    <w:rsid w:val="00C67252"/>
    <w:rsid w:val="00C73091"/>
    <w:rsid w:val="00C76057"/>
    <w:rsid w:val="00C82AB5"/>
    <w:rsid w:val="00C907D5"/>
    <w:rsid w:val="00C9346C"/>
    <w:rsid w:val="00C94F0F"/>
    <w:rsid w:val="00C95FF5"/>
    <w:rsid w:val="00C9737F"/>
    <w:rsid w:val="00C974D6"/>
    <w:rsid w:val="00C978A5"/>
    <w:rsid w:val="00CA04AE"/>
    <w:rsid w:val="00CA0CDB"/>
    <w:rsid w:val="00CA2CA6"/>
    <w:rsid w:val="00CA4AAA"/>
    <w:rsid w:val="00CA5DCC"/>
    <w:rsid w:val="00CA5F3E"/>
    <w:rsid w:val="00CB0DFC"/>
    <w:rsid w:val="00CB3176"/>
    <w:rsid w:val="00CB37AE"/>
    <w:rsid w:val="00CB6C8D"/>
    <w:rsid w:val="00CC03F3"/>
    <w:rsid w:val="00CC1378"/>
    <w:rsid w:val="00CC2ADE"/>
    <w:rsid w:val="00CC6778"/>
    <w:rsid w:val="00CC6882"/>
    <w:rsid w:val="00CD7E5C"/>
    <w:rsid w:val="00CE0161"/>
    <w:rsid w:val="00CE1587"/>
    <w:rsid w:val="00CE2FAE"/>
    <w:rsid w:val="00CE3A09"/>
    <w:rsid w:val="00CE68C2"/>
    <w:rsid w:val="00CE76F8"/>
    <w:rsid w:val="00CF0205"/>
    <w:rsid w:val="00CF3773"/>
    <w:rsid w:val="00CF3BD7"/>
    <w:rsid w:val="00CF520A"/>
    <w:rsid w:val="00CF6C1A"/>
    <w:rsid w:val="00CF7AA0"/>
    <w:rsid w:val="00CF7B67"/>
    <w:rsid w:val="00D01BD7"/>
    <w:rsid w:val="00D01CAD"/>
    <w:rsid w:val="00D02305"/>
    <w:rsid w:val="00D0449D"/>
    <w:rsid w:val="00D04BF1"/>
    <w:rsid w:val="00D06006"/>
    <w:rsid w:val="00D106D3"/>
    <w:rsid w:val="00D12322"/>
    <w:rsid w:val="00D13FF4"/>
    <w:rsid w:val="00D158B2"/>
    <w:rsid w:val="00D17B08"/>
    <w:rsid w:val="00D21348"/>
    <w:rsid w:val="00D22268"/>
    <w:rsid w:val="00D225AF"/>
    <w:rsid w:val="00D24EE0"/>
    <w:rsid w:val="00D33D7E"/>
    <w:rsid w:val="00D34849"/>
    <w:rsid w:val="00D4062F"/>
    <w:rsid w:val="00D40829"/>
    <w:rsid w:val="00D43D29"/>
    <w:rsid w:val="00D4533D"/>
    <w:rsid w:val="00D50AAA"/>
    <w:rsid w:val="00D514B2"/>
    <w:rsid w:val="00D5266D"/>
    <w:rsid w:val="00D54143"/>
    <w:rsid w:val="00D60DD9"/>
    <w:rsid w:val="00D64D50"/>
    <w:rsid w:val="00D7307E"/>
    <w:rsid w:val="00D734F2"/>
    <w:rsid w:val="00D756F0"/>
    <w:rsid w:val="00D80C72"/>
    <w:rsid w:val="00D83EFE"/>
    <w:rsid w:val="00D87FA9"/>
    <w:rsid w:val="00D96CDB"/>
    <w:rsid w:val="00D96E71"/>
    <w:rsid w:val="00DA0474"/>
    <w:rsid w:val="00DA6E85"/>
    <w:rsid w:val="00DA76A0"/>
    <w:rsid w:val="00DB2544"/>
    <w:rsid w:val="00DB3314"/>
    <w:rsid w:val="00DB36A1"/>
    <w:rsid w:val="00DC0F2B"/>
    <w:rsid w:val="00DC379E"/>
    <w:rsid w:val="00DC3812"/>
    <w:rsid w:val="00DC39E8"/>
    <w:rsid w:val="00DC3C27"/>
    <w:rsid w:val="00DC5B9C"/>
    <w:rsid w:val="00DC7B30"/>
    <w:rsid w:val="00DD071F"/>
    <w:rsid w:val="00DD16EF"/>
    <w:rsid w:val="00DD2551"/>
    <w:rsid w:val="00DE32CF"/>
    <w:rsid w:val="00DE665A"/>
    <w:rsid w:val="00DF277E"/>
    <w:rsid w:val="00DF56AE"/>
    <w:rsid w:val="00DF5BAA"/>
    <w:rsid w:val="00E12B19"/>
    <w:rsid w:val="00E13CCA"/>
    <w:rsid w:val="00E15AF6"/>
    <w:rsid w:val="00E176B7"/>
    <w:rsid w:val="00E213BC"/>
    <w:rsid w:val="00E235C0"/>
    <w:rsid w:val="00E237AF"/>
    <w:rsid w:val="00E2500B"/>
    <w:rsid w:val="00E259D8"/>
    <w:rsid w:val="00E2624C"/>
    <w:rsid w:val="00E27B5E"/>
    <w:rsid w:val="00E30817"/>
    <w:rsid w:val="00E30E31"/>
    <w:rsid w:val="00E34246"/>
    <w:rsid w:val="00E35496"/>
    <w:rsid w:val="00E379A3"/>
    <w:rsid w:val="00E477D8"/>
    <w:rsid w:val="00E50929"/>
    <w:rsid w:val="00E5199A"/>
    <w:rsid w:val="00E51EC8"/>
    <w:rsid w:val="00E56ACC"/>
    <w:rsid w:val="00E64B32"/>
    <w:rsid w:val="00E64C58"/>
    <w:rsid w:val="00E65DC3"/>
    <w:rsid w:val="00E66BCC"/>
    <w:rsid w:val="00E678F8"/>
    <w:rsid w:val="00E708F2"/>
    <w:rsid w:val="00E76382"/>
    <w:rsid w:val="00E83888"/>
    <w:rsid w:val="00E84DAF"/>
    <w:rsid w:val="00E84DC1"/>
    <w:rsid w:val="00E85DAA"/>
    <w:rsid w:val="00E94E2B"/>
    <w:rsid w:val="00E96D7B"/>
    <w:rsid w:val="00EA6496"/>
    <w:rsid w:val="00EA6B47"/>
    <w:rsid w:val="00EB025A"/>
    <w:rsid w:val="00EB1D94"/>
    <w:rsid w:val="00EB2E7A"/>
    <w:rsid w:val="00EB3372"/>
    <w:rsid w:val="00EB59B8"/>
    <w:rsid w:val="00EB635E"/>
    <w:rsid w:val="00EC13EA"/>
    <w:rsid w:val="00EC4303"/>
    <w:rsid w:val="00EC53CA"/>
    <w:rsid w:val="00EC58EF"/>
    <w:rsid w:val="00EC7303"/>
    <w:rsid w:val="00ED09D9"/>
    <w:rsid w:val="00ED58A1"/>
    <w:rsid w:val="00ED67BE"/>
    <w:rsid w:val="00EE0D92"/>
    <w:rsid w:val="00EE0E51"/>
    <w:rsid w:val="00EE2C9D"/>
    <w:rsid w:val="00EE4C28"/>
    <w:rsid w:val="00EE6E59"/>
    <w:rsid w:val="00EF10EC"/>
    <w:rsid w:val="00F027B2"/>
    <w:rsid w:val="00F069FA"/>
    <w:rsid w:val="00F06D11"/>
    <w:rsid w:val="00F071E9"/>
    <w:rsid w:val="00F14FA4"/>
    <w:rsid w:val="00F15960"/>
    <w:rsid w:val="00F1746E"/>
    <w:rsid w:val="00F2769D"/>
    <w:rsid w:val="00F34A62"/>
    <w:rsid w:val="00F35158"/>
    <w:rsid w:val="00F35DCC"/>
    <w:rsid w:val="00F40781"/>
    <w:rsid w:val="00F407B2"/>
    <w:rsid w:val="00F47E25"/>
    <w:rsid w:val="00F50968"/>
    <w:rsid w:val="00F55ECB"/>
    <w:rsid w:val="00F57068"/>
    <w:rsid w:val="00F5720F"/>
    <w:rsid w:val="00F61524"/>
    <w:rsid w:val="00F623D8"/>
    <w:rsid w:val="00F643E6"/>
    <w:rsid w:val="00F646ED"/>
    <w:rsid w:val="00F66335"/>
    <w:rsid w:val="00F66C3C"/>
    <w:rsid w:val="00F8068A"/>
    <w:rsid w:val="00F8489B"/>
    <w:rsid w:val="00F86F60"/>
    <w:rsid w:val="00F87AE7"/>
    <w:rsid w:val="00F92E94"/>
    <w:rsid w:val="00F93FD4"/>
    <w:rsid w:val="00F94D19"/>
    <w:rsid w:val="00FA5120"/>
    <w:rsid w:val="00FA7E43"/>
    <w:rsid w:val="00FB08AF"/>
    <w:rsid w:val="00FB24C5"/>
    <w:rsid w:val="00FB36E7"/>
    <w:rsid w:val="00FB56ED"/>
    <w:rsid w:val="00FB5A1D"/>
    <w:rsid w:val="00FC6215"/>
    <w:rsid w:val="00FC7267"/>
    <w:rsid w:val="00FC72A4"/>
    <w:rsid w:val="00FD00B9"/>
    <w:rsid w:val="00FD101F"/>
    <w:rsid w:val="00FD391E"/>
    <w:rsid w:val="00FE06C5"/>
    <w:rsid w:val="00FE08DB"/>
    <w:rsid w:val="00FE41A9"/>
    <w:rsid w:val="00FF19D2"/>
    <w:rsid w:val="00FF6E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CE50F"/>
  <w15:chartTrackingRefBased/>
  <w15:docId w15:val="{295F6D5F-88B8-408B-9302-CF6D3F442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122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062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2062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paragraph,List Paragraph (numbered (a)),Normal1,Table/Figure Heading,Bullets,References,List Paragraph2,normal,Premier,Paragraphe de liste1,Liste 1,Numbered List Paragraph,ReferencesCxSpLast,Paragraphe de liste,Paragrap"/>
    <w:basedOn w:val="Normal"/>
    <w:link w:val="ListParagraphChar"/>
    <w:uiPriority w:val="34"/>
    <w:qFormat/>
    <w:rsid w:val="00785016"/>
    <w:pPr>
      <w:ind w:left="720"/>
      <w:contextualSpacing/>
    </w:pPr>
  </w:style>
  <w:style w:type="character" w:customStyle="1" w:styleId="ListParagraphChar">
    <w:name w:val="List Paragraph Char"/>
    <w:aliases w:val="Numbered paragraph Char,List Paragraph (numbered (a)) Char,Normal1 Char,Table/Figure Heading Char,Bullets Char,References Char,List Paragraph2 Char,normal Char,Premier Char,Paragraphe de liste1 Char,Liste 1 Char,Paragrap Char"/>
    <w:link w:val="ListParagraph"/>
    <w:uiPriority w:val="34"/>
    <w:qFormat/>
    <w:rsid w:val="00785016"/>
  </w:style>
  <w:style w:type="character" w:customStyle="1" w:styleId="Heading1Char">
    <w:name w:val="Heading 1 Char"/>
    <w:basedOn w:val="DefaultParagraphFont"/>
    <w:link w:val="Heading1"/>
    <w:uiPriority w:val="9"/>
    <w:rsid w:val="00241228"/>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9133E8"/>
    <w:pPr>
      <w:outlineLvl w:val="9"/>
    </w:pPr>
    <w:rPr>
      <w:lang w:val="en-US"/>
    </w:rPr>
  </w:style>
  <w:style w:type="paragraph" w:styleId="TOC1">
    <w:name w:val="toc 1"/>
    <w:basedOn w:val="Normal"/>
    <w:next w:val="Normal"/>
    <w:autoRedefine/>
    <w:uiPriority w:val="39"/>
    <w:unhideWhenUsed/>
    <w:rsid w:val="009133E8"/>
    <w:pPr>
      <w:spacing w:after="100"/>
    </w:pPr>
  </w:style>
  <w:style w:type="character" w:styleId="Hyperlink">
    <w:name w:val="Hyperlink"/>
    <w:basedOn w:val="DefaultParagraphFont"/>
    <w:uiPriority w:val="99"/>
    <w:unhideWhenUsed/>
    <w:rsid w:val="009133E8"/>
    <w:rPr>
      <w:color w:val="0000FF" w:themeColor="hyperlink"/>
      <w:u w:val="single"/>
    </w:rPr>
  </w:style>
  <w:style w:type="character" w:customStyle="1" w:styleId="Heading2Char">
    <w:name w:val="Heading 2 Char"/>
    <w:basedOn w:val="DefaultParagraphFont"/>
    <w:link w:val="Heading2"/>
    <w:uiPriority w:val="9"/>
    <w:rsid w:val="00B2062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B20628"/>
    <w:rPr>
      <w:rFonts w:asciiTheme="majorHAnsi" w:eastAsiaTheme="majorEastAsia" w:hAnsiTheme="majorHAnsi" w:cstheme="majorBidi"/>
      <w:color w:val="243F60" w:themeColor="accent1" w:themeShade="7F"/>
      <w:sz w:val="24"/>
      <w:szCs w:val="24"/>
    </w:rPr>
  </w:style>
  <w:style w:type="paragraph" w:styleId="TOC2">
    <w:name w:val="toc 2"/>
    <w:basedOn w:val="Normal"/>
    <w:next w:val="Normal"/>
    <w:autoRedefine/>
    <w:uiPriority w:val="39"/>
    <w:unhideWhenUsed/>
    <w:rsid w:val="008F627E"/>
    <w:pPr>
      <w:spacing w:after="100"/>
      <w:ind w:left="220"/>
    </w:pPr>
  </w:style>
  <w:style w:type="paragraph" w:styleId="TOC3">
    <w:name w:val="toc 3"/>
    <w:basedOn w:val="Normal"/>
    <w:next w:val="Normal"/>
    <w:autoRedefine/>
    <w:uiPriority w:val="39"/>
    <w:unhideWhenUsed/>
    <w:rsid w:val="008F627E"/>
    <w:pPr>
      <w:spacing w:after="100"/>
      <w:ind w:left="440"/>
    </w:pPr>
  </w:style>
  <w:style w:type="paragraph" w:styleId="FootnoteText">
    <w:name w:val="footnote text"/>
    <w:basedOn w:val="Normal"/>
    <w:link w:val="FootnoteTextChar"/>
    <w:uiPriority w:val="99"/>
    <w:semiHidden/>
    <w:unhideWhenUsed/>
    <w:rsid w:val="00B020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02046"/>
    <w:rPr>
      <w:sz w:val="20"/>
      <w:szCs w:val="20"/>
    </w:rPr>
  </w:style>
  <w:style w:type="character" w:styleId="FootnoteReference">
    <w:name w:val="footnote reference"/>
    <w:basedOn w:val="DefaultParagraphFont"/>
    <w:uiPriority w:val="99"/>
    <w:semiHidden/>
    <w:unhideWhenUsed/>
    <w:rsid w:val="00B02046"/>
    <w:rPr>
      <w:vertAlign w:val="superscript"/>
    </w:rPr>
  </w:style>
  <w:style w:type="table" w:styleId="GridTable1Light">
    <w:name w:val="Grid Table 1 Light"/>
    <w:basedOn w:val="TableNormal"/>
    <w:uiPriority w:val="46"/>
    <w:rsid w:val="00550C2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yiv6760796677msonormal">
    <w:name w:val="yiv6760796677msonormal"/>
    <w:basedOn w:val="Normal"/>
    <w:rsid w:val="007A59D5"/>
    <w:pPr>
      <w:spacing w:before="100" w:beforeAutospacing="1" w:after="100" w:afterAutospacing="1" w:line="240" w:lineRule="auto"/>
    </w:pPr>
    <w:rPr>
      <w:rFonts w:ascii="Times New Roman" w:eastAsia="Times New Roman" w:hAnsi="Times New Roman" w:cs="Times New Roman"/>
      <w:sz w:val="24"/>
      <w:szCs w:val="24"/>
      <w:lang w:val="pt-PT" w:eastAsia="pt-PT"/>
    </w:rPr>
  </w:style>
  <w:style w:type="table" w:styleId="TableGrid">
    <w:name w:val="Table Grid"/>
    <w:basedOn w:val="TableNormal"/>
    <w:uiPriority w:val="39"/>
    <w:rsid w:val="006E2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descriptionChar">
    <w:name w:val="footnote description Char"/>
    <w:link w:val="footnotedescription"/>
    <w:locked/>
    <w:rsid w:val="0021560F"/>
    <w:rPr>
      <w:rFonts w:ascii="Calibri" w:eastAsia="Calibri" w:hAnsi="Calibri" w:cs="Calibri"/>
      <w:color w:val="000000"/>
      <w:sz w:val="16"/>
    </w:rPr>
  </w:style>
  <w:style w:type="paragraph" w:customStyle="1" w:styleId="footnotedescription">
    <w:name w:val="footnote description"/>
    <w:next w:val="Normal"/>
    <w:link w:val="footnotedescriptionChar"/>
    <w:rsid w:val="0021560F"/>
    <w:pPr>
      <w:spacing w:after="0" w:line="256" w:lineRule="auto"/>
      <w:ind w:left="58"/>
    </w:pPr>
    <w:rPr>
      <w:rFonts w:ascii="Calibri" w:eastAsia="Calibri" w:hAnsi="Calibri" w:cs="Calibri"/>
      <w:color w:val="000000"/>
      <w:sz w:val="16"/>
    </w:rPr>
  </w:style>
  <w:style w:type="character" w:customStyle="1" w:styleId="footnotemark">
    <w:name w:val="footnote mark"/>
    <w:rsid w:val="0021560F"/>
    <w:rPr>
      <w:rFonts w:ascii="Calibri" w:eastAsia="Calibri" w:hAnsi="Calibri" w:cs="Calibri" w:hint="default"/>
      <w:color w:val="000000"/>
      <w:sz w:val="10"/>
      <w:vertAlign w:val="superscript"/>
    </w:rPr>
  </w:style>
  <w:style w:type="paragraph" w:customStyle="1" w:styleId="yiv8505611550msonormal">
    <w:name w:val="yiv8505611550msonormal"/>
    <w:basedOn w:val="Normal"/>
    <w:rsid w:val="004F5E9E"/>
    <w:pPr>
      <w:spacing w:before="100" w:beforeAutospacing="1" w:after="100" w:afterAutospacing="1" w:line="240" w:lineRule="auto"/>
    </w:pPr>
    <w:rPr>
      <w:rFonts w:ascii="Times New Roman" w:eastAsia="Times New Roman" w:hAnsi="Times New Roman" w:cs="Times New Roman"/>
      <w:sz w:val="24"/>
      <w:szCs w:val="24"/>
      <w:lang w:val="pt-PT" w:eastAsia="pt-PT"/>
    </w:rPr>
  </w:style>
  <w:style w:type="paragraph" w:styleId="NoSpacing">
    <w:name w:val="No Spacing"/>
    <w:link w:val="NoSpacingChar"/>
    <w:uiPriority w:val="1"/>
    <w:qFormat/>
    <w:rsid w:val="00B418C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418C0"/>
    <w:rPr>
      <w:rFonts w:eastAsiaTheme="minorEastAsia"/>
      <w:lang w:val="en-US"/>
    </w:rPr>
  </w:style>
  <w:style w:type="character" w:styleId="SubtleEmphasis">
    <w:name w:val="Subtle Emphasis"/>
    <w:basedOn w:val="DefaultParagraphFont"/>
    <w:uiPriority w:val="19"/>
    <w:qFormat/>
    <w:rsid w:val="00B418C0"/>
    <w:rPr>
      <w:i/>
      <w:iCs/>
      <w:color w:val="404040" w:themeColor="text1" w:themeTint="BF"/>
    </w:rPr>
  </w:style>
  <w:style w:type="paragraph" w:customStyle="1" w:styleId="yiv5041034904msonormal">
    <w:name w:val="yiv5041034904msonormal"/>
    <w:basedOn w:val="Normal"/>
    <w:rsid w:val="00361FCE"/>
    <w:pPr>
      <w:spacing w:before="100" w:beforeAutospacing="1" w:after="100" w:afterAutospacing="1" w:line="240" w:lineRule="auto"/>
    </w:pPr>
    <w:rPr>
      <w:rFonts w:ascii="Times New Roman" w:eastAsia="Times New Roman" w:hAnsi="Times New Roman" w:cs="Times New Roman"/>
      <w:sz w:val="24"/>
      <w:szCs w:val="24"/>
      <w:lang w:val="pt-PT" w:eastAsia="pt-PT"/>
    </w:rPr>
  </w:style>
  <w:style w:type="paragraph" w:customStyle="1" w:styleId="ydp12c3f86dyiv8936149905ydp1d6b1c4byiv2685864340ydp41d5e575yiv0035526655ydpc45f258bmsolistparagraph">
    <w:name w:val="ydp12c3f86dyiv8936149905ydp1d6b1c4byiv2685864340ydp41d5e575yiv0035526655ydpc45f258bmsolistparagraph"/>
    <w:basedOn w:val="Normal"/>
    <w:rsid w:val="008A08AF"/>
    <w:pPr>
      <w:spacing w:before="100" w:beforeAutospacing="1" w:after="100" w:afterAutospacing="1" w:line="240" w:lineRule="auto"/>
    </w:pPr>
    <w:rPr>
      <w:rFonts w:ascii="Calibri" w:hAnsi="Calibri" w:cs="Calibri"/>
      <w:lang w:eastAsia="en-GB"/>
    </w:rPr>
  </w:style>
  <w:style w:type="paragraph" w:styleId="Header">
    <w:name w:val="header"/>
    <w:basedOn w:val="Normal"/>
    <w:link w:val="HeaderChar"/>
    <w:uiPriority w:val="99"/>
    <w:unhideWhenUsed/>
    <w:rsid w:val="006074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744D"/>
  </w:style>
  <w:style w:type="paragraph" w:styleId="Footer">
    <w:name w:val="footer"/>
    <w:basedOn w:val="Normal"/>
    <w:link w:val="FooterChar"/>
    <w:uiPriority w:val="99"/>
    <w:unhideWhenUsed/>
    <w:rsid w:val="006074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74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434022">
      <w:bodyDiv w:val="1"/>
      <w:marLeft w:val="0"/>
      <w:marRight w:val="0"/>
      <w:marTop w:val="0"/>
      <w:marBottom w:val="0"/>
      <w:divBdr>
        <w:top w:val="none" w:sz="0" w:space="0" w:color="auto"/>
        <w:left w:val="none" w:sz="0" w:space="0" w:color="auto"/>
        <w:bottom w:val="none" w:sz="0" w:space="0" w:color="auto"/>
        <w:right w:val="none" w:sz="0" w:space="0" w:color="auto"/>
      </w:divBdr>
    </w:div>
    <w:div w:id="334576674">
      <w:bodyDiv w:val="1"/>
      <w:marLeft w:val="0"/>
      <w:marRight w:val="0"/>
      <w:marTop w:val="0"/>
      <w:marBottom w:val="0"/>
      <w:divBdr>
        <w:top w:val="none" w:sz="0" w:space="0" w:color="auto"/>
        <w:left w:val="none" w:sz="0" w:space="0" w:color="auto"/>
        <w:bottom w:val="none" w:sz="0" w:space="0" w:color="auto"/>
        <w:right w:val="none" w:sz="0" w:space="0" w:color="auto"/>
      </w:divBdr>
    </w:div>
    <w:div w:id="342829343">
      <w:bodyDiv w:val="1"/>
      <w:marLeft w:val="0"/>
      <w:marRight w:val="0"/>
      <w:marTop w:val="0"/>
      <w:marBottom w:val="0"/>
      <w:divBdr>
        <w:top w:val="none" w:sz="0" w:space="0" w:color="auto"/>
        <w:left w:val="none" w:sz="0" w:space="0" w:color="auto"/>
        <w:bottom w:val="none" w:sz="0" w:space="0" w:color="auto"/>
        <w:right w:val="none" w:sz="0" w:space="0" w:color="auto"/>
      </w:divBdr>
    </w:div>
    <w:div w:id="535848293">
      <w:bodyDiv w:val="1"/>
      <w:marLeft w:val="0"/>
      <w:marRight w:val="0"/>
      <w:marTop w:val="0"/>
      <w:marBottom w:val="0"/>
      <w:divBdr>
        <w:top w:val="none" w:sz="0" w:space="0" w:color="auto"/>
        <w:left w:val="none" w:sz="0" w:space="0" w:color="auto"/>
        <w:bottom w:val="none" w:sz="0" w:space="0" w:color="auto"/>
        <w:right w:val="none" w:sz="0" w:space="0" w:color="auto"/>
      </w:divBdr>
    </w:div>
    <w:div w:id="600188862">
      <w:bodyDiv w:val="1"/>
      <w:marLeft w:val="0"/>
      <w:marRight w:val="0"/>
      <w:marTop w:val="0"/>
      <w:marBottom w:val="0"/>
      <w:divBdr>
        <w:top w:val="none" w:sz="0" w:space="0" w:color="auto"/>
        <w:left w:val="none" w:sz="0" w:space="0" w:color="auto"/>
        <w:bottom w:val="none" w:sz="0" w:space="0" w:color="auto"/>
        <w:right w:val="none" w:sz="0" w:space="0" w:color="auto"/>
      </w:divBdr>
    </w:div>
    <w:div w:id="626550570">
      <w:bodyDiv w:val="1"/>
      <w:marLeft w:val="0"/>
      <w:marRight w:val="0"/>
      <w:marTop w:val="0"/>
      <w:marBottom w:val="0"/>
      <w:divBdr>
        <w:top w:val="none" w:sz="0" w:space="0" w:color="auto"/>
        <w:left w:val="none" w:sz="0" w:space="0" w:color="auto"/>
        <w:bottom w:val="none" w:sz="0" w:space="0" w:color="auto"/>
        <w:right w:val="none" w:sz="0" w:space="0" w:color="auto"/>
      </w:divBdr>
    </w:div>
    <w:div w:id="730350118">
      <w:bodyDiv w:val="1"/>
      <w:marLeft w:val="0"/>
      <w:marRight w:val="0"/>
      <w:marTop w:val="0"/>
      <w:marBottom w:val="0"/>
      <w:divBdr>
        <w:top w:val="none" w:sz="0" w:space="0" w:color="auto"/>
        <w:left w:val="none" w:sz="0" w:space="0" w:color="auto"/>
        <w:bottom w:val="none" w:sz="0" w:space="0" w:color="auto"/>
        <w:right w:val="none" w:sz="0" w:space="0" w:color="auto"/>
      </w:divBdr>
    </w:div>
    <w:div w:id="815223632">
      <w:bodyDiv w:val="1"/>
      <w:marLeft w:val="0"/>
      <w:marRight w:val="0"/>
      <w:marTop w:val="0"/>
      <w:marBottom w:val="0"/>
      <w:divBdr>
        <w:top w:val="none" w:sz="0" w:space="0" w:color="auto"/>
        <w:left w:val="none" w:sz="0" w:space="0" w:color="auto"/>
        <w:bottom w:val="none" w:sz="0" w:space="0" w:color="auto"/>
        <w:right w:val="none" w:sz="0" w:space="0" w:color="auto"/>
      </w:divBdr>
    </w:div>
    <w:div w:id="999121363">
      <w:bodyDiv w:val="1"/>
      <w:marLeft w:val="0"/>
      <w:marRight w:val="0"/>
      <w:marTop w:val="0"/>
      <w:marBottom w:val="0"/>
      <w:divBdr>
        <w:top w:val="none" w:sz="0" w:space="0" w:color="auto"/>
        <w:left w:val="none" w:sz="0" w:space="0" w:color="auto"/>
        <w:bottom w:val="none" w:sz="0" w:space="0" w:color="auto"/>
        <w:right w:val="none" w:sz="0" w:space="0" w:color="auto"/>
      </w:divBdr>
    </w:div>
    <w:div w:id="1266961743">
      <w:bodyDiv w:val="1"/>
      <w:marLeft w:val="0"/>
      <w:marRight w:val="0"/>
      <w:marTop w:val="0"/>
      <w:marBottom w:val="0"/>
      <w:divBdr>
        <w:top w:val="none" w:sz="0" w:space="0" w:color="auto"/>
        <w:left w:val="none" w:sz="0" w:space="0" w:color="auto"/>
        <w:bottom w:val="none" w:sz="0" w:space="0" w:color="auto"/>
        <w:right w:val="none" w:sz="0" w:space="0" w:color="auto"/>
      </w:divBdr>
    </w:div>
    <w:div w:id="1291740756">
      <w:bodyDiv w:val="1"/>
      <w:marLeft w:val="0"/>
      <w:marRight w:val="0"/>
      <w:marTop w:val="0"/>
      <w:marBottom w:val="0"/>
      <w:divBdr>
        <w:top w:val="none" w:sz="0" w:space="0" w:color="auto"/>
        <w:left w:val="none" w:sz="0" w:space="0" w:color="auto"/>
        <w:bottom w:val="none" w:sz="0" w:space="0" w:color="auto"/>
        <w:right w:val="none" w:sz="0" w:space="0" w:color="auto"/>
      </w:divBdr>
    </w:div>
    <w:div w:id="1305820397">
      <w:bodyDiv w:val="1"/>
      <w:marLeft w:val="0"/>
      <w:marRight w:val="0"/>
      <w:marTop w:val="0"/>
      <w:marBottom w:val="0"/>
      <w:divBdr>
        <w:top w:val="none" w:sz="0" w:space="0" w:color="auto"/>
        <w:left w:val="none" w:sz="0" w:space="0" w:color="auto"/>
        <w:bottom w:val="none" w:sz="0" w:space="0" w:color="auto"/>
        <w:right w:val="none" w:sz="0" w:space="0" w:color="auto"/>
      </w:divBdr>
    </w:div>
    <w:div w:id="1329485026">
      <w:bodyDiv w:val="1"/>
      <w:marLeft w:val="0"/>
      <w:marRight w:val="0"/>
      <w:marTop w:val="0"/>
      <w:marBottom w:val="0"/>
      <w:divBdr>
        <w:top w:val="none" w:sz="0" w:space="0" w:color="auto"/>
        <w:left w:val="none" w:sz="0" w:space="0" w:color="auto"/>
        <w:bottom w:val="none" w:sz="0" w:space="0" w:color="auto"/>
        <w:right w:val="none" w:sz="0" w:space="0" w:color="auto"/>
      </w:divBdr>
    </w:div>
    <w:div w:id="1519464509">
      <w:bodyDiv w:val="1"/>
      <w:marLeft w:val="0"/>
      <w:marRight w:val="0"/>
      <w:marTop w:val="0"/>
      <w:marBottom w:val="0"/>
      <w:divBdr>
        <w:top w:val="none" w:sz="0" w:space="0" w:color="auto"/>
        <w:left w:val="none" w:sz="0" w:space="0" w:color="auto"/>
        <w:bottom w:val="none" w:sz="0" w:space="0" w:color="auto"/>
        <w:right w:val="none" w:sz="0" w:space="0" w:color="auto"/>
      </w:divBdr>
    </w:div>
    <w:div w:id="1589078971">
      <w:bodyDiv w:val="1"/>
      <w:marLeft w:val="0"/>
      <w:marRight w:val="0"/>
      <w:marTop w:val="0"/>
      <w:marBottom w:val="0"/>
      <w:divBdr>
        <w:top w:val="none" w:sz="0" w:space="0" w:color="auto"/>
        <w:left w:val="none" w:sz="0" w:space="0" w:color="auto"/>
        <w:bottom w:val="none" w:sz="0" w:space="0" w:color="auto"/>
        <w:right w:val="none" w:sz="0" w:space="0" w:color="auto"/>
      </w:divBdr>
    </w:div>
    <w:div w:id="1618871907">
      <w:bodyDiv w:val="1"/>
      <w:marLeft w:val="0"/>
      <w:marRight w:val="0"/>
      <w:marTop w:val="0"/>
      <w:marBottom w:val="0"/>
      <w:divBdr>
        <w:top w:val="none" w:sz="0" w:space="0" w:color="auto"/>
        <w:left w:val="none" w:sz="0" w:space="0" w:color="auto"/>
        <w:bottom w:val="none" w:sz="0" w:space="0" w:color="auto"/>
        <w:right w:val="none" w:sz="0" w:space="0" w:color="auto"/>
      </w:divBdr>
    </w:div>
    <w:div w:id="1653211459">
      <w:bodyDiv w:val="1"/>
      <w:marLeft w:val="0"/>
      <w:marRight w:val="0"/>
      <w:marTop w:val="0"/>
      <w:marBottom w:val="0"/>
      <w:divBdr>
        <w:top w:val="none" w:sz="0" w:space="0" w:color="auto"/>
        <w:left w:val="none" w:sz="0" w:space="0" w:color="auto"/>
        <w:bottom w:val="none" w:sz="0" w:space="0" w:color="auto"/>
        <w:right w:val="none" w:sz="0" w:space="0" w:color="auto"/>
      </w:divBdr>
    </w:div>
    <w:div w:id="1676181333">
      <w:bodyDiv w:val="1"/>
      <w:marLeft w:val="0"/>
      <w:marRight w:val="0"/>
      <w:marTop w:val="0"/>
      <w:marBottom w:val="0"/>
      <w:divBdr>
        <w:top w:val="none" w:sz="0" w:space="0" w:color="auto"/>
        <w:left w:val="none" w:sz="0" w:space="0" w:color="auto"/>
        <w:bottom w:val="none" w:sz="0" w:space="0" w:color="auto"/>
        <w:right w:val="none" w:sz="0" w:space="0" w:color="auto"/>
      </w:divBdr>
    </w:div>
    <w:div w:id="1744331448">
      <w:bodyDiv w:val="1"/>
      <w:marLeft w:val="0"/>
      <w:marRight w:val="0"/>
      <w:marTop w:val="0"/>
      <w:marBottom w:val="0"/>
      <w:divBdr>
        <w:top w:val="none" w:sz="0" w:space="0" w:color="auto"/>
        <w:left w:val="none" w:sz="0" w:space="0" w:color="auto"/>
        <w:bottom w:val="none" w:sz="0" w:space="0" w:color="auto"/>
        <w:right w:val="none" w:sz="0" w:space="0" w:color="auto"/>
      </w:divBdr>
    </w:div>
    <w:div w:id="1747723891">
      <w:bodyDiv w:val="1"/>
      <w:marLeft w:val="0"/>
      <w:marRight w:val="0"/>
      <w:marTop w:val="0"/>
      <w:marBottom w:val="0"/>
      <w:divBdr>
        <w:top w:val="none" w:sz="0" w:space="0" w:color="auto"/>
        <w:left w:val="none" w:sz="0" w:space="0" w:color="auto"/>
        <w:bottom w:val="none" w:sz="0" w:space="0" w:color="auto"/>
        <w:right w:val="none" w:sz="0" w:space="0" w:color="auto"/>
      </w:divBdr>
    </w:div>
    <w:div w:id="1869442522">
      <w:bodyDiv w:val="1"/>
      <w:marLeft w:val="0"/>
      <w:marRight w:val="0"/>
      <w:marTop w:val="0"/>
      <w:marBottom w:val="0"/>
      <w:divBdr>
        <w:top w:val="none" w:sz="0" w:space="0" w:color="auto"/>
        <w:left w:val="none" w:sz="0" w:space="0" w:color="auto"/>
        <w:bottom w:val="none" w:sz="0" w:space="0" w:color="auto"/>
        <w:right w:val="none" w:sz="0" w:space="0" w:color="auto"/>
      </w:divBdr>
    </w:div>
    <w:div w:id="1887175238">
      <w:bodyDiv w:val="1"/>
      <w:marLeft w:val="0"/>
      <w:marRight w:val="0"/>
      <w:marTop w:val="0"/>
      <w:marBottom w:val="0"/>
      <w:divBdr>
        <w:top w:val="none" w:sz="0" w:space="0" w:color="auto"/>
        <w:left w:val="none" w:sz="0" w:space="0" w:color="auto"/>
        <w:bottom w:val="none" w:sz="0" w:space="0" w:color="auto"/>
        <w:right w:val="none" w:sz="0" w:space="0" w:color="auto"/>
      </w:divBdr>
    </w:div>
    <w:div w:id="1918517131">
      <w:bodyDiv w:val="1"/>
      <w:marLeft w:val="0"/>
      <w:marRight w:val="0"/>
      <w:marTop w:val="0"/>
      <w:marBottom w:val="0"/>
      <w:divBdr>
        <w:top w:val="none" w:sz="0" w:space="0" w:color="auto"/>
        <w:left w:val="none" w:sz="0" w:space="0" w:color="auto"/>
        <w:bottom w:val="none" w:sz="0" w:space="0" w:color="auto"/>
        <w:right w:val="none" w:sz="0" w:space="0" w:color="auto"/>
      </w:divBdr>
    </w:div>
    <w:div w:id="1928732964">
      <w:bodyDiv w:val="1"/>
      <w:marLeft w:val="0"/>
      <w:marRight w:val="0"/>
      <w:marTop w:val="0"/>
      <w:marBottom w:val="0"/>
      <w:divBdr>
        <w:top w:val="none" w:sz="0" w:space="0" w:color="auto"/>
        <w:left w:val="none" w:sz="0" w:space="0" w:color="auto"/>
        <w:bottom w:val="none" w:sz="0" w:space="0" w:color="auto"/>
        <w:right w:val="none" w:sz="0" w:space="0" w:color="auto"/>
      </w:divBdr>
    </w:div>
    <w:div w:id="1954247347">
      <w:bodyDiv w:val="1"/>
      <w:marLeft w:val="0"/>
      <w:marRight w:val="0"/>
      <w:marTop w:val="0"/>
      <w:marBottom w:val="0"/>
      <w:divBdr>
        <w:top w:val="none" w:sz="0" w:space="0" w:color="auto"/>
        <w:left w:val="none" w:sz="0" w:space="0" w:color="auto"/>
        <w:bottom w:val="none" w:sz="0" w:space="0" w:color="auto"/>
        <w:right w:val="none" w:sz="0" w:space="0" w:color="auto"/>
      </w:divBdr>
    </w:div>
    <w:div w:id="2006401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chart" Target="charts/chart12.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5.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oleObject" Target="file:///C:\Users\HP\Desktop\National%20Consultancy\Delivery%20Programme%20Gender%20Marker%20June%202021%20v.0.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HP\Desktop\National%20Consultancy\Delivery%20Programme%20Gender%20Marker%20June%202021%20v.0.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HP\Desktop\National%20Consultancy\Delivery%20Programme%20Gender%20Marker%20June%202021%20v.0.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HP\Desktop\National%20Consultancy\Delivery%20Programme%20Gender%20Marker%20June%202021%20v.0.xls"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pt-PT" sz="1100"/>
              <a:t>Figure 1:</a:t>
            </a:r>
            <a:r>
              <a:rPr lang="pt-PT" sz="1100" baseline="0"/>
              <a:t> </a:t>
            </a:r>
            <a:r>
              <a:rPr lang="pt-PT" sz="1100"/>
              <a:t>Summary of UNDP Projects Portfolio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1133062173155143E-2"/>
          <c:y val="0.16036309214929795"/>
          <c:w val="0.94886693782684484"/>
          <c:h val="0.58700900209823337"/>
        </c:manualLayout>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17BA-4C7A-953F-77BA60499AAF}"/>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17BA-4C7A-953F-77BA60499AAF}"/>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17BA-4C7A-953F-77BA60499AAF}"/>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17BA-4C7A-953F-77BA60499AAF}"/>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17BA-4C7A-953F-77BA60499AAF}"/>
              </c:ext>
            </c:extLst>
          </c:dPt>
          <c:dLbls>
            <c:dLbl>
              <c:idx val="0"/>
              <c:layout>
                <c:manualLayout>
                  <c:x val="1.1607127849925203E-2"/>
                  <c:y val="2.6523475396520819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7BA-4C7A-953F-77BA60499AAF}"/>
                </c:ext>
              </c:extLst>
            </c:dLbl>
            <c:dLbl>
              <c:idx val="3"/>
              <c:tx>
                <c:rich>
                  <a:bodyPr rot="0" spcFirstLastPara="1" vertOverflow="ellipsis" horzOverflow="clip"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r>
                      <a:rPr lang="en-US"/>
                      <a:t>68%</a:t>
                    </a:r>
                  </a:p>
                </c:rich>
              </c:tx>
              <c:spPr>
                <a:noFill/>
                <a:ln w="9525">
                  <a:noFill/>
                </a:ln>
                <a:effectLst/>
              </c:spPr>
              <c:txPr>
                <a:bodyPr rot="0" spcFirstLastPara="1" vertOverflow="ellipsis" horzOverflow="clip"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7-17BA-4C7A-953F-77BA60499AAF}"/>
                </c:ext>
              </c:extLst>
            </c:dLbl>
            <c:dLbl>
              <c:idx val="4"/>
              <c:layout>
                <c:manualLayout>
                  <c:x val="-3.2097709974986517E-2"/>
                  <c:y val="1.793410494175334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7BA-4C7A-953F-77BA60499AA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Graficos!$B$23:$B$27</c:f>
              <c:strCache>
                <c:ptCount val="5"/>
                <c:pt idx="0">
                  <c:v>Poverty/Inclusive Growth</c:v>
                </c:pt>
                <c:pt idx="1">
                  <c:v>Environment/Building Resilience</c:v>
                </c:pt>
                <c:pt idx="2">
                  <c:v>Governance</c:v>
                </c:pt>
                <c:pt idx="3">
                  <c:v>Global Fund</c:v>
                </c:pt>
                <c:pt idx="4">
                  <c:v>Accelerator Lab</c:v>
                </c:pt>
              </c:strCache>
            </c:strRef>
          </c:cat>
          <c:val>
            <c:numRef>
              <c:f>Graficos!$C$23:$C$27</c:f>
              <c:numCache>
                <c:formatCode>0%</c:formatCode>
                <c:ptCount val="5"/>
                <c:pt idx="0">
                  <c:v>0.03</c:v>
                </c:pt>
                <c:pt idx="1">
                  <c:v>0.21</c:v>
                </c:pt>
                <c:pt idx="2">
                  <c:v>0.06</c:v>
                </c:pt>
                <c:pt idx="3">
                  <c:v>0.68</c:v>
                </c:pt>
                <c:pt idx="4">
                  <c:v>0.01</c:v>
                </c:pt>
              </c:numCache>
            </c:numRef>
          </c:val>
          <c:extLst>
            <c:ext xmlns:c16="http://schemas.microsoft.com/office/drawing/2014/chart" uri="{C3380CC4-5D6E-409C-BE32-E72D297353CC}">
              <c16:uniqueId val="{0000000A-17BA-4C7A-953F-77BA60499AAF}"/>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t-PT" sz="1100"/>
              <a:t>Figure 6: Environment/Building</a:t>
            </a:r>
            <a:r>
              <a:rPr lang="pt-PT" sz="1100" baseline="0"/>
              <a:t> Resilience</a:t>
            </a:r>
            <a:endParaRPr lang="pt-PT" sz="11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Plan5!$C$35</c:f>
              <c:strCache>
                <c:ptCount val="1"/>
                <c:pt idx="0">
                  <c:v>Budget</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Plan5!$D$34:$F$34</c:f>
              <c:strCache>
                <c:ptCount val="3"/>
                <c:pt idx="0">
                  <c:v>2020</c:v>
                </c:pt>
                <c:pt idx="1">
                  <c:v>2021</c:v>
                </c:pt>
                <c:pt idx="2">
                  <c:v>Total</c:v>
                </c:pt>
              </c:strCache>
            </c:strRef>
          </c:cat>
          <c:val>
            <c:numRef>
              <c:f>Plan5!$D$35:$F$35</c:f>
              <c:numCache>
                <c:formatCode>[$$-540A]#\ ##0</c:formatCode>
                <c:ptCount val="3"/>
                <c:pt idx="0">
                  <c:v>5888976.8099999996</c:v>
                </c:pt>
                <c:pt idx="1">
                  <c:v>7966950.8900000006</c:v>
                </c:pt>
                <c:pt idx="2">
                  <c:v>13855927.699999999</c:v>
                </c:pt>
              </c:numCache>
            </c:numRef>
          </c:val>
          <c:extLst>
            <c:ext xmlns:c16="http://schemas.microsoft.com/office/drawing/2014/chart" uri="{C3380CC4-5D6E-409C-BE32-E72D297353CC}">
              <c16:uniqueId val="{00000000-51C8-4CA6-ACCE-83DCF49C7FFD}"/>
            </c:ext>
          </c:extLst>
        </c:ser>
        <c:ser>
          <c:idx val="1"/>
          <c:order val="1"/>
          <c:tx>
            <c:strRef>
              <c:f>Plan5!$C$36</c:f>
              <c:strCache>
                <c:ptCount val="1"/>
                <c:pt idx="0">
                  <c:v>Expenditures</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Plan5!$D$34:$F$34</c:f>
              <c:strCache>
                <c:ptCount val="3"/>
                <c:pt idx="0">
                  <c:v>2020</c:v>
                </c:pt>
                <c:pt idx="1">
                  <c:v>2021</c:v>
                </c:pt>
                <c:pt idx="2">
                  <c:v>Total</c:v>
                </c:pt>
              </c:strCache>
            </c:strRef>
          </c:cat>
          <c:val>
            <c:numRef>
              <c:f>Plan5!$D$36:$F$36</c:f>
              <c:numCache>
                <c:formatCode>[$$-540A]#\ ##0</c:formatCode>
                <c:ptCount val="3"/>
                <c:pt idx="0">
                  <c:v>2339178.79</c:v>
                </c:pt>
                <c:pt idx="1">
                  <c:v>3498301.3000000003</c:v>
                </c:pt>
                <c:pt idx="2">
                  <c:v>5837480.0899999999</c:v>
                </c:pt>
              </c:numCache>
            </c:numRef>
          </c:val>
          <c:extLst>
            <c:ext xmlns:c16="http://schemas.microsoft.com/office/drawing/2014/chart" uri="{C3380CC4-5D6E-409C-BE32-E72D297353CC}">
              <c16:uniqueId val="{00000001-51C8-4CA6-ACCE-83DCF49C7FFD}"/>
            </c:ext>
          </c:extLst>
        </c:ser>
        <c:dLbls>
          <c:showLegendKey val="0"/>
          <c:showVal val="0"/>
          <c:showCatName val="0"/>
          <c:showSerName val="0"/>
          <c:showPercent val="0"/>
          <c:showBubbleSize val="0"/>
        </c:dLbls>
        <c:gapWidth val="65"/>
        <c:shape val="box"/>
        <c:axId val="331708832"/>
        <c:axId val="331709224"/>
        <c:axId val="0"/>
      </c:bar3DChart>
      <c:catAx>
        <c:axId val="3317088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n-US"/>
          </a:p>
        </c:txPr>
        <c:crossAx val="331709224"/>
        <c:crosses val="autoZero"/>
        <c:auto val="1"/>
        <c:lblAlgn val="ctr"/>
        <c:lblOffset val="100"/>
        <c:noMultiLvlLbl val="0"/>
      </c:catAx>
      <c:valAx>
        <c:axId val="331709224"/>
        <c:scaling>
          <c:orientation val="minMax"/>
        </c:scaling>
        <c:delete val="0"/>
        <c:axPos val="l"/>
        <c:majorGridlines>
          <c:spPr>
            <a:ln w="9525" cap="flat" cmpd="sng" algn="ctr">
              <a:solidFill>
                <a:schemeClr val="dk1">
                  <a:lumMod val="15000"/>
                  <a:lumOff val="85000"/>
                </a:schemeClr>
              </a:solidFill>
              <a:round/>
            </a:ln>
            <a:effectLst/>
          </c:spPr>
        </c:majorGridlines>
        <c:numFmt formatCode="[$$-540A]#\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317088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t-PT" sz="1100"/>
              <a:t>Figure 7: Governance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Plan5!$C$39</c:f>
              <c:strCache>
                <c:ptCount val="1"/>
                <c:pt idx="0">
                  <c:v>Budget</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Plan5!$D$38:$F$38</c:f>
              <c:strCache>
                <c:ptCount val="3"/>
                <c:pt idx="0">
                  <c:v>2020</c:v>
                </c:pt>
                <c:pt idx="1">
                  <c:v>2021</c:v>
                </c:pt>
                <c:pt idx="2">
                  <c:v>Total</c:v>
                </c:pt>
              </c:strCache>
            </c:strRef>
          </c:cat>
          <c:val>
            <c:numRef>
              <c:f>Plan5!$D$39:$F$39</c:f>
              <c:numCache>
                <c:formatCode>[$$-540A]#\ ##0</c:formatCode>
                <c:ptCount val="3"/>
                <c:pt idx="0">
                  <c:v>2006280.3599999999</c:v>
                </c:pt>
                <c:pt idx="1">
                  <c:v>1947589.9200000002</c:v>
                </c:pt>
                <c:pt idx="2">
                  <c:v>3953870.2800000003</c:v>
                </c:pt>
              </c:numCache>
            </c:numRef>
          </c:val>
          <c:extLst>
            <c:ext xmlns:c16="http://schemas.microsoft.com/office/drawing/2014/chart" uri="{C3380CC4-5D6E-409C-BE32-E72D297353CC}">
              <c16:uniqueId val="{00000000-8413-4667-985F-4033C6A854AA}"/>
            </c:ext>
          </c:extLst>
        </c:ser>
        <c:ser>
          <c:idx val="1"/>
          <c:order val="1"/>
          <c:tx>
            <c:strRef>
              <c:f>Plan5!$C$40</c:f>
              <c:strCache>
                <c:ptCount val="1"/>
                <c:pt idx="0">
                  <c:v>Expenditures</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Plan5!$D$38:$F$38</c:f>
              <c:strCache>
                <c:ptCount val="3"/>
                <c:pt idx="0">
                  <c:v>2020</c:v>
                </c:pt>
                <c:pt idx="1">
                  <c:v>2021</c:v>
                </c:pt>
                <c:pt idx="2">
                  <c:v>Total</c:v>
                </c:pt>
              </c:strCache>
            </c:strRef>
          </c:cat>
          <c:val>
            <c:numRef>
              <c:f>Plan5!$D$40:$F$40</c:f>
              <c:numCache>
                <c:formatCode>[$$-540A]#\ ##0</c:formatCode>
                <c:ptCount val="3"/>
                <c:pt idx="0">
                  <c:v>1348983.52</c:v>
                </c:pt>
                <c:pt idx="1">
                  <c:v>1373799.22</c:v>
                </c:pt>
                <c:pt idx="2">
                  <c:v>2722782.74</c:v>
                </c:pt>
              </c:numCache>
            </c:numRef>
          </c:val>
          <c:extLst>
            <c:ext xmlns:c16="http://schemas.microsoft.com/office/drawing/2014/chart" uri="{C3380CC4-5D6E-409C-BE32-E72D297353CC}">
              <c16:uniqueId val="{00000001-8413-4667-985F-4033C6A854AA}"/>
            </c:ext>
          </c:extLst>
        </c:ser>
        <c:dLbls>
          <c:showLegendKey val="0"/>
          <c:showVal val="0"/>
          <c:showCatName val="0"/>
          <c:showSerName val="0"/>
          <c:showPercent val="0"/>
          <c:showBubbleSize val="0"/>
        </c:dLbls>
        <c:gapWidth val="65"/>
        <c:shape val="box"/>
        <c:axId val="331709616"/>
        <c:axId val="322976560"/>
        <c:axId val="0"/>
      </c:bar3DChart>
      <c:catAx>
        <c:axId val="3317096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n-US"/>
          </a:p>
        </c:txPr>
        <c:crossAx val="322976560"/>
        <c:crosses val="autoZero"/>
        <c:auto val="1"/>
        <c:lblAlgn val="ctr"/>
        <c:lblOffset val="100"/>
        <c:noMultiLvlLbl val="0"/>
      </c:catAx>
      <c:valAx>
        <c:axId val="322976560"/>
        <c:scaling>
          <c:orientation val="minMax"/>
        </c:scaling>
        <c:delete val="0"/>
        <c:axPos val="l"/>
        <c:majorGridlines>
          <c:spPr>
            <a:ln w="9525" cap="flat" cmpd="sng" algn="ctr">
              <a:solidFill>
                <a:schemeClr val="dk1">
                  <a:lumMod val="15000"/>
                  <a:lumOff val="85000"/>
                </a:schemeClr>
              </a:solidFill>
              <a:round/>
            </a:ln>
            <a:effectLst/>
          </c:spPr>
        </c:majorGridlines>
        <c:numFmt formatCode="[$$-540A]#\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3170961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100"/>
              <a:t>Figure 8: Consolidated Gender Markers for the UNDP</a:t>
            </a:r>
            <a:r>
              <a:rPr lang="pt-PT" sz="1100" baseline="0"/>
              <a:t> Country Programmme</a:t>
            </a:r>
            <a:endParaRPr lang="pt-PT" sz="1100"/>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Graphs!$W$55:$W$56</c:f>
              <c:strCache>
                <c:ptCount val="2"/>
                <c:pt idx="0">
                  <c:v>Budget</c:v>
                </c:pt>
              </c:strCache>
            </c:strRef>
          </c:tx>
          <c:spPr>
            <a:solidFill>
              <a:schemeClr val="accent1"/>
            </a:solidFill>
            <a:ln>
              <a:noFill/>
            </a:ln>
            <a:effectLst/>
            <a:sp3d/>
          </c:spPr>
          <c:invertIfNegative val="0"/>
          <c:cat>
            <c:strRef>
              <c:f>Graphs!$V$57:$V$61</c:f>
              <c:strCache>
                <c:ptCount val="5"/>
                <c:pt idx="0">
                  <c:v>GEN0</c:v>
                </c:pt>
                <c:pt idx="1">
                  <c:v>GEN1</c:v>
                </c:pt>
                <c:pt idx="2">
                  <c:v>GEN2</c:v>
                </c:pt>
                <c:pt idx="3">
                  <c:v>GEN3</c:v>
                </c:pt>
                <c:pt idx="4">
                  <c:v>NOT CLASSIFIED</c:v>
                </c:pt>
              </c:strCache>
            </c:strRef>
          </c:cat>
          <c:val>
            <c:numRef>
              <c:f>Graphs!$W$57:$W$61</c:f>
              <c:numCache>
                <c:formatCode>#,##0</c:formatCode>
                <c:ptCount val="5"/>
                <c:pt idx="0">
                  <c:v>0</c:v>
                </c:pt>
                <c:pt idx="1">
                  <c:v>2633457.4499999997</c:v>
                </c:pt>
                <c:pt idx="2">
                  <c:v>5813265.0899999999</c:v>
                </c:pt>
                <c:pt idx="3">
                  <c:v>525650</c:v>
                </c:pt>
                <c:pt idx="4">
                  <c:v>440276.02999999997</c:v>
                </c:pt>
              </c:numCache>
            </c:numRef>
          </c:val>
          <c:extLst>
            <c:ext xmlns:c16="http://schemas.microsoft.com/office/drawing/2014/chart" uri="{C3380CC4-5D6E-409C-BE32-E72D297353CC}">
              <c16:uniqueId val="{00000000-E2A4-4239-A848-5FF915888222}"/>
            </c:ext>
          </c:extLst>
        </c:ser>
        <c:ser>
          <c:idx val="1"/>
          <c:order val="1"/>
          <c:tx>
            <c:strRef>
              <c:f>Graphs!$X$55:$X$56</c:f>
              <c:strCache>
                <c:ptCount val="2"/>
                <c:pt idx="0">
                  <c:v>Expenditure</c:v>
                </c:pt>
              </c:strCache>
            </c:strRef>
          </c:tx>
          <c:spPr>
            <a:solidFill>
              <a:schemeClr val="accent2"/>
            </a:solidFill>
            <a:ln>
              <a:noFill/>
            </a:ln>
            <a:effectLst/>
            <a:sp3d/>
          </c:spPr>
          <c:invertIfNegative val="0"/>
          <c:cat>
            <c:strRef>
              <c:f>Graphs!$V$57:$V$61</c:f>
              <c:strCache>
                <c:ptCount val="5"/>
                <c:pt idx="0">
                  <c:v>GEN0</c:v>
                </c:pt>
                <c:pt idx="1">
                  <c:v>GEN1</c:v>
                </c:pt>
                <c:pt idx="2">
                  <c:v>GEN2</c:v>
                </c:pt>
                <c:pt idx="3">
                  <c:v>GEN3</c:v>
                </c:pt>
                <c:pt idx="4">
                  <c:v>NOT CLASSIFIED</c:v>
                </c:pt>
              </c:strCache>
            </c:strRef>
          </c:cat>
          <c:val>
            <c:numRef>
              <c:f>Graphs!$X$57:$X$61</c:f>
              <c:numCache>
                <c:formatCode>#,##0</c:formatCode>
                <c:ptCount val="5"/>
                <c:pt idx="0">
                  <c:v>0</c:v>
                </c:pt>
                <c:pt idx="1">
                  <c:v>407138.11000000004</c:v>
                </c:pt>
                <c:pt idx="2">
                  <c:v>1737148.0199999998</c:v>
                </c:pt>
                <c:pt idx="3">
                  <c:v>27201.260000000002</c:v>
                </c:pt>
                <c:pt idx="4">
                  <c:v>195272.97</c:v>
                </c:pt>
              </c:numCache>
            </c:numRef>
          </c:val>
          <c:extLst>
            <c:ext xmlns:c16="http://schemas.microsoft.com/office/drawing/2014/chart" uri="{C3380CC4-5D6E-409C-BE32-E72D297353CC}">
              <c16:uniqueId val="{00000001-E2A4-4239-A848-5FF915888222}"/>
            </c:ext>
          </c:extLst>
        </c:ser>
        <c:dLbls>
          <c:showLegendKey val="0"/>
          <c:showVal val="0"/>
          <c:showCatName val="0"/>
          <c:showSerName val="0"/>
          <c:showPercent val="0"/>
          <c:showBubbleSize val="0"/>
        </c:dLbls>
        <c:gapWidth val="150"/>
        <c:shape val="box"/>
        <c:axId val="352842280"/>
        <c:axId val="352843064"/>
        <c:axId val="0"/>
      </c:bar3DChart>
      <c:catAx>
        <c:axId val="352842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843064"/>
        <c:crosses val="autoZero"/>
        <c:auto val="1"/>
        <c:lblAlgn val="ctr"/>
        <c:lblOffset val="100"/>
        <c:noMultiLvlLbl val="0"/>
      </c:catAx>
      <c:valAx>
        <c:axId val="352843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842280"/>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100"/>
              <a:t>Figure 9: Gender Markers in the Sustainable</a:t>
            </a:r>
            <a:r>
              <a:rPr lang="pt-PT" sz="1100" baseline="0"/>
              <a:t> Inclusive Growth</a:t>
            </a:r>
            <a:endParaRPr lang="pt-PT" sz="1100"/>
          </a:p>
        </c:rich>
      </c:tx>
      <c:overlay val="0"/>
      <c:spPr>
        <a:noFill/>
        <a:ln w="25400">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Graphs!$W$3:$W$4</c:f>
              <c:strCache>
                <c:ptCount val="2"/>
                <c:pt idx="0">
                  <c:v>Budget</c:v>
                </c:pt>
              </c:strCache>
            </c:strRef>
          </c:tx>
          <c:spPr>
            <a:solidFill>
              <a:srgbClr val="4472C4"/>
            </a:solidFill>
            <a:ln w="25400">
              <a:noFill/>
            </a:ln>
          </c:spPr>
          <c:invertIfNegative val="0"/>
          <c:cat>
            <c:strRef>
              <c:f>Graphs!$V$5:$V$9</c:f>
              <c:strCache>
                <c:ptCount val="5"/>
                <c:pt idx="0">
                  <c:v>GEN0</c:v>
                </c:pt>
                <c:pt idx="1">
                  <c:v>GEN1</c:v>
                </c:pt>
                <c:pt idx="2">
                  <c:v>GEN2</c:v>
                </c:pt>
                <c:pt idx="3">
                  <c:v>GEN3</c:v>
                </c:pt>
                <c:pt idx="4">
                  <c:v>NOT CLASSIFIED</c:v>
                </c:pt>
              </c:strCache>
            </c:strRef>
          </c:cat>
          <c:val>
            <c:numRef>
              <c:f>Graphs!$W$5:$W$9</c:f>
              <c:numCache>
                <c:formatCode>#,##0</c:formatCode>
                <c:ptCount val="5"/>
                <c:pt idx="0">
                  <c:v>0</c:v>
                </c:pt>
                <c:pt idx="1">
                  <c:v>800000</c:v>
                </c:pt>
                <c:pt idx="2">
                  <c:v>562630.15999999992</c:v>
                </c:pt>
                <c:pt idx="3">
                  <c:v>0</c:v>
                </c:pt>
                <c:pt idx="4">
                  <c:v>56158.31</c:v>
                </c:pt>
              </c:numCache>
            </c:numRef>
          </c:val>
          <c:extLst>
            <c:ext xmlns:c16="http://schemas.microsoft.com/office/drawing/2014/chart" uri="{C3380CC4-5D6E-409C-BE32-E72D297353CC}">
              <c16:uniqueId val="{00000000-00A5-4B20-AA28-870F4AF6083D}"/>
            </c:ext>
          </c:extLst>
        </c:ser>
        <c:ser>
          <c:idx val="1"/>
          <c:order val="1"/>
          <c:tx>
            <c:strRef>
              <c:f>Graphs!$X$3:$X$4</c:f>
              <c:strCache>
                <c:ptCount val="2"/>
                <c:pt idx="0">
                  <c:v>Expenditure</c:v>
                </c:pt>
              </c:strCache>
            </c:strRef>
          </c:tx>
          <c:spPr>
            <a:solidFill>
              <a:srgbClr val="ED7D31"/>
            </a:solidFill>
            <a:ln w="25400">
              <a:noFill/>
            </a:ln>
          </c:spPr>
          <c:invertIfNegative val="0"/>
          <c:cat>
            <c:strRef>
              <c:f>Graphs!$V$5:$V$9</c:f>
              <c:strCache>
                <c:ptCount val="5"/>
                <c:pt idx="0">
                  <c:v>GEN0</c:v>
                </c:pt>
                <c:pt idx="1">
                  <c:v>GEN1</c:v>
                </c:pt>
                <c:pt idx="2">
                  <c:v>GEN2</c:v>
                </c:pt>
                <c:pt idx="3">
                  <c:v>GEN3</c:v>
                </c:pt>
                <c:pt idx="4">
                  <c:v>NOT CLASSIFIED</c:v>
                </c:pt>
              </c:strCache>
            </c:strRef>
          </c:cat>
          <c:val>
            <c:numRef>
              <c:f>Graphs!$X$5:$X$9</c:f>
              <c:numCache>
                <c:formatCode>#,##0</c:formatCode>
                <c:ptCount val="5"/>
                <c:pt idx="0">
                  <c:v>0</c:v>
                </c:pt>
                <c:pt idx="1">
                  <c:v>0</c:v>
                </c:pt>
                <c:pt idx="2">
                  <c:v>659.45</c:v>
                </c:pt>
                <c:pt idx="3">
                  <c:v>0</c:v>
                </c:pt>
                <c:pt idx="4">
                  <c:v>1021.0400000000001</c:v>
                </c:pt>
              </c:numCache>
            </c:numRef>
          </c:val>
          <c:extLst>
            <c:ext xmlns:c16="http://schemas.microsoft.com/office/drawing/2014/chart" uri="{C3380CC4-5D6E-409C-BE32-E72D297353CC}">
              <c16:uniqueId val="{00000001-00A5-4B20-AA28-870F4AF6083D}"/>
            </c:ext>
          </c:extLst>
        </c:ser>
        <c:dLbls>
          <c:showLegendKey val="0"/>
          <c:showVal val="0"/>
          <c:showCatName val="0"/>
          <c:showSerName val="0"/>
          <c:showPercent val="0"/>
          <c:showBubbleSize val="0"/>
        </c:dLbls>
        <c:gapWidth val="75"/>
        <c:shape val="box"/>
        <c:axId val="352843848"/>
        <c:axId val="352846200"/>
        <c:axId val="0"/>
      </c:bar3DChart>
      <c:catAx>
        <c:axId val="352843848"/>
        <c:scaling>
          <c:orientation val="minMax"/>
        </c:scaling>
        <c:delete val="0"/>
        <c:axPos val="b"/>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846200"/>
        <c:crosses val="autoZero"/>
        <c:auto val="1"/>
        <c:lblAlgn val="ctr"/>
        <c:lblOffset val="100"/>
        <c:noMultiLvlLbl val="0"/>
      </c:catAx>
      <c:valAx>
        <c:axId val="352846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843848"/>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100"/>
              <a:t>Figure 10: Gender Markers in Environment</a:t>
            </a:r>
            <a:r>
              <a:rPr lang="pt-PT" sz="1100" baseline="0"/>
              <a:t> /Disaster Reduction</a:t>
            </a:r>
            <a:endParaRPr lang="pt-PT" sz="1100"/>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Graphs!$W$21:$W$22</c:f>
              <c:strCache>
                <c:ptCount val="2"/>
                <c:pt idx="0">
                  <c:v>Budget</c:v>
                </c:pt>
              </c:strCache>
            </c:strRef>
          </c:tx>
          <c:spPr>
            <a:solidFill>
              <a:schemeClr val="accent1"/>
            </a:solidFill>
            <a:ln>
              <a:noFill/>
            </a:ln>
            <a:effectLst/>
            <a:sp3d/>
          </c:spPr>
          <c:invertIfNegative val="0"/>
          <c:cat>
            <c:strRef>
              <c:f>Graphs!$V$23:$V$27</c:f>
              <c:strCache>
                <c:ptCount val="5"/>
                <c:pt idx="0">
                  <c:v>GEN0</c:v>
                </c:pt>
                <c:pt idx="1">
                  <c:v>GEN1</c:v>
                </c:pt>
                <c:pt idx="2">
                  <c:v>GEN2</c:v>
                </c:pt>
                <c:pt idx="3">
                  <c:v>GEN3</c:v>
                </c:pt>
                <c:pt idx="4">
                  <c:v>NOT CLASSIFIED</c:v>
                </c:pt>
              </c:strCache>
            </c:strRef>
          </c:cat>
          <c:val>
            <c:numRef>
              <c:f>Graphs!$W$23:$W$27</c:f>
              <c:numCache>
                <c:formatCode>#,##0</c:formatCode>
                <c:ptCount val="5"/>
                <c:pt idx="0">
                  <c:v>0</c:v>
                </c:pt>
                <c:pt idx="1">
                  <c:v>1447120.09</c:v>
                </c:pt>
                <c:pt idx="2">
                  <c:v>3849262.11</c:v>
                </c:pt>
                <c:pt idx="3">
                  <c:v>0</c:v>
                </c:pt>
                <c:pt idx="4">
                  <c:v>0</c:v>
                </c:pt>
              </c:numCache>
            </c:numRef>
          </c:val>
          <c:extLst>
            <c:ext xmlns:c16="http://schemas.microsoft.com/office/drawing/2014/chart" uri="{C3380CC4-5D6E-409C-BE32-E72D297353CC}">
              <c16:uniqueId val="{00000000-4F9B-4C2E-BC5D-7F694CFDCE35}"/>
            </c:ext>
          </c:extLst>
        </c:ser>
        <c:ser>
          <c:idx val="1"/>
          <c:order val="1"/>
          <c:tx>
            <c:strRef>
              <c:f>Graphs!$X$21:$X$22</c:f>
              <c:strCache>
                <c:ptCount val="2"/>
                <c:pt idx="0">
                  <c:v>Expenditure</c:v>
                </c:pt>
              </c:strCache>
            </c:strRef>
          </c:tx>
          <c:spPr>
            <a:solidFill>
              <a:schemeClr val="accent2"/>
            </a:solidFill>
            <a:ln>
              <a:noFill/>
            </a:ln>
            <a:effectLst/>
            <a:sp3d/>
          </c:spPr>
          <c:invertIfNegative val="0"/>
          <c:cat>
            <c:strRef>
              <c:f>Graphs!$V$23:$V$27</c:f>
              <c:strCache>
                <c:ptCount val="5"/>
                <c:pt idx="0">
                  <c:v>GEN0</c:v>
                </c:pt>
                <c:pt idx="1">
                  <c:v>GEN1</c:v>
                </c:pt>
                <c:pt idx="2">
                  <c:v>GEN2</c:v>
                </c:pt>
                <c:pt idx="3">
                  <c:v>GEN3</c:v>
                </c:pt>
                <c:pt idx="4">
                  <c:v>NOT CLASSIFIED</c:v>
                </c:pt>
              </c:strCache>
            </c:strRef>
          </c:cat>
          <c:val>
            <c:numRef>
              <c:f>Graphs!$X$23:$X$27</c:f>
              <c:numCache>
                <c:formatCode>#,##0</c:formatCode>
                <c:ptCount val="5"/>
                <c:pt idx="0">
                  <c:v>0</c:v>
                </c:pt>
                <c:pt idx="1">
                  <c:v>401971.77</c:v>
                </c:pt>
                <c:pt idx="2">
                  <c:v>1420835.5699999998</c:v>
                </c:pt>
                <c:pt idx="3">
                  <c:v>0</c:v>
                </c:pt>
                <c:pt idx="4">
                  <c:v>130919.98</c:v>
                </c:pt>
              </c:numCache>
            </c:numRef>
          </c:val>
          <c:extLst>
            <c:ext xmlns:c16="http://schemas.microsoft.com/office/drawing/2014/chart" uri="{C3380CC4-5D6E-409C-BE32-E72D297353CC}">
              <c16:uniqueId val="{00000001-4F9B-4C2E-BC5D-7F694CFDCE35}"/>
            </c:ext>
          </c:extLst>
        </c:ser>
        <c:dLbls>
          <c:showLegendKey val="0"/>
          <c:showVal val="0"/>
          <c:showCatName val="0"/>
          <c:showSerName val="0"/>
          <c:showPercent val="0"/>
          <c:showBubbleSize val="0"/>
        </c:dLbls>
        <c:gapWidth val="150"/>
        <c:shape val="box"/>
        <c:axId val="354502832"/>
        <c:axId val="354503616"/>
        <c:axId val="0"/>
      </c:bar3DChart>
      <c:catAx>
        <c:axId val="3545028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503616"/>
        <c:crosses val="autoZero"/>
        <c:auto val="1"/>
        <c:lblAlgn val="ctr"/>
        <c:lblOffset val="100"/>
        <c:noMultiLvlLbl val="0"/>
      </c:catAx>
      <c:valAx>
        <c:axId val="354503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502832"/>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100"/>
              <a:t>Figure 11:</a:t>
            </a:r>
            <a:r>
              <a:rPr lang="pt-PT" sz="1100" baseline="0"/>
              <a:t> Gender Markers for </a:t>
            </a:r>
            <a:r>
              <a:rPr lang="pt-PT" sz="1100"/>
              <a:t>Governance</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Graphs!$W$38:$W$39</c:f>
              <c:strCache>
                <c:ptCount val="2"/>
                <c:pt idx="0">
                  <c:v>Budget</c:v>
                </c:pt>
              </c:strCache>
            </c:strRef>
          </c:tx>
          <c:spPr>
            <a:solidFill>
              <a:schemeClr val="accent1"/>
            </a:solidFill>
            <a:ln>
              <a:noFill/>
            </a:ln>
            <a:effectLst/>
            <a:sp3d/>
          </c:spPr>
          <c:invertIfNegative val="0"/>
          <c:cat>
            <c:strRef>
              <c:f>Graphs!$V$40:$V$44</c:f>
              <c:strCache>
                <c:ptCount val="5"/>
                <c:pt idx="0">
                  <c:v>GEN0</c:v>
                </c:pt>
                <c:pt idx="1">
                  <c:v>GEN1</c:v>
                </c:pt>
                <c:pt idx="2">
                  <c:v>GEN2</c:v>
                </c:pt>
                <c:pt idx="3">
                  <c:v>GEN3</c:v>
                </c:pt>
                <c:pt idx="4">
                  <c:v>NOT CLASSIFIED</c:v>
                </c:pt>
              </c:strCache>
            </c:strRef>
          </c:cat>
          <c:val>
            <c:numRef>
              <c:f>Graphs!$W$40:$W$44</c:f>
              <c:numCache>
                <c:formatCode>#,##0</c:formatCode>
                <c:ptCount val="5"/>
                <c:pt idx="0">
                  <c:v>0</c:v>
                </c:pt>
                <c:pt idx="1">
                  <c:v>386337.36</c:v>
                </c:pt>
                <c:pt idx="2">
                  <c:v>1401372.8199999998</c:v>
                </c:pt>
                <c:pt idx="3">
                  <c:v>525650</c:v>
                </c:pt>
                <c:pt idx="4">
                  <c:v>384117.72</c:v>
                </c:pt>
              </c:numCache>
            </c:numRef>
          </c:val>
          <c:extLst>
            <c:ext xmlns:c16="http://schemas.microsoft.com/office/drawing/2014/chart" uri="{C3380CC4-5D6E-409C-BE32-E72D297353CC}">
              <c16:uniqueId val="{00000000-CE40-4C15-BDCB-64C400A6BC3E}"/>
            </c:ext>
          </c:extLst>
        </c:ser>
        <c:ser>
          <c:idx val="1"/>
          <c:order val="1"/>
          <c:tx>
            <c:strRef>
              <c:f>Graphs!$X$38:$X$39</c:f>
              <c:strCache>
                <c:ptCount val="2"/>
                <c:pt idx="0">
                  <c:v>Expenditure</c:v>
                </c:pt>
              </c:strCache>
            </c:strRef>
          </c:tx>
          <c:spPr>
            <a:solidFill>
              <a:schemeClr val="accent2"/>
            </a:solidFill>
            <a:ln>
              <a:noFill/>
            </a:ln>
            <a:effectLst/>
            <a:sp3d/>
          </c:spPr>
          <c:invertIfNegative val="0"/>
          <c:cat>
            <c:strRef>
              <c:f>Graphs!$V$40:$V$44</c:f>
              <c:strCache>
                <c:ptCount val="5"/>
                <c:pt idx="0">
                  <c:v>GEN0</c:v>
                </c:pt>
                <c:pt idx="1">
                  <c:v>GEN1</c:v>
                </c:pt>
                <c:pt idx="2">
                  <c:v>GEN2</c:v>
                </c:pt>
                <c:pt idx="3">
                  <c:v>GEN3</c:v>
                </c:pt>
                <c:pt idx="4">
                  <c:v>NOT CLASSIFIED</c:v>
                </c:pt>
              </c:strCache>
            </c:strRef>
          </c:cat>
          <c:val>
            <c:numRef>
              <c:f>Graphs!$X$40:$X$44</c:f>
              <c:numCache>
                <c:formatCode>#,##0</c:formatCode>
                <c:ptCount val="5"/>
                <c:pt idx="0">
                  <c:v>0</c:v>
                </c:pt>
                <c:pt idx="1">
                  <c:v>5166.34</c:v>
                </c:pt>
                <c:pt idx="2">
                  <c:v>315653.00000000006</c:v>
                </c:pt>
                <c:pt idx="3">
                  <c:v>27201.260000000002</c:v>
                </c:pt>
                <c:pt idx="4">
                  <c:v>63331.950000000012</c:v>
                </c:pt>
              </c:numCache>
            </c:numRef>
          </c:val>
          <c:extLst>
            <c:ext xmlns:c16="http://schemas.microsoft.com/office/drawing/2014/chart" uri="{C3380CC4-5D6E-409C-BE32-E72D297353CC}">
              <c16:uniqueId val="{00000001-CE40-4C15-BDCB-64C400A6BC3E}"/>
            </c:ext>
          </c:extLst>
        </c:ser>
        <c:dLbls>
          <c:showLegendKey val="0"/>
          <c:showVal val="0"/>
          <c:showCatName val="0"/>
          <c:showSerName val="0"/>
          <c:showPercent val="0"/>
          <c:showBubbleSize val="0"/>
        </c:dLbls>
        <c:gapWidth val="150"/>
        <c:shape val="box"/>
        <c:axId val="354500480"/>
        <c:axId val="354497736"/>
        <c:axId val="0"/>
      </c:bar3DChart>
      <c:catAx>
        <c:axId val="3545004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497736"/>
        <c:crosses val="autoZero"/>
        <c:auto val="1"/>
        <c:lblAlgn val="ctr"/>
        <c:lblOffset val="100"/>
        <c:noMultiLvlLbl val="0"/>
      </c:catAx>
      <c:valAx>
        <c:axId val="354497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500480"/>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100" b="1"/>
              <a:t>Figure 2: Summary of Donors Resources vs Expenditures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Plan1!$C$26</c:f>
              <c:strCache>
                <c:ptCount val="1"/>
                <c:pt idx="0">
                  <c:v>Budget</c:v>
                </c:pt>
              </c:strCache>
            </c:strRef>
          </c:tx>
          <c:spPr>
            <a:solidFill>
              <a:schemeClr val="accent1"/>
            </a:solidFill>
            <a:ln>
              <a:noFill/>
            </a:ln>
            <a:effectLst/>
          </c:spPr>
          <c:invertIfNegative val="0"/>
          <c:cat>
            <c:strRef>
              <c:f>Plan1!$B$27:$B$32</c:f>
              <c:strCache>
                <c:ptCount val="6"/>
                <c:pt idx="0">
                  <c:v>UNDP</c:v>
                </c:pt>
                <c:pt idx="1">
                  <c:v>VARIOUS</c:v>
                </c:pt>
                <c:pt idx="2">
                  <c:v>NORWAY</c:v>
                </c:pt>
                <c:pt idx="3">
                  <c:v>GLOBAL FUND</c:v>
                </c:pt>
                <c:pt idx="4">
                  <c:v>GEF</c:v>
                </c:pt>
                <c:pt idx="5">
                  <c:v>EUCOMM</c:v>
                </c:pt>
              </c:strCache>
            </c:strRef>
          </c:cat>
          <c:val>
            <c:numRef>
              <c:f>Plan1!$C$27:$C$32</c:f>
              <c:numCache>
                <c:formatCode>[$$-540A]#\ ##0.00</c:formatCode>
                <c:ptCount val="6"/>
                <c:pt idx="0">
                  <c:v>4484676.91</c:v>
                </c:pt>
                <c:pt idx="1">
                  <c:v>1436198.42</c:v>
                </c:pt>
                <c:pt idx="2">
                  <c:v>1423324.71</c:v>
                </c:pt>
                <c:pt idx="3">
                  <c:v>44073834</c:v>
                </c:pt>
                <c:pt idx="4">
                  <c:v>12687047.690000001</c:v>
                </c:pt>
                <c:pt idx="5">
                  <c:v>705981.29</c:v>
                </c:pt>
              </c:numCache>
            </c:numRef>
          </c:val>
          <c:extLst>
            <c:ext xmlns:c16="http://schemas.microsoft.com/office/drawing/2014/chart" uri="{C3380CC4-5D6E-409C-BE32-E72D297353CC}">
              <c16:uniqueId val="{00000000-44BE-459A-BE75-CC826A064214}"/>
            </c:ext>
          </c:extLst>
        </c:ser>
        <c:ser>
          <c:idx val="1"/>
          <c:order val="1"/>
          <c:tx>
            <c:strRef>
              <c:f>Plan1!$D$26</c:f>
              <c:strCache>
                <c:ptCount val="1"/>
                <c:pt idx="0">
                  <c:v>Expenditures</c:v>
                </c:pt>
              </c:strCache>
            </c:strRef>
          </c:tx>
          <c:spPr>
            <a:solidFill>
              <a:schemeClr val="accent2"/>
            </a:solidFill>
            <a:ln>
              <a:noFill/>
            </a:ln>
            <a:effectLst/>
          </c:spPr>
          <c:invertIfNegative val="0"/>
          <c:cat>
            <c:strRef>
              <c:f>Plan1!$B$27:$B$32</c:f>
              <c:strCache>
                <c:ptCount val="6"/>
                <c:pt idx="0">
                  <c:v>UNDP</c:v>
                </c:pt>
                <c:pt idx="1">
                  <c:v>VARIOUS</c:v>
                </c:pt>
                <c:pt idx="2">
                  <c:v>NORWAY</c:v>
                </c:pt>
                <c:pt idx="3">
                  <c:v>GLOBAL FUND</c:v>
                </c:pt>
                <c:pt idx="4">
                  <c:v>GEF</c:v>
                </c:pt>
                <c:pt idx="5">
                  <c:v>EUCOMM</c:v>
                </c:pt>
              </c:strCache>
            </c:strRef>
          </c:cat>
          <c:val>
            <c:numRef>
              <c:f>Plan1!$D$27:$D$32</c:f>
              <c:numCache>
                <c:formatCode>[$$-540A]#\ ##0.00</c:formatCode>
                <c:ptCount val="6"/>
                <c:pt idx="0">
                  <c:v>3234608.55</c:v>
                </c:pt>
                <c:pt idx="1">
                  <c:v>564671.70000000007</c:v>
                </c:pt>
                <c:pt idx="2">
                  <c:v>846373.89</c:v>
                </c:pt>
                <c:pt idx="3">
                  <c:v>14618821.449999999</c:v>
                </c:pt>
                <c:pt idx="4">
                  <c:v>4998252.28</c:v>
                </c:pt>
                <c:pt idx="5">
                  <c:v>410402.83999999997</c:v>
                </c:pt>
              </c:numCache>
            </c:numRef>
          </c:val>
          <c:extLst>
            <c:ext xmlns:c16="http://schemas.microsoft.com/office/drawing/2014/chart" uri="{C3380CC4-5D6E-409C-BE32-E72D297353CC}">
              <c16:uniqueId val="{00000001-44BE-459A-BE75-CC826A064214}"/>
            </c:ext>
          </c:extLst>
        </c:ser>
        <c:dLbls>
          <c:showLegendKey val="0"/>
          <c:showVal val="0"/>
          <c:showCatName val="0"/>
          <c:showSerName val="0"/>
          <c:showPercent val="0"/>
          <c:showBubbleSize val="0"/>
        </c:dLbls>
        <c:gapWidth val="150"/>
        <c:axId val="176825936"/>
        <c:axId val="176824368"/>
      </c:barChart>
      <c:catAx>
        <c:axId val="1768259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824368"/>
        <c:crosses val="autoZero"/>
        <c:auto val="1"/>
        <c:lblAlgn val="ctr"/>
        <c:lblOffset val="100"/>
        <c:noMultiLvlLbl val="0"/>
      </c:catAx>
      <c:valAx>
        <c:axId val="176824368"/>
        <c:scaling>
          <c:orientation val="minMax"/>
        </c:scaling>
        <c:delete val="0"/>
        <c:axPos val="l"/>
        <c:majorGridlines>
          <c:spPr>
            <a:ln w="9525" cap="flat" cmpd="sng" algn="ctr">
              <a:solidFill>
                <a:schemeClr val="tx1">
                  <a:lumMod val="15000"/>
                  <a:lumOff val="85000"/>
                </a:schemeClr>
              </a:solidFill>
              <a:round/>
            </a:ln>
            <a:effectLst/>
          </c:spPr>
        </c:majorGridlines>
        <c:numFmt formatCode="[$$-540A]#\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825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1">
        <a:lumMod val="20000"/>
        <a:lumOff val="80000"/>
      </a:schemeClr>
    </a:solidFill>
    <a:ln w="9525" cap="rnd"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t-PT" sz="1100"/>
              <a:t>Figure 3: %</a:t>
            </a:r>
            <a:r>
              <a:rPr lang="pt-PT" sz="1100" baseline="0"/>
              <a:t> of Total Expenditures by Cluster)</a:t>
            </a:r>
            <a:endParaRPr lang="pt-PT" sz="11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Plan5!$C$21:$C$24</c:f>
              <c:strCache>
                <c:ptCount val="4"/>
                <c:pt idx="0">
                  <c:v>Poverty/ Inclusive Growth</c:v>
                </c:pt>
                <c:pt idx="1">
                  <c:v>Environment/ Building Resilience</c:v>
                </c:pt>
                <c:pt idx="2">
                  <c:v>Governance</c:v>
                </c:pt>
                <c:pt idx="3">
                  <c:v>Global Fund</c:v>
                </c:pt>
              </c:strCache>
            </c:strRef>
          </c:cat>
          <c:val>
            <c:numRef>
              <c:f>Plan5!$D$21:$D$24</c:f>
              <c:numCache>
                <c:formatCode>0%</c:formatCode>
                <c:ptCount val="4"/>
                <c:pt idx="0">
                  <c:v>0.04</c:v>
                </c:pt>
                <c:pt idx="1">
                  <c:v>0.24</c:v>
                </c:pt>
                <c:pt idx="2">
                  <c:v>0.11</c:v>
                </c:pt>
                <c:pt idx="3">
                  <c:v>0.59</c:v>
                </c:pt>
              </c:numCache>
            </c:numRef>
          </c:val>
          <c:extLst>
            <c:ext xmlns:c16="http://schemas.microsoft.com/office/drawing/2014/chart" uri="{C3380CC4-5D6E-409C-BE32-E72D297353CC}">
              <c16:uniqueId val="{00000000-FFA5-4906-8A0A-1A3034A6190C}"/>
            </c:ext>
          </c:extLst>
        </c:ser>
        <c:dLbls>
          <c:showLegendKey val="0"/>
          <c:showVal val="1"/>
          <c:showCatName val="0"/>
          <c:showSerName val="0"/>
          <c:showPercent val="0"/>
          <c:showBubbleSize val="0"/>
        </c:dLbls>
        <c:gapWidth val="150"/>
        <c:shape val="box"/>
        <c:axId val="516428104"/>
        <c:axId val="516427712"/>
        <c:axId val="0"/>
      </c:bar3DChart>
      <c:catAx>
        <c:axId val="5164281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16427712"/>
        <c:crosses val="autoZero"/>
        <c:auto val="1"/>
        <c:lblAlgn val="ctr"/>
        <c:lblOffset val="100"/>
        <c:noMultiLvlLbl val="0"/>
      </c:catAx>
      <c:valAx>
        <c:axId val="516427712"/>
        <c:scaling>
          <c:orientation val="minMax"/>
        </c:scaling>
        <c:delete val="1"/>
        <c:axPos val="l"/>
        <c:numFmt formatCode="0%" sourceLinked="1"/>
        <c:majorTickMark val="none"/>
        <c:minorTickMark val="none"/>
        <c:tickLblPos val="nextTo"/>
        <c:crossAx val="51642810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t-PT" sz="1100"/>
              <a:t>Figure 4: 2020</a:t>
            </a:r>
            <a:r>
              <a:rPr lang="pt-PT" sz="1100" baseline="0"/>
              <a:t> - Delivery Southern Africa Countries</a:t>
            </a:r>
            <a:endParaRPr lang="pt-PT" sz="11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Plan2!$C$6</c:f>
              <c:strCache>
                <c:ptCount val="1"/>
                <c:pt idx="0">
                  <c:v>Budget</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Plan2!$B$7:$B$18</c:f>
              <c:strCache>
                <c:ptCount val="12"/>
                <c:pt idx="0">
                  <c:v>Angola</c:v>
                </c:pt>
                <c:pt idx="1">
                  <c:v>Botswana</c:v>
                </c:pt>
                <c:pt idx="2">
                  <c:v>DRCongo</c:v>
                </c:pt>
                <c:pt idx="3">
                  <c:v>eSwatini </c:v>
                </c:pt>
                <c:pt idx="4">
                  <c:v>Lesotho</c:v>
                </c:pt>
                <c:pt idx="5">
                  <c:v>Malawi</c:v>
                </c:pt>
                <c:pt idx="6">
                  <c:v>Mozambique</c:v>
                </c:pt>
                <c:pt idx="7">
                  <c:v>Namibia</c:v>
                </c:pt>
                <c:pt idx="8">
                  <c:v>South Africa</c:v>
                </c:pt>
                <c:pt idx="9">
                  <c:v>Tanzania</c:v>
                </c:pt>
                <c:pt idx="10">
                  <c:v>Zambia</c:v>
                </c:pt>
                <c:pt idx="11">
                  <c:v>Zimbabwe</c:v>
                </c:pt>
              </c:strCache>
            </c:strRef>
          </c:cat>
          <c:val>
            <c:numRef>
              <c:f>Plan2!$C$7:$C$18</c:f>
              <c:numCache>
                <c:formatCode>[$$-540A]#\ ##0.00</c:formatCode>
                <c:ptCount val="12"/>
                <c:pt idx="0">
                  <c:v>19.73</c:v>
                </c:pt>
                <c:pt idx="1">
                  <c:v>7.42</c:v>
                </c:pt>
                <c:pt idx="2">
                  <c:v>109.08</c:v>
                </c:pt>
                <c:pt idx="3">
                  <c:v>5.16</c:v>
                </c:pt>
                <c:pt idx="4">
                  <c:v>7.75</c:v>
                </c:pt>
                <c:pt idx="5">
                  <c:v>44.79</c:v>
                </c:pt>
                <c:pt idx="6">
                  <c:v>42.54</c:v>
                </c:pt>
                <c:pt idx="7">
                  <c:v>6.06</c:v>
                </c:pt>
                <c:pt idx="8">
                  <c:v>13.36</c:v>
                </c:pt>
                <c:pt idx="9">
                  <c:v>27.54</c:v>
                </c:pt>
                <c:pt idx="10">
                  <c:v>17.11</c:v>
                </c:pt>
                <c:pt idx="11">
                  <c:v>188.69</c:v>
                </c:pt>
              </c:numCache>
            </c:numRef>
          </c:val>
          <c:extLst>
            <c:ext xmlns:c16="http://schemas.microsoft.com/office/drawing/2014/chart" uri="{C3380CC4-5D6E-409C-BE32-E72D297353CC}">
              <c16:uniqueId val="{00000000-4872-4199-AD0C-64CF6FA09A27}"/>
            </c:ext>
          </c:extLst>
        </c:ser>
        <c:ser>
          <c:idx val="1"/>
          <c:order val="1"/>
          <c:tx>
            <c:strRef>
              <c:f>Plan2!$D$6</c:f>
              <c:strCache>
                <c:ptCount val="1"/>
                <c:pt idx="0">
                  <c:v>Expenses</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Plan2!$B$7:$B$18</c:f>
              <c:strCache>
                <c:ptCount val="12"/>
                <c:pt idx="0">
                  <c:v>Angola</c:v>
                </c:pt>
                <c:pt idx="1">
                  <c:v>Botswana</c:v>
                </c:pt>
                <c:pt idx="2">
                  <c:v>DRCongo</c:v>
                </c:pt>
                <c:pt idx="3">
                  <c:v>eSwatini </c:v>
                </c:pt>
                <c:pt idx="4">
                  <c:v>Lesotho</c:v>
                </c:pt>
                <c:pt idx="5">
                  <c:v>Malawi</c:v>
                </c:pt>
                <c:pt idx="6">
                  <c:v>Mozambique</c:v>
                </c:pt>
                <c:pt idx="7">
                  <c:v>Namibia</c:v>
                </c:pt>
                <c:pt idx="8">
                  <c:v>South Africa</c:v>
                </c:pt>
                <c:pt idx="9">
                  <c:v>Tanzania</c:v>
                </c:pt>
                <c:pt idx="10">
                  <c:v>Zambia</c:v>
                </c:pt>
                <c:pt idx="11">
                  <c:v>Zimbabwe</c:v>
                </c:pt>
              </c:strCache>
            </c:strRef>
          </c:cat>
          <c:val>
            <c:numRef>
              <c:f>Plan2!$D$7:$D$18</c:f>
              <c:numCache>
                <c:formatCode>[$$-540A]#\ ##0.00</c:formatCode>
                <c:ptCount val="12"/>
                <c:pt idx="0">
                  <c:v>11.96</c:v>
                </c:pt>
                <c:pt idx="1">
                  <c:v>4.96</c:v>
                </c:pt>
                <c:pt idx="2">
                  <c:v>84.36</c:v>
                </c:pt>
                <c:pt idx="3">
                  <c:v>4.25</c:v>
                </c:pt>
                <c:pt idx="4">
                  <c:v>5.61</c:v>
                </c:pt>
                <c:pt idx="5">
                  <c:v>33.380000000000003</c:v>
                </c:pt>
                <c:pt idx="6">
                  <c:v>31.91</c:v>
                </c:pt>
                <c:pt idx="7">
                  <c:v>6.22</c:v>
                </c:pt>
                <c:pt idx="8">
                  <c:v>9.2200000000000006</c:v>
                </c:pt>
                <c:pt idx="9">
                  <c:v>20.84</c:v>
                </c:pt>
                <c:pt idx="10">
                  <c:v>11.83</c:v>
                </c:pt>
                <c:pt idx="11">
                  <c:v>170.55</c:v>
                </c:pt>
              </c:numCache>
            </c:numRef>
          </c:val>
          <c:extLst>
            <c:ext xmlns:c16="http://schemas.microsoft.com/office/drawing/2014/chart" uri="{C3380CC4-5D6E-409C-BE32-E72D297353CC}">
              <c16:uniqueId val="{00000001-4872-4199-AD0C-64CF6FA09A27}"/>
            </c:ext>
          </c:extLst>
        </c:ser>
        <c:dLbls>
          <c:showLegendKey val="0"/>
          <c:showVal val="0"/>
          <c:showCatName val="0"/>
          <c:showSerName val="0"/>
          <c:showPercent val="0"/>
          <c:showBubbleSize val="0"/>
        </c:dLbls>
        <c:gapWidth val="65"/>
        <c:shape val="box"/>
        <c:axId val="486437960"/>
        <c:axId val="486445016"/>
        <c:axId val="0"/>
      </c:bar3DChart>
      <c:catAx>
        <c:axId val="4864379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86445016"/>
        <c:crosses val="autoZero"/>
        <c:auto val="1"/>
        <c:lblAlgn val="ctr"/>
        <c:lblOffset val="100"/>
        <c:noMultiLvlLbl val="0"/>
      </c:catAx>
      <c:valAx>
        <c:axId val="486445016"/>
        <c:scaling>
          <c:orientation val="minMax"/>
        </c:scaling>
        <c:delete val="0"/>
        <c:axPos val="l"/>
        <c:majorGridlines>
          <c:spPr>
            <a:ln w="9525" cap="flat" cmpd="sng" algn="ctr">
              <a:solidFill>
                <a:schemeClr val="dk1">
                  <a:lumMod val="15000"/>
                  <a:lumOff val="85000"/>
                </a:schemeClr>
              </a:solidFill>
              <a:round/>
            </a:ln>
            <a:effectLst/>
          </c:spPr>
        </c:majorGridlines>
        <c:numFmt formatCode="[$$-540A]#\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8643796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t-PT" sz="1100"/>
              <a:t>Figure 5: 2021</a:t>
            </a:r>
            <a:r>
              <a:rPr lang="pt-PT" sz="1100" baseline="0"/>
              <a:t> - Delivery for Southern Africa countries</a:t>
            </a:r>
            <a:endParaRPr lang="pt-PT" sz="11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Plan2!$C$22</c:f>
              <c:strCache>
                <c:ptCount val="1"/>
                <c:pt idx="0">
                  <c:v>Budget</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Plan2!$B$23:$B$34</c:f>
              <c:strCache>
                <c:ptCount val="12"/>
                <c:pt idx="0">
                  <c:v>Angola</c:v>
                </c:pt>
                <c:pt idx="1">
                  <c:v>Botswana</c:v>
                </c:pt>
                <c:pt idx="2">
                  <c:v>DRCongo</c:v>
                </c:pt>
                <c:pt idx="3">
                  <c:v>eSwatini </c:v>
                </c:pt>
                <c:pt idx="4">
                  <c:v>Lesotho</c:v>
                </c:pt>
                <c:pt idx="5">
                  <c:v>Malawi</c:v>
                </c:pt>
                <c:pt idx="6">
                  <c:v>Mozambique</c:v>
                </c:pt>
                <c:pt idx="7">
                  <c:v>Namibia</c:v>
                </c:pt>
                <c:pt idx="8">
                  <c:v>South Africa</c:v>
                </c:pt>
                <c:pt idx="9">
                  <c:v>Tanzania</c:v>
                </c:pt>
                <c:pt idx="10">
                  <c:v>Zambia</c:v>
                </c:pt>
                <c:pt idx="11">
                  <c:v>Zimbabwe</c:v>
                </c:pt>
              </c:strCache>
            </c:strRef>
          </c:cat>
          <c:val>
            <c:numRef>
              <c:f>Plan2!$C$23:$C$34</c:f>
              <c:numCache>
                <c:formatCode>[$$-540A]#\ ##0.00</c:formatCode>
                <c:ptCount val="12"/>
                <c:pt idx="0">
                  <c:v>45.07</c:v>
                </c:pt>
                <c:pt idx="1">
                  <c:v>11.75</c:v>
                </c:pt>
                <c:pt idx="2">
                  <c:v>81.790000000000006</c:v>
                </c:pt>
                <c:pt idx="3">
                  <c:v>3.66</c:v>
                </c:pt>
                <c:pt idx="4">
                  <c:v>7.63</c:v>
                </c:pt>
                <c:pt idx="5">
                  <c:v>31.91</c:v>
                </c:pt>
                <c:pt idx="6">
                  <c:v>39.090000000000003</c:v>
                </c:pt>
                <c:pt idx="7">
                  <c:v>10.43</c:v>
                </c:pt>
                <c:pt idx="8">
                  <c:v>14.08</c:v>
                </c:pt>
                <c:pt idx="9">
                  <c:v>35.630000000000003</c:v>
                </c:pt>
                <c:pt idx="10">
                  <c:v>28.55</c:v>
                </c:pt>
                <c:pt idx="11">
                  <c:v>218.2</c:v>
                </c:pt>
              </c:numCache>
            </c:numRef>
          </c:val>
          <c:extLst>
            <c:ext xmlns:c16="http://schemas.microsoft.com/office/drawing/2014/chart" uri="{C3380CC4-5D6E-409C-BE32-E72D297353CC}">
              <c16:uniqueId val="{00000000-13C5-41A3-BB59-873FF6793F2D}"/>
            </c:ext>
          </c:extLst>
        </c:ser>
        <c:ser>
          <c:idx val="1"/>
          <c:order val="1"/>
          <c:tx>
            <c:strRef>
              <c:f>Plan2!$D$22</c:f>
              <c:strCache>
                <c:ptCount val="1"/>
                <c:pt idx="0">
                  <c:v>Expenses</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Plan2!$B$23:$B$34</c:f>
              <c:strCache>
                <c:ptCount val="12"/>
                <c:pt idx="0">
                  <c:v>Angola</c:v>
                </c:pt>
                <c:pt idx="1">
                  <c:v>Botswana</c:v>
                </c:pt>
                <c:pt idx="2">
                  <c:v>DRCongo</c:v>
                </c:pt>
                <c:pt idx="3">
                  <c:v>eSwatini </c:v>
                </c:pt>
                <c:pt idx="4">
                  <c:v>Lesotho</c:v>
                </c:pt>
                <c:pt idx="5">
                  <c:v>Malawi</c:v>
                </c:pt>
                <c:pt idx="6">
                  <c:v>Mozambique</c:v>
                </c:pt>
                <c:pt idx="7">
                  <c:v>Namibia</c:v>
                </c:pt>
                <c:pt idx="8">
                  <c:v>South Africa</c:v>
                </c:pt>
                <c:pt idx="9">
                  <c:v>Tanzania</c:v>
                </c:pt>
                <c:pt idx="10">
                  <c:v>Zambia</c:v>
                </c:pt>
                <c:pt idx="11">
                  <c:v>Zimbabwe</c:v>
                </c:pt>
              </c:strCache>
            </c:strRef>
          </c:cat>
          <c:val>
            <c:numRef>
              <c:f>Plan2!$D$23:$D$34</c:f>
              <c:numCache>
                <c:formatCode>[$$-540A]#\ ##0.00</c:formatCode>
                <c:ptCount val="12"/>
                <c:pt idx="0">
                  <c:v>12.7</c:v>
                </c:pt>
                <c:pt idx="1">
                  <c:v>4.76</c:v>
                </c:pt>
                <c:pt idx="2">
                  <c:v>32.97</c:v>
                </c:pt>
                <c:pt idx="3">
                  <c:v>3.17</c:v>
                </c:pt>
                <c:pt idx="4">
                  <c:v>3.66</c:v>
                </c:pt>
                <c:pt idx="5">
                  <c:v>22.9</c:v>
                </c:pt>
                <c:pt idx="6">
                  <c:v>18.670000000000002</c:v>
                </c:pt>
                <c:pt idx="7">
                  <c:v>5.0999999999999996</c:v>
                </c:pt>
                <c:pt idx="8">
                  <c:v>6.57</c:v>
                </c:pt>
                <c:pt idx="9">
                  <c:v>15.51</c:v>
                </c:pt>
                <c:pt idx="10">
                  <c:v>7.37</c:v>
                </c:pt>
                <c:pt idx="11">
                  <c:v>136.22</c:v>
                </c:pt>
              </c:numCache>
            </c:numRef>
          </c:val>
          <c:extLst>
            <c:ext xmlns:c16="http://schemas.microsoft.com/office/drawing/2014/chart" uri="{C3380CC4-5D6E-409C-BE32-E72D297353CC}">
              <c16:uniqueId val="{00000001-13C5-41A3-BB59-873FF6793F2D}"/>
            </c:ext>
          </c:extLst>
        </c:ser>
        <c:dLbls>
          <c:showLegendKey val="0"/>
          <c:showVal val="0"/>
          <c:showCatName val="0"/>
          <c:showSerName val="0"/>
          <c:showPercent val="0"/>
          <c:showBubbleSize val="0"/>
        </c:dLbls>
        <c:gapWidth val="65"/>
        <c:shape val="box"/>
        <c:axId val="486440312"/>
        <c:axId val="486439136"/>
        <c:axId val="0"/>
      </c:bar3DChart>
      <c:catAx>
        <c:axId val="4864403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86439136"/>
        <c:crosses val="autoZero"/>
        <c:auto val="1"/>
        <c:lblAlgn val="ctr"/>
        <c:lblOffset val="100"/>
        <c:noMultiLvlLbl val="0"/>
      </c:catAx>
      <c:valAx>
        <c:axId val="486439136"/>
        <c:scaling>
          <c:orientation val="minMax"/>
        </c:scaling>
        <c:delete val="0"/>
        <c:axPos val="l"/>
        <c:majorGridlines>
          <c:spPr>
            <a:ln w="9525" cap="flat" cmpd="sng" algn="ctr">
              <a:solidFill>
                <a:schemeClr val="dk1">
                  <a:lumMod val="15000"/>
                  <a:lumOff val="85000"/>
                </a:schemeClr>
              </a:solidFill>
              <a:round/>
            </a:ln>
            <a:effectLst/>
          </c:spPr>
        </c:majorGridlines>
        <c:numFmt formatCode="[$$-540A]#\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8644031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t-PT" sz="1050"/>
              <a:t>Figure  6: Total</a:t>
            </a:r>
            <a:r>
              <a:rPr lang="pt-PT" sz="1050" baseline="0"/>
              <a:t> Delivery (2020-2021) in selected Southern African Countries </a:t>
            </a:r>
            <a:endParaRPr lang="pt-PT" sz="105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Plan2!$C$39</c:f>
              <c:strCache>
                <c:ptCount val="1"/>
                <c:pt idx="0">
                  <c:v>Budget</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Plan2!$B$40:$B$51</c:f>
              <c:strCache>
                <c:ptCount val="12"/>
                <c:pt idx="0">
                  <c:v>Angola</c:v>
                </c:pt>
                <c:pt idx="1">
                  <c:v>Botswana</c:v>
                </c:pt>
                <c:pt idx="2">
                  <c:v>DRCongo</c:v>
                </c:pt>
                <c:pt idx="3">
                  <c:v>eSwatini </c:v>
                </c:pt>
                <c:pt idx="4">
                  <c:v>Lesotho</c:v>
                </c:pt>
                <c:pt idx="5">
                  <c:v>Malawi</c:v>
                </c:pt>
                <c:pt idx="6">
                  <c:v>Mozambique</c:v>
                </c:pt>
                <c:pt idx="7">
                  <c:v>Namibia</c:v>
                </c:pt>
                <c:pt idx="8">
                  <c:v>South Africa</c:v>
                </c:pt>
                <c:pt idx="9">
                  <c:v>Tanzania</c:v>
                </c:pt>
                <c:pt idx="10">
                  <c:v>Zambia</c:v>
                </c:pt>
                <c:pt idx="11">
                  <c:v>Zimbabwe</c:v>
                </c:pt>
              </c:strCache>
            </c:strRef>
          </c:cat>
          <c:val>
            <c:numRef>
              <c:f>Plan2!$C$40:$C$51</c:f>
              <c:numCache>
                <c:formatCode>[$$-540A]#\ ##0.00</c:formatCode>
                <c:ptCount val="12"/>
                <c:pt idx="0">
                  <c:v>64.8</c:v>
                </c:pt>
                <c:pt idx="1">
                  <c:v>19.170000000000002</c:v>
                </c:pt>
                <c:pt idx="2">
                  <c:v>190.87</c:v>
                </c:pt>
                <c:pt idx="3">
                  <c:v>8.82</c:v>
                </c:pt>
                <c:pt idx="4">
                  <c:v>15.379999999999999</c:v>
                </c:pt>
                <c:pt idx="5">
                  <c:v>76.7</c:v>
                </c:pt>
                <c:pt idx="6">
                  <c:v>81.63</c:v>
                </c:pt>
                <c:pt idx="7">
                  <c:v>16.489999999999998</c:v>
                </c:pt>
                <c:pt idx="8">
                  <c:v>27.439999999999998</c:v>
                </c:pt>
                <c:pt idx="9">
                  <c:v>63.17</c:v>
                </c:pt>
                <c:pt idx="10">
                  <c:v>45.66</c:v>
                </c:pt>
                <c:pt idx="11">
                  <c:v>406.89</c:v>
                </c:pt>
              </c:numCache>
            </c:numRef>
          </c:val>
          <c:extLst>
            <c:ext xmlns:c16="http://schemas.microsoft.com/office/drawing/2014/chart" uri="{C3380CC4-5D6E-409C-BE32-E72D297353CC}">
              <c16:uniqueId val="{00000000-AB75-4E10-AF1E-64713CD5F271}"/>
            </c:ext>
          </c:extLst>
        </c:ser>
        <c:ser>
          <c:idx val="1"/>
          <c:order val="1"/>
          <c:tx>
            <c:strRef>
              <c:f>Plan2!$D$39</c:f>
              <c:strCache>
                <c:ptCount val="1"/>
                <c:pt idx="0">
                  <c:v>Expenses</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Plan2!$B$40:$B$51</c:f>
              <c:strCache>
                <c:ptCount val="12"/>
                <c:pt idx="0">
                  <c:v>Angola</c:v>
                </c:pt>
                <c:pt idx="1">
                  <c:v>Botswana</c:v>
                </c:pt>
                <c:pt idx="2">
                  <c:v>DRCongo</c:v>
                </c:pt>
                <c:pt idx="3">
                  <c:v>eSwatini </c:v>
                </c:pt>
                <c:pt idx="4">
                  <c:v>Lesotho</c:v>
                </c:pt>
                <c:pt idx="5">
                  <c:v>Malawi</c:v>
                </c:pt>
                <c:pt idx="6">
                  <c:v>Mozambique</c:v>
                </c:pt>
                <c:pt idx="7">
                  <c:v>Namibia</c:v>
                </c:pt>
                <c:pt idx="8">
                  <c:v>South Africa</c:v>
                </c:pt>
                <c:pt idx="9">
                  <c:v>Tanzania</c:v>
                </c:pt>
                <c:pt idx="10">
                  <c:v>Zambia</c:v>
                </c:pt>
                <c:pt idx="11">
                  <c:v>Zimbabwe</c:v>
                </c:pt>
              </c:strCache>
            </c:strRef>
          </c:cat>
          <c:val>
            <c:numRef>
              <c:f>Plan2!$D$40:$D$51</c:f>
              <c:numCache>
                <c:formatCode>[$$-540A]#\ ##0.00</c:formatCode>
                <c:ptCount val="12"/>
                <c:pt idx="0">
                  <c:v>24.66</c:v>
                </c:pt>
                <c:pt idx="1">
                  <c:v>9.7199999999999989</c:v>
                </c:pt>
                <c:pt idx="2">
                  <c:v>117.33</c:v>
                </c:pt>
                <c:pt idx="3">
                  <c:v>7.42</c:v>
                </c:pt>
                <c:pt idx="4">
                  <c:v>9.27</c:v>
                </c:pt>
                <c:pt idx="5">
                  <c:v>56.28</c:v>
                </c:pt>
                <c:pt idx="6">
                  <c:v>50.58</c:v>
                </c:pt>
                <c:pt idx="7">
                  <c:v>11.32</c:v>
                </c:pt>
                <c:pt idx="8">
                  <c:v>15.790000000000001</c:v>
                </c:pt>
                <c:pt idx="9">
                  <c:v>36.35</c:v>
                </c:pt>
                <c:pt idx="10">
                  <c:v>19.2</c:v>
                </c:pt>
                <c:pt idx="11">
                  <c:v>306.77</c:v>
                </c:pt>
              </c:numCache>
            </c:numRef>
          </c:val>
          <c:extLst>
            <c:ext xmlns:c16="http://schemas.microsoft.com/office/drawing/2014/chart" uri="{C3380CC4-5D6E-409C-BE32-E72D297353CC}">
              <c16:uniqueId val="{00000001-AB75-4E10-AF1E-64713CD5F271}"/>
            </c:ext>
          </c:extLst>
        </c:ser>
        <c:dLbls>
          <c:showLegendKey val="0"/>
          <c:showVal val="0"/>
          <c:showCatName val="0"/>
          <c:showSerName val="0"/>
          <c:showPercent val="0"/>
          <c:showBubbleSize val="0"/>
        </c:dLbls>
        <c:gapWidth val="65"/>
        <c:shape val="box"/>
        <c:axId val="486442272"/>
        <c:axId val="486442664"/>
        <c:axId val="0"/>
      </c:bar3DChart>
      <c:catAx>
        <c:axId val="4864422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86442664"/>
        <c:crosses val="autoZero"/>
        <c:auto val="1"/>
        <c:lblAlgn val="ctr"/>
        <c:lblOffset val="100"/>
        <c:noMultiLvlLbl val="0"/>
      </c:catAx>
      <c:valAx>
        <c:axId val="486442664"/>
        <c:scaling>
          <c:orientation val="minMax"/>
        </c:scaling>
        <c:delete val="0"/>
        <c:axPos val="l"/>
        <c:majorGridlines>
          <c:spPr>
            <a:ln w="9525" cap="flat" cmpd="sng" algn="ctr">
              <a:solidFill>
                <a:schemeClr val="dk1">
                  <a:lumMod val="15000"/>
                  <a:lumOff val="85000"/>
                </a:schemeClr>
              </a:solidFill>
              <a:round/>
            </a:ln>
            <a:effectLst/>
          </c:spPr>
        </c:majorGridlines>
        <c:numFmt formatCode="[$$-540A]#\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8644227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t-PT" sz="1100"/>
              <a:t>Figure 7: %</a:t>
            </a:r>
            <a:r>
              <a:rPr lang="pt-PT" sz="1100" baseline="0"/>
              <a:t> Delivery in selected Southern africa countries</a:t>
            </a:r>
            <a:endParaRPr lang="pt-PT" sz="11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Plan2!$B$71:$B$82</c:f>
              <c:strCache>
                <c:ptCount val="12"/>
                <c:pt idx="0">
                  <c:v>Angola</c:v>
                </c:pt>
                <c:pt idx="1">
                  <c:v>Botswana</c:v>
                </c:pt>
                <c:pt idx="2">
                  <c:v>DRCongo</c:v>
                </c:pt>
                <c:pt idx="3">
                  <c:v>eSwatini </c:v>
                </c:pt>
                <c:pt idx="4">
                  <c:v>Lesotho</c:v>
                </c:pt>
                <c:pt idx="5">
                  <c:v>Malawi</c:v>
                </c:pt>
                <c:pt idx="6">
                  <c:v>Mozambique</c:v>
                </c:pt>
                <c:pt idx="7">
                  <c:v>Namibia</c:v>
                </c:pt>
                <c:pt idx="8">
                  <c:v>South Africa</c:v>
                </c:pt>
                <c:pt idx="9">
                  <c:v>Tanzania</c:v>
                </c:pt>
                <c:pt idx="10">
                  <c:v>Zambia</c:v>
                </c:pt>
                <c:pt idx="11">
                  <c:v>Zimbabwe</c:v>
                </c:pt>
              </c:strCache>
            </c:strRef>
          </c:cat>
          <c:val>
            <c:numRef>
              <c:f>Plan2!$C$71:$C$82</c:f>
              <c:numCache>
                <c:formatCode>0%</c:formatCode>
                <c:ptCount val="12"/>
                <c:pt idx="0">
                  <c:v>0.38055555555555559</c:v>
                </c:pt>
                <c:pt idx="1">
                  <c:v>0.50704225352112664</c:v>
                </c:pt>
                <c:pt idx="2">
                  <c:v>0.61471158380049251</c:v>
                </c:pt>
                <c:pt idx="3">
                  <c:v>0.84126984126984128</c:v>
                </c:pt>
                <c:pt idx="4">
                  <c:v>0.60273081924577376</c:v>
                </c:pt>
                <c:pt idx="5">
                  <c:v>0.73376792698826598</c:v>
                </c:pt>
                <c:pt idx="6">
                  <c:v>0.61962513781697903</c:v>
                </c:pt>
                <c:pt idx="7">
                  <c:v>0.68647665251667689</c:v>
                </c:pt>
                <c:pt idx="8">
                  <c:v>0.57543731778425666</c:v>
                </c:pt>
                <c:pt idx="9">
                  <c:v>0.57543137565299984</c:v>
                </c:pt>
                <c:pt idx="10">
                  <c:v>0.42049934296977665</c:v>
                </c:pt>
                <c:pt idx="11">
                  <c:v>0.7539384108727174</c:v>
                </c:pt>
              </c:numCache>
            </c:numRef>
          </c:val>
          <c:extLst>
            <c:ext xmlns:c16="http://schemas.microsoft.com/office/drawing/2014/chart" uri="{C3380CC4-5D6E-409C-BE32-E72D297353CC}">
              <c16:uniqueId val="{00000000-B05E-479F-9270-77CA101C9D68}"/>
            </c:ext>
          </c:extLst>
        </c:ser>
        <c:dLbls>
          <c:showLegendKey val="0"/>
          <c:showVal val="1"/>
          <c:showCatName val="0"/>
          <c:showSerName val="0"/>
          <c:showPercent val="0"/>
          <c:showBubbleSize val="0"/>
        </c:dLbls>
        <c:gapWidth val="150"/>
        <c:shape val="box"/>
        <c:axId val="486440704"/>
        <c:axId val="486435216"/>
        <c:axId val="0"/>
      </c:bar3DChart>
      <c:catAx>
        <c:axId val="4864407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86435216"/>
        <c:crosses val="autoZero"/>
        <c:auto val="1"/>
        <c:lblAlgn val="ctr"/>
        <c:lblOffset val="100"/>
        <c:noMultiLvlLbl val="0"/>
      </c:catAx>
      <c:valAx>
        <c:axId val="486435216"/>
        <c:scaling>
          <c:orientation val="minMax"/>
        </c:scaling>
        <c:delete val="1"/>
        <c:axPos val="l"/>
        <c:numFmt formatCode="0%" sourceLinked="1"/>
        <c:majorTickMark val="none"/>
        <c:minorTickMark val="none"/>
        <c:tickLblPos val="nextTo"/>
        <c:crossAx val="48644070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t-PT" sz="1100"/>
              <a:t>Figure 4: Expenditures - Poverty/Inclusive</a:t>
            </a:r>
            <a:r>
              <a:rPr lang="pt-PT" sz="1100" baseline="0"/>
              <a:t> </a:t>
            </a:r>
            <a:r>
              <a:rPr lang="pt-PT" sz="1100"/>
              <a:t>Growth</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Plan5!$C$31</c:f>
              <c:strCache>
                <c:ptCount val="1"/>
                <c:pt idx="0">
                  <c:v>Budget</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Plan5!$D$30:$F$30</c:f>
              <c:strCache>
                <c:ptCount val="3"/>
                <c:pt idx="0">
                  <c:v>2020</c:v>
                </c:pt>
                <c:pt idx="1">
                  <c:v>2021</c:v>
                </c:pt>
                <c:pt idx="2">
                  <c:v>Total</c:v>
                </c:pt>
              </c:strCache>
            </c:strRef>
          </c:cat>
          <c:val>
            <c:numRef>
              <c:f>Plan5!$D$31:$F$31</c:f>
              <c:numCache>
                <c:formatCode>[$$-540A]#\ ##0</c:formatCode>
                <c:ptCount val="3"/>
                <c:pt idx="0">
                  <c:v>624049.68999999994</c:v>
                </c:pt>
                <c:pt idx="1">
                  <c:v>1335898.3699999999</c:v>
                </c:pt>
                <c:pt idx="2">
                  <c:v>1959948.0599999998</c:v>
                </c:pt>
              </c:numCache>
            </c:numRef>
          </c:val>
          <c:extLst>
            <c:ext xmlns:c16="http://schemas.microsoft.com/office/drawing/2014/chart" uri="{C3380CC4-5D6E-409C-BE32-E72D297353CC}">
              <c16:uniqueId val="{00000000-5436-492C-B814-38244DBD0C20}"/>
            </c:ext>
          </c:extLst>
        </c:ser>
        <c:ser>
          <c:idx val="1"/>
          <c:order val="1"/>
          <c:tx>
            <c:strRef>
              <c:f>Plan5!$C$32</c:f>
              <c:strCache>
                <c:ptCount val="1"/>
                <c:pt idx="0">
                  <c:v>Expenditures</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Plan5!$D$30:$F$30</c:f>
              <c:strCache>
                <c:ptCount val="3"/>
                <c:pt idx="0">
                  <c:v>2020</c:v>
                </c:pt>
                <c:pt idx="1">
                  <c:v>2021</c:v>
                </c:pt>
                <c:pt idx="2">
                  <c:v>Total</c:v>
                </c:pt>
              </c:strCache>
            </c:strRef>
          </c:cat>
          <c:val>
            <c:numRef>
              <c:f>Plan5!$D$32:$F$32</c:f>
              <c:numCache>
                <c:formatCode>[$$-540A]#\ ##0</c:formatCode>
                <c:ptCount val="3"/>
                <c:pt idx="0">
                  <c:v>470370.43</c:v>
                </c:pt>
                <c:pt idx="1">
                  <c:v>401975.54999999993</c:v>
                </c:pt>
                <c:pt idx="2">
                  <c:v>872345.98</c:v>
                </c:pt>
              </c:numCache>
            </c:numRef>
          </c:val>
          <c:extLst>
            <c:ext xmlns:c16="http://schemas.microsoft.com/office/drawing/2014/chart" uri="{C3380CC4-5D6E-409C-BE32-E72D297353CC}">
              <c16:uniqueId val="{00000001-5436-492C-B814-38244DBD0C20}"/>
            </c:ext>
          </c:extLst>
        </c:ser>
        <c:dLbls>
          <c:showLegendKey val="0"/>
          <c:showVal val="0"/>
          <c:showCatName val="0"/>
          <c:showSerName val="0"/>
          <c:showPercent val="0"/>
          <c:showBubbleSize val="0"/>
        </c:dLbls>
        <c:gapWidth val="75"/>
        <c:shape val="box"/>
        <c:axId val="320426696"/>
        <c:axId val="320426304"/>
        <c:axId val="0"/>
      </c:bar3DChart>
      <c:catAx>
        <c:axId val="3204266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n-US"/>
          </a:p>
        </c:txPr>
        <c:crossAx val="320426304"/>
        <c:crosses val="autoZero"/>
        <c:auto val="1"/>
        <c:lblAlgn val="ctr"/>
        <c:lblOffset val="100"/>
        <c:noMultiLvlLbl val="0"/>
      </c:catAx>
      <c:valAx>
        <c:axId val="320426304"/>
        <c:scaling>
          <c:orientation val="minMax"/>
        </c:scaling>
        <c:delete val="0"/>
        <c:axPos val="l"/>
        <c:majorGridlines>
          <c:spPr>
            <a:ln w="9525" cap="flat" cmpd="sng" algn="ctr">
              <a:solidFill>
                <a:schemeClr val="dk1">
                  <a:lumMod val="15000"/>
                  <a:lumOff val="85000"/>
                </a:schemeClr>
              </a:solidFill>
              <a:round/>
            </a:ln>
            <a:effectLst/>
          </c:spPr>
        </c:majorGridlines>
        <c:numFmt formatCode="[$$-540A]#\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2042669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t-PT" sz="1100"/>
              <a:t>Figure 5: Global</a:t>
            </a:r>
            <a:r>
              <a:rPr lang="pt-PT" sz="1100" baseline="0"/>
              <a:t> Fund Budget and Expenditures</a:t>
            </a:r>
            <a:endParaRPr lang="pt-PT" sz="11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Plan5!$C$43</c:f>
              <c:strCache>
                <c:ptCount val="1"/>
                <c:pt idx="0">
                  <c:v>Budget</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Plan5!$D$42:$F$42</c:f>
              <c:strCache>
                <c:ptCount val="3"/>
                <c:pt idx="0">
                  <c:v>2020</c:v>
                </c:pt>
                <c:pt idx="1">
                  <c:v>2021</c:v>
                </c:pt>
                <c:pt idx="2">
                  <c:v>Total</c:v>
                </c:pt>
              </c:strCache>
            </c:strRef>
          </c:cat>
          <c:val>
            <c:numRef>
              <c:f>Plan5!$D$43:$F$43</c:f>
              <c:numCache>
                <c:formatCode>[$$-540A]#\ ##0</c:formatCode>
                <c:ptCount val="3"/>
                <c:pt idx="0">
                  <c:v>10866010</c:v>
                </c:pt>
                <c:pt idx="1">
                  <c:v>33207824</c:v>
                </c:pt>
                <c:pt idx="2">
                  <c:v>44073834</c:v>
                </c:pt>
              </c:numCache>
            </c:numRef>
          </c:val>
          <c:extLst>
            <c:ext xmlns:c16="http://schemas.microsoft.com/office/drawing/2014/chart" uri="{C3380CC4-5D6E-409C-BE32-E72D297353CC}">
              <c16:uniqueId val="{00000000-3452-4A5F-8F4B-F82EFB20F455}"/>
            </c:ext>
          </c:extLst>
        </c:ser>
        <c:ser>
          <c:idx val="1"/>
          <c:order val="1"/>
          <c:tx>
            <c:strRef>
              <c:f>Plan5!$C$44</c:f>
              <c:strCache>
                <c:ptCount val="1"/>
                <c:pt idx="0">
                  <c:v>Expenditures</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Plan5!$D$42:$F$42</c:f>
              <c:strCache>
                <c:ptCount val="3"/>
                <c:pt idx="0">
                  <c:v>2020</c:v>
                </c:pt>
                <c:pt idx="1">
                  <c:v>2021</c:v>
                </c:pt>
                <c:pt idx="2">
                  <c:v>Total</c:v>
                </c:pt>
              </c:strCache>
            </c:strRef>
          </c:cat>
          <c:val>
            <c:numRef>
              <c:f>Plan5!$D$44:$F$44</c:f>
              <c:numCache>
                <c:formatCode>[$$-540A]#\ ##0</c:formatCode>
                <c:ptCount val="3"/>
                <c:pt idx="0">
                  <c:v>7452733.25</c:v>
                </c:pt>
                <c:pt idx="1">
                  <c:v>7166088.2000000002</c:v>
                </c:pt>
                <c:pt idx="2">
                  <c:v>14618821.449999999</c:v>
                </c:pt>
              </c:numCache>
            </c:numRef>
          </c:val>
          <c:extLst>
            <c:ext xmlns:c16="http://schemas.microsoft.com/office/drawing/2014/chart" uri="{C3380CC4-5D6E-409C-BE32-E72D297353CC}">
              <c16:uniqueId val="{00000001-3452-4A5F-8F4B-F82EFB20F455}"/>
            </c:ext>
          </c:extLst>
        </c:ser>
        <c:dLbls>
          <c:showLegendKey val="0"/>
          <c:showVal val="0"/>
          <c:showCatName val="0"/>
          <c:showSerName val="0"/>
          <c:showPercent val="0"/>
          <c:showBubbleSize val="0"/>
        </c:dLbls>
        <c:gapWidth val="65"/>
        <c:shape val="box"/>
        <c:axId val="326766672"/>
        <c:axId val="326767848"/>
        <c:axId val="0"/>
      </c:bar3DChart>
      <c:catAx>
        <c:axId val="3267666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n-US"/>
          </a:p>
        </c:txPr>
        <c:crossAx val="326767848"/>
        <c:crosses val="autoZero"/>
        <c:auto val="1"/>
        <c:lblAlgn val="ctr"/>
        <c:lblOffset val="100"/>
        <c:noMultiLvlLbl val="0"/>
      </c:catAx>
      <c:valAx>
        <c:axId val="326767848"/>
        <c:scaling>
          <c:orientation val="minMax"/>
        </c:scaling>
        <c:delete val="0"/>
        <c:axPos val="l"/>
        <c:majorGridlines>
          <c:spPr>
            <a:ln w="9525" cap="flat" cmpd="sng" algn="ctr">
              <a:solidFill>
                <a:schemeClr val="dk1">
                  <a:lumMod val="15000"/>
                  <a:lumOff val="85000"/>
                </a:schemeClr>
              </a:solidFill>
              <a:round/>
            </a:ln>
            <a:effectLst/>
          </c:spPr>
        </c:majorGridlines>
        <c:numFmt formatCode="[$$-540A]#\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2676667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C530D9C21C842F38C45263387367F0D"/>
        <w:category>
          <w:name w:val="General"/>
          <w:gallery w:val="placeholder"/>
        </w:category>
        <w:types>
          <w:type w:val="bbPlcHdr"/>
        </w:types>
        <w:behaviors>
          <w:behavior w:val="content"/>
        </w:behaviors>
        <w:guid w:val="{2174293C-044B-4D3E-A492-11722470DAD6}"/>
      </w:docPartPr>
      <w:docPartBody>
        <w:p w:rsidR="00000000" w:rsidRDefault="0075494E" w:rsidP="0075494E">
          <w:pPr>
            <w:pStyle w:val="8C530D9C21C842F38C45263387367F0D"/>
          </w:pPr>
          <w:r>
            <w:rPr>
              <w:rFonts w:asciiTheme="majorHAnsi" w:eastAsiaTheme="majorEastAsia" w:hAnsiTheme="majorHAnsi" w:cstheme="majorBidi"/>
              <w:color w:val="4472C4" w:themeColor="accent1"/>
              <w:sz w:val="88"/>
              <w:szCs w:val="88"/>
            </w:rPr>
            <w:t>[Document title]</w:t>
          </w:r>
        </w:p>
      </w:docPartBody>
    </w:docPart>
    <w:docPart>
      <w:docPartPr>
        <w:name w:val="B84A34BA74E34B1EABCB5848CB67B39A"/>
        <w:category>
          <w:name w:val="General"/>
          <w:gallery w:val="placeholder"/>
        </w:category>
        <w:types>
          <w:type w:val="bbPlcHdr"/>
        </w:types>
        <w:behaviors>
          <w:behavior w:val="content"/>
        </w:behaviors>
        <w:guid w:val="{F7D255DF-0E3E-4A67-90C4-B375FC659776}"/>
      </w:docPartPr>
      <w:docPartBody>
        <w:p w:rsidR="00000000" w:rsidRDefault="0075494E" w:rsidP="0075494E">
          <w:pPr>
            <w:pStyle w:val="B84A34BA74E34B1EABCB5848CB67B39A"/>
          </w:pPr>
          <w:r>
            <w:rPr>
              <w:color w:val="2F5496" w:themeColor="accent1" w:themeShade="BF"/>
              <w:sz w:val="24"/>
              <w:szCs w:val="24"/>
            </w:rPr>
            <w:t>[Document subtitle]</w:t>
          </w:r>
        </w:p>
      </w:docPartBody>
    </w:docPart>
    <w:docPart>
      <w:docPartPr>
        <w:name w:val="EB0A32026CDA438684C6F16D57354C17"/>
        <w:category>
          <w:name w:val="General"/>
          <w:gallery w:val="placeholder"/>
        </w:category>
        <w:types>
          <w:type w:val="bbPlcHdr"/>
        </w:types>
        <w:behaviors>
          <w:behavior w:val="content"/>
        </w:behaviors>
        <w:guid w:val="{BB31B202-593C-4A02-9E8E-3235D8A7A0F2}"/>
      </w:docPartPr>
      <w:docPartBody>
        <w:p w:rsidR="00000000" w:rsidRDefault="0075494E" w:rsidP="0075494E">
          <w:pPr>
            <w:pStyle w:val="EB0A32026CDA438684C6F16D57354C17"/>
          </w:pPr>
          <w:r>
            <w:rPr>
              <w:color w:val="4472C4" w:themeColor="accent1"/>
              <w:sz w:val="28"/>
              <w:szCs w:val="2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venir Book">
    <w:altName w:val="Corbel"/>
    <w:charset w:val="00"/>
    <w:family w:val="auto"/>
    <w:pitch w:val="variable"/>
    <w:sig w:usb0="00000001"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94E"/>
    <w:rsid w:val="0075494E"/>
    <w:rsid w:val="00BC0E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1C976EDD769440C823DCAFAB28E294B">
    <w:name w:val="E1C976EDD769440C823DCAFAB28E294B"/>
    <w:rsid w:val="0075494E"/>
  </w:style>
  <w:style w:type="paragraph" w:customStyle="1" w:styleId="8C530D9C21C842F38C45263387367F0D">
    <w:name w:val="8C530D9C21C842F38C45263387367F0D"/>
    <w:rsid w:val="0075494E"/>
  </w:style>
  <w:style w:type="paragraph" w:customStyle="1" w:styleId="B84A34BA74E34B1EABCB5848CB67B39A">
    <w:name w:val="B84A34BA74E34B1EABCB5848CB67B39A"/>
    <w:rsid w:val="0075494E"/>
  </w:style>
  <w:style w:type="paragraph" w:customStyle="1" w:styleId="EB0A32026CDA438684C6F16D57354C17">
    <w:name w:val="EB0A32026CDA438684C6F16D57354C17"/>
    <w:rsid w:val="0075494E"/>
  </w:style>
  <w:style w:type="paragraph" w:customStyle="1" w:styleId="4650CB15D23A4D34A0F543491B963C80">
    <w:name w:val="4650CB15D23A4D34A0F543491B963C80"/>
    <w:rsid w:val="007549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7FFA6E-22FD-4B69-A5E1-1452749E9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3735</TotalTime>
  <Pages>109</Pages>
  <Words>40175</Words>
  <Characters>229001</Characters>
  <Application>Microsoft Office Word</Application>
  <DocSecurity>0</DocSecurity>
  <Lines>1908</Lines>
  <Paragraphs>537</Paragraphs>
  <ScaleCrop>false</ScaleCrop>
  <HeadingPairs>
    <vt:vector size="2" baseType="variant">
      <vt:variant>
        <vt:lpstr>Title</vt:lpstr>
      </vt:variant>
      <vt:variant>
        <vt:i4>1</vt:i4>
      </vt:variant>
    </vt:vector>
  </HeadingPairs>
  <TitlesOfParts>
    <vt:vector size="1" baseType="lpstr">
      <vt:lpstr>Evaluation of the UNDP Angola Country</vt:lpstr>
    </vt:vector>
  </TitlesOfParts>
  <Company/>
  <LinksUpToDate>false</LinksUpToDate>
  <CharactersWithSpaces>268639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UNDP Angola Country</dc:title>
  <dc:subject>Draft Report</dc:subject>
  <dc:creator>Dr. Ahmad Tijan Jallow and Malaquias Tenente</dc:creator>
  <cp:keywords/>
  <dc:description/>
  <cp:lastModifiedBy>Dr. Ahmad Tijan Jallow</cp:lastModifiedBy>
  <cp:revision>182</cp:revision>
  <dcterms:created xsi:type="dcterms:W3CDTF">2021-11-08T12:13:00Z</dcterms:created>
  <dcterms:modified xsi:type="dcterms:W3CDTF">2021-11-25T14:10:00Z</dcterms:modified>
</cp:coreProperties>
</file>