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FE4D" w14:textId="77777777" w:rsidR="00CC45F6" w:rsidRPr="00E81614" w:rsidRDefault="00DF60CF">
      <w:pPr>
        <w:pStyle w:val="Normal1"/>
        <w:spacing w:after="0"/>
        <w:jc w:val="both"/>
        <w:rPr>
          <w:bCs/>
          <w:sz w:val="24"/>
          <w:szCs w:val="24"/>
        </w:rPr>
      </w:pPr>
      <w:bookmarkStart w:id="0" w:name="_gjdgxs" w:colFirst="0" w:colLast="0"/>
      <w:bookmarkEnd w:id="0"/>
      <w:r w:rsidRPr="00E81614">
        <w:rPr>
          <w:bCs/>
          <w:sz w:val="24"/>
          <w:szCs w:val="24"/>
        </w:rPr>
        <w:t>Project Title: Facility/Programme for Capacity Development for Poverty Reduction through South-South and Triangular Cooperation in Education, Science and Technology Phase 2 – Project ID: 00097662</w:t>
      </w:r>
    </w:p>
    <w:p w14:paraId="07D9BB93" w14:textId="77777777" w:rsidR="00CC45F6" w:rsidRPr="00E81614" w:rsidRDefault="00CC45F6">
      <w:pPr>
        <w:pStyle w:val="Normal1"/>
        <w:spacing w:after="0"/>
        <w:jc w:val="both"/>
        <w:rPr>
          <w:sz w:val="24"/>
          <w:szCs w:val="24"/>
        </w:rPr>
      </w:pPr>
    </w:p>
    <w:p w14:paraId="4B312637" w14:textId="77777777" w:rsidR="00E81614" w:rsidRDefault="00DF60CF" w:rsidP="00E81614">
      <w:pPr>
        <w:pStyle w:val="Normal1"/>
        <w:spacing w:after="0"/>
        <w:jc w:val="center"/>
        <w:rPr>
          <w:b/>
          <w:sz w:val="32"/>
          <w:szCs w:val="32"/>
        </w:rPr>
      </w:pPr>
      <w:r w:rsidRPr="00E81614">
        <w:rPr>
          <w:b/>
          <w:sz w:val="32"/>
          <w:szCs w:val="32"/>
        </w:rPr>
        <w:t>The RoK-UNOSSC Facility Phase 2 (</w:t>
      </w:r>
      <w:r w:rsidRPr="00E81614">
        <w:rPr>
          <w:b/>
          <w:i/>
          <w:sz w:val="32"/>
          <w:szCs w:val="32"/>
        </w:rPr>
        <w:t>30 June 2016 – 30 June 2021</w:t>
      </w:r>
      <w:r w:rsidRPr="00E81614">
        <w:rPr>
          <w:b/>
          <w:sz w:val="32"/>
          <w:szCs w:val="32"/>
        </w:rPr>
        <w:t>):</w:t>
      </w:r>
    </w:p>
    <w:p w14:paraId="614203F6" w14:textId="44E2C876" w:rsidR="00CC45F6" w:rsidRPr="00E81614" w:rsidRDefault="00DF60CF" w:rsidP="00E81614">
      <w:pPr>
        <w:pStyle w:val="Normal1"/>
        <w:spacing w:after="0"/>
        <w:jc w:val="center"/>
        <w:rPr>
          <w:b/>
          <w:sz w:val="32"/>
          <w:szCs w:val="32"/>
        </w:rPr>
      </w:pPr>
      <w:r w:rsidRPr="00E81614">
        <w:rPr>
          <w:b/>
          <w:sz w:val="32"/>
          <w:szCs w:val="32"/>
        </w:rPr>
        <w:t xml:space="preserve"> End-of-the Project Evaluation</w:t>
      </w:r>
      <w:r w:rsidRPr="00E81614">
        <w:rPr>
          <w:sz w:val="18"/>
          <w:szCs w:val="18"/>
        </w:rPr>
        <w:t xml:space="preserve"> </w:t>
      </w:r>
      <w:r w:rsidRPr="00E81614">
        <w:rPr>
          <w:b/>
          <w:sz w:val="32"/>
          <w:szCs w:val="32"/>
        </w:rPr>
        <w:t>Report</w:t>
      </w:r>
    </w:p>
    <w:p w14:paraId="3C9EDB65" w14:textId="77777777" w:rsidR="00CC45F6" w:rsidRDefault="00CC45F6">
      <w:pPr>
        <w:pStyle w:val="Normal1"/>
        <w:spacing w:after="0"/>
        <w:rPr>
          <w:b/>
          <w:color w:val="FF0000"/>
          <w:sz w:val="40"/>
          <w:szCs w:val="40"/>
        </w:rPr>
      </w:pPr>
    </w:p>
    <w:p w14:paraId="196B2DA0" w14:textId="77777777" w:rsidR="00CC45F6" w:rsidRDefault="00DF60CF">
      <w:pPr>
        <w:pStyle w:val="Heading1"/>
        <w:spacing w:line="252" w:lineRule="auto"/>
        <w:rPr>
          <w:b/>
        </w:rPr>
      </w:pPr>
      <w:bookmarkStart w:id="1" w:name="_111kx3o" w:colFirst="0" w:colLast="0"/>
      <w:bookmarkStart w:id="2" w:name="_Toc84602937"/>
      <w:bookmarkStart w:id="3" w:name="_Toc84844304"/>
      <w:bookmarkEnd w:id="1"/>
      <w:r>
        <w:rPr>
          <w:b/>
        </w:rPr>
        <w:t>Executive Summary</w:t>
      </w:r>
      <w:bookmarkEnd w:id="2"/>
      <w:bookmarkEnd w:id="3"/>
    </w:p>
    <w:p w14:paraId="3FC20A0C" w14:textId="77777777" w:rsidR="00CC45F6" w:rsidRDefault="00DF60CF">
      <w:pPr>
        <w:pStyle w:val="Normal1"/>
        <w:numPr>
          <w:ilvl w:val="0"/>
          <w:numId w:val="3"/>
        </w:numPr>
        <w:pBdr>
          <w:top w:val="nil"/>
          <w:left w:val="nil"/>
          <w:bottom w:val="nil"/>
          <w:right w:val="nil"/>
          <w:between w:val="nil"/>
        </w:pBdr>
        <w:spacing w:before="40" w:after="60" w:line="252" w:lineRule="auto"/>
        <w:ind w:right="-142"/>
        <w:jc w:val="both"/>
        <w:rPr>
          <w:rFonts w:ascii="Calibri" w:eastAsia="Calibri" w:hAnsi="Calibri" w:cs="Calibri"/>
          <w:b/>
          <w:color w:val="004A80"/>
        </w:rPr>
      </w:pPr>
      <w:r>
        <w:rPr>
          <w:rFonts w:ascii="Calibri" w:eastAsia="Calibri" w:hAnsi="Calibri" w:cs="Calibri"/>
          <w:b/>
          <w:color w:val="004A80"/>
        </w:rPr>
        <w:t>Background</w:t>
      </w:r>
    </w:p>
    <w:p w14:paraId="12084DAC" w14:textId="07615D61" w:rsidR="00CC45F6" w:rsidRDefault="00DF60CF" w:rsidP="001106AA">
      <w:pPr>
        <w:pStyle w:val="Normal1"/>
        <w:spacing w:after="0" w:line="252" w:lineRule="auto"/>
        <w:ind w:right="-142"/>
        <w:jc w:val="both"/>
      </w:pPr>
      <w:r>
        <w:t xml:space="preserve">The RoK-UNOSSC </w:t>
      </w:r>
      <w:r w:rsidRPr="00441F12">
        <w:rPr>
          <w:vertAlign w:val="superscript"/>
        </w:rPr>
        <w:footnoteReference w:id="1"/>
      </w:r>
      <w:r>
        <w:t xml:space="preserve">Facility/Programme Phase 2 had three components: The Consortium (6 participating Institutions), the Platform (3 institutions) and the Scaled-Up Project (1 institution). It was funded by the Ministry of Science and ICT (MSIT) of the Republic of Korea (RoK) and implemented under the Direct Implementation (DIM) arrangement by </w:t>
      </w:r>
      <w:r w:rsidR="006407F5">
        <w:t xml:space="preserve">UNDP through </w:t>
      </w:r>
      <w:r>
        <w:t xml:space="preserve">the United Nations Office for South-South Cooperation (UNOSSC). While two countries were selected for piloting the integrated project led by the Consortium (Cambodia and Indonesia); the </w:t>
      </w:r>
      <w:r w:rsidR="00F40C06">
        <w:t>s</w:t>
      </w:r>
      <w:r>
        <w:t xml:space="preserve">caled-up project under the Regional Cooperative Agreement Regional Office (RCARO) had 14 participating countries in the Asia-Pacific Region. The Facility budget of USD 3,829,547.40 was released through annual contributions to UNOSSC by the Government of the Republic of Korea. The Ministry of Science and ICT </w:t>
      </w:r>
      <w:r w:rsidR="003B1FB2">
        <w:t xml:space="preserve">(MSIT) </w:t>
      </w:r>
      <w:r>
        <w:t xml:space="preserve">requested the Steering Committee of the Facility to appoint one of the implementing institutions (STEPI) to represent the Ministry in the coordination of the participating institutions in RoK. The collaboration was designed as a triangular cooperation programme. </w:t>
      </w:r>
    </w:p>
    <w:p w14:paraId="639874C2" w14:textId="5CAFB286" w:rsidR="00CC45F6" w:rsidRDefault="00DF60CF" w:rsidP="00D77B8C">
      <w:pPr>
        <w:pStyle w:val="Normal1"/>
        <w:spacing w:before="120" w:after="0" w:line="252" w:lineRule="auto"/>
        <w:ind w:right="-142"/>
        <w:jc w:val="both"/>
      </w:pPr>
      <w:r>
        <w:t>An End-of-the</w:t>
      </w:r>
      <w:r w:rsidR="00E9276D">
        <w:t xml:space="preserve"> </w:t>
      </w:r>
      <w:r>
        <w:t>Project Evaluation (EPE) for the RoK-UNOSSC Facility Phase 2 (2016 – 2021)</w:t>
      </w:r>
      <w:r w:rsidR="00F40C06">
        <w:t>,</w:t>
      </w:r>
      <w:r>
        <w:t xml:space="preserve"> was planned and budgeted for in compliance with the UNDP evaluation policy, relating to the scale of the project and the provision in the monitoring and evaluation framework included in the Phase 2 Facility Document. The evaluation </w:t>
      </w:r>
      <w:r w:rsidR="00505A38">
        <w:t>wa</w:t>
      </w:r>
      <w:r>
        <w:t>s intended to provide a comprehensive assessment of how well the project ha</w:t>
      </w:r>
      <w:r w:rsidR="004E46C7">
        <w:t>d</w:t>
      </w:r>
      <w:r>
        <w:t xml:space="preserve"> achieved its intended results. In addition, as per the terms of reference (TOR)</w:t>
      </w:r>
      <w:r w:rsidR="00F40C06">
        <w:t>,</w:t>
      </w:r>
      <w:r>
        <w:t xml:space="preserve"> the partners working on </w:t>
      </w:r>
      <w:r w:rsidR="00CB5109">
        <w:t xml:space="preserve">a </w:t>
      </w:r>
      <w:r>
        <w:t xml:space="preserve">Phase 3 intended to incorporate findings from the evaluation in </w:t>
      </w:r>
      <w:r w:rsidR="00A01613">
        <w:t>its design.</w:t>
      </w:r>
    </w:p>
    <w:p w14:paraId="6AC415EF" w14:textId="77777777" w:rsidR="00CC45F6" w:rsidRDefault="00DF60CF">
      <w:pPr>
        <w:pStyle w:val="Normal1"/>
        <w:spacing w:before="120" w:after="120" w:line="252" w:lineRule="auto"/>
        <w:ind w:right="-142"/>
        <w:jc w:val="both"/>
      </w:pPr>
      <w:r>
        <w:t>The methodology for the evaluation covered the following areas</w:t>
      </w:r>
      <w:r>
        <w:rPr>
          <w:vertAlign w:val="superscript"/>
        </w:rPr>
        <w:footnoteReference w:id="2"/>
      </w:r>
      <w:r>
        <w:t>:</w:t>
      </w:r>
    </w:p>
    <w:p w14:paraId="7F8A5B65" w14:textId="77777777" w:rsidR="00CC45F6" w:rsidRDefault="00DF60CF">
      <w:pPr>
        <w:pStyle w:val="Normal1"/>
        <w:numPr>
          <w:ilvl w:val="0"/>
          <w:numId w:val="17"/>
        </w:numPr>
        <w:pBdr>
          <w:top w:val="nil"/>
          <w:left w:val="nil"/>
          <w:bottom w:val="nil"/>
          <w:right w:val="nil"/>
          <w:between w:val="nil"/>
        </w:pBdr>
        <w:spacing w:before="120" w:after="0" w:line="252" w:lineRule="auto"/>
        <w:ind w:right="-142"/>
        <w:jc w:val="both"/>
      </w:pPr>
      <w:r>
        <w:rPr>
          <w:color w:val="000000"/>
        </w:rPr>
        <w:t>Desk study review of all relevant project documentation (</w:t>
      </w:r>
      <w:r>
        <w:rPr>
          <w:i/>
          <w:color w:val="000000"/>
        </w:rPr>
        <w:t>listed in the main report</w:t>
      </w:r>
      <w:r>
        <w:rPr>
          <w:color w:val="000000"/>
        </w:rPr>
        <w:t>);</w:t>
      </w:r>
    </w:p>
    <w:p w14:paraId="79E12F45" w14:textId="77777777" w:rsidR="00CC45F6" w:rsidRDefault="00DF60CF">
      <w:pPr>
        <w:pStyle w:val="Normal1"/>
        <w:numPr>
          <w:ilvl w:val="0"/>
          <w:numId w:val="17"/>
        </w:numPr>
        <w:pBdr>
          <w:top w:val="nil"/>
          <w:left w:val="nil"/>
          <w:bottom w:val="nil"/>
          <w:right w:val="nil"/>
          <w:between w:val="nil"/>
        </w:pBdr>
        <w:spacing w:after="120" w:line="252" w:lineRule="auto"/>
        <w:ind w:right="-142"/>
        <w:jc w:val="both"/>
      </w:pPr>
      <w:r>
        <w:rPr>
          <w:color w:val="000000"/>
        </w:rPr>
        <w:t>Consultations with multiple stakeholders (</w:t>
      </w:r>
      <w:r>
        <w:rPr>
          <w:i/>
          <w:color w:val="000000"/>
        </w:rPr>
        <w:t>listed in the main report</w:t>
      </w:r>
      <w:r>
        <w:rPr>
          <w:color w:val="000000"/>
        </w:rPr>
        <w:t>).</w:t>
      </w:r>
    </w:p>
    <w:p w14:paraId="4EDF5464" w14:textId="28104A3D" w:rsidR="00CC45F6" w:rsidRDefault="00DF60CF">
      <w:pPr>
        <w:pStyle w:val="Normal1"/>
        <w:spacing w:before="120" w:after="120" w:line="252" w:lineRule="auto"/>
        <w:ind w:right="-142"/>
        <w:jc w:val="both"/>
      </w:pPr>
      <w:bookmarkStart w:id="4" w:name="_3l18frh" w:colFirst="0" w:colLast="0"/>
      <w:bookmarkEnd w:id="4"/>
      <w:r>
        <w:t xml:space="preserve">This </w:t>
      </w:r>
      <w:r w:rsidR="005479D8" w:rsidRPr="005479D8">
        <w:t xml:space="preserve">EPE </w:t>
      </w:r>
      <w:r>
        <w:t xml:space="preserve">assessment </w:t>
      </w:r>
      <w:r w:rsidR="00652CEA">
        <w:t>wa</w:t>
      </w:r>
      <w:r>
        <w:t xml:space="preserve">s </w:t>
      </w:r>
      <w:r w:rsidR="007120F6" w:rsidRPr="007120F6">
        <w:t xml:space="preserve">undertaken </w:t>
      </w:r>
      <w:r w:rsidR="007120F6">
        <w:t xml:space="preserve">differently </w:t>
      </w:r>
      <w:r>
        <w:t xml:space="preserve">from other normal development cooperation project evaluations by virtue of it being </w:t>
      </w:r>
      <w:r w:rsidR="008A2591">
        <w:t>a triangular</w:t>
      </w:r>
      <w:r w:rsidR="00A01613">
        <w:t xml:space="preserve"> cooperation (</w:t>
      </w:r>
      <w:proofErr w:type="spellStart"/>
      <w:r>
        <w:t>TrC</w:t>
      </w:r>
      <w:proofErr w:type="spellEnd"/>
      <w:r w:rsidR="00A01613">
        <w:t>)</w:t>
      </w:r>
      <w:r>
        <w:t xml:space="preserve"> </w:t>
      </w:r>
      <w:r w:rsidR="001106AA">
        <w:t>project evaluation</w:t>
      </w:r>
      <w:r>
        <w:t xml:space="preserve">. The evaluation </w:t>
      </w:r>
      <w:r w:rsidR="00652CEA">
        <w:t>wa</w:t>
      </w:r>
      <w:r>
        <w:t>s forward-looking, it capture</w:t>
      </w:r>
      <w:r w:rsidR="00652CEA">
        <w:t>d</w:t>
      </w:r>
      <w:r>
        <w:t xml:space="preserve"> the successes, challenges, and lessons learnt from</w:t>
      </w:r>
      <w:r w:rsidR="001B41F6">
        <w:t xml:space="preserve"> the</w:t>
      </w:r>
      <w:r>
        <w:t xml:space="preserve"> implementation of the project. It also provides information about the Facility in the 14 participating countries with a focus on the implementation process, particularly the application of </w:t>
      </w:r>
      <w:proofErr w:type="spellStart"/>
      <w:r>
        <w:t>TrC</w:t>
      </w:r>
      <w:proofErr w:type="spellEnd"/>
      <w:r>
        <w:t xml:space="preserve"> processes and facilitation of South-South Cooperation (SSC) amongst the participating countries. In the main report, the evaluation ends with a list of recommendations generated from this analysis for a </w:t>
      </w:r>
      <w:r w:rsidR="00652CEA" w:rsidRPr="00652CEA">
        <w:t>potential</w:t>
      </w:r>
      <w:r>
        <w:t xml:space="preserve"> Phase 3 – as per </w:t>
      </w:r>
      <w:r w:rsidR="004E46C7">
        <w:t xml:space="preserve">the </w:t>
      </w:r>
      <w:r>
        <w:t>TOR, however</w:t>
      </w:r>
      <w:r w:rsidR="001B41F6">
        <w:t>;</w:t>
      </w:r>
      <w:r>
        <w:t xml:space="preserve"> a Phase 3 project document with a focus on </w:t>
      </w:r>
      <w:r w:rsidR="007B0E51">
        <w:t>Water-Energy-Food (WEF)</w:t>
      </w:r>
      <w:r>
        <w:t xml:space="preserve"> nexus has </w:t>
      </w:r>
      <w:r w:rsidR="004E46C7">
        <w:t xml:space="preserve">already </w:t>
      </w:r>
      <w:r>
        <w:t>been approved.</w:t>
      </w:r>
    </w:p>
    <w:p w14:paraId="13FCC87A" w14:textId="63A39A47" w:rsidR="00E81614" w:rsidRDefault="00E81614">
      <w:pPr>
        <w:pStyle w:val="Normal1"/>
        <w:spacing w:before="120" w:after="120" w:line="252" w:lineRule="auto"/>
        <w:ind w:right="-142"/>
        <w:jc w:val="both"/>
      </w:pPr>
    </w:p>
    <w:p w14:paraId="16628B35" w14:textId="5D833BEE" w:rsidR="00E81614" w:rsidRDefault="00E81614">
      <w:pPr>
        <w:pStyle w:val="Normal1"/>
        <w:spacing w:before="120" w:after="120" w:line="252" w:lineRule="auto"/>
        <w:ind w:right="-142"/>
        <w:jc w:val="both"/>
      </w:pPr>
    </w:p>
    <w:p w14:paraId="0E9F04D6" w14:textId="05894463" w:rsidR="00E81614" w:rsidRDefault="00E81614">
      <w:pPr>
        <w:pStyle w:val="Normal1"/>
        <w:spacing w:before="120" w:after="120" w:line="252" w:lineRule="auto"/>
        <w:ind w:right="-142"/>
        <w:jc w:val="both"/>
      </w:pPr>
    </w:p>
    <w:p w14:paraId="7E1137BE" w14:textId="77777777" w:rsidR="00E81614" w:rsidRDefault="00E81614">
      <w:pPr>
        <w:pStyle w:val="Normal1"/>
        <w:spacing w:before="120" w:after="120" w:line="252" w:lineRule="auto"/>
        <w:ind w:right="-142"/>
        <w:jc w:val="both"/>
      </w:pPr>
    </w:p>
    <w:p w14:paraId="68B55093" w14:textId="77777777" w:rsidR="00CC45F6" w:rsidRDefault="00DF60CF">
      <w:pPr>
        <w:pStyle w:val="Normal1"/>
        <w:numPr>
          <w:ilvl w:val="0"/>
          <w:numId w:val="3"/>
        </w:numPr>
        <w:pBdr>
          <w:top w:val="nil"/>
          <w:left w:val="nil"/>
          <w:bottom w:val="nil"/>
          <w:right w:val="nil"/>
          <w:between w:val="nil"/>
        </w:pBdr>
        <w:spacing w:before="40" w:after="60" w:line="252" w:lineRule="auto"/>
        <w:ind w:right="-142"/>
        <w:jc w:val="both"/>
        <w:rPr>
          <w:rFonts w:ascii="Calibri" w:eastAsia="Calibri" w:hAnsi="Calibri" w:cs="Calibri"/>
          <w:b/>
          <w:color w:val="004A80"/>
        </w:rPr>
      </w:pPr>
      <w:r>
        <w:rPr>
          <w:rFonts w:ascii="Calibri" w:eastAsia="Calibri" w:hAnsi="Calibri" w:cs="Calibri"/>
          <w:b/>
          <w:color w:val="004A80"/>
        </w:rPr>
        <w:lastRenderedPageBreak/>
        <w:t>Summary of findings</w:t>
      </w:r>
    </w:p>
    <w:p w14:paraId="0EE105DA" w14:textId="2517A4DD" w:rsidR="00CC45F6" w:rsidRDefault="00DF60CF">
      <w:pPr>
        <w:pStyle w:val="Normal1"/>
        <w:spacing w:after="0" w:line="252" w:lineRule="auto"/>
        <w:ind w:right="-142"/>
        <w:jc w:val="both"/>
      </w:pPr>
      <w:r>
        <w:t xml:space="preserve">Overall, the Facility/Programme </w:t>
      </w:r>
      <w:r w:rsidR="007120F6">
        <w:t>wa</w:t>
      </w:r>
      <w:r>
        <w:t xml:space="preserve">s seen by the main stakeholders as an overwhelmingly positive project, with many benefits and opportunities </w:t>
      </w:r>
      <w:r w:rsidR="001B41F6">
        <w:t>n</w:t>
      </w:r>
      <w:r>
        <w:t>ot only for the receiving countries, but also for the participating RoK institutions. It</w:t>
      </w:r>
      <w:r w:rsidR="00226629">
        <w:t xml:space="preserve"> </w:t>
      </w:r>
      <w:r w:rsidR="007120F6">
        <w:t>wa</w:t>
      </w:r>
      <w:r w:rsidR="00226629">
        <w:t>s</w:t>
      </w:r>
      <w:r>
        <w:t xml:space="preserve"> also deemed to offer actionable knowledge and practices to achieve the UN Sustainable Development Goals.</w:t>
      </w:r>
    </w:p>
    <w:p w14:paraId="69AA25A1" w14:textId="77777777" w:rsidR="00CC45F6" w:rsidRDefault="00CC45F6">
      <w:pPr>
        <w:pStyle w:val="Normal1"/>
        <w:spacing w:after="0" w:line="252" w:lineRule="auto"/>
        <w:ind w:right="-142"/>
        <w:jc w:val="both"/>
      </w:pPr>
    </w:p>
    <w:p w14:paraId="411DA0FA" w14:textId="3053F195" w:rsidR="00985E16" w:rsidRDefault="00DF60CF">
      <w:pPr>
        <w:pStyle w:val="Normal1"/>
        <w:spacing w:after="0" w:line="252" w:lineRule="auto"/>
        <w:ind w:right="-142"/>
        <w:jc w:val="both"/>
      </w:pPr>
      <w:r w:rsidRPr="00985E16">
        <w:t xml:space="preserve">While this feedback points to positive results, the purpose of this evaluation </w:t>
      </w:r>
      <w:r w:rsidR="00B67E58">
        <w:t>wa</w:t>
      </w:r>
      <w:r w:rsidR="00226629" w:rsidRPr="00985E16">
        <w:t xml:space="preserve">s </w:t>
      </w:r>
      <w:r w:rsidRPr="00985E16">
        <w:t xml:space="preserve">to build an understanding beyond what worked well, challenges and lessons learnt. </w:t>
      </w:r>
      <w:r w:rsidR="00B67E58" w:rsidRPr="00985E16">
        <w:t>But</w:t>
      </w:r>
      <w:r w:rsidRPr="00985E16">
        <w:t xml:space="preserve"> </w:t>
      </w:r>
      <w:r w:rsidR="00B67E58">
        <w:t>i</w:t>
      </w:r>
      <w:r w:rsidR="00346D1A" w:rsidRPr="00985E16">
        <w:t xml:space="preserve">t </w:t>
      </w:r>
      <w:r w:rsidR="00B67E58">
        <w:t>wa</w:t>
      </w:r>
      <w:r w:rsidR="00346D1A" w:rsidRPr="00985E16">
        <w:t>s</w:t>
      </w:r>
      <w:r w:rsidRPr="00985E16">
        <w:t xml:space="preserve"> also forward-looking, to capture lessons learnt effectively, closely examine and provide information on the nature, extent, and where possible, the results achieved through the Facility in the 14 participating countries. Based on the evidence reviewed, the evaluator concludes at this EPE stage, </w:t>
      </w:r>
      <w:r w:rsidR="00DE5339">
        <w:t xml:space="preserve">that it is </w:t>
      </w:r>
      <w:r w:rsidRPr="00985E16">
        <w:t xml:space="preserve">evident </w:t>
      </w:r>
      <w:r w:rsidR="00DE5339">
        <w:t xml:space="preserve">that the </w:t>
      </w:r>
      <w:r w:rsidRPr="00985E16">
        <w:t xml:space="preserve">project is consistent </w:t>
      </w:r>
      <w:r w:rsidR="00985E16" w:rsidRPr="00985E16">
        <w:t>with</w:t>
      </w:r>
      <w:r w:rsidRPr="00985E16">
        <w:t xml:space="preserve"> 1). South-South Cooperation and Triangular Cooperation (SS &amp; </w:t>
      </w:r>
      <w:proofErr w:type="spellStart"/>
      <w:r w:rsidRPr="00985E16">
        <w:t>TrC</w:t>
      </w:r>
      <w:proofErr w:type="spellEnd"/>
      <w:r w:rsidRPr="00985E16">
        <w:t xml:space="preserve">) principles; 2). </w:t>
      </w:r>
      <w:r w:rsidR="00A26C04" w:rsidRPr="00A26C04">
        <w:t>T</w:t>
      </w:r>
      <w:r w:rsidRPr="00A26C04">
        <w:t>he</w:t>
      </w:r>
      <w:r w:rsidRPr="00985E16">
        <w:t xml:space="preserve"> project has achieved all its intended results</w:t>
      </w:r>
      <w:r w:rsidR="00A46ED6">
        <w:t xml:space="preserve"> as per </w:t>
      </w:r>
      <w:r w:rsidR="00A26C04">
        <w:t xml:space="preserve">results </w:t>
      </w:r>
      <w:r w:rsidR="00A26C04" w:rsidRPr="00985E16">
        <w:t>framework</w:t>
      </w:r>
      <w:r w:rsidRPr="00E5185A">
        <w:t xml:space="preserve"> as set out in the Programme documents and </w:t>
      </w:r>
      <w:r w:rsidR="00A01613" w:rsidRPr="00E5185A">
        <w:t>summarised</w:t>
      </w:r>
      <w:r w:rsidRPr="00E5185A">
        <w:t xml:space="preserve"> in Table </w:t>
      </w:r>
      <w:r w:rsidR="00985E16" w:rsidRPr="00E5185A">
        <w:t>1 and</w:t>
      </w:r>
      <w:r w:rsidRPr="00E5185A">
        <w:t xml:space="preserve"> Table 2 (</w:t>
      </w:r>
      <w:r w:rsidRPr="00E5185A">
        <w:rPr>
          <w:i/>
        </w:rPr>
        <w:t>with full detailed achievements captured in Table 4 of</w:t>
      </w:r>
      <w:r w:rsidRPr="00985E16">
        <w:rPr>
          <w:i/>
        </w:rPr>
        <w:t xml:space="preserve"> the main report</w:t>
      </w:r>
      <w:r w:rsidRPr="00985E16">
        <w:t>)</w:t>
      </w:r>
      <w:r w:rsidR="00B67E58">
        <w:t xml:space="preserve">. </w:t>
      </w:r>
      <w:r w:rsidR="00A01613">
        <w:t>There were</w:t>
      </w:r>
      <w:r w:rsidR="00B67E58">
        <w:t xml:space="preserve"> </w:t>
      </w:r>
      <w:r w:rsidRPr="00985E16">
        <w:t xml:space="preserve">no major changes to its original results framework. </w:t>
      </w:r>
      <w:r w:rsidR="00A01613">
        <w:t>There were</w:t>
      </w:r>
      <w:r w:rsidRPr="00985E16">
        <w:t xml:space="preserve"> some demand-led adjustments (</w:t>
      </w:r>
      <w:r w:rsidRPr="00985E16">
        <w:rPr>
          <w:i/>
        </w:rPr>
        <w:t>additions and/or changes</w:t>
      </w:r>
      <w:r w:rsidRPr="00985E16">
        <w:t>) made based on joint work planning, review</w:t>
      </w:r>
      <w:r w:rsidR="00A01613">
        <w:t>s</w:t>
      </w:r>
      <w:r w:rsidRPr="00985E16">
        <w:t xml:space="preserve"> and consultative meetings to the results framework. </w:t>
      </w:r>
      <w:r w:rsidR="00A01613">
        <w:t>An example is</w:t>
      </w:r>
      <w:r w:rsidRPr="00985E16">
        <w:t xml:space="preserve"> the harmonization of village indicators in Indonesia and establishment of a Technology-based Business Incubator</w:t>
      </w:r>
      <w:r w:rsidR="00A01613">
        <w:t xml:space="preserve">, these </w:t>
      </w:r>
      <w:r w:rsidRPr="00985E16">
        <w:t xml:space="preserve">new initiatives </w:t>
      </w:r>
      <w:r w:rsidR="00A01613">
        <w:t>were</w:t>
      </w:r>
      <w:r w:rsidRPr="00985E16">
        <w:t xml:space="preserve"> added to the revised results framework</w:t>
      </w:r>
      <w:r w:rsidR="00DE5339">
        <w:t xml:space="preserve"> and endorsed by the Steering </w:t>
      </w:r>
      <w:proofErr w:type="spellStart"/>
      <w:r w:rsidR="00DE5339">
        <w:t>Committeee</w:t>
      </w:r>
      <w:proofErr w:type="spellEnd"/>
      <w:r w:rsidRPr="00985E16">
        <w:t>. In summary, the following observations were made by the EPE Evaluation based on questions identified in the EPE’s terms of reference:</w:t>
      </w:r>
    </w:p>
    <w:p w14:paraId="261E8993" w14:textId="4D412587" w:rsidR="00CC45F6" w:rsidRPr="00EF5048" w:rsidRDefault="00CC45F6">
      <w:pPr>
        <w:pStyle w:val="Normal1"/>
        <w:spacing w:after="0" w:line="252" w:lineRule="auto"/>
        <w:ind w:right="-142"/>
        <w:jc w:val="both"/>
        <w:rPr>
          <w:sz w:val="16"/>
          <w:szCs w:val="16"/>
        </w:rPr>
      </w:pPr>
    </w:p>
    <w:p w14:paraId="7C908EC9" w14:textId="650EEC23" w:rsidR="00CC45F6" w:rsidRDefault="00DF60CF" w:rsidP="00985E16">
      <w:pPr>
        <w:pStyle w:val="Normal1"/>
        <w:pBdr>
          <w:top w:val="nil"/>
          <w:left w:val="nil"/>
          <w:bottom w:val="nil"/>
          <w:right w:val="nil"/>
          <w:between w:val="nil"/>
        </w:pBdr>
        <w:spacing w:after="120" w:line="276" w:lineRule="auto"/>
        <w:ind w:right="-142"/>
        <w:jc w:val="both"/>
        <w:rPr>
          <w:b/>
          <w:color w:val="44546A"/>
          <w:sz w:val="18"/>
          <w:szCs w:val="18"/>
        </w:rPr>
      </w:pPr>
      <w:bookmarkStart w:id="5" w:name="_206ipza" w:colFirst="0" w:colLast="0"/>
      <w:bookmarkEnd w:id="5"/>
      <w:r>
        <w:rPr>
          <w:b/>
          <w:color w:val="44546A"/>
          <w:sz w:val="18"/>
          <w:szCs w:val="18"/>
        </w:rPr>
        <w:t xml:space="preserve">Table 1: </w:t>
      </w:r>
      <w:r w:rsidR="00F76218">
        <w:rPr>
          <w:b/>
          <w:color w:val="44546A"/>
          <w:sz w:val="18"/>
          <w:szCs w:val="18"/>
        </w:rPr>
        <w:t>I</w:t>
      </w:r>
      <w:r>
        <w:rPr>
          <w:b/>
          <w:color w:val="44546A"/>
          <w:sz w:val="18"/>
          <w:szCs w:val="18"/>
        </w:rPr>
        <w:t xml:space="preserve">ntended results achieved by South-South Cooperation and Triangular Cooperation (SS &amp; </w:t>
      </w:r>
      <w:proofErr w:type="spellStart"/>
      <w:r>
        <w:rPr>
          <w:b/>
          <w:color w:val="44546A"/>
          <w:sz w:val="18"/>
          <w:szCs w:val="18"/>
        </w:rPr>
        <w:t>TrC</w:t>
      </w:r>
      <w:proofErr w:type="spellEnd"/>
      <w:r>
        <w:rPr>
          <w:b/>
          <w:color w:val="44546A"/>
          <w:sz w:val="18"/>
          <w:szCs w:val="18"/>
        </w:rPr>
        <w:t>)</w:t>
      </w:r>
    </w:p>
    <w:p w14:paraId="495809A4" w14:textId="2C4817FF" w:rsidR="00FA7674" w:rsidRPr="00935437" w:rsidRDefault="00FA7674" w:rsidP="00935437">
      <w:pPr>
        <w:pStyle w:val="Normal1"/>
        <w:pBdr>
          <w:top w:val="nil"/>
          <w:left w:val="nil"/>
          <w:bottom w:val="nil"/>
          <w:right w:val="nil"/>
          <w:between w:val="nil"/>
        </w:pBdr>
        <w:spacing w:after="0" w:line="276" w:lineRule="auto"/>
        <w:ind w:right="-142"/>
        <w:jc w:val="both"/>
        <w:rPr>
          <w:bCs/>
          <w:color w:val="44546A"/>
          <w:sz w:val="2"/>
          <w:szCs w:val="2"/>
        </w:rPr>
      </w:pPr>
    </w:p>
    <w:tbl>
      <w:tblPr>
        <w:tblStyle w:val="26"/>
        <w:tblW w:w="10090" w:type="dxa"/>
        <w:tblInd w:w="-441" w:type="dxa"/>
        <w:tblLayout w:type="fixed"/>
        <w:tblLook w:val="04A0" w:firstRow="1" w:lastRow="0" w:firstColumn="1" w:lastColumn="0" w:noHBand="0" w:noVBand="1"/>
      </w:tblPr>
      <w:tblGrid>
        <w:gridCol w:w="1844"/>
        <w:gridCol w:w="8231"/>
        <w:gridCol w:w="15"/>
      </w:tblGrid>
      <w:tr w:rsidR="00663E7E" w:rsidRPr="00663E7E" w14:paraId="1BA3B137" w14:textId="77777777" w:rsidTr="00935437">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8EAADB"/>
              <w:left w:val="single" w:sz="12" w:space="0" w:color="8EAADB"/>
            </w:tcBorders>
          </w:tcPr>
          <w:p w14:paraId="0C94C3A0" w14:textId="77777777" w:rsidR="00663E7E" w:rsidRPr="00663E7E" w:rsidRDefault="00663E7E" w:rsidP="00C25CFE">
            <w:pPr>
              <w:pStyle w:val="Normal1"/>
              <w:spacing w:line="276" w:lineRule="auto"/>
              <w:rPr>
                <w:rFonts w:ascii="Arial Narrow" w:hAnsi="Arial Narrow"/>
                <w:color w:val="000000"/>
              </w:rPr>
            </w:pPr>
            <w:r w:rsidRPr="00663E7E">
              <w:rPr>
                <w:rFonts w:ascii="Arial Narrow" w:hAnsi="Arial Narrow"/>
                <w:color w:val="000000"/>
                <w:u w:val="single"/>
              </w:rPr>
              <w:t>Thematic area</w:t>
            </w:r>
          </w:p>
        </w:tc>
        <w:tc>
          <w:tcPr>
            <w:tcW w:w="8246" w:type="dxa"/>
            <w:gridSpan w:val="2"/>
            <w:tcBorders>
              <w:top w:val="single" w:sz="12" w:space="0" w:color="8EAADB"/>
              <w:right w:val="single" w:sz="12" w:space="0" w:color="8EAADB"/>
            </w:tcBorders>
          </w:tcPr>
          <w:p w14:paraId="42218979" w14:textId="77777777" w:rsidR="00663E7E" w:rsidRPr="00663E7E" w:rsidRDefault="00663E7E" w:rsidP="00C25CFE">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9"/>
                <w:szCs w:val="19"/>
                <w:u w:val="single"/>
              </w:rPr>
            </w:pPr>
            <w:r w:rsidRPr="00663E7E">
              <w:rPr>
                <w:rFonts w:ascii="Arial Narrow" w:hAnsi="Arial Narrow"/>
                <w:color w:val="000000"/>
                <w:sz w:val="19"/>
                <w:szCs w:val="19"/>
                <w:u w:val="single"/>
              </w:rPr>
              <w:t xml:space="preserve">Summary explanation or description of aspect(s) [and whether they are existent </w:t>
            </w:r>
            <w:r w:rsidRPr="00663E7E">
              <w:rPr>
                <w:rFonts w:eastAsia="Quattrocento Sans" w:cs="Quattrocento Sans"/>
                <w:noProof/>
                <w:sz w:val="19"/>
                <w:szCs w:val="19"/>
                <w:u w:val="single"/>
                <w:lang w:val="en-ZW"/>
              </w:rPr>
              <w:drawing>
                <wp:inline distT="0" distB="0" distL="0" distR="0" wp14:anchorId="217ED02A" wp14:editId="1904A165">
                  <wp:extent cx="177931" cy="175862"/>
                  <wp:effectExtent l="0" t="0" r="0" b="0"/>
                  <wp:docPr id="5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cstate="print"/>
                          <a:srcRect b="8285"/>
                          <a:stretch>
                            <a:fillRect/>
                          </a:stretch>
                        </pic:blipFill>
                        <pic:spPr>
                          <a:xfrm>
                            <a:off x="0" y="0"/>
                            <a:ext cx="177931" cy="175862"/>
                          </a:xfrm>
                          <a:prstGeom prst="rect">
                            <a:avLst/>
                          </a:prstGeom>
                          <a:ln/>
                        </pic:spPr>
                      </pic:pic>
                    </a:graphicData>
                  </a:graphic>
                </wp:inline>
              </w:drawing>
            </w:r>
            <w:r w:rsidRPr="00663E7E">
              <w:rPr>
                <w:rFonts w:ascii="Arial Narrow" w:hAnsi="Arial Narrow"/>
                <w:color w:val="000000"/>
                <w:sz w:val="19"/>
                <w:szCs w:val="19"/>
                <w:u w:val="single"/>
              </w:rPr>
              <w:t xml:space="preserve">or not existent </w:t>
            </w:r>
            <w:r w:rsidRPr="00663E7E">
              <w:rPr>
                <w:rFonts w:eastAsia="Quattrocento Sans" w:cs="Quattrocento Sans"/>
                <w:noProof/>
                <w:sz w:val="19"/>
                <w:szCs w:val="19"/>
                <w:u w:val="single"/>
                <w:lang w:val="en-ZW"/>
              </w:rPr>
              <w:drawing>
                <wp:inline distT="0" distB="0" distL="0" distR="0" wp14:anchorId="61B053C4" wp14:editId="448A6942">
                  <wp:extent cx="171354" cy="170078"/>
                  <wp:effectExtent l="0" t="0" r="0" b="0"/>
                  <wp:docPr id="5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cstate="print"/>
                          <a:srcRect l="23312" t="21503" r="21776" b="23994"/>
                          <a:stretch>
                            <a:fillRect/>
                          </a:stretch>
                        </pic:blipFill>
                        <pic:spPr>
                          <a:xfrm>
                            <a:off x="0" y="0"/>
                            <a:ext cx="171354" cy="170078"/>
                          </a:xfrm>
                          <a:prstGeom prst="rect">
                            <a:avLst/>
                          </a:prstGeom>
                          <a:ln/>
                        </pic:spPr>
                      </pic:pic>
                    </a:graphicData>
                  </a:graphic>
                </wp:inline>
              </w:drawing>
            </w:r>
            <w:r w:rsidRPr="00663E7E">
              <w:rPr>
                <w:rFonts w:ascii="Arial Narrow" w:hAnsi="Arial Narrow"/>
                <w:color w:val="000000"/>
                <w:sz w:val="19"/>
                <w:szCs w:val="19"/>
                <w:u w:val="single"/>
              </w:rPr>
              <w:t>]</w:t>
            </w:r>
          </w:p>
        </w:tc>
      </w:tr>
      <w:tr w:rsidR="00663E7E" w:rsidRPr="00663E7E" w14:paraId="1922357D" w14:textId="77777777" w:rsidTr="00935437">
        <w:trPr>
          <w:trHeight w:val="555"/>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8EAADB"/>
              <w:left w:val="single" w:sz="12" w:space="0" w:color="BFBFBF" w:themeColor="background1" w:themeShade="BF"/>
              <w:bottom w:val="single" w:sz="12" w:space="0" w:color="BFBFBF" w:themeColor="background1" w:themeShade="BF"/>
              <w:right w:val="single" w:sz="12" w:space="0" w:color="BFBFBF" w:themeColor="background1" w:themeShade="BF"/>
            </w:tcBorders>
          </w:tcPr>
          <w:p w14:paraId="71D23EAE" w14:textId="77777777" w:rsidR="00663E7E" w:rsidRPr="00663E7E" w:rsidRDefault="00663E7E" w:rsidP="00C25CFE">
            <w:pPr>
              <w:pStyle w:val="Normal1"/>
              <w:spacing w:line="276" w:lineRule="auto"/>
              <w:jc w:val="center"/>
              <w:rPr>
                <w:rFonts w:ascii="Arial Narrow" w:hAnsi="Arial Narrow"/>
              </w:rPr>
            </w:pPr>
            <w:r w:rsidRPr="00663E7E">
              <w:rPr>
                <w:rFonts w:ascii="Arial Narrow" w:hAnsi="Arial Narrow"/>
              </w:rPr>
              <w:t xml:space="preserve">South-South Cooperation and Triangular Cooperation (SS &amp; </w:t>
            </w:r>
            <w:proofErr w:type="spellStart"/>
            <w:r w:rsidRPr="00663E7E">
              <w:rPr>
                <w:rFonts w:ascii="Arial Narrow" w:hAnsi="Arial Narrow"/>
              </w:rPr>
              <w:t>TrC</w:t>
            </w:r>
            <w:proofErr w:type="spellEnd"/>
            <w:r w:rsidRPr="00663E7E">
              <w:rPr>
                <w:rFonts w:ascii="Arial Narrow" w:hAnsi="Arial Narrow"/>
              </w:rPr>
              <w:t>)</w:t>
            </w:r>
          </w:p>
        </w:tc>
        <w:tc>
          <w:tcPr>
            <w:tcW w:w="8246" w:type="dxa"/>
            <w:gridSpan w:val="2"/>
            <w:tcBorders>
              <w:top w:val="single" w:sz="12" w:space="0" w:color="8EAADB"/>
              <w:left w:val="single" w:sz="12" w:space="0" w:color="BFBFBF" w:themeColor="background1" w:themeShade="BF"/>
              <w:bottom w:val="single" w:sz="12" w:space="0" w:color="BFBFBF" w:themeColor="background1" w:themeShade="BF"/>
              <w:right w:val="single" w:sz="12" w:space="0" w:color="BFBFBF" w:themeColor="background1" w:themeShade="BF"/>
            </w:tcBorders>
          </w:tcPr>
          <w:p w14:paraId="29BB7FCA" w14:textId="4E4F70B2" w:rsidR="00663E7E" w:rsidRPr="00685075" w:rsidRDefault="00663E7E" w:rsidP="00AE437B">
            <w:pPr>
              <w:pStyle w:val="Normal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4"/>
                <w:szCs w:val="4"/>
              </w:rPr>
            </w:pPr>
            <w:r w:rsidRPr="00685075">
              <w:rPr>
                <w:noProof/>
              </w:rPr>
              <w:drawing>
                <wp:inline distT="0" distB="0" distL="0" distR="0" wp14:anchorId="0CF4E7C4" wp14:editId="2A6BF510">
                  <wp:extent cx="179705" cy="179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b="8286"/>
                          <a:stretch>
                            <a:fillRect/>
                          </a:stretch>
                        </pic:blipFill>
                        <pic:spPr bwMode="auto">
                          <a:xfrm>
                            <a:off x="0" y="0"/>
                            <a:ext cx="179705" cy="179705"/>
                          </a:xfrm>
                          <a:prstGeom prst="rect">
                            <a:avLst/>
                          </a:prstGeom>
                          <a:noFill/>
                          <a:ln>
                            <a:noFill/>
                          </a:ln>
                        </pic:spPr>
                      </pic:pic>
                    </a:graphicData>
                  </a:graphic>
                </wp:inline>
              </w:drawing>
            </w:r>
            <w:r w:rsidRPr="00685075">
              <w:rPr>
                <w:rFonts w:ascii="Arial Narrow" w:hAnsi="Arial Narrow"/>
                <w:b/>
                <w:bCs/>
              </w:rPr>
              <w:t xml:space="preserve"> </w:t>
            </w:r>
            <w:r w:rsidRPr="00685075">
              <w:rPr>
                <w:rFonts w:ascii="Arial Narrow" w:hAnsi="Arial Narrow"/>
              </w:rPr>
              <w:t xml:space="preserve">The </w:t>
            </w:r>
            <w:r w:rsidRPr="00685075">
              <w:rPr>
                <w:rFonts w:ascii="Arial Narrow" w:hAnsi="Arial Narrow"/>
                <w:bCs/>
              </w:rPr>
              <w:t xml:space="preserve">Facility was designed to share the Republic of Korea’s development experiences with developing countries in the Asia-Pacific Region in the areas of science, technology and innovation. The involvement of a developed country (Republic of Korea) and the United Nations rendered this a triangular cooperation project. The </w:t>
            </w:r>
            <w:r w:rsidR="00E7362F" w:rsidRPr="00E7362F">
              <w:rPr>
                <w:rFonts w:ascii="Arial Narrow" w:hAnsi="Arial Narrow"/>
                <w:bCs/>
              </w:rPr>
              <w:t xml:space="preserve">SS &amp; </w:t>
            </w:r>
            <w:proofErr w:type="spellStart"/>
            <w:r w:rsidR="00E7362F" w:rsidRPr="00E7362F">
              <w:rPr>
                <w:rFonts w:ascii="Arial Narrow" w:hAnsi="Arial Narrow"/>
                <w:bCs/>
              </w:rPr>
              <w:t>TrC</w:t>
            </w:r>
            <w:proofErr w:type="spellEnd"/>
            <w:r w:rsidR="00E7362F" w:rsidRPr="00E7362F">
              <w:rPr>
                <w:rFonts w:ascii="Arial Narrow" w:hAnsi="Arial Narrow"/>
                <w:bCs/>
              </w:rPr>
              <w:t xml:space="preserve"> </w:t>
            </w:r>
            <w:r w:rsidRPr="00685075">
              <w:rPr>
                <w:rFonts w:ascii="Arial Narrow" w:hAnsi="Arial Narrow"/>
                <w:bCs/>
              </w:rPr>
              <w:t xml:space="preserve">took place mostly on a bilateral basis through technical exchanges by some of </w:t>
            </w:r>
            <w:r w:rsidRPr="00FF5081">
              <w:rPr>
                <w:rFonts w:ascii="Arial Narrow" w:hAnsi="Arial Narrow" w:cs="Arial"/>
                <w:bCs/>
              </w:rPr>
              <w:t xml:space="preserve">the partner </w:t>
            </w:r>
            <w:r w:rsidRPr="00FF5081">
              <w:rPr>
                <w:rFonts w:ascii="Arial Narrow" w:hAnsi="Arial Narrow" w:cs="Arial"/>
              </w:rPr>
              <w:t xml:space="preserve">countries. The operation of a </w:t>
            </w:r>
            <w:r w:rsidR="00AE437B" w:rsidRPr="00FF5081">
              <w:rPr>
                <w:rFonts w:ascii="Arial Narrow" w:hAnsi="Arial Narrow" w:cs="Arial"/>
              </w:rPr>
              <w:t xml:space="preserve">Project </w:t>
            </w:r>
            <w:r w:rsidRPr="00FF5081">
              <w:rPr>
                <w:rFonts w:ascii="Arial Narrow" w:hAnsi="Arial Narrow" w:cs="Arial"/>
              </w:rPr>
              <w:t xml:space="preserve">Steering Committee </w:t>
            </w:r>
            <w:r w:rsidR="00070DCC" w:rsidRPr="00FF5081">
              <w:rPr>
                <w:rFonts w:ascii="Arial Narrow" w:hAnsi="Arial Narrow" w:cs="Arial"/>
              </w:rPr>
              <w:t>with country representat</w:t>
            </w:r>
            <w:r w:rsidR="00DE743D">
              <w:rPr>
                <w:rFonts w:ascii="Arial Narrow" w:hAnsi="Arial Narrow" w:cs="Arial"/>
              </w:rPr>
              <w:t>ives</w:t>
            </w:r>
            <w:r w:rsidR="00070DCC" w:rsidRPr="00FF5081">
              <w:rPr>
                <w:rFonts w:ascii="Arial Narrow" w:hAnsi="Arial Narrow" w:cs="Arial"/>
              </w:rPr>
              <w:t xml:space="preserve"> on it </w:t>
            </w:r>
            <w:r w:rsidR="001778C3" w:rsidRPr="00FF5081">
              <w:rPr>
                <w:rFonts w:ascii="Arial Narrow" w:hAnsi="Arial Narrow" w:cs="Arial"/>
              </w:rPr>
              <w:t>alongside</w:t>
            </w:r>
            <w:r w:rsidRPr="00FF5081">
              <w:rPr>
                <w:rFonts w:ascii="Arial Narrow" w:hAnsi="Arial Narrow" w:cs="Arial"/>
              </w:rPr>
              <w:t xml:space="preserve"> </w:t>
            </w:r>
            <w:r w:rsidR="00AE437B" w:rsidRPr="00FF5081">
              <w:rPr>
                <w:rFonts w:ascii="Arial Narrow" w:hAnsi="Arial Narrow" w:cs="Arial"/>
              </w:rPr>
              <w:t xml:space="preserve">the </w:t>
            </w:r>
            <w:r w:rsidRPr="00FF5081">
              <w:rPr>
                <w:rFonts w:ascii="Arial Narrow" w:hAnsi="Arial Narrow" w:cs="Arial"/>
              </w:rPr>
              <w:t>invitation of</w:t>
            </w:r>
            <w:r w:rsidRPr="00FF5081">
              <w:rPr>
                <w:rFonts w:ascii="Arial Narrow" w:hAnsi="Arial Narrow" w:cs="Arial"/>
                <w:b/>
                <w:bCs/>
              </w:rPr>
              <w:t xml:space="preserve"> </w:t>
            </w:r>
            <w:r w:rsidRPr="00FF5081">
              <w:rPr>
                <w:rFonts w:ascii="Arial Narrow" w:hAnsi="Arial Narrow" w:cs="Arial"/>
                <w:bCs/>
              </w:rPr>
              <w:t>Platform, Consortium and Scaled-up</w:t>
            </w:r>
            <w:r w:rsidRPr="00FF5081">
              <w:rPr>
                <w:rFonts w:ascii="Arial Narrow" w:hAnsi="Arial Narrow" w:cs="Arial"/>
                <w:b/>
                <w:bCs/>
              </w:rPr>
              <w:t xml:space="preserve"> </w:t>
            </w:r>
            <w:r w:rsidRPr="00FF5081">
              <w:rPr>
                <w:rFonts w:ascii="Arial Narrow" w:hAnsi="Arial Narrow" w:cs="Arial"/>
              </w:rPr>
              <w:t xml:space="preserve">members </w:t>
            </w:r>
            <w:r w:rsidR="003768A1" w:rsidRPr="00FF5081">
              <w:rPr>
                <w:rFonts w:ascii="Arial Narrow" w:hAnsi="Arial Narrow" w:cs="Arial"/>
              </w:rPr>
              <w:t xml:space="preserve">that convened regularly </w:t>
            </w:r>
            <w:r w:rsidRPr="00FF5081">
              <w:rPr>
                <w:rFonts w:ascii="Arial Narrow" w:hAnsi="Arial Narrow" w:cs="Arial"/>
              </w:rPr>
              <w:t xml:space="preserve">helped </w:t>
            </w:r>
            <w:r w:rsidR="00DE5339">
              <w:rPr>
                <w:rFonts w:ascii="Arial Narrow" w:hAnsi="Arial Narrow" w:cs="Arial"/>
              </w:rPr>
              <w:t xml:space="preserve">demonstrate </w:t>
            </w:r>
            <w:r w:rsidR="00471E2B" w:rsidRPr="00FF5081">
              <w:rPr>
                <w:rFonts w:ascii="Arial Narrow" w:hAnsi="Arial Narrow" w:cs="Arial"/>
              </w:rPr>
              <w:t>a manifestation of solidarity</w:t>
            </w:r>
            <w:r w:rsidRPr="00FF5081">
              <w:rPr>
                <w:rFonts w:ascii="Arial Narrow" w:hAnsi="Arial Narrow" w:cs="Arial"/>
              </w:rPr>
              <w:t xml:space="preserve"> </w:t>
            </w:r>
            <w:r w:rsidR="00C02872" w:rsidRPr="00FF5081">
              <w:rPr>
                <w:rFonts w:ascii="Arial Narrow" w:hAnsi="Arial Narrow" w:cs="Arial"/>
              </w:rPr>
              <w:t xml:space="preserve">among </w:t>
            </w:r>
            <w:r w:rsidRPr="00FF5081">
              <w:rPr>
                <w:rFonts w:ascii="Arial Narrow" w:hAnsi="Arial Narrow" w:cs="Arial"/>
              </w:rPr>
              <w:t>all the stakeholders</w:t>
            </w:r>
            <w:r w:rsidR="00172232" w:rsidRPr="00FF5081">
              <w:rPr>
                <w:rFonts w:ascii="Arial Narrow" w:hAnsi="Arial Narrow" w:cs="Arial"/>
              </w:rPr>
              <w:t xml:space="preserve"> through sharing knowledge, skills, expertise and resources</w:t>
            </w:r>
            <w:r w:rsidRPr="00FF5081">
              <w:rPr>
                <w:rFonts w:ascii="Arial Narrow" w:hAnsi="Arial Narrow" w:cs="Arial"/>
              </w:rPr>
              <w:t>.</w:t>
            </w:r>
            <w:r w:rsidRPr="00685075">
              <w:rPr>
                <w:rFonts w:ascii="Arial Narrow" w:hAnsi="Arial Narrow"/>
              </w:rPr>
              <w:t xml:space="preserve"> </w:t>
            </w:r>
          </w:p>
        </w:tc>
      </w:tr>
      <w:tr w:rsidR="00663E7E" w:rsidRPr="00663E7E" w14:paraId="42C24981" w14:textId="77777777" w:rsidTr="00935437">
        <w:trPr>
          <w:trHeight w:val="646"/>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06AAC5D" w14:textId="77777777" w:rsidR="00663E7E" w:rsidRPr="00663E7E" w:rsidRDefault="00663E7E" w:rsidP="00C25CFE">
            <w:pPr>
              <w:pStyle w:val="Normal1"/>
              <w:spacing w:line="276" w:lineRule="auto"/>
              <w:jc w:val="center"/>
              <w:rPr>
                <w:rFonts w:ascii="Arial Narrow" w:hAnsi="Arial Narrow"/>
                <w:color w:val="000000"/>
              </w:rPr>
            </w:pPr>
            <w:r w:rsidRPr="00663E7E">
              <w:rPr>
                <w:rFonts w:ascii="Arial Narrow" w:hAnsi="Arial Narrow"/>
                <w:color w:val="000000"/>
              </w:rPr>
              <w:t>Country ownership and demand-driven cooperation from national key players</w:t>
            </w:r>
          </w:p>
        </w:tc>
        <w:tc>
          <w:tcPr>
            <w:tcW w:w="824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7634F38" w14:textId="70102C11" w:rsidR="00663E7E" w:rsidRPr="00663E7E" w:rsidRDefault="00663E7E" w:rsidP="00C25CFE">
            <w:pPr>
              <w:pStyle w:val="Normal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Cs/>
              </w:rPr>
            </w:pPr>
            <w:r w:rsidRPr="00663E7E">
              <w:rPr>
                <w:noProof/>
              </w:rPr>
              <w:drawing>
                <wp:inline distT="0" distB="0" distL="0" distR="0" wp14:anchorId="0AA53CC2" wp14:editId="00189F12">
                  <wp:extent cx="174625" cy="1847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Pr="00663E7E">
              <w:rPr>
                <w:rFonts w:ascii="Arial Narrow" w:hAnsi="Arial Narrow"/>
                <w:b/>
                <w:bCs/>
              </w:rPr>
              <w:t xml:space="preserve"> </w:t>
            </w:r>
            <w:r w:rsidRPr="00663E7E">
              <w:rPr>
                <w:rFonts w:ascii="Arial Narrow" w:hAnsi="Arial Narrow"/>
              </w:rPr>
              <w:t xml:space="preserve">There </w:t>
            </w:r>
            <w:r w:rsidR="00613EF6">
              <w:rPr>
                <w:rFonts w:ascii="Arial Narrow" w:hAnsi="Arial Narrow"/>
              </w:rPr>
              <w:t>wa</w:t>
            </w:r>
            <w:r w:rsidRPr="00663E7E">
              <w:rPr>
                <w:rFonts w:ascii="Arial Narrow" w:hAnsi="Arial Narrow"/>
              </w:rPr>
              <w:t xml:space="preserve">s clear evidence that suggests the activities in Indonesia supported the government’s leadership including the eventual idea to set up the South-South Centre of Excellence on Village Innovation (SSCEVI). The SSCVI </w:t>
            </w:r>
            <w:r w:rsidR="004E7F91">
              <w:rPr>
                <w:rFonts w:ascii="Arial Narrow" w:hAnsi="Arial Narrow"/>
              </w:rPr>
              <w:t>wa</w:t>
            </w:r>
            <w:r w:rsidRPr="00663E7E">
              <w:rPr>
                <w:rFonts w:ascii="Arial Narrow" w:hAnsi="Arial Narrow"/>
              </w:rPr>
              <w:t xml:space="preserve">s an example where the integrated approach under the Consortium Component of collaborating with governments increased sustainability through the enhanced role of the central government and other stakeholders. </w:t>
            </w:r>
            <w:r w:rsidRPr="0037584A">
              <w:rPr>
                <w:rFonts w:ascii="Arial Narrow" w:hAnsi="Arial Narrow"/>
              </w:rPr>
              <w:t xml:space="preserve">However, </w:t>
            </w:r>
            <w:r w:rsidR="00A46ED6" w:rsidRPr="0037584A">
              <w:rPr>
                <w:rFonts w:ascii="Arial Narrow" w:hAnsi="Arial Narrow"/>
              </w:rPr>
              <w:t xml:space="preserve">of the two countries </w:t>
            </w:r>
            <w:r w:rsidR="00D24E86" w:rsidRPr="0037584A">
              <w:rPr>
                <w:rFonts w:ascii="Arial Narrow" w:hAnsi="Arial Narrow"/>
              </w:rPr>
              <w:t>involved in the consortium</w:t>
            </w:r>
            <w:r w:rsidR="00D24E86">
              <w:rPr>
                <w:rFonts w:ascii="Arial Narrow" w:hAnsi="Arial Narrow"/>
              </w:rPr>
              <w:t xml:space="preserve">, </w:t>
            </w:r>
            <w:r w:rsidRPr="00663E7E">
              <w:rPr>
                <w:rFonts w:ascii="Arial Narrow" w:hAnsi="Arial Narrow"/>
              </w:rPr>
              <w:t xml:space="preserve">this was only occurring systematically in Indonesia. </w:t>
            </w:r>
            <w:r w:rsidRPr="00663E7E">
              <w:rPr>
                <w:rFonts w:ascii="Arial Narrow" w:hAnsi="Arial Narrow"/>
                <w:bCs/>
              </w:rPr>
              <w:t xml:space="preserve">In Indonesia various parts of governments coordinated by the </w:t>
            </w:r>
            <w:r w:rsidR="00D24E86">
              <w:rPr>
                <w:rFonts w:ascii="Arial Narrow" w:hAnsi="Arial Narrow"/>
                <w:bCs/>
              </w:rPr>
              <w:t>P</w:t>
            </w:r>
            <w:r w:rsidRPr="00663E7E">
              <w:rPr>
                <w:rFonts w:ascii="Arial Narrow" w:hAnsi="Arial Narrow"/>
                <w:bCs/>
              </w:rPr>
              <w:t xml:space="preserve">lanning Ministry worked together and demonstrated </w:t>
            </w:r>
            <w:r w:rsidRPr="00663E7E">
              <w:rPr>
                <w:rFonts w:ascii="Arial Narrow" w:hAnsi="Arial Narrow"/>
              </w:rPr>
              <w:t xml:space="preserve">country ownership and demand-driven cooperation from national key players. In the context of Cambodia, the government requested STEPI to develop capacities of business national leaders with profound knowledge and management skill through a newly established Technology Business Incubation </w:t>
            </w:r>
            <w:proofErr w:type="spellStart"/>
            <w:r w:rsidRPr="00663E7E">
              <w:rPr>
                <w:rFonts w:ascii="Arial Narrow" w:hAnsi="Arial Narrow"/>
              </w:rPr>
              <w:t>Center</w:t>
            </w:r>
            <w:proofErr w:type="spellEnd"/>
            <w:r w:rsidRPr="00663E7E">
              <w:rPr>
                <w:rFonts w:ascii="Arial Narrow" w:hAnsi="Arial Narrow"/>
              </w:rPr>
              <w:t>.</w:t>
            </w:r>
            <w:r w:rsidRPr="004E7F91">
              <w:rPr>
                <w:rFonts w:ascii="Arial Narrow" w:hAnsi="Arial Narrow"/>
              </w:rPr>
              <w:t xml:space="preserve"> </w:t>
            </w:r>
          </w:p>
          <w:p w14:paraId="27E2CC3F" w14:textId="77777777" w:rsidR="00663E7E" w:rsidRPr="00663E7E" w:rsidRDefault="00663E7E" w:rsidP="00C25CFE">
            <w:pPr>
              <w:pStyle w:val="Normal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4"/>
                <w:szCs w:val="4"/>
              </w:rPr>
            </w:pPr>
          </w:p>
        </w:tc>
      </w:tr>
      <w:tr w:rsidR="00663E7E" w:rsidRPr="00663E7E" w14:paraId="6396E8A4" w14:textId="77777777" w:rsidTr="00935437">
        <w:trPr>
          <w:trHeight w:val="494"/>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28AB1AE" w14:textId="77777777" w:rsidR="00663E7E" w:rsidRPr="00663E7E" w:rsidRDefault="00663E7E" w:rsidP="00C25CFE">
            <w:pPr>
              <w:pStyle w:val="Normal1"/>
              <w:spacing w:line="276" w:lineRule="auto"/>
              <w:jc w:val="center"/>
              <w:rPr>
                <w:rFonts w:ascii="Arial Narrow" w:hAnsi="Arial Narrow"/>
                <w:color w:val="000000"/>
              </w:rPr>
            </w:pPr>
            <w:r w:rsidRPr="00663E7E">
              <w:rPr>
                <w:rFonts w:ascii="Arial Narrow" w:hAnsi="Arial Narrow"/>
                <w:color w:val="000000"/>
              </w:rPr>
              <w:t>ICT Technologies as an opportunity</w:t>
            </w:r>
          </w:p>
        </w:tc>
        <w:tc>
          <w:tcPr>
            <w:tcW w:w="824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DCF358F" w14:textId="7BF4CE3B" w:rsidR="00663E7E" w:rsidRPr="00FF5413" w:rsidRDefault="00663E7E" w:rsidP="00C25CFE">
            <w:pPr>
              <w:pStyle w:val="Normal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63E7E">
              <w:rPr>
                <w:noProof/>
              </w:rPr>
              <w:drawing>
                <wp:inline distT="0" distB="0" distL="0" distR="0" wp14:anchorId="4B9B18AE" wp14:editId="180EAC52">
                  <wp:extent cx="174625" cy="1847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Pr="00663E7E">
              <w:rPr>
                <w:rFonts w:ascii="Arial Narrow" w:hAnsi="Arial Narrow"/>
              </w:rPr>
              <w:t>The outbreak of the global COVID-19 epidemiological pandemic had an impact on the project. However, ICT tools presented an opportunity which</w:t>
            </w:r>
            <w:r w:rsidR="00D24E86">
              <w:rPr>
                <w:rFonts w:ascii="Arial Narrow" w:hAnsi="Arial Narrow"/>
              </w:rPr>
              <w:t>,</w:t>
            </w:r>
            <w:r w:rsidRPr="00663E7E">
              <w:rPr>
                <w:rFonts w:ascii="Arial Narrow" w:hAnsi="Arial Narrow"/>
              </w:rPr>
              <w:t xml:space="preserve"> RCARO for example</w:t>
            </w:r>
            <w:r w:rsidR="00D24E86">
              <w:rPr>
                <w:rFonts w:ascii="Arial Narrow" w:hAnsi="Arial Narrow"/>
              </w:rPr>
              <w:t>,</w:t>
            </w:r>
            <w:r w:rsidRPr="00663E7E">
              <w:rPr>
                <w:rFonts w:ascii="Arial Narrow" w:hAnsi="Arial Narrow"/>
              </w:rPr>
              <w:t xml:space="preserve"> utilised for continuation of implementation of the project with online activities. A Group Fellowship Programme in 2020 and Final Review Meeting/Technical Workshop in 2021 were successfully completed using the online platforms and tools</w:t>
            </w:r>
            <w:r w:rsidRPr="00FF5413">
              <w:rPr>
                <w:rFonts w:ascii="Arial Narrow" w:hAnsi="Arial Narrow"/>
              </w:rPr>
              <w:t xml:space="preserve">. </w:t>
            </w:r>
          </w:p>
          <w:p w14:paraId="61465E27" w14:textId="77777777" w:rsidR="00663E7E" w:rsidRPr="00663E7E" w:rsidRDefault="00663E7E" w:rsidP="00C25CFE">
            <w:pPr>
              <w:pStyle w:val="Normal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4"/>
                <w:szCs w:val="4"/>
              </w:rPr>
            </w:pPr>
          </w:p>
        </w:tc>
      </w:tr>
      <w:tr w:rsidR="00663E7E" w:rsidRPr="00663E7E" w14:paraId="101E3A40" w14:textId="77777777" w:rsidTr="00935437">
        <w:trPr>
          <w:trHeight w:val="1034"/>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F67B9B0" w14:textId="77777777" w:rsidR="00663E7E" w:rsidRPr="00663E7E" w:rsidRDefault="00663E7E" w:rsidP="00C25CFE">
            <w:pPr>
              <w:pStyle w:val="Normal1"/>
              <w:spacing w:line="276" w:lineRule="auto"/>
              <w:jc w:val="center"/>
              <w:rPr>
                <w:rFonts w:ascii="Arial Narrow" w:hAnsi="Arial Narrow"/>
                <w:color w:val="000000"/>
              </w:rPr>
            </w:pPr>
            <w:r w:rsidRPr="00663E7E">
              <w:rPr>
                <w:rFonts w:ascii="Arial Narrow" w:hAnsi="Arial Narrow"/>
                <w:color w:val="000000"/>
              </w:rPr>
              <w:t>Communication</w:t>
            </w:r>
          </w:p>
        </w:tc>
        <w:tc>
          <w:tcPr>
            <w:tcW w:w="824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94B742C" w14:textId="252DCB71" w:rsidR="00663E7E" w:rsidRPr="00663E7E" w:rsidRDefault="00663E7E" w:rsidP="00C25CFE">
            <w:pPr>
              <w:pStyle w:val="Normal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Cs/>
              </w:rPr>
            </w:pPr>
            <w:r w:rsidRPr="00663E7E">
              <w:rPr>
                <w:noProof/>
              </w:rPr>
              <w:drawing>
                <wp:inline distT="0" distB="0" distL="0" distR="0" wp14:anchorId="05F5967E" wp14:editId="399B04F0">
                  <wp:extent cx="174625" cy="1847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Pr="00663E7E">
              <w:rPr>
                <w:rFonts w:ascii="Arial Narrow" w:hAnsi="Arial Narrow"/>
              </w:rPr>
              <w:t>Many promotional materials and videos capturing key achievements were compiled during Phase 2 of the Facility</w:t>
            </w:r>
            <w:r w:rsidR="003E351C">
              <w:rPr>
                <w:rFonts w:ascii="Arial Narrow" w:hAnsi="Arial Narrow"/>
              </w:rPr>
              <w:t>,</w:t>
            </w:r>
            <w:r w:rsidRPr="00663E7E">
              <w:rPr>
                <w:rFonts w:ascii="Arial Narrow" w:hAnsi="Arial Narrow"/>
              </w:rPr>
              <w:t xml:space="preserve"> including testimonials from participating stakeholders </w:t>
            </w:r>
            <w:hyperlink r:id="rId15">
              <w:r w:rsidRPr="00663E7E">
                <w:rPr>
                  <w:rFonts w:ascii="Arial Narrow" w:hAnsi="Arial Narrow"/>
                  <w:color w:val="0563C1"/>
                  <w:u w:val="single"/>
                </w:rPr>
                <w:t>link</w:t>
              </w:r>
            </w:hyperlink>
            <w:r w:rsidRPr="00663E7E">
              <w:rPr>
                <w:rFonts w:ascii="Arial Narrow" w:hAnsi="Arial Narrow"/>
              </w:rPr>
              <w:t xml:space="preserve"> to communicate achievements and knowledge sharing. Clear communication lines facilitated by a partnership rather than a top-down relationship</w:t>
            </w:r>
            <w:r w:rsidR="003E351C">
              <w:rPr>
                <w:rFonts w:ascii="Arial Narrow" w:hAnsi="Arial Narrow"/>
              </w:rPr>
              <w:t xml:space="preserve"> were evident</w:t>
            </w:r>
            <w:r w:rsidRPr="00663E7E">
              <w:rPr>
                <w:rFonts w:ascii="Arial Narrow" w:hAnsi="Arial Narrow"/>
              </w:rPr>
              <w:t>,</w:t>
            </w:r>
            <w:r w:rsidR="003E351C">
              <w:rPr>
                <w:rFonts w:ascii="Arial Narrow" w:hAnsi="Arial Narrow"/>
              </w:rPr>
              <w:t xml:space="preserve"> while </w:t>
            </w:r>
            <w:r w:rsidRPr="00663E7E">
              <w:rPr>
                <w:rFonts w:ascii="Arial Narrow" w:hAnsi="Arial Narrow"/>
              </w:rPr>
              <w:t>the communication strategy was a success with benefits relayed in both interviews and project reports.</w:t>
            </w:r>
          </w:p>
          <w:p w14:paraId="1EB490A8" w14:textId="77777777" w:rsidR="00663E7E" w:rsidRPr="00663E7E" w:rsidRDefault="00663E7E" w:rsidP="00C25CFE">
            <w:pPr>
              <w:pStyle w:val="Normal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color w:val="FF0000"/>
                <w:sz w:val="4"/>
                <w:szCs w:val="4"/>
              </w:rPr>
            </w:pPr>
          </w:p>
        </w:tc>
      </w:tr>
      <w:tr w:rsidR="00663E7E" w:rsidRPr="00663E7E" w14:paraId="4D6E74AC" w14:textId="77777777" w:rsidTr="00935437">
        <w:trPr>
          <w:trHeight w:val="553"/>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2AD6C15" w14:textId="77777777" w:rsidR="00663E7E" w:rsidRPr="00663E7E" w:rsidRDefault="00663E7E" w:rsidP="00C25CFE">
            <w:pPr>
              <w:pStyle w:val="Normal1"/>
              <w:spacing w:line="276" w:lineRule="auto"/>
              <w:jc w:val="center"/>
              <w:rPr>
                <w:rFonts w:ascii="Arial Narrow" w:hAnsi="Arial Narrow"/>
                <w:color w:val="000000"/>
              </w:rPr>
            </w:pPr>
            <w:r w:rsidRPr="00663E7E">
              <w:rPr>
                <w:rFonts w:ascii="Arial Narrow" w:hAnsi="Arial Narrow"/>
                <w:color w:val="000000"/>
              </w:rPr>
              <w:lastRenderedPageBreak/>
              <w:t>Knowledge Management, Joint-learning and knowledge-sharing for sustainable development</w:t>
            </w:r>
          </w:p>
        </w:tc>
        <w:tc>
          <w:tcPr>
            <w:tcW w:w="824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1862BC" w14:textId="5D415298" w:rsidR="00663E7E" w:rsidRPr="00663E7E" w:rsidRDefault="00663E7E" w:rsidP="00C25CFE">
            <w:pPr>
              <w:pStyle w:val="Normal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Cs/>
              </w:rPr>
            </w:pPr>
            <w:r w:rsidRPr="00663E7E">
              <w:rPr>
                <w:noProof/>
              </w:rPr>
              <w:drawing>
                <wp:inline distT="0" distB="0" distL="0" distR="0" wp14:anchorId="0B1948A0" wp14:editId="6403E901">
                  <wp:extent cx="174625" cy="1847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Pr="00663E7E">
              <w:rPr>
                <w:rFonts w:ascii="Arial Narrow" w:hAnsi="Arial Narrow"/>
              </w:rPr>
              <w:t>The documentation of activities and results of the project was an evident significant knowledge management process. For example, the case studies by TEMEP demonstrate</w:t>
            </w:r>
            <w:r w:rsidR="002B2FD6">
              <w:rPr>
                <w:rFonts w:ascii="Arial Narrow" w:hAnsi="Arial Narrow"/>
              </w:rPr>
              <w:t>d</w:t>
            </w:r>
            <w:r w:rsidRPr="00663E7E">
              <w:rPr>
                <w:rFonts w:ascii="Arial Narrow" w:hAnsi="Arial Narrow"/>
              </w:rPr>
              <w:t xml:space="preserve"> this whilst the three platform institutions cooperated in co-hosting international capacity building workshops every year since the starting year of the project, as part of knowledge management and learning. There </w:t>
            </w:r>
            <w:r w:rsidR="002B2FD6">
              <w:rPr>
                <w:rFonts w:ascii="Arial Narrow" w:hAnsi="Arial Narrow"/>
              </w:rPr>
              <w:t>wa</w:t>
            </w:r>
            <w:r w:rsidRPr="00663E7E">
              <w:rPr>
                <w:rFonts w:ascii="Arial Narrow" w:hAnsi="Arial Narrow"/>
              </w:rPr>
              <w:t>s evidence that an established knowledge and Innovation Platform with knowledge products is available on the online platform (</w:t>
            </w:r>
            <w:r w:rsidRPr="00663E7E">
              <w:rPr>
                <w:rFonts w:ascii="Arial Narrow" w:hAnsi="Arial Narrow"/>
                <w:color w:val="0563C1"/>
              </w:rPr>
              <w:t xml:space="preserve">idn.snu.ac.kr) </w:t>
            </w:r>
            <w:r w:rsidRPr="00663E7E">
              <w:rPr>
                <w:rFonts w:ascii="Arial Narrow" w:hAnsi="Arial Narrow"/>
              </w:rPr>
              <w:t xml:space="preserve">and the compilation of best practices exists. The Consortium Group worked closely with Platform institutions to relay an effective message to partners on their pilot experience. The Scaled-up project also developed an e-learning platform for Joint-learning and knowledge-sharing </w:t>
            </w:r>
            <w:hyperlink r:id="rId16">
              <w:r w:rsidRPr="00663E7E">
                <w:rPr>
                  <w:rFonts w:ascii="Arial Narrow" w:hAnsi="Arial Narrow"/>
                  <w:color w:val="0563C1"/>
                  <w:u w:val="single"/>
                </w:rPr>
                <w:t>http://rcaro.org/elearning/ebfellowship/</w:t>
              </w:r>
            </w:hyperlink>
            <w:r w:rsidRPr="00663E7E">
              <w:rPr>
                <w:rFonts w:ascii="Arial Narrow" w:hAnsi="Arial Narrow"/>
              </w:rPr>
              <w:t>. Knowledge and capacity transfer from Korean to Cambodian and Indonesian governments and institutions was successful according to interviews and project reports.</w:t>
            </w:r>
          </w:p>
          <w:p w14:paraId="7C907892" w14:textId="77777777" w:rsidR="00663E7E" w:rsidRPr="00663E7E" w:rsidRDefault="00663E7E" w:rsidP="00C25CFE">
            <w:pPr>
              <w:pStyle w:val="Normal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color w:val="FF0000"/>
                <w:sz w:val="4"/>
                <w:szCs w:val="4"/>
              </w:rPr>
            </w:pPr>
          </w:p>
        </w:tc>
      </w:tr>
      <w:tr w:rsidR="00663E7E" w:rsidRPr="00663E7E" w14:paraId="3D3E9E22" w14:textId="77777777" w:rsidTr="00935437">
        <w:trPr>
          <w:trHeight w:val="553"/>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8BF7B5F" w14:textId="49C8CA57" w:rsidR="00663E7E" w:rsidRPr="00663E7E" w:rsidRDefault="00663E7E" w:rsidP="00C25CFE">
            <w:pPr>
              <w:pStyle w:val="Normal1"/>
              <w:spacing w:line="276" w:lineRule="auto"/>
              <w:jc w:val="center"/>
              <w:rPr>
                <w:color w:val="000000"/>
              </w:rPr>
            </w:pPr>
            <w:r w:rsidRPr="00663E7E">
              <w:rPr>
                <w:rFonts w:ascii="Arial Narrow" w:hAnsi="Arial Narrow"/>
                <w:color w:val="000000"/>
              </w:rPr>
              <w:t>Shared commitment</w:t>
            </w:r>
          </w:p>
        </w:tc>
        <w:tc>
          <w:tcPr>
            <w:tcW w:w="824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CD89B" w14:textId="06A8931B" w:rsidR="00663E7E" w:rsidRPr="00663E7E" w:rsidRDefault="00663E7E" w:rsidP="00C25CFE">
            <w:pPr>
              <w:pStyle w:val="Normal1"/>
              <w:spacing w:line="276" w:lineRule="auto"/>
              <w:cnfStyle w:val="000000000000" w:firstRow="0" w:lastRow="0" w:firstColumn="0" w:lastColumn="0" w:oddVBand="0" w:evenVBand="0" w:oddHBand="0" w:evenHBand="0" w:firstRowFirstColumn="0" w:firstRowLastColumn="0" w:lastRowFirstColumn="0" w:lastRowLastColumn="0"/>
              <w:rPr>
                <w:noProof/>
              </w:rPr>
            </w:pPr>
            <w:r w:rsidRPr="00663E7E">
              <w:rPr>
                <w:noProof/>
              </w:rPr>
              <w:drawing>
                <wp:inline distT="0" distB="0" distL="0" distR="0" wp14:anchorId="076DEB21" wp14:editId="1EE21660">
                  <wp:extent cx="174625" cy="1847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Pr="00663E7E">
              <w:rPr>
                <w:rFonts w:ascii="Arial Narrow" w:hAnsi="Arial Narrow"/>
                <w:b/>
                <w:bCs/>
              </w:rPr>
              <w:t xml:space="preserve"> </w:t>
            </w:r>
            <w:r w:rsidRPr="00663E7E">
              <w:rPr>
                <w:rFonts w:ascii="Arial Narrow" w:hAnsi="Arial Narrow"/>
              </w:rPr>
              <w:t xml:space="preserve">It </w:t>
            </w:r>
            <w:r w:rsidR="00E90EE7">
              <w:rPr>
                <w:rFonts w:ascii="Arial Narrow" w:hAnsi="Arial Narrow"/>
              </w:rPr>
              <w:t>wa</w:t>
            </w:r>
            <w:r w:rsidRPr="00663E7E">
              <w:rPr>
                <w:rFonts w:ascii="Arial Narrow" w:hAnsi="Arial Narrow"/>
              </w:rPr>
              <w:t>s evident that in Indonesia</w:t>
            </w:r>
            <w:r w:rsidR="00E90EE7">
              <w:rPr>
                <w:rFonts w:ascii="Arial Narrow" w:hAnsi="Arial Narrow"/>
              </w:rPr>
              <w:t>,</w:t>
            </w:r>
            <w:r w:rsidRPr="00663E7E">
              <w:rPr>
                <w:rFonts w:ascii="Arial Narrow" w:hAnsi="Arial Narrow"/>
              </w:rPr>
              <w:t xml:space="preserve"> cooperation involved many parties from the RoK institutions under the Consortium, the central government, academics, regional governments and villages. Indonesia has been effective at highlighting this aspect of shared commitment. An example is BAPPENAS and the Ministry of Villages’ enlistment of STEPI to facilitate a process to harmonise two different sets of village development indices in Indonesia and to identify the best harmonization strategy. According to Bappenas, the results of the consultative meeting on this subject led to the formulation of a harmonised index, managed by Statistics Indonesia (BPS) (linked to project Activity 1.1.6). Furthermore, the index figures are used as village development targets for the country’s National Medium-Term Development Planning (RPJMN), 2020 – 2024. Throughout Phase 2, STEPI cooperated with local experts in Indonesia and Cambodia to identify required technology demands, to provide a platform to connect these demands and supplies.</w:t>
            </w:r>
          </w:p>
        </w:tc>
      </w:tr>
      <w:tr w:rsidR="00F06168" w:rsidRPr="001106AA" w14:paraId="1B2B3CF6" w14:textId="77777777" w:rsidTr="0093543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After w:val="1"/>
          <w:wAfter w:w="15" w:type="dxa"/>
          <w:cantSplit/>
          <w:trHeight w:val="725"/>
          <w:tblHeader/>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C41DC83" w14:textId="77777777" w:rsidR="00F06168" w:rsidRPr="001106AA" w:rsidRDefault="00F06168" w:rsidP="00BF1443">
            <w:pPr>
              <w:pStyle w:val="Normal1"/>
              <w:spacing w:line="276" w:lineRule="auto"/>
              <w:jc w:val="center"/>
              <w:rPr>
                <w:rFonts w:ascii="Arial Narrow" w:hAnsi="Arial Narrow"/>
                <w:color w:val="000000"/>
              </w:rPr>
            </w:pPr>
            <w:r w:rsidRPr="001106AA">
              <w:rPr>
                <w:rFonts w:ascii="Arial Narrow" w:hAnsi="Arial Narrow"/>
                <w:color w:val="000000"/>
              </w:rPr>
              <w:t>Focus on results-oriented approaches and solutions</w:t>
            </w:r>
          </w:p>
        </w:tc>
        <w:tc>
          <w:tcPr>
            <w:tcW w:w="823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5B56B19" w14:textId="5C8381B2" w:rsidR="00F06168" w:rsidRPr="00935437" w:rsidRDefault="00F06168" w:rsidP="00522703">
            <w:pPr>
              <w:pStyle w:val="Normal1"/>
              <w:spacing w:line="270" w:lineRule="auto"/>
              <w:cnfStyle w:val="000000000000" w:firstRow="0" w:lastRow="0" w:firstColumn="0" w:lastColumn="0" w:oddVBand="0" w:evenVBand="0" w:oddHBand="0" w:evenHBand="0" w:firstRowFirstColumn="0" w:firstRowLastColumn="0" w:lastRowFirstColumn="0" w:lastRowLastColumn="0"/>
              <w:rPr>
                <w:rFonts w:ascii="Arial Narrow" w:hAnsi="Arial Narrow"/>
                <w:bCs/>
              </w:rPr>
            </w:pPr>
            <w:r w:rsidRPr="00935437">
              <w:rPr>
                <w:noProof/>
              </w:rPr>
              <w:drawing>
                <wp:inline distT="0" distB="0" distL="0" distR="0" wp14:anchorId="4DC495ED" wp14:editId="09B875F3">
                  <wp:extent cx="174625" cy="1847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Pr="00935437">
              <w:rPr>
                <w:rFonts w:ascii="Arial Narrow" w:hAnsi="Arial Narrow"/>
                <w:b/>
                <w:bCs/>
              </w:rPr>
              <w:t xml:space="preserve"> </w:t>
            </w:r>
            <w:r w:rsidRPr="00935437">
              <w:rPr>
                <w:rFonts w:ascii="Arial Narrow" w:hAnsi="Arial Narrow"/>
              </w:rPr>
              <w:t>There is evidence that a RoK-UNOSSC Facility Result Framework (</w:t>
            </w:r>
            <w:r w:rsidRPr="00935437">
              <w:rPr>
                <w:rFonts w:ascii="Arial Narrow" w:hAnsi="Arial Narrow"/>
                <w:i/>
              </w:rPr>
              <w:t>Project Results tracking system</w:t>
            </w:r>
            <w:r w:rsidRPr="00935437">
              <w:rPr>
                <w:rFonts w:ascii="Arial Narrow" w:hAnsi="Arial Narrow"/>
              </w:rPr>
              <w:t>) exist</w:t>
            </w:r>
            <w:r w:rsidR="002364AC" w:rsidRPr="00935437">
              <w:rPr>
                <w:rFonts w:ascii="Arial Narrow" w:hAnsi="Arial Narrow"/>
              </w:rPr>
              <w:t>ed</w:t>
            </w:r>
            <w:r w:rsidRPr="00935437">
              <w:rPr>
                <w:rFonts w:ascii="Arial Narrow" w:hAnsi="Arial Narrow"/>
              </w:rPr>
              <w:t xml:space="preserve"> and </w:t>
            </w:r>
            <w:r w:rsidR="002364AC" w:rsidRPr="00935437">
              <w:rPr>
                <w:rFonts w:ascii="Arial Narrow" w:hAnsi="Arial Narrow"/>
              </w:rPr>
              <w:t xml:space="preserve">was </w:t>
            </w:r>
            <w:r w:rsidRPr="00935437">
              <w:rPr>
                <w:rFonts w:ascii="Arial Narrow" w:hAnsi="Arial Narrow"/>
              </w:rPr>
              <w:t>updated on a quarterly basis to keep track of progress towards achieving project outputs and objectives as captured in Table 2</w:t>
            </w:r>
            <w:r w:rsidR="00583DC7" w:rsidRPr="00935437">
              <w:rPr>
                <w:rFonts w:ascii="Arial Narrow" w:hAnsi="Arial Narrow"/>
              </w:rPr>
              <w:t xml:space="preserve">. Multi stakeholder </w:t>
            </w:r>
            <w:r w:rsidR="00E90EE7">
              <w:rPr>
                <w:rFonts w:ascii="Arial Narrow" w:hAnsi="Arial Narrow"/>
              </w:rPr>
              <w:t xml:space="preserve">project results </w:t>
            </w:r>
            <w:r w:rsidR="00583DC7" w:rsidRPr="00935437">
              <w:rPr>
                <w:rFonts w:ascii="Arial Narrow" w:hAnsi="Arial Narrow"/>
              </w:rPr>
              <w:t>p</w:t>
            </w:r>
            <w:r w:rsidR="00531363" w:rsidRPr="00935437">
              <w:rPr>
                <w:rFonts w:ascii="Arial Narrow" w:hAnsi="Arial Narrow"/>
              </w:rPr>
              <w:t>rogress discussion</w:t>
            </w:r>
            <w:r w:rsidR="00583DC7" w:rsidRPr="00935437">
              <w:rPr>
                <w:rFonts w:ascii="Arial Narrow" w:hAnsi="Arial Narrow"/>
              </w:rPr>
              <w:t xml:space="preserve">s </w:t>
            </w:r>
            <w:r w:rsidR="00531363" w:rsidRPr="00935437">
              <w:rPr>
                <w:rFonts w:ascii="Arial Narrow" w:hAnsi="Arial Narrow"/>
              </w:rPr>
              <w:t xml:space="preserve">and </w:t>
            </w:r>
            <w:r w:rsidR="00583DC7" w:rsidRPr="00935437">
              <w:rPr>
                <w:rFonts w:ascii="Arial Narrow" w:hAnsi="Arial Narrow"/>
              </w:rPr>
              <w:t>site visit</w:t>
            </w:r>
            <w:r w:rsidR="009B058E">
              <w:rPr>
                <w:rFonts w:ascii="Arial Narrow" w:hAnsi="Arial Narrow"/>
              </w:rPr>
              <w:t xml:space="preserve">s to </w:t>
            </w:r>
            <w:r w:rsidR="00531363" w:rsidRPr="00935437">
              <w:rPr>
                <w:rFonts w:ascii="Arial Narrow" w:hAnsi="Arial Narrow"/>
              </w:rPr>
              <w:t>review</w:t>
            </w:r>
            <w:r w:rsidR="009B058E">
              <w:rPr>
                <w:rFonts w:ascii="Arial Narrow" w:hAnsi="Arial Narrow"/>
              </w:rPr>
              <w:t xml:space="preserve"> and </w:t>
            </w:r>
            <w:r w:rsidR="00C25CFE">
              <w:rPr>
                <w:rFonts w:ascii="Arial Narrow" w:hAnsi="Arial Narrow"/>
              </w:rPr>
              <w:t xml:space="preserve">physically </w:t>
            </w:r>
            <w:r w:rsidR="009B058E">
              <w:rPr>
                <w:rFonts w:ascii="Arial Narrow" w:hAnsi="Arial Narrow"/>
              </w:rPr>
              <w:t xml:space="preserve">see </w:t>
            </w:r>
            <w:r w:rsidR="00E90EE7">
              <w:rPr>
                <w:rFonts w:ascii="Arial Narrow" w:hAnsi="Arial Narrow"/>
              </w:rPr>
              <w:t xml:space="preserve">these </w:t>
            </w:r>
            <w:r w:rsidR="00531363" w:rsidRPr="00935437">
              <w:rPr>
                <w:rFonts w:ascii="Arial Narrow" w:hAnsi="Arial Narrow"/>
              </w:rPr>
              <w:t>results</w:t>
            </w:r>
            <w:r w:rsidR="00E90EE7">
              <w:rPr>
                <w:rFonts w:ascii="Arial Narrow" w:hAnsi="Arial Narrow"/>
              </w:rPr>
              <w:t xml:space="preserve"> </w:t>
            </w:r>
            <w:r w:rsidR="00C25CFE">
              <w:rPr>
                <w:rFonts w:ascii="Arial Narrow" w:hAnsi="Arial Narrow"/>
              </w:rPr>
              <w:t xml:space="preserve">as </w:t>
            </w:r>
            <w:r w:rsidR="00AE7C9A" w:rsidRPr="00AE7C9A">
              <w:rPr>
                <w:rFonts w:ascii="Arial Narrow" w:hAnsi="Arial Narrow"/>
              </w:rPr>
              <w:t>documented</w:t>
            </w:r>
            <w:r w:rsidR="00C25CFE">
              <w:rPr>
                <w:rFonts w:ascii="Arial Narrow" w:hAnsi="Arial Narrow"/>
              </w:rPr>
              <w:t xml:space="preserve"> in progress reports </w:t>
            </w:r>
            <w:r w:rsidR="00583DC7" w:rsidRPr="00935437">
              <w:rPr>
                <w:rFonts w:ascii="Arial Narrow" w:hAnsi="Arial Narrow"/>
              </w:rPr>
              <w:t>took place</w:t>
            </w:r>
            <w:r w:rsidR="00531363" w:rsidRPr="00935437">
              <w:rPr>
                <w:rFonts w:ascii="Arial Narrow" w:hAnsi="Arial Narrow"/>
              </w:rPr>
              <w:t>.</w:t>
            </w:r>
          </w:p>
          <w:p w14:paraId="4BDA924C" w14:textId="77777777" w:rsidR="00F06168" w:rsidRPr="00935437" w:rsidRDefault="00F06168" w:rsidP="00522703">
            <w:pPr>
              <w:pStyle w:val="Normal1"/>
              <w:spacing w:line="27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6"/>
                <w:szCs w:val="6"/>
              </w:rPr>
            </w:pPr>
          </w:p>
        </w:tc>
      </w:tr>
      <w:tr w:rsidR="00F06168" w:rsidRPr="001106AA" w14:paraId="085320EE" w14:textId="77777777" w:rsidTr="0093543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After w:val="1"/>
          <w:wAfter w:w="15" w:type="dxa"/>
          <w:cantSplit/>
          <w:trHeight w:val="725"/>
          <w:tblHeader/>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4CE6A8E" w14:textId="77777777" w:rsidR="00F06168" w:rsidRPr="001106AA" w:rsidRDefault="00F06168" w:rsidP="00BF1443">
            <w:pPr>
              <w:pStyle w:val="Normal1"/>
              <w:spacing w:line="276" w:lineRule="auto"/>
              <w:jc w:val="center"/>
              <w:rPr>
                <w:rFonts w:ascii="Arial Narrow" w:hAnsi="Arial Narrow"/>
                <w:color w:val="000000"/>
              </w:rPr>
            </w:pPr>
            <w:r w:rsidRPr="001106AA">
              <w:rPr>
                <w:rFonts w:ascii="Arial Narrow" w:hAnsi="Arial Narrow"/>
                <w:color w:val="000000"/>
              </w:rPr>
              <w:t>Inclusive partnerships and multi-stakeholder dialogues</w:t>
            </w:r>
          </w:p>
        </w:tc>
        <w:tc>
          <w:tcPr>
            <w:tcW w:w="823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7E49C76" w14:textId="3C920FD3" w:rsidR="00F06168" w:rsidRPr="00935437" w:rsidRDefault="00F06168" w:rsidP="00522703">
            <w:pPr>
              <w:pStyle w:val="Normal1"/>
              <w:spacing w:line="27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6"/>
                <w:szCs w:val="6"/>
              </w:rPr>
            </w:pPr>
            <w:r w:rsidRPr="00935437">
              <w:rPr>
                <w:noProof/>
              </w:rPr>
              <w:drawing>
                <wp:inline distT="0" distB="0" distL="0" distR="0" wp14:anchorId="04919E62" wp14:editId="6175C46E">
                  <wp:extent cx="174625" cy="1847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Pr="00935437">
              <w:rPr>
                <w:rFonts w:ascii="Arial Narrow" w:hAnsi="Arial Narrow"/>
              </w:rPr>
              <w:t xml:space="preserve">Due to the complex design and context as a triangular cooperation Programme, there was a wide variety of stakeholders. There were multiple instances where local consultative meetings, the preparation of required documents for Ministry and translation services </w:t>
            </w:r>
            <w:r w:rsidR="002364AC" w:rsidRPr="00935437">
              <w:rPr>
                <w:rFonts w:ascii="Arial Narrow" w:hAnsi="Arial Narrow"/>
              </w:rPr>
              <w:t xml:space="preserve">were </w:t>
            </w:r>
            <w:r w:rsidRPr="00935437">
              <w:rPr>
                <w:rFonts w:ascii="Arial Narrow" w:hAnsi="Arial Narrow"/>
              </w:rPr>
              <w:t xml:space="preserve">done for Government counterparts etc. Joint capacity building aspects </w:t>
            </w:r>
            <w:r w:rsidR="002364AC" w:rsidRPr="00935437">
              <w:rPr>
                <w:rFonts w:ascii="Arial Narrow" w:hAnsi="Arial Narrow"/>
              </w:rPr>
              <w:t xml:space="preserve">were </w:t>
            </w:r>
            <w:r w:rsidRPr="00935437">
              <w:rPr>
                <w:rFonts w:ascii="Arial Narrow" w:hAnsi="Arial Narrow"/>
              </w:rPr>
              <w:t>also supported, with regular communication</w:t>
            </w:r>
            <w:r w:rsidR="002364AC" w:rsidRPr="00935437">
              <w:rPr>
                <w:rFonts w:ascii="Arial Narrow" w:hAnsi="Arial Narrow"/>
              </w:rPr>
              <w:t>s</w:t>
            </w:r>
            <w:r w:rsidRPr="00935437">
              <w:rPr>
                <w:rFonts w:ascii="Arial Narrow" w:hAnsi="Arial Narrow"/>
              </w:rPr>
              <w:t xml:space="preserve"> facilitated and coordination activities with all stakeholders undertaken.</w:t>
            </w:r>
            <w:r w:rsidRPr="00935437">
              <w:rPr>
                <w:rFonts w:ascii="Arial Narrow" w:hAnsi="Arial Narrow"/>
                <w:b/>
                <w:bCs/>
              </w:rPr>
              <w:t xml:space="preserve"> </w:t>
            </w:r>
          </w:p>
        </w:tc>
      </w:tr>
      <w:tr w:rsidR="00F06168" w:rsidRPr="001106AA" w14:paraId="79BBEFFF" w14:textId="77777777" w:rsidTr="0093543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After w:val="1"/>
          <w:wAfter w:w="15" w:type="dxa"/>
          <w:cantSplit/>
          <w:trHeight w:val="725"/>
          <w:tblHeader/>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822F791" w14:textId="77777777" w:rsidR="00F06168" w:rsidRPr="001106AA" w:rsidRDefault="00F06168" w:rsidP="00BF1443">
            <w:pPr>
              <w:pStyle w:val="Normal1"/>
              <w:spacing w:line="276" w:lineRule="auto"/>
              <w:jc w:val="center"/>
              <w:rPr>
                <w:rFonts w:ascii="Arial Narrow" w:hAnsi="Arial Narrow"/>
                <w:color w:val="000000"/>
              </w:rPr>
            </w:pPr>
            <w:r w:rsidRPr="001106AA">
              <w:rPr>
                <w:rFonts w:ascii="Arial Narrow" w:hAnsi="Arial Narrow"/>
                <w:color w:val="000000"/>
              </w:rPr>
              <w:t>Transparency and mutual accountability</w:t>
            </w:r>
          </w:p>
        </w:tc>
        <w:tc>
          <w:tcPr>
            <w:tcW w:w="823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0805CD9" w14:textId="74924E31" w:rsidR="00F06168" w:rsidRPr="00935437" w:rsidRDefault="00F06168" w:rsidP="00522703">
            <w:pPr>
              <w:pStyle w:val="Normal1"/>
              <w:spacing w:line="270" w:lineRule="auto"/>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rPr>
            </w:pPr>
            <w:r w:rsidRPr="00935437">
              <w:rPr>
                <w:noProof/>
              </w:rPr>
              <w:drawing>
                <wp:inline distT="0" distB="0" distL="0" distR="0" wp14:anchorId="7DFD9DF4" wp14:editId="05A18C5C">
                  <wp:extent cx="174625" cy="18478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Pr="00935437">
              <w:rPr>
                <w:rFonts w:ascii="Arial Narrow" w:hAnsi="Arial Narrow"/>
              </w:rPr>
              <w:t xml:space="preserve">It is evident that UNOSSC jointly organised the </w:t>
            </w:r>
            <w:r w:rsidR="00A634A8">
              <w:rPr>
                <w:rFonts w:ascii="Arial Narrow" w:hAnsi="Arial Narrow"/>
              </w:rPr>
              <w:t xml:space="preserve">Project </w:t>
            </w:r>
            <w:r w:rsidRPr="00935437">
              <w:rPr>
                <w:rFonts w:ascii="Arial Narrow" w:hAnsi="Arial Narrow"/>
              </w:rPr>
              <w:t>Steering Committee Meeting</w:t>
            </w:r>
            <w:r w:rsidR="00A634A8">
              <w:rPr>
                <w:rFonts w:ascii="Arial Narrow" w:hAnsi="Arial Narrow"/>
              </w:rPr>
              <w:t>s</w:t>
            </w:r>
            <w:r w:rsidRPr="00935437">
              <w:rPr>
                <w:rFonts w:ascii="Arial Narrow" w:hAnsi="Arial Narrow"/>
              </w:rPr>
              <w:t xml:space="preserve"> with MSIT</w:t>
            </w:r>
            <w:r w:rsidR="008E20E1" w:rsidRPr="00935437">
              <w:rPr>
                <w:rFonts w:ascii="Arial Narrow" w:hAnsi="Arial Narrow"/>
              </w:rPr>
              <w:t>,</w:t>
            </w:r>
            <w:r w:rsidRPr="00935437">
              <w:rPr>
                <w:rFonts w:ascii="Arial Narrow" w:hAnsi="Arial Narrow"/>
              </w:rPr>
              <w:t xml:space="preserve"> STEPI</w:t>
            </w:r>
            <w:r w:rsidR="008E20E1" w:rsidRPr="00935437">
              <w:rPr>
                <w:rFonts w:ascii="Arial Narrow" w:hAnsi="Arial Narrow"/>
              </w:rPr>
              <w:t xml:space="preserve"> and representatives from Cambodia and Indonesia</w:t>
            </w:r>
            <w:r w:rsidRPr="00935437">
              <w:rPr>
                <w:rFonts w:ascii="Arial Narrow" w:hAnsi="Arial Narrow"/>
              </w:rPr>
              <w:t xml:space="preserve">. Quarterly progress reports and annual reports were produced and available. Knowledge products and publications were also available on </w:t>
            </w:r>
            <w:r w:rsidR="008E20E1" w:rsidRPr="00935437">
              <w:rPr>
                <w:rFonts w:ascii="Arial Narrow" w:hAnsi="Arial Narrow"/>
              </w:rPr>
              <w:t xml:space="preserve">the </w:t>
            </w:r>
            <w:r w:rsidRPr="00935437">
              <w:rPr>
                <w:rFonts w:ascii="Arial Narrow" w:hAnsi="Arial Narrow"/>
              </w:rPr>
              <w:t xml:space="preserve">South-South Galaxy </w:t>
            </w:r>
            <w:hyperlink r:id="rId17">
              <w:r w:rsidRPr="00935437">
                <w:rPr>
                  <w:rFonts w:ascii="Arial Narrow" w:hAnsi="Arial Narrow"/>
                  <w:color w:val="0563C1"/>
                  <w:u w:val="single"/>
                </w:rPr>
                <w:t>link</w:t>
              </w:r>
            </w:hyperlink>
            <w:r w:rsidRPr="00935437">
              <w:rPr>
                <w:rFonts w:ascii="Arial Narrow" w:hAnsi="Arial Narrow"/>
                <w:color w:val="000000"/>
              </w:rPr>
              <w:t>.</w:t>
            </w:r>
            <w:r w:rsidR="00B43AE9" w:rsidRPr="00935437">
              <w:rPr>
                <w:rFonts w:ascii="Arial Narrow" w:hAnsi="Arial Narrow"/>
                <w:color w:val="000000"/>
              </w:rPr>
              <w:t xml:space="preserve"> </w:t>
            </w:r>
            <w:r w:rsidRPr="00935437">
              <w:rPr>
                <w:rFonts w:ascii="Arial Narrow" w:hAnsi="Arial Narrow"/>
                <w:color w:val="000000"/>
              </w:rPr>
              <w:t xml:space="preserve">Mission </w:t>
            </w:r>
            <w:r w:rsidR="008E20E1" w:rsidRPr="00935437">
              <w:rPr>
                <w:rFonts w:ascii="Arial Narrow" w:hAnsi="Arial Narrow"/>
                <w:color w:val="000000"/>
              </w:rPr>
              <w:t>(Back-to</w:t>
            </w:r>
            <w:r w:rsidR="00A634A8">
              <w:rPr>
                <w:rFonts w:ascii="Arial Narrow" w:hAnsi="Arial Narrow"/>
                <w:color w:val="000000"/>
              </w:rPr>
              <w:t>-</w:t>
            </w:r>
            <w:r w:rsidR="008E20E1" w:rsidRPr="00935437">
              <w:rPr>
                <w:rFonts w:ascii="Arial Narrow" w:hAnsi="Arial Narrow"/>
                <w:color w:val="000000"/>
              </w:rPr>
              <w:t>office reports)</w:t>
            </w:r>
            <w:r w:rsidRPr="00935437">
              <w:rPr>
                <w:rFonts w:ascii="Arial Narrow" w:hAnsi="Arial Narrow"/>
                <w:color w:val="000000"/>
              </w:rPr>
              <w:t xml:space="preserve"> also exist</w:t>
            </w:r>
            <w:r w:rsidR="008E20E1" w:rsidRPr="00935437">
              <w:rPr>
                <w:rFonts w:ascii="Arial Narrow" w:hAnsi="Arial Narrow"/>
                <w:color w:val="000000"/>
              </w:rPr>
              <w:t xml:space="preserve">. </w:t>
            </w:r>
            <w:r w:rsidRPr="00935437">
              <w:rPr>
                <w:rFonts w:ascii="Arial Narrow" w:hAnsi="Arial Narrow"/>
                <w:color w:val="000000"/>
              </w:rPr>
              <w:t xml:space="preserve">The heads of institutions had an accountability role to grants allocated to them – they signed off on activities that were relevant and linked to the project activities. There was also </w:t>
            </w:r>
            <w:r w:rsidR="00A634A8">
              <w:rPr>
                <w:rFonts w:ascii="Arial Narrow" w:hAnsi="Arial Narrow"/>
                <w:color w:val="000000"/>
              </w:rPr>
              <w:t xml:space="preserve">a </w:t>
            </w:r>
            <w:r w:rsidRPr="00935437">
              <w:rPr>
                <w:rFonts w:ascii="Arial Narrow" w:hAnsi="Arial Narrow"/>
                <w:color w:val="000000"/>
              </w:rPr>
              <w:t>separation of accountability between project leaders and the heads of institution.</w:t>
            </w:r>
            <w:r w:rsidR="008E20E1" w:rsidRPr="00935437">
              <w:rPr>
                <w:rFonts w:ascii="Arial Narrow" w:hAnsi="Arial Narrow"/>
                <w:color w:val="000000"/>
              </w:rPr>
              <w:t xml:space="preserve"> UNOSSC undertook spot checks to ensure that institution heads (grant signatories) exercised their oversight over the project staff.</w:t>
            </w:r>
          </w:p>
          <w:p w14:paraId="0776F5AF" w14:textId="77777777" w:rsidR="00F06168" w:rsidRPr="00935437" w:rsidRDefault="00F06168" w:rsidP="00522703">
            <w:pPr>
              <w:pStyle w:val="Normal1"/>
              <w:spacing w:line="27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color w:val="FF0000"/>
                <w:sz w:val="6"/>
                <w:szCs w:val="6"/>
              </w:rPr>
            </w:pPr>
          </w:p>
        </w:tc>
      </w:tr>
      <w:tr w:rsidR="00F06168" w:rsidRPr="001106AA" w14:paraId="4BFEC1E8" w14:textId="77777777" w:rsidTr="0093543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After w:val="1"/>
          <w:wAfter w:w="15" w:type="dxa"/>
          <w:cantSplit/>
          <w:trHeight w:val="725"/>
          <w:tblHeader/>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9F2F708" w14:textId="77777777" w:rsidR="00F06168" w:rsidRPr="001106AA" w:rsidRDefault="00F06168" w:rsidP="00BF1443">
            <w:pPr>
              <w:pStyle w:val="Normal1"/>
              <w:spacing w:line="276" w:lineRule="auto"/>
              <w:jc w:val="center"/>
              <w:rPr>
                <w:rFonts w:ascii="Arial Narrow" w:hAnsi="Arial Narrow"/>
                <w:color w:val="000000"/>
              </w:rPr>
            </w:pPr>
            <w:r w:rsidRPr="001106AA">
              <w:rPr>
                <w:rFonts w:ascii="Arial Narrow" w:hAnsi="Arial Narrow"/>
                <w:color w:val="000000"/>
              </w:rPr>
              <w:t>Innovation and co-creation</w:t>
            </w:r>
          </w:p>
        </w:tc>
        <w:tc>
          <w:tcPr>
            <w:tcW w:w="823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F4A2F21" w14:textId="44D344EB" w:rsidR="00F06168" w:rsidRPr="00271B19" w:rsidRDefault="00F06168" w:rsidP="00522703">
            <w:pPr>
              <w:pStyle w:val="Normal1"/>
              <w:spacing w:line="27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35437">
              <w:rPr>
                <w:noProof/>
              </w:rPr>
              <w:drawing>
                <wp:inline distT="0" distB="0" distL="0" distR="0" wp14:anchorId="21925C7F" wp14:editId="06F33B06">
                  <wp:extent cx="174625" cy="184785"/>
                  <wp:effectExtent l="0" t="0" r="0"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Pr="00935437">
              <w:rPr>
                <w:rFonts w:ascii="Arial Narrow" w:hAnsi="Arial Narrow"/>
                <w:b/>
                <w:bCs/>
              </w:rPr>
              <w:t xml:space="preserve"> </w:t>
            </w:r>
            <w:r w:rsidR="00D11131" w:rsidRPr="00935437">
              <w:rPr>
                <w:rFonts w:ascii="Arial Narrow" w:hAnsi="Arial Narrow"/>
              </w:rPr>
              <w:t>E</w:t>
            </w:r>
            <w:r w:rsidRPr="00935437">
              <w:rPr>
                <w:rFonts w:ascii="Arial Narrow" w:hAnsi="Arial Narrow"/>
              </w:rPr>
              <w:t>viden</w:t>
            </w:r>
            <w:r w:rsidR="0080393F">
              <w:rPr>
                <w:rFonts w:ascii="Arial Narrow" w:hAnsi="Arial Narrow"/>
              </w:rPr>
              <w:t xml:space="preserve">ce </w:t>
            </w:r>
            <w:r w:rsidR="00296CB7">
              <w:rPr>
                <w:rFonts w:ascii="Arial Narrow" w:hAnsi="Arial Narrow"/>
              </w:rPr>
              <w:t xml:space="preserve">exists </w:t>
            </w:r>
            <w:r w:rsidR="00D24E86">
              <w:rPr>
                <w:rFonts w:ascii="Arial Narrow" w:hAnsi="Arial Narrow"/>
              </w:rPr>
              <w:t>on</w:t>
            </w:r>
            <w:r w:rsidR="00D11131" w:rsidRPr="00935437">
              <w:rPr>
                <w:rFonts w:ascii="Arial Narrow" w:hAnsi="Arial Narrow"/>
                <w:b/>
                <w:bCs/>
              </w:rPr>
              <w:t xml:space="preserve"> </w:t>
            </w:r>
            <w:r w:rsidR="00D11131" w:rsidRPr="00935437">
              <w:rPr>
                <w:rFonts w:ascii="Arial Narrow" w:hAnsi="Arial Narrow"/>
                <w:bCs/>
              </w:rPr>
              <w:t>APWINC</w:t>
            </w:r>
            <w:r w:rsidR="00D24E86">
              <w:rPr>
                <w:rFonts w:ascii="Arial Narrow" w:hAnsi="Arial Narrow"/>
                <w:bCs/>
              </w:rPr>
              <w:t>’s</w:t>
            </w:r>
            <w:r w:rsidR="00D11131" w:rsidRPr="00935437">
              <w:rPr>
                <w:rFonts w:ascii="Arial Narrow" w:hAnsi="Arial Narrow"/>
                <w:bCs/>
              </w:rPr>
              <w:t xml:space="preserve"> coach</w:t>
            </w:r>
            <w:r w:rsidR="00D24E86">
              <w:rPr>
                <w:rFonts w:ascii="Arial Narrow" w:hAnsi="Arial Narrow"/>
                <w:bCs/>
              </w:rPr>
              <w:t>ing of</w:t>
            </w:r>
            <w:r w:rsidR="00D11131" w:rsidRPr="00935437">
              <w:rPr>
                <w:rFonts w:ascii="Arial Narrow" w:hAnsi="Arial Narrow"/>
                <w:bCs/>
              </w:rPr>
              <w:t xml:space="preserve"> cooperative members in identifying new market</w:t>
            </w:r>
            <w:r w:rsidR="0080393F">
              <w:rPr>
                <w:rFonts w:ascii="Arial Narrow" w:hAnsi="Arial Narrow"/>
                <w:bCs/>
              </w:rPr>
              <w:t>s</w:t>
            </w:r>
            <w:r w:rsidR="00D11131" w:rsidRPr="00935437">
              <w:rPr>
                <w:rFonts w:ascii="Arial Narrow" w:hAnsi="Arial Narrow"/>
                <w:bCs/>
              </w:rPr>
              <w:t xml:space="preserve"> to</w:t>
            </w:r>
            <w:r w:rsidR="00D11131" w:rsidRPr="00935437">
              <w:rPr>
                <w:rFonts w:ascii="Arial Narrow" w:hAnsi="Arial Narrow"/>
                <w:b/>
                <w:bCs/>
              </w:rPr>
              <w:t xml:space="preserve"> </w:t>
            </w:r>
            <w:r w:rsidR="00D11131" w:rsidRPr="00935437">
              <w:rPr>
                <w:rFonts w:ascii="Arial Narrow" w:hAnsi="Arial Narrow"/>
                <w:bCs/>
              </w:rPr>
              <w:t>sell their products and leveraging ICT tools to promote their products online</w:t>
            </w:r>
            <w:r w:rsidR="0080393F">
              <w:rPr>
                <w:rFonts w:ascii="Arial Narrow" w:hAnsi="Arial Narrow"/>
                <w:bCs/>
              </w:rPr>
              <w:t xml:space="preserve"> </w:t>
            </w:r>
            <w:r w:rsidR="00D11131" w:rsidRPr="00935437">
              <w:rPr>
                <w:rFonts w:ascii="Arial Narrow" w:hAnsi="Arial Narrow"/>
              </w:rPr>
              <w:t xml:space="preserve">for the first time </w:t>
            </w:r>
            <w:r w:rsidR="00D24E86">
              <w:rPr>
                <w:rFonts w:ascii="Arial Narrow" w:hAnsi="Arial Narrow"/>
              </w:rPr>
              <w:t>–</w:t>
            </w:r>
            <w:r w:rsidR="0080393F">
              <w:rPr>
                <w:rFonts w:ascii="Arial Narrow" w:hAnsi="Arial Narrow"/>
              </w:rPr>
              <w:t xml:space="preserve"> </w:t>
            </w:r>
            <w:r w:rsidR="008B14FF" w:rsidRPr="00935437">
              <w:rPr>
                <w:rFonts w:ascii="Arial Narrow" w:hAnsi="Arial Narrow"/>
              </w:rPr>
              <w:t>the</w:t>
            </w:r>
            <w:r w:rsidR="008B14FF">
              <w:rPr>
                <w:rFonts w:ascii="Arial Narrow" w:hAnsi="Arial Narrow"/>
              </w:rPr>
              <w:t xml:space="preserve"> </w:t>
            </w:r>
            <w:r w:rsidR="008B14FF" w:rsidRPr="00935437">
              <w:rPr>
                <w:rFonts w:ascii="Arial Narrow" w:hAnsi="Arial Narrow"/>
              </w:rPr>
              <w:t>women</w:t>
            </w:r>
            <w:r w:rsidR="00D11131" w:rsidRPr="00935437">
              <w:rPr>
                <w:rFonts w:ascii="Arial Narrow" w:hAnsi="Arial Narrow"/>
              </w:rPr>
              <w:t xml:space="preserve"> were </w:t>
            </w:r>
            <w:r w:rsidR="00AD1D7A" w:rsidRPr="00242659">
              <w:rPr>
                <w:rFonts w:ascii="Arial Narrow" w:hAnsi="Arial Narrow"/>
              </w:rPr>
              <w:t xml:space="preserve">subsequently </w:t>
            </w:r>
            <w:r w:rsidR="00D11131" w:rsidRPr="00242659">
              <w:rPr>
                <w:rFonts w:ascii="Arial Narrow" w:hAnsi="Arial Narrow"/>
                <w:bCs/>
              </w:rPr>
              <w:t>using ICT and social media platforms to promote and sell their products</w:t>
            </w:r>
            <w:r w:rsidR="00D11131" w:rsidRPr="00242659">
              <w:rPr>
                <w:rFonts w:ascii="Arial Narrow" w:hAnsi="Arial Narrow"/>
                <w:b/>
                <w:bCs/>
              </w:rPr>
              <w:t>.</w:t>
            </w:r>
            <w:r w:rsidR="00D11131" w:rsidRPr="00242659">
              <w:rPr>
                <w:rFonts w:ascii="Arial Narrow" w:hAnsi="Arial Narrow"/>
              </w:rPr>
              <w:t xml:space="preserve"> </w:t>
            </w:r>
            <w:r w:rsidRPr="00242659">
              <w:rPr>
                <w:rFonts w:ascii="Arial Narrow" w:hAnsi="Arial Narrow"/>
              </w:rPr>
              <w:t xml:space="preserve"> </w:t>
            </w:r>
            <w:r w:rsidR="00D11131" w:rsidRPr="00242659">
              <w:rPr>
                <w:rFonts w:ascii="Arial Narrow" w:hAnsi="Arial Narrow"/>
              </w:rPr>
              <w:t xml:space="preserve">The </w:t>
            </w:r>
            <w:r w:rsidR="004D3F88" w:rsidRPr="00242659">
              <w:rPr>
                <w:rFonts w:ascii="Arial Narrow" w:hAnsi="Arial Narrow"/>
              </w:rPr>
              <w:t xml:space="preserve">Consortium institutions enhanced efforts of Governments on village innovation through the pilot integrated approach in </w:t>
            </w:r>
            <w:proofErr w:type="spellStart"/>
            <w:r w:rsidR="004D3F88" w:rsidRPr="00242659">
              <w:rPr>
                <w:rFonts w:ascii="Arial Narrow" w:hAnsi="Arial Narrow"/>
              </w:rPr>
              <w:t>Srey</w:t>
            </w:r>
            <w:proofErr w:type="spellEnd"/>
            <w:r w:rsidR="00271B19">
              <w:rPr>
                <w:rFonts w:ascii="Arial Narrow" w:hAnsi="Arial Narrow"/>
              </w:rPr>
              <w:t xml:space="preserve"> </w:t>
            </w:r>
            <w:proofErr w:type="spellStart"/>
            <w:r w:rsidR="004D3F88" w:rsidRPr="00242659">
              <w:rPr>
                <w:rFonts w:ascii="Arial Narrow" w:hAnsi="Arial Narrow"/>
              </w:rPr>
              <w:t>Santhor</w:t>
            </w:r>
            <w:proofErr w:type="spellEnd"/>
            <w:r w:rsidR="004D3F88" w:rsidRPr="00242659">
              <w:rPr>
                <w:rFonts w:ascii="Arial Narrow" w:hAnsi="Arial Narrow"/>
              </w:rPr>
              <w:t xml:space="preserve"> (Cambodia) and </w:t>
            </w:r>
            <w:proofErr w:type="spellStart"/>
            <w:r w:rsidR="004D3F88" w:rsidRPr="00242659">
              <w:rPr>
                <w:rFonts w:ascii="Arial Narrow" w:hAnsi="Arial Narrow"/>
              </w:rPr>
              <w:t>Sukabumi</w:t>
            </w:r>
            <w:proofErr w:type="spellEnd"/>
            <w:r w:rsidR="004D3F88" w:rsidRPr="00242659">
              <w:rPr>
                <w:rFonts w:ascii="Arial Narrow" w:hAnsi="Arial Narrow"/>
              </w:rPr>
              <w:t xml:space="preserve"> (Indonesia)</w:t>
            </w:r>
            <w:r w:rsidR="0080393F" w:rsidRPr="00242659">
              <w:rPr>
                <w:rFonts w:ascii="Arial Narrow" w:hAnsi="Arial Narrow"/>
              </w:rPr>
              <w:t xml:space="preserve">. </w:t>
            </w:r>
            <w:r w:rsidR="00242659" w:rsidRPr="00242659">
              <w:rPr>
                <w:rFonts w:ascii="Arial Narrow" w:hAnsi="Arial Narrow"/>
              </w:rPr>
              <w:t>This was b</w:t>
            </w:r>
            <w:r w:rsidR="00054FE0" w:rsidRPr="00242659">
              <w:rPr>
                <w:rFonts w:ascii="Arial Narrow" w:hAnsi="Arial Narrow"/>
              </w:rPr>
              <w:t>uilding on the momentum of</w:t>
            </w:r>
            <w:r w:rsidR="00242659" w:rsidRPr="00242659">
              <w:rPr>
                <w:rFonts w:ascii="Arial Narrow" w:hAnsi="Arial Narrow"/>
              </w:rPr>
              <w:t xml:space="preserve"> </w:t>
            </w:r>
            <w:r w:rsidR="00054FE0" w:rsidRPr="00242659">
              <w:rPr>
                <w:rFonts w:ascii="Arial Narrow" w:hAnsi="Arial Narrow"/>
              </w:rPr>
              <w:t xml:space="preserve">the integrated pilot project in </w:t>
            </w:r>
            <w:proofErr w:type="spellStart"/>
            <w:r w:rsidR="00054FE0" w:rsidRPr="00242659">
              <w:rPr>
                <w:rFonts w:ascii="Arial Narrow" w:hAnsi="Arial Narrow"/>
              </w:rPr>
              <w:t>Sukabumi</w:t>
            </w:r>
            <w:proofErr w:type="spellEnd"/>
            <w:r w:rsidR="00054FE0" w:rsidRPr="00242659">
              <w:rPr>
                <w:rFonts w:ascii="Arial Narrow" w:hAnsi="Arial Narrow"/>
              </w:rPr>
              <w:t xml:space="preserve"> which </w:t>
            </w:r>
            <w:r w:rsidR="00242659" w:rsidRPr="00242659">
              <w:rPr>
                <w:rFonts w:ascii="Arial Narrow" w:hAnsi="Arial Narrow"/>
              </w:rPr>
              <w:t>wa</w:t>
            </w:r>
            <w:r w:rsidR="00054FE0" w:rsidRPr="00242659">
              <w:rPr>
                <w:rFonts w:ascii="Arial Narrow" w:hAnsi="Arial Narrow"/>
              </w:rPr>
              <w:t>s aligned to the country’s Village</w:t>
            </w:r>
            <w:r w:rsidR="00242659" w:rsidRPr="00242659">
              <w:rPr>
                <w:rFonts w:ascii="Arial Narrow" w:hAnsi="Arial Narrow"/>
              </w:rPr>
              <w:t xml:space="preserve"> </w:t>
            </w:r>
            <w:r w:rsidR="00054FE0" w:rsidRPr="00242659">
              <w:rPr>
                <w:rFonts w:ascii="Arial Narrow" w:hAnsi="Arial Narrow"/>
              </w:rPr>
              <w:t xml:space="preserve">Innovation Programme (VIP), </w:t>
            </w:r>
            <w:r w:rsidR="00242659" w:rsidRPr="00242659">
              <w:rPr>
                <w:rFonts w:ascii="Arial Narrow" w:hAnsi="Arial Narrow"/>
              </w:rPr>
              <w:t xml:space="preserve">that </w:t>
            </w:r>
            <w:r w:rsidR="00054FE0" w:rsidRPr="00242659">
              <w:rPr>
                <w:rFonts w:ascii="Arial Narrow" w:hAnsi="Arial Narrow"/>
              </w:rPr>
              <w:t>the Government of Indonesia (</w:t>
            </w:r>
            <w:proofErr w:type="spellStart"/>
            <w:r w:rsidR="00054FE0" w:rsidRPr="00242659">
              <w:rPr>
                <w:rFonts w:ascii="Arial Narrow" w:hAnsi="Arial Narrow"/>
              </w:rPr>
              <w:t>GoI</w:t>
            </w:r>
            <w:proofErr w:type="spellEnd"/>
            <w:r w:rsidR="00054FE0" w:rsidRPr="00242659">
              <w:rPr>
                <w:rFonts w:ascii="Arial Narrow" w:hAnsi="Arial Narrow"/>
              </w:rPr>
              <w:t>) ha</w:t>
            </w:r>
            <w:r w:rsidR="00242659" w:rsidRPr="00242659">
              <w:rPr>
                <w:rFonts w:ascii="Arial Narrow" w:hAnsi="Arial Narrow"/>
              </w:rPr>
              <w:t>d</w:t>
            </w:r>
            <w:r w:rsidR="00054FE0" w:rsidRPr="00242659">
              <w:rPr>
                <w:rFonts w:ascii="Arial Narrow" w:hAnsi="Arial Narrow"/>
              </w:rPr>
              <w:t xml:space="preserve"> committed to</w:t>
            </w:r>
            <w:r w:rsidR="00242659" w:rsidRPr="00242659">
              <w:rPr>
                <w:rFonts w:ascii="Arial Narrow" w:hAnsi="Arial Narrow"/>
              </w:rPr>
              <w:t xml:space="preserve"> </w:t>
            </w:r>
            <w:r w:rsidR="00054FE0" w:rsidRPr="00242659">
              <w:rPr>
                <w:rFonts w:ascii="Arial Narrow" w:hAnsi="Arial Narrow"/>
              </w:rPr>
              <w:t xml:space="preserve">establish a Centre of Excellence in Sustainable Rural Development in </w:t>
            </w:r>
            <w:proofErr w:type="spellStart"/>
            <w:r w:rsidR="00054FE0" w:rsidRPr="00242659">
              <w:rPr>
                <w:rFonts w:ascii="Arial Narrow" w:hAnsi="Arial Narrow"/>
              </w:rPr>
              <w:t>Sukabumi</w:t>
            </w:r>
            <w:proofErr w:type="spellEnd"/>
            <w:r w:rsidR="00054FE0" w:rsidRPr="00242659">
              <w:rPr>
                <w:rFonts w:ascii="Arial Narrow" w:hAnsi="Arial Narrow"/>
              </w:rPr>
              <w:t xml:space="preserve"> to</w:t>
            </w:r>
            <w:r w:rsidR="00242659" w:rsidRPr="00242659">
              <w:rPr>
                <w:rFonts w:ascii="Arial Narrow" w:hAnsi="Arial Narrow"/>
              </w:rPr>
              <w:t xml:space="preserve"> </w:t>
            </w:r>
            <w:r w:rsidR="00054FE0" w:rsidRPr="00242659">
              <w:rPr>
                <w:rFonts w:ascii="Arial Narrow" w:hAnsi="Arial Narrow"/>
              </w:rPr>
              <w:t>share its policy, strategy and know-how and practical experiences with other</w:t>
            </w:r>
            <w:r w:rsidR="00242659" w:rsidRPr="00242659">
              <w:rPr>
                <w:rFonts w:ascii="Arial Narrow" w:hAnsi="Arial Narrow"/>
              </w:rPr>
              <w:t xml:space="preserve"> </w:t>
            </w:r>
            <w:r w:rsidR="00054FE0" w:rsidRPr="00242659">
              <w:rPr>
                <w:rFonts w:ascii="Arial Narrow" w:hAnsi="Arial Narrow"/>
              </w:rPr>
              <w:t xml:space="preserve">countries in the Global South. </w:t>
            </w:r>
            <w:r w:rsidR="0080393F" w:rsidRPr="00242659">
              <w:rPr>
                <w:rFonts w:ascii="Arial Narrow" w:hAnsi="Arial Narrow"/>
              </w:rPr>
              <w:t>T</w:t>
            </w:r>
            <w:r w:rsidR="007E1EF5" w:rsidRPr="00242659">
              <w:rPr>
                <w:rFonts w:ascii="Arial Narrow" w:hAnsi="Arial Narrow"/>
              </w:rPr>
              <w:t xml:space="preserve">he Technology Business Incubation (TBI) Centre in Cambodia, </w:t>
            </w:r>
            <w:r w:rsidR="00D11131" w:rsidRPr="00242659">
              <w:rPr>
                <w:rFonts w:ascii="Arial Narrow" w:hAnsi="Arial Narrow"/>
              </w:rPr>
              <w:t xml:space="preserve">which </w:t>
            </w:r>
            <w:r w:rsidR="006D2E47" w:rsidRPr="00242659">
              <w:rPr>
                <w:rFonts w:ascii="Arial Narrow" w:hAnsi="Arial Narrow"/>
              </w:rPr>
              <w:t>included the introduction of some advanced innovation and technology, for example smart farming</w:t>
            </w:r>
            <w:r w:rsidR="00AD1D7A" w:rsidRPr="00242659">
              <w:rPr>
                <w:rFonts w:ascii="Arial Narrow" w:hAnsi="Arial Narrow"/>
              </w:rPr>
              <w:t>,</w:t>
            </w:r>
            <w:r w:rsidR="00D11131" w:rsidRPr="00242659">
              <w:rPr>
                <w:rFonts w:ascii="Arial Narrow" w:hAnsi="Arial Narrow"/>
              </w:rPr>
              <w:t xml:space="preserve"> was </w:t>
            </w:r>
            <w:r w:rsidR="0080393F" w:rsidRPr="00242659">
              <w:rPr>
                <w:rFonts w:ascii="Arial Narrow" w:hAnsi="Arial Narrow"/>
              </w:rPr>
              <w:t xml:space="preserve">also </w:t>
            </w:r>
            <w:r w:rsidR="00D11131" w:rsidRPr="00242659">
              <w:rPr>
                <w:rFonts w:ascii="Arial Narrow" w:hAnsi="Arial Narrow"/>
              </w:rPr>
              <w:t>innovative</w:t>
            </w:r>
            <w:r w:rsidR="007E1EF5" w:rsidRPr="00935437">
              <w:rPr>
                <w:rFonts w:ascii="Arial Narrow" w:hAnsi="Arial Narrow"/>
              </w:rPr>
              <w:t xml:space="preserve">. </w:t>
            </w:r>
          </w:p>
        </w:tc>
      </w:tr>
      <w:tr w:rsidR="00F06168" w:rsidRPr="001106AA" w14:paraId="5D0AC958" w14:textId="77777777" w:rsidTr="0093543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After w:val="1"/>
          <w:wAfter w:w="15" w:type="dxa"/>
          <w:cantSplit/>
          <w:trHeight w:val="725"/>
          <w:tblHeader/>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761AE9C" w14:textId="77777777" w:rsidR="00F06168" w:rsidRPr="001106AA" w:rsidRDefault="00F06168" w:rsidP="00BF1443">
            <w:pPr>
              <w:pStyle w:val="Normal1"/>
              <w:spacing w:line="276" w:lineRule="auto"/>
              <w:jc w:val="center"/>
              <w:rPr>
                <w:rFonts w:ascii="Arial Narrow" w:hAnsi="Arial Narrow"/>
                <w:color w:val="000000"/>
              </w:rPr>
            </w:pPr>
            <w:r w:rsidRPr="001106AA">
              <w:rPr>
                <w:rFonts w:ascii="Arial Narrow" w:hAnsi="Arial Narrow"/>
                <w:color w:val="000000"/>
              </w:rPr>
              <w:lastRenderedPageBreak/>
              <w:t>Advance the empowerment of women and girls</w:t>
            </w:r>
          </w:p>
        </w:tc>
        <w:tc>
          <w:tcPr>
            <w:tcW w:w="823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745B88" w14:textId="11DB4E29" w:rsidR="00F06168" w:rsidRPr="0080393F" w:rsidRDefault="00F06168" w:rsidP="00522703">
            <w:pPr>
              <w:pStyle w:val="Normal1"/>
              <w:spacing w:line="27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35437">
              <w:rPr>
                <w:noProof/>
              </w:rPr>
              <w:drawing>
                <wp:inline distT="0" distB="0" distL="0" distR="0" wp14:anchorId="3C2C0236" wp14:editId="7F5DB1D2">
                  <wp:extent cx="174625" cy="184785"/>
                  <wp:effectExtent l="0" t="0" r="0" b="571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00082FD1" w:rsidRPr="00935437">
              <w:rPr>
                <w:rFonts w:ascii="Arial Narrow" w:hAnsi="Arial Narrow"/>
              </w:rPr>
              <w:t xml:space="preserve"> </w:t>
            </w:r>
            <w:r w:rsidR="008C0A42" w:rsidRPr="008C0A42">
              <w:rPr>
                <w:rFonts w:ascii="Arial Narrow" w:hAnsi="Arial Narrow"/>
              </w:rPr>
              <w:t>G</w:t>
            </w:r>
            <w:r w:rsidR="00082FD1" w:rsidRPr="008C0A42">
              <w:rPr>
                <w:rFonts w:ascii="Arial Narrow" w:hAnsi="Arial Narrow"/>
              </w:rPr>
              <w:t>ender disaggregated data and o</w:t>
            </w:r>
            <w:r w:rsidRPr="008C0A42">
              <w:rPr>
                <w:rFonts w:ascii="Arial Narrow" w:hAnsi="Arial Narrow"/>
              </w:rPr>
              <w:t>utputs on the empowerment of women and girls: “women-led agricultural cooperatives” / “women entrepreneurs”</w:t>
            </w:r>
            <w:r w:rsidR="008C0A42" w:rsidRPr="008C0A42">
              <w:rPr>
                <w:rFonts w:ascii="Arial Narrow" w:hAnsi="Arial Narrow"/>
              </w:rPr>
              <w:t xml:space="preserve"> </w:t>
            </w:r>
            <w:r w:rsidR="00296CB7">
              <w:rPr>
                <w:rFonts w:ascii="Arial Narrow" w:hAnsi="Arial Narrow"/>
              </w:rPr>
              <w:t>were</w:t>
            </w:r>
            <w:r w:rsidR="008C0A42" w:rsidRPr="008C0A42">
              <w:rPr>
                <w:rFonts w:ascii="Arial Narrow" w:hAnsi="Arial Narrow"/>
              </w:rPr>
              <w:t xml:space="preserve"> clear and evident</w:t>
            </w:r>
            <w:r w:rsidRPr="008C0A42">
              <w:rPr>
                <w:rFonts w:ascii="Arial Narrow" w:hAnsi="Arial Narrow"/>
              </w:rPr>
              <w:t xml:space="preserve">. </w:t>
            </w:r>
            <w:r w:rsidR="00CE2277">
              <w:rPr>
                <w:rFonts w:ascii="Arial Narrow" w:hAnsi="Arial Narrow"/>
              </w:rPr>
              <w:t>A g</w:t>
            </w:r>
            <w:r w:rsidRPr="008C0A42">
              <w:rPr>
                <w:rFonts w:ascii="Arial Narrow" w:hAnsi="Arial Narrow"/>
              </w:rPr>
              <w:t xml:space="preserve">ender bias </w:t>
            </w:r>
            <w:r w:rsidR="00CE2277">
              <w:rPr>
                <w:rFonts w:ascii="Arial Narrow" w:hAnsi="Arial Narrow"/>
              </w:rPr>
              <w:t>wa</w:t>
            </w:r>
            <w:r w:rsidRPr="008C0A42">
              <w:rPr>
                <w:rFonts w:ascii="Arial Narrow" w:hAnsi="Arial Narrow"/>
              </w:rPr>
              <w:t xml:space="preserve">s also evident as the project </w:t>
            </w:r>
            <w:r w:rsidR="008E20E1" w:rsidRPr="008C0A42">
              <w:rPr>
                <w:rFonts w:ascii="Arial Narrow" w:hAnsi="Arial Narrow"/>
              </w:rPr>
              <w:t xml:space="preserve">encouraged </w:t>
            </w:r>
            <w:r w:rsidRPr="008C0A42">
              <w:rPr>
                <w:rFonts w:ascii="Arial Narrow" w:hAnsi="Arial Narrow"/>
              </w:rPr>
              <w:t>female researchers to participate and list experts by gender. These outputs were captured and implemented through the Programme with many women being involved on the Programme in Cambodia and Indonesia. Healthy Schools Projects also offered capacity building opportunities and access to clean drinking water to both girls and women teachers. The project aimed to ensure equal representation of women across all components.</w:t>
            </w:r>
            <w:r w:rsidR="008E20E1" w:rsidRPr="005D42BB">
              <w:rPr>
                <w:rFonts w:ascii="Arial Narrow" w:hAnsi="Arial Narrow"/>
              </w:rPr>
              <w:t xml:space="preserve"> </w:t>
            </w:r>
          </w:p>
          <w:p w14:paraId="0FE8477A" w14:textId="77777777" w:rsidR="00F06168" w:rsidRPr="00935437" w:rsidRDefault="00F06168" w:rsidP="00522703">
            <w:pPr>
              <w:pStyle w:val="Normal1"/>
              <w:spacing w:line="27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6"/>
                <w:szCs w:val="6"/>
              </w:rPr>
            </w:pPr>
          </w:p>
        </w:tc>
      </w:tr>
      <w:tr w:rsidR="00F06168" w:rsidRPr="001106AA" w14:paraId="2CF960CC" w14:textId="77777777" w:rsidTr="0093543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After w:val="1"/>
          <w:wAfter w:w="15" w:type="dxa"/>
          <w:cantSplit/>
          <w:trHeight w:val="725"/>
          <w:tblHeader/>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DB0D63" w14:textId="77777777" w:rsidR="00F06168" w:rsidRPr="001106AA" w:rsidRDefault="00F06168" w:rsidP="00BF1443">
            <w:pPr>
              <w:pStyle w:val="Normal1"/>
              <w:spacing w:line="276" w:lineRule="auto"/>
              <w:jc w:val="center"/>
              <w:rPr>
                <w:rFonts w:ascii="Arial Narrow" w:hAnsi="Arial Narrow"/>
                <w:color w:val="000000"/>
              </w:rPr>
            </w:pPr>
            <w:r w:rsidRPr="001106AA">
              <w:rPr>
                <w:rFonts w:ascii="Arial Narrow" w:hAnsi="Arial Narrow"/>
                <w:color w:val="000000"/>
              </w:rPr>
              <w:t>Leaving no one behind.</w:t>
            </w:r>
          </w:p>
        </w:tc>
        <w:tc>
          <w:tcPr>
            <w:tcW w:w="823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9D4F54" w14:textId="0449F019" w:rsidR="00F06168" w:rsidRPr="00935437" w:rsidRDefault="00F06168" w:rsidP="00522703">
            <w:pPr>
              <w:pStyle w:val="Normal1"/>
              <w:spacing w:line="270" w:lineRule="auto"/>
              <w:cnfStyle w:val="000000000000" w:firstRow="0" w:lastRow="0" w:firstColumn="0" w:lastColumn="0" w:oddVBand="0" w:evenVBand="0" w:oddHBand="0" w:evenHBand="0" w:firstRowFirstColumn="0" w:firstRowLastColumn="0" w:lastRowFirstColumn="0" w:lastRowLastColumn="0"/>
              <w:rPr>
                <w:rFonts w:ascii="Arial Narrow" w:hAnsi="Arial Narrow"/>
                <w:bCs/>
              </w:rPr>
            </w:pPr>
            <w:r w:rsidRPr="00935437">
              <w:rPr>
                <w:noProof/>
              </w:rPr>
              <w:drawing>
                <wp:inline distT="0" distB="0" distL="0" distR="0" wp14:anchorId="487BCE2F" wp14:editId="50A1B585">
                  <wp:extent cx="174625" cy="184785"/>
                  <wp:effectExtent l="0" t="0" r="0" b="571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b="8286"/>
                          <a:stretch>
                            <a:fillRect/>
                          </a:stretch>
                        </pic:blipFill>
                        <pic:spPr bwMode="auto">
                          <a:xfrm>
                            <a:off x="0" y="0"/>
                            <a:ext cx="174625" cy="184785"/>
                          </a:xfrm>
                          <a:prstGeom prst="rect">
                            <a:avLst/>
                          </a:prstGeom>
                          <a:noFill/>
                          <a:ln>
                            <a:noFill/>
                          </a:ln>
                        </pic:spPr>
                      </pic:pic>
                    </a:graphicData>
                  </a:graphic>
                </wp:inline>
              </w:drawing>
            </w:r>
            <w:r w:rsidRPr="00935437">
              <w:rPr>
                <w:rFonts w:ascii="Arial Narrow" w:hAnsi="Arial Narrow"/>
                <w:b/>
                <w:bCs/>
              </w:rPr>
              <w:t xml:space="preserve"> </w:t>
            </w:r>
            <w:r w:rsidRPr="003D5E53">
              <w:rPr>
                <w:rFonts w:ascii="Arial Narrow" w:hAnsi="Arial Narrow"/>
              </w:rPr>
              <w:t>There is evidence that the Facility supported: “integrated community projects implemented” … “women-led agricultural cooperatives” / “women entrepreneurs</w:t>
            </w:r>
            <w:r w:rsidR="003D5E53" w:rsidRPr="003D5E53">
              <w:rPr>
                <w:rFonts w:ascii="Arial Narrow" w:hAnsi="Arial Narrow"/>
              </w:rPr>
              <w:t>”, thus</w:t>
            </w:r>
            <w:r w:rsidRPr="003D5E53">
              <w:rPr>
                <w:rFonts w:ascii="Arial Narrow" w:hAnsi="Arial Narrow"/>
              </w:rPr>
              <w:t xml:space="preserve"> addressing the empowerment of women and</w:t>
            </w:r>
            <w:r w:rsidR="003476DD" w:rsidRPr="003D5E53">
              <w:rPr>
                <w:rFonts w:ascii="Arial Narrow" w:hAnsi="Arial Narrow"/>
              </w:rPr>
              <w:t xml:space="preserve"> girls</w:t>
            </w:r>
            <w:r w:rsidR="003476DD" w:rsidRPr="003D5E53">
              <w:rPr>
                <w:rStyle w:val="CommentReference"/>
                <w:rFonts w:ascii="Arial Narrow" w:eastAsia="Arial Narrow" w:hAnsi="Arial Narrow" w:cs="Arial Narrow"/>
                <w:sz w:val="20"/>
                <w:szCs w:val="20"/>
              </w:rPr>
              <w:t xml:space="preserve">. </w:t>
            </w:r>
            <w:r w:rsidR="003476DD" w:rsidRPr="003D5E53">
              <w:rPr>
                <w:rFonts w:ascii="Arial Narrow" w:hAnsi="Arial Narrow"/>
              </w:rPr>
              <w:t xml:space="preserve"> </w:t>
            </w:r>
            <w:r w:rsidR="00A90818">
              <w:rPr>
                <w:rFonts w:ascii="Arial Narrow" w:hAnsi="Arial Narrow"/>
              </w:rPr>
              <w:t>P</w:t>
            </w:r>
            <w:r w:rsidR="003476DD" w:rsidRPr="003D5E53">
              <w:rPr>
                <w:rFonts w:ascii="Arial Narrow" w:hAnsi="Arial Narrow"/>
              </w:rPr>
              <w:t>art of the core capacity building by the Canaan</w:t>
            </w:r>
            <w:r w:rsidR="00A90818">
              <w:rPr>
                <w:rFonts w:ascii="Arial Narrow" w:hAnsi="Arial Narrow"/>
              </w:rPr>
              <w:t xml:space="preserve"> G</w:t>
            </w:r>
            <w:r w:rsidR="003476DD" w:rsidRPr="003D5E53">
              <w:rPr>
                <w:rFonts w:ascii="Arial Narrow" w:hAnsi="Arial Narrow"/>
              </w:rPr>
              <w:t xml:space="preserve">lobal Leadership Centre was on community leadership. This component of the CGLC is based on its pioneering role in Korea in the </w:t>
            </w:r>
            <w:r w:rsidR="00A90818">
              <w:rPr>
                <w:rFonts w:ascii="Arial Narrow" w:hAnsi="Arial Narrow"/>
              </w:rPr>
              <w:t>Village M</w:t>
            </w:r>
            <w:r w:rsidR="003476DD" w:rsidRPr="003D5E53">
              <w:rPr>
                <w:rFonts w:ascii="Arial Narrow" w:hAnsi="Arial Narrow"/>
              </w:rPr>
              <w:t>ovement.</w:t>
            </w:r>
          </w:p>
          <w:p w14:paraId="6CF9247A" w14:textId="77777777" w:rsidR="00F06168" w:rsidRPr="00935437" w:rsidRDefault="00F06168" w:rsidP="00522703">
            <w:pPr>
              <w:pStyle w:val="Normal1"/>
              <w:spacing w:line="27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6"/>
                <w:szCs w:val="6"/>
              </w:rPr>
            </w:pPr>
          </w:p>
        </w:tc>
      </w:tr>
    </w:tbl>
    <w:p w14:paraId="1023F71A" w14:textId="77777777" w:rsidR="00F06168" w:rsidRPr="00A0746D" w:rsidRDefault="00F06168">
      <w:pPr>
        <w:pStyle w:val="Normal1"/>
        <w:spacing w:after="0" w:line="276" w:lineRule="auto"/>
        <w:jc w:val="both"/>
        <w:rPr>
          <w:sz w:val="12"/>
          <w:szCs w:val="12"/>
        </w:rPr>
      </w:pPr>
    </w:p>
    <w:p w14:paraId="378C97AA" w14:textId="4EE3036D" w:rsidR="00CC45F6" w:rsidRPr="006F5EDA" w:rsidRDefault="00DF60CF">
      <w:pPr>
        <w:pStyle w:val="Normal1"/>
        <w:spacing w:after="0" w:line="252" w:lineRule="auto"/>
        <w:ind w:left="-90" w:right="-416"/>
        <w:jc w:val="both"/>
      </w:pPr>
      <w:r>
        <w:t xml:space="preserve">In summary, the following intended results were achieved by the project from its set results framework – components </w:t>
      </w:r>
      <w:r w:rsidRPr="006F5EDA">
        <w:t>deliverables aligned to the results framework (</w:t>
      </w:r>
      <w:r w:rsidRPr="006F5EDA">
        <w:rPr>
          <w:i/>
        </w:rPr>
        <w:t xml:space="preserve">a detailed version of the results is also available in the main report: </w:t>
      </w:r>
      <w:r w:rsidR="00A14817" w:rsidRPr="006F5EDA">
        <w:t>Table 4</w:t>
      </w:r>
      <w:r w:rsidRPr="006F5EDA">
        <w:t>).</w:t>
      </w:r>
    </w:p>
    <w:p w14:paraId="27A33797" w14:textId="77777777" w:rsidR="00CC45F6" w:rsidRPr="00A0746D" w:rsidRDefault="00CC45F6">
      <w:pPr>
        <w:pStyle w:val="Normal1"/>
        <w:spacing w:after="0" w:line="276" w:lineRule="auto"/>
        <w:jc w:val="both"/>
        <w:rPr>
          <w:sz w:val="12"/>
          <w:szCs w:val="12"/>
        </w:rPr>
      </w:pPr>
    </w:p>
    <w:p w14:paraId="3B9865BC" w14:textId="77777777" w:rsidR="00CC45F6" w:rsidRDefault="00DF60CF">
      <w:pPr>
        <w:pStyle w:val="Normal1"/>
        <w:pBdr>
          <w:top w:val="nil"/>
          <w:left w:val="nil"/>
          <w:bottom w:val="nil"/>
          <w:right w:val="nil"/>
          <w:between w:val="nil"/>
        </w:pBdr>
        <w:spacing w:after="200" w:line="276" w:lineRule="auto"/>
        <w:ind w:right="-142"/>
        <w:jc w:val="both"/>
        <w:rPr>
          <w:b/>
          <w:color w:val="44546A"/>
          <w:sz w:val="18"/>
          <w:szCs w:val="18"/>
        </w:rPr>
      </w:pPr>
      <w:bookmarkStart w:id="6" w:name="_4k668n3" w:colFirst="0" w:colLast="0"/>
      <w:bookmarkEnd w:id="6"/>
      <w:r>
        <w:rPr>
          <w:b/>
          <w:color w:val="44546A"/>
          <w:sz w:val="18"/>
          <w:szCs w:val="18"/>
        </w:rPr>
        <w:t>Table 2: Summary of intended results achieved from results framework: components deliverables aligned with the results framework</w:t>
      </w:r>
    </w:p>
    <w:tbl>
      <w:tblPr>
        <w:tblStyle w:val="25"/>
        <w:tblW w:w="9592"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60"/>
        <w:gridCol w:w="4078"/>
        <w:gridCol w:w="1681"/>
        <w:gridCol w:w="1673"/>
      </w:tblGrid>
      <w:tr w:rsidR="00CC45F6" w:rsidRPr="006C22F7" w14:paraId="38A544EC" w14:textId="77777777" w:rsidTr="00D177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92" w:type="dxa"/>
            <w:gridSpan w:val="4"/>
            <w:shd w:val="clear" w:color="auto" w:fill="F2F2F2" w:themeFill="background1" w:themeFillShade="F2"/>
          </w:tcPr>
          <w:p w14:paraId="6083BAE1" w14:textId="77777777" w:rsidR="00CC45F6" w:rsidRPr="006C22F7" w:rsidRDefault="00DF60CF">
            <w:pPr>
              <w:pStyle w:val="Normal1"/>
              <w:spacing w:line="252" w:lineRule="auto"/>
              <w:rPr>
                <w:rFonts w:ascii="Arial Narrow" w:hAnsi="Arial Narrow"/>
                <w:color w:val="000000"/>
              </w:rPr>
            </w:pPr>
            <w:r w:rsidRPr="006C22F7">
              <w:rPr>
                <w:rFonts w:ascii="Arial Narrow" w:hAnsi="Arial Narrow"/>
                <w:color w:val="000000"/>
              </w:rPr>
              <w:t>a). Summary of platform component’s deliverables aligned with the results framework</w:t>
            </w:r>
          </w:p>
        </w:tc>
      </w:tr>
      <w:tr w:rsidR="00CC45F6" w:rsidRPr="006C22F7" w14:paraId="3FD1C682" w14:textId="77777777" w:rsidTr="00D177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60" w:type="dxa"/>
            <w:shd w:val="clear" w:color="auto" w:fill="F2F2F2" w:themeFill="background1" w:themeFillShade="F2"/>
          </w:tcPr>
          <w:p w14:paraId="3751DCE3" w14:textId="77777777" w:rsidR="00CC45F6" w:rsidRPr="006C22F7" w:rsidRDefault="00DF60CF" w:rsidP="00425D3C">
            <w:pPr>
              <w:pStyle w:val="Normal1"/>
              <w:spacing w:line="252" w:lineRule="auto"/>
              <w:jc w:val="center"/>
              <w:rPr>
                <w:rFonts w:ascii="Arial Narrow" w:hAnsi="Arial Narrow"/>
                <w:color w:val="000000"/>
                <w:sz w:val="18"/>
                <w:szCs w:val="18"/>
              </w:rPr>
            </w:pPr>
            <w:r w:rsidRPr="006C22F7">
              <w:rPr>
                <w:rFonts w:ascii="Arial Narrow" w:hAnsi="Arial Narrow"/>
                <w:color w:val="000000"/>
                <w:sz w:val="18"/>
                <w:szCs w:val="18"/>
              </w:rPr>
              <w:t>Intended Outputs</w:t>
            </w:r>
          </w:p>
        </w:tc>
        <w:tc>
          <w:tcPr>
            <w:tcW w:w="4078" w:type="dxa"/>
            <w:shd w:val="clear" w:color="auto" w:fill="F2F2F2" w:themeFill="background1" w:themeFillShade="F2"/>
          </w:tcPr>
          <w:p w14:paraId="5A93D16C"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Output targets</w:t>
            </w:r>
          </w:p>
        </w:tc>
        <w:tc>
          <w:tcPr>
            <w:tcW w:w="1681" w:type="dxa"/>
            <w:shd w:val="clear" w:color="auto" w:fill="F2F2F2" w:themeFill="background1" w:themeFillShade="F2"/>
          </w:tcPr>
          <w:p w14:paraId="73D5F7B8"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Indicative activities summary</w:t>
            </w:r>
          </w:p>
        </w:tc>
        <w:tc>
          <w:tcPr>
            <w:tcW w:w="1673" w:type="dxa"/>
            <w:shd w:val="clear" w:color="auto" w:fill="F2F2F2" w:themeFill="background1" w:themeFillShade="F2"/>
          </w:tcPr>
          <w:p w14:paraId="728D45BA"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Results achieved</w:t>
            </w:r>
          </w:p>
          <w:p w14:paraId="30B8E263"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6"/>
                <w:szCs w:val="16"/>
              </w:rPr>
            </w:pPr>
            <w:r w:rsidRPr="006C22F7">
              <w:rPr>
                <w:rFonts w:ascii="Arial Narrow" w:hAnsi="Arial Narrow"/>
                <w:color w:val="000000"/>
                <w:sz w:val="16"/>
                <w:szCs w:val="16"/>
              </w:rPr>
              <w:t>[</w:t>
            </w:r>
            <w:r w:rsidRPr="006C22F7">
              <w:rPr>
                <w:rFonts w:ascii="Arial Narrow" w:hAnsi="Arial Narrow"/>
                <w:color w:val="008E40"/>
                <w:sz w:val="16"/>
                <w:szCs w:val="16"/>
              </w:rPr>
              <w:t>Yes,</w:t>
            </w:r>
            <w:r w:rsidRPr="006C22F7">
              <w:rPr>
                <w:rFonts w:ascii="Arial Narrow" w:hAnsi="Arial Narrow"/>
                <w:color w:val="000000"/>
                <w:sz w:val="16"/>
                <w:szCs w:val="16"/>
              </w:rPr>
              <w:t xml:space="preserve"> or </w:t>
            </w:r>
            <w:r w:rsidRPr="006C22F7">
              <w:rPr>
                <w:rFonts w:ascii="Arial Narrow" w:hAnsi="Arial Narrow"/>
                <w:color w:val="FF6600"/>
                <w:sz w:val="16"/>
                <w:szCs w:val="16"/>
              </w:rPr>
              <w:t>Unclear</w:t>
            </w:r>
            <w:r w:rsidRPr="006C22F7">
              <w:rPr>
                <w:rFonts w:ascii="Arial Narrow" w:hAnsi="Arial Narrow"/>
                <w:color w:val="000000"/>
                <w:sz w:val="16"/>
                <w:szCs w:val="16"/>
              </w:rPr>
              <w:t xml:space="preserve"> or </w:t>
            </w:r>
            <w:r w:rsidRPr="006C22F7">
              <w:rPr>
                <w:rFonts w:ascii="Arial Narrow" w:hAnsi="Arial Narrow"/>
                <w:color w:val="FF0000"/>
                <w:sz w:val="16"/>
                <w:szCs w:val="16"/>
              </w:rPr>
              <w:t>No</w:t>
            </w:r>
            <w:r w:rsidRPr="006C22F7">
              <w:rPr>
                <w:rFonts w:ascii="Arial Narrow" w:hAnsi="Arial Narrow"/>
                <w:color w:val="000000"/>
                <w:sz w:val="16"/>
                <w:szCs w:val="16"/>
              </w:rPr>
              <w:t>]</w:t>
            </w:r>
          </w:p>
        </w:tc>
      </w:tr>
      <w:tr w:rsidR="00CC45F6" w:rsidRPr="006C22F7" w14:paraId="5BA7BC55" w14:textId="77777777" w:rsidTr="006C22F7">
        <w:trPr>
          <w:cnfStyle w:val="100000000000" w:firstRow="1" w:lastRow="0" w:firstColumn="0" w:lastColumn="0" w:oddVBand="0" w:evenVBand="0" w:oddHBand="0" w:evenHBand="0" w:firstRowFirstColumn="0" w:firstRowLastColumn="0" w:lastRowFirstColumn="0" w:lastRowLastColumn="0"/>
          <w:cantSplit/>
          <w:trHeight w:val="389"/>
          <w:tblHeader/>
        </w:trPr>
        <w:tc>
          <w:tcPr>
            <w:cnfStyle w:val="001000000000" w:firstRow="0" w:lastRow="0" w:firstColumn="1" w:lastColumn="0" w:oddVBand="0" w:evenVBand="0" w:oddHBand="0" w:evenHBand="0" w:firstRowFirstColumn="0" w:firstRowLastColumn="0" w:lastRowFirstColumn="0" w:lastRowLastColumn="0"/>
            <w:tcW w:w="2160" w:type="dxa"/>
          </w:tcPr>
          <w:p w14:paraId="6DB93B32" w14:textId="77777777" w:rsidR="00CC45F6" w:rsidRPr="006C22F7" w:rsidRDefault="00DF60CF">
            <w:pPr>
              <w:pStyle w:val="Normal1"/>
              <w:spacing w:line="252" w:lineRule="auto"/>
              <w:rPr>
                <w:rFonts w:ascii="Arial Narrow" w:hAnsi="Arial Narrow"/>
                <w:sz w:val="18"/>
                <w:szCs w:val="18"/>
              </w:rPr>
            </w:pPr>
            <w:r w:rsidRPr="006C22F7">
              <w:rPr>
                <w:rFonts w:ascii="Arial Narrow" w:hAnsi="Arial Narrow"/>
                <w:sz w:val="18"/>
                <w:szCs w:val="18"/>
              </w:rPr>
              <w:t>1. Knowledge &amp; Innovation Platform established</w:t>
            </w:r>
          </w:p>
        </w:tc>
        <w:tc>
          <w:tcPr>
            <w:tcW w:w="4078" w:type="dxa"/>
          </w:tcPr>
          <w:p w14:paraId="7620E26D" w14:textId="77777777" w:rsidR="00CC45F6" w:rsidRPr="006C22F7" w:rsidRDefault="00DF60CF">
            <w:pPr>
              <w:pStyle w:val="Normal1"/>
              <w:numPr>
                <w:ilvl w:val="1"/>
                <w:numId w:val="15"/>
              </w:numPr>
              <w:pBdr>
                <w:top w:val="nil"/>
                <w:left w:val="nil"/>
                <w:bottom w:val="nil"/>
                <w:right w:val="nil"/>
                <w:between w:val="nil"/>
              </w:pBdr>
              <w:spacing w:before="0" w:after="160" w:line="252" w:lineRule="auto"/>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bCs/>
                <w:color w:val="000000"/>
                <w:sz w:val="18"/>
                <w:szCs w:val="18"/>
              </w:rPr>
            </w:pPr>
            <w:r w:rsidRPr="006C22F7">
              <w:rPr>
                <w:rFonts w:ascii="Arial Narrow" w:eastAsia="Arial Narrow" w:hAnsi="Arial Narrow" w:cs="Arial Narrow"/>
                <w:bCs/>
                <w:color w:val="000000"/>
                <w:sz w:val="18"/>
                <w:szCs w:val="18"/>
              </w:rPr>
              <w:t>A fully functional platform created by the second year of the project, all Phase 1 data uploaded.</w:t>
            </w:r>
          </w:p>
        </w:tc>
        <w:tc>
          <w:tcPr>
            <w:tcW w:w="1681" w:type="dxa"/>
          </w:tcPr>
          <w:p w14:paraId="669B53C6" w14:textId="77777777" w:rsidR="00CC45F6" w:rsidRPr="006C22F7" w:rsidRDefault="00DF60CF">
            <w:pPr>
              <w:pStyle w:val="Normal1"/>
              <w:spacing w:line="252"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color w:val="000000"/>
                <w:sz w:val="18"/>
                <w:szCs w:val="18"/>
              </w:rPr>
              <w:t>From 1.1.1 – 1.1.7</w:t>
            </w:r>
          </w:p>
          <w:p w14:paraId="6FE9CD96" w14:textId="77777777" w:rsidR="00CC45F6" w:rsidRPr="006C22F7" w:rsidRDefault="00CC45F6">
            <w:pPr>
              <w:pStyle w:val="Normal1"/>
              <w:spacing w:line="252"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c>
          <w:tcPr>
            <w:tcW w:w="1673" w:type="dxa"/>
            <w:shd w:val="clear" w:color="auto" w:fill="auto"/>
          </w:tcPr>
          <w:p w14:paraId="7780DA97" w14:textId="77777777" w:rsidR="00CC45F6" w:rsidRPr="006C22F7" w:rsidRDefault="00DF60CF">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noProof/>
                <w:lang w:val="en-ZW"/>
              </w:rPr>
              <w:drawing>
                <wp:inline distT="0" distB="0" distL="0" distR="0" wp14:anchorId="55FDA89B" wp14:editId="7F3A1E18">
                  <wp:extent cx="109342" cy="109342"/>
                  <wp:effectExtent l="0" t="0" r="0" b="0"/>
                  <wp:docPr id="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cstate="print"/>
                          <a:srcRect b="8286"/>
                          <a:stretch>
                            <a:fillRect/>
                          </a:stretch>
                        </pic:blipFill>
                        <pic:spPr>
                          <a:xfrm>
                            <a:off x="0" y="0"/>
                            <a:ext cx="109342" cy="109342"/>
                          </a:xfrm>
                          <a:prstGeom prst="rect">
                            <a:avLst/>
                          </a:prstGeom>
                          <a:ln/>
                        </pic:spPr>
                      </pic:pic>
                    </a:graphicData>
                  </a:graphic>
                </wp:inline>
              </w:drawing>
            </w:r>
            <w:r w:rsidRPr="006C22F7">
              <w:rPr>
                <w:rFonts w:ascii="Arial Narrow" w:hAnsi="Arial Narrow"/>
              </w:rPr>
              <w:t xml:space="preserve"> Yes (all)</w:t>
            </w:r>
          </w:p>
          <w:p w14:paraId="254ED0A9" w14:textId="77777777" w:rsidR="00CC45F6" w:rsidRPr="006C22F7" w:rsidRDefault="00CC45F6">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r>
    </w:tbl>
    <w:p w14:paraId="4CF0FA05" w14:textId="77777777" w:rsidR="00CC45F6" w:rsidRPr="00A0746D" w:rsidRDefault="00CC45F6">
      <w:pPr>
        <w:pStyle w:val="Normal1"/>
        <w:spacing w:after="0" w:line="252" w:lineRule="auto"/>
        <w:jc w:val="both"/>
        <w:rPr>
          <w:sz w:val="12"/>
          <w:szCs w:val="12"/>
        </w:rPr>
      </w:pPr>
    </w:p>
    <w:tbl>
      <w:tblPr>
        <w:tblStyle w:val="24"/>
        <w:tblW w:w="9633"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59"/>
        <w:gridCol w:w="4079"/>
        <w:gridCol w:w="1680"/>
        <w:gridCol w:w="1715"/>
      </w:tblGrid>
      <w:tr w:rsidR="00CC45F6" w:rsidRPr="006C22F7" w14:paraId="4D2B0B57" w14:textId="77777777" w:rsidTr="00D177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3" w:type="dxa"/>
            <w:gridSpan w:val="4"/>
            <w:shd w:val="clear" w:color="auto" w:fill="F2F2F2" w:themeFill="background1" w:themeFillShade="F2"/>
          </w:tcPr>
          <w:p w14:paraId="53B4764B" w14:textId="77777777" w:rsidR="00CC45F6" w:rsidRPr="006C22F7" w:rsidRDefault="00DF60CF">
            <w:pPr>
              <w:pStyle w:val="Normal1"/>
              <w:spacing w:line="252" w:lineRule="auto"/>
              <w:rPr>
                <w:rFonts w:ascii="Arial Narrow" w:hAnsi="Arial Narrow"/>
                <w:color w:val="000000"/>
              </w:rPr>
            </w:pPr>
            <w:r w:rsidRPr="006C22F7">
              <w:rPr>
                <w:rFonts w:ascii="Arial Narrow" w:hAnsi="Arial Narrow"/>
                <w:color w:val="000000"/>
              </w:rPr>
              <w:t>b). Summary of Consortium project’s deliverables aligned with the results framework</w:t>
            </w:r>
          </w:p>
        </w:tc>
      </w:tr>
      <w:tr w:rsidR="00CC45F6" w:rsidRPr="006C22F7" w14:paraId="43A7C545" w14:textId="77777777" w:rsidTr="00D177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9" w:type="dxa"/>
            <w:shd w:val="clear" w:color="auto" w:fill="F2F2F2" w:themeFill="background1" w:themeFillShade="F2"/>
          </w:tcPr>
          <w:p w14:paraId="075ED842" w14:textId="77777777" w:rsidR="00CC45F6" w:rsidRPr="006C22F7" w:rsidRDefault="00DF60CF" w:rsidP="00425D3C">
            <w:pPr>
              <w:pStyle w:val="Normal1"/>
              <w:spacing w:line="252" w:lineRule="auto"/>
              <w:jc w:val="center"/>
              <w:rPr>
                <w:rFonts w:ascii="Arial Narrow" w:hAnsi="Arial Narrow"/>
                <w:color w:val="000000"/>
                <w:sz w:val="18"/>
                <w:szCs w:val="18"/>
              </w:rPr>
            </w:pPr>
            <w:r w:rsidRPr="006C22F7">
              <w:rPr>
                <w:rFonts w:ascii="Arial Narrow" w:hAnsi="Arial Narrow"/>
                <w:color w:val="000000"/>
                <w:sz w:val="18"/>
                <w:szCs w:val="18"/>
              </w:rPr>
              <w:t>Intended Outputs</w:t>
            </w:r>
          </w:p>
        </w:tc>
        <w:tc>
          <w:tcPr>
            <w:tcW w:w="4079" w:type="dxa"/>
            <w:shd w:val="clear" w:color="auto" w:fill="F2F2F2" w:themeFill="background1" w:themeFillShade="F2"/>
          </w:tcPr>
          <w:p w14:paraId="5C9B12AC"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Output targets</w:t>
            </w:r>
          </w:p>
        </w:tc>
        <w:tc>
          <w:tcPr>
            <w:tcW w:w="1680" w:type="dxa"/>
            <w:shd w:val="clear" w:color="auto" w:fill="F2F2F2" w:themeFill="background1" w:themeFillShade="F2"/>
          </w:tcPr>
          <w:p w14:paraId="44284140"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Indicative activities summary</w:t>
            </w:r>
          </w:p>
        </w:tc>
        <w:tc>
          <w:tcPr>
            <w:tcW w:w="1715" w:type="dxa"/>
            <w:shd w:val="clear" w:color="auto" w:fill="F2F2F2" w:themeFill="background1" w:themeFillShade="F2"/>
          </w:tcPr>
          <w:p w14:paraId="575C1C40"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Results achieved</w:t>
            </w:r>
          </w:p>
          <w:p w14:paraId="03B4A197"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6"/>
                <w:szCs w:val="16"/>
              </w:rPr>
              <w:t>[</w:t>
            </w:r>
            <w:r w:rsidRPr="006C22F7">
              <w:rPr>
                <w:rFonts w:ascii="Arial Narrow" w:hAnsi="Arial Narrow"/>
                <w:color w:val="008E40"/>
                <w:sz w:val="16"/>
                <w:szCs w:val="16"/>
              </w:rPr>
              <w:t>Yes,</w:t>
            </w:r>
            <w:r w:rsidRPr="006C22F7">
              <w:rPr>
                <w:rFonts w:ascii="Arial Narrow" w:hAnsi="Arial Narrow"/>
                <w:color w:val="000000"/>
                <w:sz w:val="16"/>
                <w:szCs w:val="16"/>
              </w:rPr>
              <w:t xml:space="preserve"> or </w:t>
            </w:r>
            <w:r w:rsidRPr="006C22F7">
              <w:rPr>
                <w:rFonts w:ascii="Arial Narrow" w:hAnsi="Arial Narrow"/>
                <w:color w:val="FF6600"/>
                <w:sz w:val="16"/>
                <w:szCs w:val="16"/>
              </w:rPr>
              <w:t>Unclear</w:t>
            </w:r>
            <w:r w:rsidRPr="006C22F7">
              <w:rPr>
                <w:rFonts w:ascii="Arial Narrow" w:hAnsi="Arial Narrow"/>
                <w:color w:val="000000"/>
                <w:sz w:val="16"/>
                <w:szCs w:val="16"/>
              </w:rPr>
              <w:t xml:space="preserve"> or </w:t>
            </w:r>
            <w:r w:rsidRPr="006C22F7">
              <w:rPr>
                <w:rFonts w:ascii="Arial Narrow" w:hAnsi="Arial Narrow"/>
                <w:color w:val="FF0000"/>
                <w:sz w:val="16"/>
                <w:szCs w:val="16"/>
              </w:rPr>
              <w:t>No</w:t>
            </w:r>
            <w:r w:rsidRPr="006C22F7">
              <w:rPr>
                <w:rFonts w:ascii="Arial Narrow" w:hAnsi="Arial Narrow"/>
                <w:color w:val="000000"/>
                <w:sz w:val="16"/>
                <w:szCs w:val="16"/>
              </w:rPr>
              <w:t>]</w:t>
            </w:r>
          </w:p>
        </w:tc>
      </w:tr>
      <w:tr w:rsidR="00CC45F6" w:rsidRPr="006C22F7" w14:paraId="11E918C3" w14:textId="77777777" w:rsidTr="006C22F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9" w:type="dxa"/>
          </w:tcPr>
          <w:p w14:paraId="1647B060" w14:textId="77777777" w:rsidR="00CC45F6" w:rsidRPr="006C22F7" w:rsidRDefault="00DF60CF">
            <w:pPr>
              <w:pStyle w:val="Normal1"/>
              <w:spacing w:line="252" w:lineRule="auto"/>
              <w:rPr>
                <w:rFonts w:ascii="Arial Narrow" w:hAnsi="Arial Narrow"/>
                <w:sz w:val="18"/>
                <w:szCs w:val="18"/>
              </w:rPr>
            </w:pPr>
            <w:r w:rsidRPr="006C22F7">
              <w:rPr>
                <w:rFonts w:ascii="Arial Narrow" w:hAnsi="Arial Narrow"/>
                <w:sz w:val="18"/>
                <w:szCs w:val="18"/>
              </w:rPr>
              <w:t>2. At least one integrated community project implemented</w:t>
            </w:r>
          </w:p>
        </w:tc>
        <w:tc>
          <w:tcPr>
            <w:tcW w:w="4079" w:type="dxa"/>
          </w:tcPr>
          <w:p w14:paraId="57461137" w14:textId="77777777" w:rsidR="00CC45F6" w:rsidRPr="006C22F7" w:rsidRDefault="00DF60CF">
            <w:pPr>
              <w:pStyle w:val="Normal1"/>
              <w:spacing w:line="252" w:lineRule="auto"/>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6C22F7">
              <w:rPr>
                <w:rFonts w:ascii="Arial Narrow" w:hAnsi="Arial Narrow"/>
                <w:color w:val="000000"/>
                <w:sz w:val="18"/>
                <w:szCs w:val="18"/>
              </w:rPr>
              <w:t>2.1 Baseline activities completed before actual capacity development work takes place. Results captured consistently and given to platform.</w:t>
            </w:r>
          </w:p>
        </w:tc>
        <w:tc>
          <w:tcPr>
            <w:tcW w:w="1680" w:type="dxa"/>
          </w:tcPr>
          <w:p w14:paraId="360F499E" w14:textId="77777777" w:rsidR="00CC45F6" w:rsidRPr="006C22F7" w:rsidRDefault="00DF60CF">
            <w:pPr>
              <w:pStyle w:val="Normal1"/>
              <w:spacing w:line="252"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color w:val="000000"/>
                <w:sz w:val="18"/>
                <w:szCs w:val="18"/>
              </w:rPr>
              <w:t>From 2.1.1 - 2.1.3</w:t>
            </w:r>
          </w:p>
        </w:tc>
        <w:tc>
          <w:tcPr>
            <w:tcW w:w="1715" w:type="dxa"/>
            <w:shd w:val="clear" w:color="auto" w:fill="auto"/>
          </w:tcPr>
          <w:p w14:paraId="0387F5B0" w14:textId="77777777" w:rsidR="00CC45F6" w:rsidRPr="006C22F7" w:rsidRDefault="00DF60CF">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noProof/>
                <w:lang w:val="en-ZW"/>
              </w:rPr>
              <w:drawing>
                <wp:inline distT="0" distB="0" distL="0" distR="0" wp14:anchorId="73A16C1C" wp14:editId="12BD75DF">
                  <wp:extent cx="109342" cy="109342"/>
                  <wp:effectExtent l="0" t="0" r="0" b="0"/>
                  <wp:docPr id="5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cstate="print"/>
                          <a:srcRect b="8286"/>
                          <a:stretch>
                            <a:fillRect/>
                          </a:stretch>
                        </pic:blipFill>
                        <pic:spPr>
                          <a:xfrm>
                            <a:off x="0" y="0"/>
                            <a:ext cx="109342" cy="109342"/>
                          </a:xfrm>
                          <a:prstGeom prst="rect">
                            <a:avLst/>
                          </a:prstGeom>
                          <a:ln/>
                        </pic:spPr>
                      </pic:pic>
                    </a:graphicData>
                  </a:graphic>
                </wp:inline>
              </w:drawing>
            </w:r>
            <w:r w:rsidRPr="006C22F7">
              <w:rPr>
                <w:rFonts w:ascii="Arial Narrow" w:hAnsi="Arial Narrow"/>
              </w:rPr>
              <w:t xml:space="preserve"> Yes (all)</w:t>
            </w:r>
          </w:p>
        </w:tc>
      </w:tr>
    </w:tbl>
    <w:p w14:paraId="3667B0AE" w14:textId="77777777" w:rsidR="00CC45F6" w:rsidRPr="006C22F7" w:rsidRDefault="00CC45F6">
      <w:pPr>
        <w:pStyle w:val="Normal1"/>
        <w:spacing w:after="0" w:line="252" w:lineRule="auto"/>
        <w:jc w:val="both"/>
        <w:rPr>
          <w:sz w:val="24"/>
          <w:szCs w:val="24"/>
        </w:rPr>
      </w:pPr>
    </w:p>
    <w:tbl>
      <w:tblPr>
        <w:tblStyle w:val="23"/>
        <w:tblW w:w="9633"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59"/>
        <w:gridCol w:w="4079"/>
        <w:gridCol w:w="1680"/>
        <w:gridCol w:w="1715"/>
      </w:tblGrid>
      <w:tr w:rsidR="00CC45F6" w:rsidRPr="006C22F7" w14:paraId="52559D6E" w14:textId="77777777" w:rsidTr="00D177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3" w:type="dxa"/>
            <w:gridSpan w:val="4"/>
            <w:shd w:val="clear" w:color="auto" w:fill="F2F2F2" w:themeFill="background1" w:themeFillShade="F2"/>
          </w:tcPr>
          <w:p w14:paraId="42F1D3C2" w14:textId="77777777" w:rsidR="00CC45F6" w:rsidRPr="006C22F7" w:rsidRDefault="00DF60CF">
            <w:pPr>
              <w:pStyle w:val="Normal1"/>
              <w:spacing w:line="252" w:lineRule="auto"/>
              <w:rPr>
                <w:rFonts w:ascii="Arial Narrow" w:hAnsi="Arial Narrow"/>
                <w:color w:val="000000"/>
              </w:rPr>
            </w:pPr>
            <w:r w:rsidRPr="006C22F7">
              <w:rPr>
                <w:rFonts w:ascii="Arial Narrow" w:hAnsi="Arial Narrow"/>
                <w:color w:val="000000"/>
              </w:rPr>
              <w:t>c). Summary of Scaled-up project’s deliverables aligned with the results framework</w:t>
            </w:r>
          </w:p>
        </w:tc>
      </w:tr>
      <w:tr w:rsidR="00CC45F6" w:rsidRPr="006C22F7" w14:paraId="3AE69015" w14:textId="77777777" w:rsidTr="00D177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9" w:type="dxa"/>
            <w:shd w:val="clear" w:color="auto" w:fill="F2F2F2" w:themeFill="background1" w:themeFillShade="F2"/>
          </w:tcPr>
          <w:p w14:paraId="39856AA4" w14:textId="77777777" w:rsidR="00CC45F6" w:rsidRPr="006C22F7" w:rsidRDefault="00DF60CF" w:rsidP="00425D3C">
            <w:pPr>
              <w:pStyle w:val="Normal1"/>
              <w:spacing w:line="252" w:lineRule="auto"/>
              <w:jc w:val="center"/>
              <w:rPr>
                <w:rFonts w:ascii="Arial Narrow" w:hAnsi="Arial Narrow"/>
                <w:color w:val="000000"/>
                <w:sz w:val="18"/>
                <w:szCs w:val="18"/>
              </w:rPr>
            </w:pPr>
            <w:r w:rsidRPr="006C22F7">
              <w:rPr>
                <w:rFonts w:ascii="Arial Narrow" w:hAnsi="Arial Narrow"/>
                <w:color w:val="000000"/>
                <w:sz w:val="18"/>
                <w:szCs w:val="18"/>
              </w:rPr>
              <w:t>Intended Outputs</w:t>
            </w:r>
          </w:p>
        </w:tc>
        <w:tc>
          <w:tcPr>
            <w:tcW w:w="4079" w:type="dxa"/>
            <w:shd w:val="clear" w:color="auto" w:fill="F2F2F2" w:themeFill="background1" w:themeFillShade="F2"/>
          </w:tcPr>
          <w:p w14:paraId="4E58DBB6"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Output targets</w:t>
            </w:r>
          </w:p>
        </w:tc>
        <w:tc>
          <w:tcPr>
            <w:tcW w:w="1680" w:type="dxa"/>
            <w:shd w:val="clear" w:color="auto" w:fill="F2F2F2" w:themeFill="background1" w:themeFillShade="F2"/>
          </w:tcPr>
          <w:p w14:paraId="41F1AF8E"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Indicative activities summary</w:t>
            </w:r>
          </w:p>
        </w:tc>
        <w:tc>
          <w:tcPr>
            <w:tcW w:w="1715" w:type="dxa"/>
            <w:shd w:val="clear" w:color="auto" w:fill="F2F2F2" w:themeFill="background1" w:themeFillShade="F2"/>
          </w:tcPr>
          <w:p w14:paraId="6FE8BDA3"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Results achieved</w:t>
            </w:r>
          </w:p>
          <w:p w14:paraId="4EC01B5D" w14:textId="77777777" w:rsidR="00CC45F6" w:rsidRPr="006C22F7" w:rsidRDefault="00DF60CF" w:rsidP="00425D3C">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6"/>
                <w:szCs w:val="16"/>
              </w:rPr>
              <w:t>[</w:t>
            </w:r>
            <w:r w:rsidRPr="006C22F7">
              <w:rPr>
                <w:rFonts w:ascii="Arial Narrow" w:hAnsi="Arial Narrow"/>
                <w:color w:val="008E40"/>
                <w:sz w:val="16"/>
                <w:szCs w:val="16"/>
              </w:rPr>
              <w:t>Yes,</w:t>
            </w:r>
            <w:r w:rsidRPr="006C22F7">
              <w:rPr>
                <w:rFonts w:ascii="Arial Narrow" w:hAnsi="Arial Narrow"/>
                <w:color w:val="000000"/>
                <w:sz w:val="16"/>
                <w:szCs w:val="16"/>
              </w:rPr>
              <w:t xml:space="preserve"> or </w:t>
            </w:r>
            <w:r w:rsidRPr="006C22F7">
              <w:rPr>
                <w:rFonts w:ascii="Arial Narrow" w:hAnsi="Arial Narrow"/>
                <w:color w:val="FF6600"/>
                <w:sz w:val="16"/>
                <w:szCs w:val="16"/>
              </w:rPr>
              <w:t>Unclear</w:t>
            </w:r>
            <w:r w:rsidRPr="006C22F7">
              <w:rPr>
                <w:rFonts w:ascii="Arial Narrow" w:hAnsi="Arial Narrow"/>
                <w:color w:val="000000"/>
                <w:sz w:val="16"/>
                <w:szCs w:val="16"/>
              </w:rPr>
              <w:t xml:space="preserve"> or </w:t>
            </w:r>
            <w:r w:rsidRPr="006C22F7">
              <w:rPr>
                <w:rFonts w:ascii="Arial Narrow" w:hAnsi="Arial Narrow"/>
                <w:color w:val="FF0000"/>
                <w:sz w:val="16"/>
                <w:szCs w:val="16"/>
              </w:rPr>
              <w:t>No</w:t>
            </w:r>
            <w:r w:rsidRPr="006C22F7">
              <w:rPr>
                <w:rFonts w:ascii="Arial Narrow" w:hAnsi="Arial Narrow"/>
                <w:color w:val="000000"/>
                <w:sz w:val="16"/>
                <w:szCs w:val="16"/>
              </w:rPr>
              <w:t>]</w:t>
            </w:r>
          </w:p>
        </w:tc>
      </w:tr>
      <w:tr w:rsidR="00CC45F6" w:rsidRPr="006C22F7" w14:paraId="5C22F5DE" w14:textId="77777777" w:rsidTr="006C22F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9" w:type="dxa"/>
          </w:tcPr>
          <w:p w14:paraId="3A32528A" w14:textId="77777777" w:rsidR="00CC45F6" w:rsidRPr="006C22F7" w:rsidRDefault="00DF60CF">
            <w:pPr>
              <w:pStyle w:val="Normal1"/>
              <w:spacing w:line="252" w:lineRule="auto"/>
              <w:rPr>
                <w:rFonts w:ascii="Arial Narrow" w:hAnsi="Arial Narrow"/>
                <w:sz w:val="18"/>
                <w:szCs w:val="18"/>
              </w:rPr>
            </w:pPr>
            <w:r w:rsidRPr="006C22F7">
              <w:rPr>
                <w:rFonts w:ascii="Arial Narrow" w:hAnsi="Arial Narrow"/>
                <w:sz w:val="18"/>
                <w:szCs w:val="18"/>
              </w:rPr>
              <w:t>3. One or two projects scaled up</w:t>
            </w:r>
          </w:p>
        </w:tc>
        <w:tc>
          <w:tcPr>
            <w:tcW w:w="4079" w:type="dxa"/>
          </w:tcPr>
          <w:p w14:paraId="37955AF7" w14:textId="77777777" w:rsidR="00CC45F6" w:rsidRPr="006C22F7" w:rsidRDefault="00DF60CF">
            <w:pPr>
              <w:pStyle w:val="Normal1"/>
              <w:spacing w:line="252" w:lineRule="auto"/>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6C22F7">
              <w:rPr>
                <w:rFonts w:ascii="Arial Narrow" w:hAnsi="Arial Narrow"/>
                <w:color w:val="000000"/>
                <w:sz w:val="18"/>
                <w:szCs w:val="18"/>
              </w:rPr>
              <w:t>3.1 Project activities either scaled up to more countries or new targets in terms of technology diffusion defined.</w:t>
            </w:r>
          </w:p>
        </w:tc>
        <w:tc>
          <w:tcPr>
            <w:tcW w:w="1680" w:type="dxa"/>
          </w:tcPr>
          <w:p w14:paraId="77CF7F9B" w14:textId="77777777" w:rsidR="00CC45F6" w:rsidRPr="006C22F7" w:rsidRDefault="00DF60CF">
            <w:pPr>
              <w:pStyle w:val="Normal1"/>
              <w:spacing w:line="252"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color w:val="000000"/>
                <w:sz w:val="18"/>
                <w:szCs w:val="18"/>
              </w:rPr>
              <w:t>From 3.1.1 - 3.1.3</w:t>
            </w:r>
          </w:p>
        </w:tc>
        <w:tc>
          <w:tcPr>
            <w:tcW w:w="1715" w:type="dxa"/>
            <w:shd w:val="clear" w:color="auto" w:fill="auto"/>
          </w:tcPr>
          <w:p w14:paraId="6E5F6141" w14:textId="77777777" w:rsidR="00CC45F6" w:rsidRPr="006C22F7" w:rsidRDefault="00DF60CF">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noProof/>
                <w:lang w:val="en-ZW"/>
              </w:rPr>
              <w:drawing>
                <wp:inline distT="0" distB="0" distL="0" distR="0" wp14:anchorId="095F9DB1" wp14:editId="34315330">
                  <wp:extent cx="109342" cy="109342"/>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cstate="print"/>
                          <a:srcRect b="8286"/>
                          <a:stretch>
                            <a:fillRect/>
                          </a:stretch>
                        </pic:blipFill>
                        <pic:spPr>
                          <a:xfrm>
                            <a:off x="0" y="0"/>
                            <a:ext cx="109342" cy="109342"/>
                          </a:xfrm>
                          <a:prstGeom prst="rect">
                            <a:avLst/>
                          </a:prstGeom>
                          <a:ln/>
                        </pic:spPr>
                      </pic:pic>
                    </a:graphicData>
                  </a:graphic>
                </wp:inline>
              </w:drawing>
            </w:r>
            <w:r w:rsidRPr="006C22F7">
              <w:rPr>
                <w:rFonts w:ascii="Arial Narrow" w:hAnsi="Arial Narrow"/>
              </w:rPr>
              <w:t xml:space="preserve"> Yes (all)</w:t>
            </w:r>
          </w:p>
        </w:tc>
      </w:tr>
    </w:tbl>
    <w:p w14:paraId="443F3E35" w14:textId="77777777" w:rsidR="00CC45F6" w:rsidRPr="006C22F7" w:rsidRDefault="00CC45F6">
      <w:pPr>
        <w:pStyle w:val="Normal1"/>
        <w:spacing w:after="0" w:line="252" w:lineRule="auto"/>
        <w:jc w:val="both"/>
        <w:rPr>
          <w:sz w:val="24"/>
          <w:szCs w:val="24"/>
        </w:rPr>
      </w:pPr>
    </w:p>
    <w:tbl>
      <w:tblPr>
        <w:tblStyle w:val="22"/>
        <w:tblW w:w="9633"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59"/>
        <w:gridCol w:w="4079"/>
        <w:gridCol w:w="1682"/>
        <w:gridCol w:w="1713"/>
      </w:tblGrid>
      <w:tr w:rsidR="00CC45F6" w:rsidRPr="006C22F7" w14:paraId="11AC2632" w14:textId="77777777" w:rsidTr="00D177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3" w:type="dxa"/>
            <w:gridSpan w:val="4"/>
            <w:shd w:val="clear" w:color="auto" w:fill="F2F2F2" w:themeFill="background1" w:themeFillShade="F2"/>
          </w:tcPr>
          <w:p w14:paraId="49425B0F" w14:textId="77777777" w:rsidR="00CC45F6" w:rsidRPr="006C22F7" w:rsidRDefault="00DF60CF">
            <w:pPr>
              <w:pStyle w:val="Normal1"/>
              <w:spacing w:line="276" w:lineRule="auto"/>
              <w:rPr>
                <w:rFonts w:ascii="Arial Narrow" w:hAnsi="Arial Narrow"/>
                <w:color w:val="000000"/>
              </w:rPr>
            </w:pPr>
            <w:r w:rsidRPr="006C22F7">
              <w:rPr>
                <w:rFonts w:ascii="Arial Narrow" w:hAnsi="Arial Narrow"/>
                <w:color w:val="000000"/>
              </w:rPr>
              <w:t>d). Summary of deliverables based on results framework from the Programme Document (STEPI)</w:t>
            </w:r>
          </w:p>
        </w:tc>
      </w:tr>
      <w:tr w:rsidR="00CC45F6" w:rsidRPr="006C22F7" w14:paraId="368EF305" w14:textId="77777777" w:rsidTr="00D177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9" w:type="dxa"/>
            <w:shd w:val="clear" w:color="auto" w:fill="F2F2F2" w:themeFill="background1" w:themeFillShade="F2"/>
          </w:tcPr>
          <w:p w14:paraId="1441F42E" w14:textId="77777777" w:rsidR="00CC45F6" w:rsidRPr="006C22F7" w:rsidRDefault="00DF60CF" w:rsidP="00425D3C">
            <w:pPr>
              <w:pStyle w:val="Normal1"/>
              <w:spacing w:line="276" w:lineRule="auto"/>
              <w:jc w:val="center"/>
              <w:rPr>
                <w:rFonts w:ascii="Arial Narrow" w:hAnsi="Arial Narrow"/>
                <w:color w:val="000000"/>
              </w:rPr>
            </w:pPr>
            <w:r w:rsidRPr="006C22F7">
              <w:rPr>
                <w:rFonts w:ascii="Arial Narrow" w:hAnsi="Arial Narrow"/>
                <w:color w:val="000000"/>
              </w:rPr>
              <w:t>Intended Outputs</w:t>
            </w:r>
          </w:p>
        </w:tc>
        <w:tc>
          <w:tcPr>
            <w:tcW w:w="4079" w:type="dxa"/>
            <w:shd w:val="clear" w:color="auto" w:fill="F2F2F2" w:themeFill="background1" w:themeFillShade="F2"/>
          </w:tcPr>
          <w:p w14:paraId="41413C09" w14:textId="77777777" w:rsidR="00CC45F6" w:rsidRPr="006C22F7" w:rsidRDefault="00DF60CF" w:rsidP="00425D3C">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rPr>
            </w:pPr>
            <w:r w:rsidRPr="006C22F7">
              <w:rPr>
                <w:rFonts w:ascii="Arial Narrow" w:hAnsi="Arial Narrow"/>
                <w:color w:val="000000"/>
              </w:rPr>
              <w:t>Output targets</w:t>
            </w:r>
          </w:p>
        </w:tc>
        <w:tc>
          <w:tcPr>
            <w:tcW w:w="1682" w:type="dxa"/>
            <w:shd w:val="clear" w:color="auto" w:fill="F2F2F2" w:themeFill="background1" w:themeFillShade="F2"/>
          </w:tcPr>
          <w:p w14:paraId="7EA90F5D" w14:textId="77777777" w:rsidR="00CC45F6" w:rsidRPr="006C22F7" w:rsidRDefault="00DF60CF" w:rsidP="00425D3C">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rPr>
            </w:pPr>
            <w:r w:rsidRPr="006C22F7">
              <w:rPr>
                <w:rFonts w:ascii="Arial Narrow" w:hAnsi="Arial Narrow"/>
                <w:color w:val="000000"/>
                <w:sz w:val="18"/>
                <w:szCs w:val="18"/>
              </w:rPr>
              <w:t>Indicative activities summary</w:t>
            </w:r>
          </w:p>
        </w:tc>
        <w:tc>
          <w:tcPr>
            <w:tcW w:w="1713" w:type="dxa"/>
            <w:shd w:val="clear" w:color="auto" w:fill="F2F2F2" w:themeFill="background1" w:themeFillShade="F2"/>
          </w:tcPr>
          <w:p w14:paraId="36BF6AC8" w14:textId="77777777" w:rsidR="00CC45F6" w:rsidRPr="006C22F7" w:rsidRDefault="00DF60CF" w:rsidP="00425D3C">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Results achieved</w:t>
            </w:r>
          </w:p>
          <w:p w14:paraId="68704834" w14:textId="77777777" w:rsidR="00CC45F6" w:rsidRPr="006C22F7" w:rsidRDefault="00DF60CF" w:rsidP="00425D3C">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6"/>
                <w:szCs w:val="16"/>
              </w:rPr>
              <w:t>[</w:t>
            </w:r>
            <w:r w:rsidRPr="006C22F7">
              <w:rPr>
                <w:rFonts w:ascii="Arial Narrow" w:hAnsi="Arial Narrow"/>
                <w:color w:val="008E40"/>
                <w:sz w:val="16"/>
                <w:szCs w:val="16"/>
              </w:rPr>
              <w:t>Yes,</w:t>
            </w:r>
            <w:r w:rsidRPr="006C22F7">
              <w:rPr>
                <w:rFonts w:ascii="Arial Narrow" w:hAnsi="Arial Narrow"/>
                <w:color w:val="000000"/>
                <w:sz w:val="16"/>
                <w:szCs w:val="16"/>
              </w:rPr>
              <w:t xml:space="preserve"> or </w:t>
            </w:r>
            <w:r w:rsidRPr="006C22F7">
              <w:rPr>
                <w:rFonts w:ascii="Arial Narrow" w:hAnsi="Arial Narrow"/>
                <w:color w:val="FF6600"/>
                <w:sz w:val="16"/>
                <w:szCs w:val="16"/>
              </w:rPr>
              <w:t>Unclear</w:t>
            </w:r>
            <w:r w:rsidRPr="006C22F7">
              <w:rPr>
                <w:rFonts w:ascii="Arial Narrow" w:hAnsi="Arial Narrow"/>
                <w:color w:val="000000"/>
                <w:sz w:val="16"/>
                <w:szCs w:val="16"/>
              </w:rPr>
              <w:t xml:space="preserve"> or </w:t>
            </w:r>
            <w:r w:rsidRPr="006C22F7">
              <w:rPr>
                <w:rFonts w:ascii="Arial Narrow" w:hAnsi="Arial Narrow"/>
                <w:color w:val="FF0000"/>
                <w:sz w:val="16"/>
                <w:szCs w:val="16"/>
              </w:rPr>
              <w:t>No</w:t>
            </w:r>
            <w:r w:rsidRPr="006C22F7">
              <w:rPr>
                <w:rFonts w:ascii="Arial Narrow" w:hAnsi="Arial Narrow"/>
                <w:color w:val="000000"/>
                <w:sz w:val="16"/>
                <w:szCs w:val="16"/>
              </w:rPr>
              <w:t>]</w:t>
            </w:r>
          </w:p>
        </w:tc>
      </w:tr>
      <w:tr w:rsidR="00CC45F6" w:rsidRPr="006C22F7" w14:paraId="64225F51" w14:textId="77777777" w:rsidTr="006C22F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9" w:type="dxa"/>
          </w:tcPr>
          <w:p w14:paraId="250DD186" w14:textId="77777777" w:rsidR="00CC45F6" w:rsidRPr="006C22F7" w:rsidRDefault="00DF60CF">
            <w:pPr>
              <w:pStyle w:val="Normal1"/>
              <w:spacing w:line="252" w:lineRule="auto"/>
              <w:rPr>
                <w:rFonts w:ascii="Arial Narrow" w:hAnsi="Arial Narrow"/>
                <w:sz w:val="18"/>
                <w:szCs w:val="18"/>
              </w:rPr>
            </w:pPr>
            <w:r w:rsidRPr="006C22F7">
              <w:rPr>
                <w:rFonts w:ascii="Arial Narrow" w:hAnsi="Arial Narrow"/>
                <w:sz w:val="18"/>
                <w:szCs w:val="18"/>
              </w:rPr>
              <w:t>4. Effective coordination of Korean inputs facilitated</w:t>
            </w:r>
          </w:p>
        </w:tc>
        <w:tc>
          <w:tcPr>
            <w:tcW w:w="4079" w:type="dxa"/>
          </w:tcPr>
          <w:p w14:paraId="1E2BB8D4" w14:textId="77777777" w:rsidR="00CC45F6" w:rsidRPr="006C22F7" w:rsidRDefault="00DF60CF">
            <w:pPr>
              <w:pStyle w:val="Normal1"/>
              <w:spacing w:line="252" w:lineRule="auto"/>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6C22F7">
              <w:rPr>
                <w:rFonts w:ascii="Arial Narrow" w:hAnsi="Arial Narrow"/>
                <w:color w:val="000000"/>
                <w:sz w:val="18"/>
                <w:szCs w:val="18"/>
              </w:rPr>
              <w:t>4.1 Local consultative meetings, preparing required documents for Ministry, translation done for Government counterparts.</w:t>
            </w:r>
          </w:p>
        </w:tc>
        <w:tc>
          <w:tcPr>
            <w:tcW w:w="1682" w:type="dxa"/>
          </w:tcPr>
          <w:p w14:paraId="0E5E6ADF" w14:textId="77777777" w:rsidR="00CC45F6" w:rsidRPr="006C22F7" w:rsidRDefault="00DF60CF">
            <w:pPr>
              <w:pStyle w:val="Normal1"/>
              <w:spacing w:line="252"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color w:val="000000"/>
                <w:sz w:val="18"/>
                <w:szCs w:val="18"/>
              </w:rPr>
              <w:t xml:space="preserve">4.1.1 </w:t>
            </w:r>
          </w:p>
        </w:tc>
        <w:tc>
          <w:tcPr>
            <w:tcW w:w="1713" w:type="dxa"/>
            <w:shd w:val="clear" w:color="auto" w:fill="auto"/>
          </w:tcPr>
          <w:p w14:paraId="573695EC" w14:textId="77777777" w:rsidR="00CC45F6" w:rsidRPr="006C22F7" w:rsidRDefault="00DF60CF">
            <w:pPr>
              <w:pStyle w:val="Normal1"/>
              <w:spacing w:line="252"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noProof/>
                <w:lang w:val="en-ZW"/>
              </w:rPr>
              <w:drawing>
                <wp:inline distT="0" distB="0" distL="0" distR="0" wp14:anchorId="635121A4" wp14:editId="3A847C2D">
                  <wp:extent cx="109342" cy="109342"/>
                  <wp:effectExtent l="0" t="0" r="0" b="0"/>
                  <wp:docPr id="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cstate="print"/>
                          <a:srcRect b="8286"/>
                          <a:stretch>
                            <a:fillRect/>
                          </a:stretch>
                        </pic:blipFill>
                        <pic:spPr>
                          <a:xfrm>
                            <a:off x="0" y="0"/>
                            <a:ext cx="109342" cy="109342"/>
                          </a:xfrm>
                          <a:prstGeom prst="rect">
                            <a:avLst/>
                          </a:prstGeom>
                          <a:ln/>
                        </pic:spPr>
                      </pic:pic>
                    </a:graphicData>
                  </a:graphic>
                </wp:inline>
              </w:drawing>
            </w:r>
            <w:r w:rsidRPr="006C22F7">
              <w:rPr>
                <w:rFonts w:ascii="Arial Narrow" w:hAnsi="Arial Narrow"/>
              </w:rPr>
              <w:t xml:space="preserve"> Yes</w:t>
            </w:r>
          </w:p>
        </w:tc>
      </w:tr>
    </w:tbl>
    <w:p w14:paraId="15AF8570" w14:textId="77777777" w:rsidR="00CC45F6" w:rsidRPr="00E317FB" w:rsidRDefault="00CC45F6" w:rsidP="00E317FB">
      <w:pPr>
        <w:pStyle w:val="Normal1"/>
        <w:spacing w:after="0"/>
        <w:jc w:val="both"/>
        <w:rPr>
          <w:sz w:val="24"/>
          <w:szCs w:val="24"/>
        </w:rPr>
      </w:pPr>
    </w:p>
    <w:tbl>
      <w:tblPr>
        <w:tblStyle w:val="21"/>
        <w:tblW w:w="9633"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59"/>
        <w:gridCol w:w="4079"/>
        <w:gridCol w:w="1682"/>
        <w:gridCol w:w="1713"/>
      </w:tblGrid>
      <w:tr w:rsidR="00CC45F6" w:rsidRPr="006C22F7" w14:paraId="2E0900B9" w14:textId="77777777" w:rsidTr="00425D3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3" w:type="dxa"/>
            <w:gridSpan w:val="4"/>
            <w:shd w:val="clear" w:color="auto" w:fill="F2F2F2" w:themeFill="background1" w:themeFillShade="F2"/>
          </w:tcPr>
          <w:p w14:paraId="099ED975" w14:textId="77777777" w:rsidR="00CC45F6" w:rsidRPr="006C22F7" w:rsidRDefault="00DF60CF">
            <w:pPr>
              <w:pStyle w:val="Normal1"/>
              <w:spacing w:line="276" w:lineRule="auto"/>
              <w:rPr>
                <w:rFonts w:ascii="Arial Narrow" w:hAnsi="Arial Narrow"/>
                <w:color w:val="000000"/>
              </w:rPr>
            </w:pPr>
            <w:r w:rsidRPr="006C22F7">
              <w:rPr>
                <w:rFonts w:ascii="Arial Narrow" w:hAnsi="Arial Narrow"/>
                <w:color w:val="000000"/>
              </w:rPr>
              <w:t>e). Summary of deliverables based on results framework from the Programme Document (STEPI)</w:t>
            </w:r>
          </w:p>
        </w:tc>
      </w:tr>
      <w:tr w:rsidR="00CC45F6" w:rsidRPr="006C22F7" w14:paraId="0A51BF3E" w14:textId="77777777" w:rsidTr="00425D3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9" w:type="dxa"/>
            <w:shd w:val="clear" w:color="auto" w:fill="F2F2F2" w:themeFill="background1" w:themeFillShade="F2"/>
          </w:tcPr>
          <w:p w14:paraId="2A6D7AEC" w14:textId="77777777" w:rsidR="00CC45F6" w:rsidRPr="006C22F7" w:rsidRDefault="00DF60CF" w:rsidP="00425D3C">
            <w:pPr>
              <w:pStyle w:val="Normal1"/>
              <w:spacing w:line="276" w:lineRule="auto"/>
              <w:jc w:val="center"/>
              <w:rPr>
                <w:rFonts w:ascii="Arial Narrow" w:hAnsi="Arial Narrow"/>
                <w:color w:val="000000"/>
              </w:rPr>
            </w:pPr>
            <w:r w:rsidRPr="006C22F7">
              <w:rPr>
                <w:rFonts w:ascii="Arial Narrow" w:hAnsi="Arial Narrow"/>
                <w:color w:val="000000"/>
              </w:rPr>
              <w:t>Intended Outputs</w:t>
            </w:r>
          </w:p>
        </w:tc>
        <w:tc>
          <w:tcPr>
            <w:tcW w:w="4079" w:type="dxa"/>
            <w:shd w:val="clear" w:color="auto" w:fill="F2F2F2" w:themeFill="background1" w:themeFillShade="F2"/>
          </w:tcPr>
          <w:p w14:paraId="45116EAD" w14:textId="77777777" w:rsidR="00CC45F6" w:rsidRPr="006C22F7" w:rsidRDefault="00DF60CF" w:rsidP="00425D3C">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rPr>
            </w:pPr>
            <w:r w:rsidRPr="006C22F7">
              <w:rPr>
                <w:rFonts w:ascii="Arial Narrow" w:hAnsi="Arial Narrow"/>
                <w:color w:val="000000"/>
              </w:rPr>
              <w:t>Output targets</w:t>
            </w:r>
          </w:p>
        </w:tc>
        <w:tc>
          <w:tcPr>
            <w:tcW w:w="1682" w:type="dxa"/>
            <w:shd w:val="clear" w:color="auto" w:fill="F2F2F2" w:themeFill="background1" w:themeFillShade="F2"/>
          </w:tcPr>
          <w:p w14:paraId="48CFAC81" w14:textId="77777777" w:rsidR="00CC45F6" w:rsidRPr="006C22F7" w:rsidRDefault="00DF60CF" w:rsidP="00425D3C">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rPr>
            </w:pPr>
            <w:r w:rsidRPr="006C22F7">
              <w:rPr>
                <w:rFonts w:ascii="Arial Narrow" w:hAnsi="Arial Narrow"/>
                <w:color w:val="000000"/>
                <w:sz w:val="18"/>
                <w:szCs w:val="18"/>
              </w:rPr>
              <w:t>Indicative activities summary</w:t>
            </w:r>
          </w:p>
        </w:tc>
        <w:tc>
          <w:tcPr>
            <w:tcW w:w="1713" w:type="dxa"/>
            <w:shd w:val="clear" w:color="auto" w:fill="F2F2F2" w:themeFill="background1" w:themeFillShade="F2"/>
          </w:tcPr>
          <w:p w14:paraId="6219998B" w14:textId="77777777" w:rsidR="00CC45F6" w:rsidRPr="006C22F7" w:rsidRDefault="00DF60CF" w:rsidP="00425D3C">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8"/>
                <w:szCs w:val="18"/>
              </w:rPr>
              <w:t>Results achieved</w:t>
            </w:r>
          </w:p>
          <w:p w14:paraId="0B244AAE" w14:textId="77777777" w:rsidR="00CC45F6" w:rsidRPr="006C22F7" w:rsidRDefault="00DF60CF" w:rsidP="00425D3C">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18"/>
                <w:szCs w:val="18"/>
              </w:rPr>
            </w:pPr>
            <w:r w:rsidRPr="006C22F7">
              <w:rPr>
                <w:rFonts w:ascii="Arial Narrow" w:hAnsi="Arial Narrow"/>
                <w:color w:val="000000"/>
                <w:sz w:val="16"/>
                <w:szCs w:val="16"/>
              </w:rPr>
              <w:t>[</w:t>
            </w:r>
            <w:r w:rsidRPr="006C22F7">
              <w:rPr>
                <w:rFonts w:ascii="Arial Narrow" w:hAnsi="Arial Narrow"/>
                <w:color w:val="008E40"/>
                <w:sz w:val="16"/>
                <w:szCs w:val="16"/>
              </w:rPr>
              <w:t>Yes,</w:t>
            </w:r>
            <w:r w:rsidRPr="006C22F7">
              <w:rPr>
                <w:rFonts w:ascii="Arial Narrow" w:hAnsi="Arial Narrow"/>
                <w:color w:val="000000"/>
                <w:sz w:val="16"/>
                <w:szCs w:val="16"/>
              </w:rPr>
              <w:t xml:space="preserve"> or </w:t>
            </w:r>
            <w:r w:rsidRPr="006C22F7">
              <w:rPr>
                <w:rFonts w:ascii="Arial Narrow" w:hAnsi="Arial Narrow"/>
                <w:color w:val="FF6600"/>
                <w:sz w:val="16"/>
                <w:szCs w:val="16"/>
              </w:rPr>
              <w:t>Unclear</w:t>
            </w:r>
            <w:r w:rsidRPr="006C22F7">
              <w:rPr>
                <w:rFonts w:ascii="Arial Narrow" w:hAnsi="Arial Narrow"/>
                <w:color w:val="000000"/>
                <w:sz w:val="16"/>
                <w:szCs w:val="16"/>
              </w:rPr>
              <w:t xml:space="preserve"> or </w:t>
            </w:r>
            <w:r w:rsidRPr="006C22F7">
              <w:rPr>
                <w:rFonts w:ascii="Arial Narrow" w:hAnsi="Arial Narrow"/>
                <w:color w:val="FF0000"/>
                <w:sz w:val="16"/>
                <w:szCs w:val="16"/>
              </w:rPr>
              <w:t>No</w:t>
            </w:r>
            <w:r w:rsidRPr="006C22F7">
              <w:rPr>
                <w:rFonts w:ascii="Arial Narrow" w:hAnsi="Arial Narrow"/>
                <w:color w:val="000000"/>
                <w:sz w:val="16"/>
                <w:szCs w:val="16"/>
              </w:rPr>
              <w:t>]</w:t>
            </w:r>
          </w:p>
        </w:tc>
      </w:tr>
      <w:tr w:rsidR="00CC45F6" w:rsidRPr="006C22F7" w14:paraId="373FDEB6" w14:textId="77777777" w:rsidTr="006C22F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9" w:type="dxa"/>
          </w:tcPr>
          <w:p w14:paraId="7D2272AE" w14:textId="77777777" w:rsidR="00CC45F6" w:rsidRPr="006C22F7" w:rsidRDefault="00DF60CF">
            <w:pPr>
              <w:pStyle w:val="Normal1"/>
              <w:spacing w:line="276" w:lineRule="auto"/>
              <w:rPr>
                <w:rFonts w:ascii="Arial Narrow" w:hAnsi="Arial Narrow"/>
                <w:sz w:val="18"/>
                <w:szCs w:val="18"/>
              </w:rPr>
            </w:pPr>
            <w:r w:rsidRPr="006C22F7">
              <w:rPr>
                <w:rFonts w:ascii="Arial Narrow" w:hAnsi="Arial Narrow"/>
                <w:sz w:val="18"/>
                <w:szCs w:val="18"/>
              </w:rPr>
              <w:t>5. Project Monitored</w:t>
            </w:r>
          </w:p>
        </w:tc>
        <w:tc>
          <w:tcPr>
            <w:tcW w:w="4079" w:type="dxa"/>
          </w:tcPr>
          <w:p w14:paraId="2D967027" w14:textId="77777777" w:rsidR="00CC45F6" w:rsidRPr="006C22F7" w:rsidRDefault="00DF60CF">
            <w:pPr>
              <w:pStyle w:val="Normal1"/>
              <w:spacing w:line="276" w:lineRule="auto"/>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6C22F7">
              <w:rPr>
                <w:rFonts w:ascii="Arial Narrow" w:hAnsi="Arial Narrow"/>
                <w:color w:val="000000"/>
                <w:sz w:val="18"/>
                <w:szCs w:val="18"/>
              </w:rPr>
              <w:t>5.1 Monitoring of project-by-project management.</w:t>
            </w:r>
          </w:p>
        </w:tc>
        <w:tc>
          <w:tcPr>
            <w:tcW w:w="1682" w:type="dxa"/>
          </w:tcPr>
          <w:p w14:paraId="7F595437" w14:textId="77777777" w:rsidR="00CC45F6" w:rsidRPr="006C22F7" w:rsidRDefault="00DF60CF">
            <w:pPr>
              <w:pStyle w:val="Normal1"/>
              <w:spacing w:line="276"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color w:val="000000"/>
                <w:sz w:val="18"/>
                <w:szCs w:val="18"/>
              </w:rPr>
              <w:t xml:space="preserve">5.1.1 </w:t>
            </w:r>
          </w:p>
        </w:tc>
        <w:tc>
          <w:tcPr>
            <w:tcW w:w="1713" w:type="dxa"/>
            <w:shd w:val="clear" w:color="auto" w:fill="auto"/>
          </w:tcPr>
          <w:p w14:paraId="2100D032" w14:textId="77777777" w:rsidR="00CC45F6" w:rsidRPr="006C22F7" w:rsidRDefault="00DF60CF">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noProof/>
                <w:lang w:val="en-ZW"/>
              </w:rPr>
              <w:drawing>
                <wp:inline distT="0" distB="0" distL="0" distR="0" wp14:anchorId="079C9DE5" wp14:editId="1E6221FA">
                  <wp:extent cx="109342" cy="109342"/>
                  <wp:effectExtent l="0" t="0" r="0" b="0"/>
                  <wp:docPr id="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cstate="print"/>
                          <a:srcRect b="8286"/>
                          <a:stretch>
                            <a:fillRect/>
                          </a:stretch>
                        </pic:blipFill>
                        <pic:spPr>
                          <a:xfrm>
                            <a:off x="0" y="0"/>
                            <a:ext cx="109342" cy="109342"/>
                          </a:xfrm>
                          <a:prstGeom prst="rect">
                            <a:avLst/>
                          </a:prstGeom>
                          <a:ln/>
                        </pic:spPr>
                      </pic:pic>
                    </a:graphicData>
                  </a:graphic>
                </wp:inline>
              </w:drawing>
            </w:r>
            <w:r w:rsidRPr="006C22F7">
              <w:rPr>
                <w:rFonts w:ascii="Arial Narrow" w:hAnsi="Arial Narrow"/>
              </w:rPr>
              <w:t xml:space="preserve"> Yes</w:t>
            </w:r>
            <w:r w:rsidRPr="006C22F7">
              <w:rPr>
                <w:rFonts w:ascii="Arial Narrow" w:hAnsi="Arial Narrow"/>
                <w:color w:val="000000"/>
                <w:sz w:val="18"/>
                <w:szCs w:val="18"/>
              </w:rPr>
              <w:t xml:space="preserve"> </w:t>
            </w:r>
          </w:p>
        </w:tc>
      </w:tr>
    </w:tbl>
    <w:p w14:paraId="10FF6166" w14:textId="77777777" w:rsidR="00B5736F" w:rsidRPr="00160AC5" w:rsidRDefault="00B5736F">
      <w:pPr>
        <w:pStyle w:val="Normal1"/>
        <w:spacing w:after="120"/>
        <w:ind w:right="-284"/>
        <w:jc w:val="both"/>
        <w:rPr>
          <w:bCs/>
          <w:color w:val="4472C4"/>
        </w:rPr>
      </w:pPr>
    </w:p>
    <w:p w14:paraId="18EE2838" w14:textId="751E865A" w:rsidR="00CC45F6" w:rsidRDefault="00DF60CF">
      <w:pPr>
        <w:pStyle w:val="Normal1"/>
        <w:spacing w:after="120"/>
        <w:ind w:right="-284"/>
        <w:jc w:val="both"/>
      </w:pPr>
      <w:r>
        <w:rPr>
          <w:b/>
          <w:color w:val="4472C4"/>
        </w:rPr>
        <w:lastRenderedPageBreak/>
        <w:t>b1.0) Relevance</w:t>
      </w:r>
      <w:r>
        <w:t xml:space="preserve">: </w:t>
      </w:r>
      <w:r w:rsidR="004871FF">
        <w:t>U</w:t>
      </w:r>
      <w:r>
        <w:t xml:space="preserve">pon assessing the design relevance and the focus of the Facility/Programme (project), there is evidence that the project outputs were very clear. The project was designed as a South-South and Triangular Cooperation (SS &amp; </w:t>
      </w:r>
      <w:proofErr w:type="spellStart"/>
      <w:r>
        <w:t>TrC</w:t>
      </w:r>
      <w:proofErr w:type="spellEnd"/>
      <w:r>
        <w:t xml:space="preserve">) project with all the </w:t>
      </w:r>
      <w:r w:rsidR="00754665">
        <w:t xml:space="preserve">applicable </w:t>
      </w:r>
      <w:r>
        <w:t xml:space="preserve">characteristics of a SS &amp; </w:t>
      </w:r>
      <w:proofErr w:type="spellStart"/>
      <w:r>
        <w:t>TrC</w:t>
      </w:r>
      <w:proofErr w:type="spellEnd"/>
      <w:r>
        <w:t xml:space="preserve"> as highlighted in </w:t>
      </w:r>
      <w:r w:rsidRPr="008055F1">
        <w:rPr>
          <w:bCs/>
        </w:rPr>
        <w:t xml:space="preserve">Table 1 </w:t>
      </w:r>
      <w:r>
        <w:t xml:space="preserve">above. </w:t>
      </w:r>
      <w:r w:rsidR="00346D1A">
        <w:t>It is</w:t>
      </w:r>
      <w:r>
        <w:t xml:space="preserve"> also evident that the provisions of triangular cooperation followed a horizontal-mutually beneficial approach for all stakeholders involved. The inputs and strategies were realistic and adequate to achieve the results </w:t>
      </w:r>
      <w:r w:rsidR="00812105">
        <w:t>of</w:t>
      </w:r>
      <w:r>
        <w:t xml:space="preserve"> Phase 2. </w:t>
      </w:r>
    </w:p>
    <w:p w14:paraId="0389B27B" w14:textId="40E8BB7C" w:rsidR="00CC45F6" w:rsidRDefault="00DF60CF">
      <w:pPr>
        <w:pStyle w:val="Normal1"/>
        <w:spacing w:after="120"/>
        <w:ind w:right="-284"/>
        <w:jc w:val="both"/>
      </w:pPr>
      <w:r>
        <w:rPr>
          <w:b/>
          <w:color w:val="4472C4"/>
        </w:rPr>
        <w:t xml:space="preserve">b1.1) </w:t>
      </w:r>
      <w:r>
        <w:rPr>
          <w:b/>
          <w:color w:val="0563C1"/>
        </w:rPr>
        <w:t>South-South Cooperation and Triangular Cooperation ha</w:t>
      </w:r>
      <w:r w:rsidR="00AD1D7A">
        <w:rPr>
          <w:b/>
          <w:color w:val="0563C1"/>
        </w:rPr>
        <w:t>ve</w:t>
      </w:r>
      <w:r>
        <w:rPr>
          <w:b/>
          <w:color w:val="0563C1"/>
        </w:rPr>
        <w:t xml:space="preserve"> been promoted and strengthened (SS &amp; </w:t>
      </w:r>
      <w:proofErr w:type="spellStart"/>
      <w:r>
        <w:rPr>
          <w:b/>
          <w:color w:val="0563C1"/>
        </w:rPr>
        <w:t>TrC</w:t>
      </w:r>
      <w:proofErr w:type="spellEnd"/>
      <w:r>
        <w:rPr>
          <w:b/>
          <w:color w:val="0563C1"/>
        </w:rPr>
        <w:t>)</w:t>
      </w:r>
      <w:r>
        <w:t xml:space="preserve">: </w:t>
      </w:r>
      <w:r w:rsidR="00D21E46">
        <w:t>T</w:t>
      </w:r>
      <w:r>
        <w:t xml:space="preserve">here is evidence that an expert network was established and reinforced throughout the implementation period, developing synergies among the participating countries. </w:t>
      </w:r>
      <w:r w:rsidR="00346D1A">
        <w:t>It is</w:t>
      </w:r>
      <w:r>
        <w:t xml:space="preserve"> evident that project meetings, technical workshops etc. contributed to the strengthened dialogue, information exchange and cooperation among the experts. The experts provided demand led scientific, technical, policy and strategic guidance to partner countries. Forums were formed as well as activities undertaken in a form of bilateral, multilateral and on a regional basis, contributing to SS &amp; </w:t>
      </w:r>
      <w:proofErr w:type="spellStart"/>
      <w:r>
        <w:t>TrC</w:t>
      </w:r>
      <w:proofErr w:type="spellEnd"/>
      <w:r>
        <w:rPr>
          <w:vertAlign w:val="superscript"/>
        </w:rPr>
        <w:footnoteReference w:id="3"/>
      </w:r>
      <w:r>
        <w:t>.</w:t>
      </w:r>
    </w:p>
    <w:p w14:paraId="5490CCC2" w14:textId="56025A94" w:rsidR="00CC45F6" w:rsidRDefault="00DF60CF">
      <w:pPr>
        <w:pStyle w:val="Normal1"/>
        <w:spacing w:after="120"/>
        <w:ind w:right="-284"/>
        <w:jc w:val="both"/>
      </w:pPr>
      <w:r>
        <w:rPr>
          <w:b/>
          <w:color w:val="4472C4"/>
        </w:rPr>
        <w:t>b2.0) Effectiveness</w:t>
      </w:r>
      <w:r>
        <w:t xml:space="preserve">: </w:t>
      </w:r>
      <w:r w:rsidR="00346D1A">
        <w:t>It is</w:t>
      </w:r>
      <w:r>
        <w:t xml:space="preserve"> evident that the project’s M&amp;E mechanism and systems were effective. They contributed to meeting project results. They kept progress on deliverables in check. The strategies and tools used in the implementation of the project were effective. The project effectively achieved all its overall objectives and achieved all its envisaged SS &amp; </w:t>
      </w:r>
      <w:proofErr w:type="spellStart"/>
      <w:r>
        <w:t>TrC</w:t>
      </w:r>
      <w:proofErr w:type="spellEnd"/>
      <w:r>
        <w:t xml:space="preserve"> outcomes and results (</w:t>
      </w:r>
      <w:r>
        <w:rPr>
          <w:i/>
        </w:rPr>
        <w:t>outputs</w:t>
      </w:r>
      <w:r>
        <w:t xml:space="preserve">). To meet the high standards of project governance, accountability and transparency, UNOSSC as the Facility Project Management worked closely with all stakeholders at all stages of project implementation through consultation. It conducted effective monitoring visits and spot checks. For systematic monitoring and coordination, UNOSSC ensured that all </w:t>
      </w:r>
      <w:r w:rsidR="00D21E46">
        <w:t>ROK</w:t>
      </w:r>
      <w:r>
        <w:t xml:space="preserve"> institutions continued to submit quarterly progress reports describing key progress and challenges faced, as well as listing upcoming activities in the next phase as prescribed in the Harmonized Approach to Cash Transfer (HACT). In this way, all stakeholders could easily follow-up government needs, </w:t>
      </w:r>
      <w:r w:rsidR="009C6E6C">
        <w:t xml:space="preserve">identify </w:t>
      </w:r>
      <w:r>
        <w:t>constraints and actions recommended to mitigate risk and facilitate achievement of results which was effective.</w:t>
      </w:r>
    </w:p>
    <w:p w14:paraId="520C1188" w14:textId="3359CF1C" w:rsidR="00CC45F6" w:rsidRDefault="00DF60CF">
      <w:pPr>
        <w:pStyle w:val="Normal1"/>
        <w:spacing w:after="120"/>
        <w:ind w:right="-284"/>
        <w:jc w:val="both"/>
      </w:pPr>
      <w:r>
        <w:t xml:space="preserve">There is </w:t>
      </w:r>
      <w:r w:rsidR="00E17F54">
        <w:t xml:space="preserve">clear </w:t>
      </w:r>
      <w:r>
        <w:t xml:space="preserve">evidence that strong coordination, clear project goal setting and effective strong </w:t>
      </w:r>
      <w:proofErr w:type="spellStart"/>
      <w:r>
        <w:t>TrC</w:t>
      </w:r>
      <w:proofErr w:type="spellEnd"/>
      <w:r>
        <w:t xml:space="preserve"> contributed to achieving intended objectives and output of the project. The project was effective at delivering on the relevant needs</w:t>
      </w:r>
      <w:r w:rsidR="0017195F">
        <w:t xml:space="preserve"> identified</w:t>
      </w:r>
      <w:r>
        <w:t xml:space="preserve"> and it also </w:t>
      </w:r>
      <w:r w:rsidR="00E17F54">
        <w:t>enhanced the principles of</w:t>
      </w:r>
      <w:r>
        <w:t xml:space="preserve"> SS &amp; </w:t>
      </w:r>
      <w:proofErr w:type="spellStart"/>
      <w:r>
        <w:t>TrC</w:t>
      </w:r>
      <w:proofErr w:type="spellEnd"/>
      <w:r>
        <w:t xml:space="preserve"> among participating countries. </w:t>
      </w:r>
      <w:r w:rsidR="00346D1A">
        <w:t>It is</w:t>
      </w:r>
      <w:r>
        <w:t xml:space="preserve"> evident that the management and accountability structures were very effective for Phase 2 of the project. The overall effectiveness</w:t>
      </w:r>
      <w:r w:rsidR="009C6E6C">
        <w:t xml:space="preserve"> of the</w:t>
      </w:r>
      <w:r>
        <w:t xml:space="preserve"> findings from monitoring visits highlighted the benefits to partner countries and participating</w:t>
      </w:r>
      <w:r w:rsidR="00D21E46">
        <w:t xml:space="preserve"> R</w:t>
      </w:r>
      <w:r w:rsidR="00E50872">
        <w:t>o</w:t>
      </w:r>
      <w:r w:rsidR="00D21E46">
        <w:t>K</w:t>
      </w:r>
      <w:r>
        <w:t xml:space="preserve"> institutions. </w:t>
      </w:r>
    </w:p>
    <w:p w14:paraId="34096D31" w14:textId="3153DC4A" w:rsidR="00CC45F6" w:rsidRDefault="00DF60CF">
      <w:pPr>
        <w:pStyle w:val="Normal1"/>
        <w:spacing w:after="120"/>
        <w:ind w:right="-284"/>
        <w:jc w:val="both"/>
      </w:pPr>
      <w:r>
        <w:rPr>
          <w:b/>
          <w:color w:val="4472C4"/>
        </w:rPr>
        <w:t xml:space="preserve">b2.1) </w:t>
      </w:r>
      <w:r>
        <w:rPr>
          <w:b/>
          <w:color w:val="0563C1"/>
        </w:rPr>
        <w:t>Human and institutional capacities have been strengthened through training the trainers</w:t>
      </w:r>
      <w:r w:rsidR="00D21E46">
        <w:rPr>
          <w:b/>
          <w:color w:val="0563C1"/>
        </w:rPr>
        <w:t xml:space="preserve"> (</w:t>
      </w:r>
      <w:proofErr w:type="spellStart"/>
      <w:r w:rsidR="00D21E46">
        <w:rPr>
          <w:b/>
          <w:color w:val="0563C1"/>
        </w:rPr>
        <w:t>ToTs</w:t>
      </w:r>
      <w:proofErr w:type="spellEnd"/>
      <w:r w:rsidR="00D21E46">
        <w:rPr>
          <w:b/>
          <w:color w:val="0563C1"/>
        </w:rPr>
        <w:t>)</w:t>
      </w:r>
      <w:r>
        <w:t xml:space="preserve">: </w:t>
      </w:r>
      <w:r w:rsidR="00346D1A">
        <w:t>It is</w:t>
      </w:r>
      <w:r>
        <w:t xml:space="preserve"> evident</w:t>
      </w:r>
      <w:r w:rsidR="009C6E6C">
        <w:t xml:space="preserve"> that</w:t>
      </w:r>
      <w:r>
        <w:t xml:space="preserve"> the project convened several regional training courses, with lectures and on-site training provided. For example, </w:t>
      </w:r>
      <w:r w:rsidR="00595519">
        <w:t xml:space="preserve">the </w:t>
      </w:r>
      <w:r>
        <w:t xml:space="preserve">Group Fellowship Programmes that fulfilled the needs </w:t>
      </w:r>
      <w:r w:rsidR="00A77706">
        <w:t>for</w:t>
      </w:r>
      <w:r>
        <w:t xml:space="preserve"> long-term customised education </w:t>
      </w:r>
      <w:r w:rsidR="0002003E">
        <w:t>we</w:t>
      </w:r>
      <w:r>
        <w:t xml:space="preserve">re evident. Regional experts were directly sent to the local </w:t>
      </w:r>
      <w:r w:rsidR="008C74FB">
        <w:t>institutions</w:t>
      </w:r>
      <w:r>
        <w:t xml:space="preserve"> to transfer technology effectively and efficiently through expert missions. Dispatching of regional experts to the local </w:t>
      </w:r>
      <w:r w:rsidR="008C74FB">
        <w:t>institutions</w:t>
      </w:r>
      <w:r>
        <w:t xml:space="preserve"> and providing customised Programmes was helpful in responding to the local issues and expanding the beneficiaries/participants from the governmental, institutional and academia organisations as well as private sectors that were involved to strengthen human and institutional capacities as illustrated in </w:t>
      </w:r>
      <w:r w:rsidRPr="00B171F6">
        <w:rPr>
          <w:bCs/>
        </w:rPr>
        <w:t>Table 3.</w:t>
      </w:r>
    </w:p>
    <w:p w14:paraId="13563620" w14:textId="77777777" w:rsidR="00CC45F6" w:rsidRDefault="00DF60CF">
      <w:pPr>
        <w:pStyle w:val="Normal1"/>
        <w:pBdr>
          <w:top w:val="nil"/>
          <w:left w:val="nil"/>
          <w:bottom w:val="nil"/>
          <w:right w:val="nil"/>
          <w:between w:val="nil"/>
        </w:pBdr>
        <w:spacing w:after="200" w:line="240" w:lineRule="auto"/>
        <w:rPr>
          <w:b/>
          <w:color w:val="44546A"/>
          <w:sz w:val="18"/>
          <w:szCs w:val="18"/>
        </w:rPr>
      </w:pPr>
      <w:bookmarkStart w:id="7" w:name="_2zbgiuw" w:colFirst="0" w:colLast="0"/>
      <w:bookmarkEnd w:id="7"/>
      <w:r>
        <w:rPr>
          <w:b/>
          <w:color w:val="44546A"/>
          <w:sz w:val="18"/>
          <w:szCs w:val="18"/>
        </w:rPr>
        <w:t>Table 3: The number of trainees for Consortium activities in both Cambodia and Indonesia</w:t>
      </w:r>
    </w:p>
    <w:tbl>
      <w:tblPr>
        <w:tblStyle w:val="20"/>
        <w:tblW w:w="944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52"/>
        <w:gridCol w:w="1878"/>
        <w:gridCol w:w="1872"/>
        <w:gridCol w:w="1872"/>
        <w:gridCol w:w="1666"/>
      </w:tblGrid>
      <w:tr w:rsidR="00CC45F6" w:rsidRPr="006C22F7" w14:paraId="42110AFB" w14:textId="77777777" w:rsidTr="00B6112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2" w:type="dxa"/>
          </w:tcPr>
          <w:p w14:paraId="6D672A36" w14:textId="77777777" w:rsidR="00CC45F6" w:rsidRPr="006C22F7" w:rsidRDefault="00DF60CF" w:rsidP="006C22F7">
            <w:pPr>
              <w:pStyle w:val="Normal1"/>
              <w:spacing w:line="276" w:lineRule="auto"/>
              <w:rPr>
                <w:rFonts w:ascii="Arial Narrow" w:hAnsi="Arial Narrow"/>
                <w:sz w:val="18"/>
                <w:szCs w:val="18"/>
              </w:rPr>
            </w:pPr>
            <w:r w:rsidRPr="006C22F7">
              <w:rPr>
                <w:rFonts w:ascii="Arial Narrow" w:hAnsi="Arial Narrow"/>
              </w:rPr>
              <w:t>Country</w:t>
            </w:r>
          </w:p>
        </w:tc>
        <w:tc>
          <w:tcPr>
            <w:tcW w:w="1878" w:type="dxa"/>
          </w:tcPr>
          <w:p w14:paraId="29CB497D"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6C22F7">
              <w:rPr>
                <w:rFonts w:ascii="Arial Narrow" w:hAnsi="Arial Narrow"/>
              </w:rPr>
              <w:t>N</w:t>
            </w:r>
            <w:r w:rsidRPr="006C22F7">
              <w:rPr>
                <w:rFonts w:ascii="Arial Narrow" w:hAnsi="Arial Narrow"/>
                <w:vertAlign w:val="superscript"/>
              </w:rPr>
              <w:t>o.</w:t>
            </w:r>
            <w:r w:rsidRPr="006C22F7">
              <w:rPr>
                <w:rFonts w:ascii="Arial Narrow" w:hAnsi="Arial Narrow"/>
              </w:rPr>
              <w:t xml:space="preserve"> of Students</w:t>
            </w:r>
            <w:r w:rsidRPr="006C22F7">
              <w:rPr>
                <w:rFonts w:ascii="Arial Narrow" w:hAnsi="Arial Narrow"/>
                <w:color w:val="FF0000"/>
              </w:rPr>
              <w:t>*</w:t>
            </w:r>
          </w:p>
        </w:tc>
        <w:tc>
          <w:tcPr>
            <w:tcW w:w="1872" w:type="dxa"/>
          </w:tcPr>
          <w:p w14:paraId="76CEFB3A"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rPr>
              <w:t>N</w:t>
            </w:r>
            <w:r w:rsidRPr="006C22F7">
              <w:rPr>
                <w:rFonts w:ascii="Arial Narrow" w:hAnsi="Arial Narrow"/>
                <w:vertAlign w:val="superscript"/>
              </w:rPr>
              <w:t>o.</w:t>
            </w:r>
            <w:r w:rsidRPr="006C22F7">
              <w:rPr>
                <w:rFonts w:ascii="Arial Narrow" w:hAnsi="Arial Narrow"/>
              </w:rPr>
              <w:t xml:space="preserve"> of Women</w:t>
            </w:r>
          </w:p>
        </w:tc>
        <w:tc>
          <w:tcPr>
            <w:tcW w:w="1872" w:type="dxa"/>
          </w:tcPr>
          <w:p w14:paraId="7D88D076"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rPr>
              <w:t>N</w:t>
            </w:r>
            <w:r w:rsidRPr="006C22F7">
              <w:rPr>
                <w:rFonts w:ascii="Arial Narrow" w:hAnsi="Arial Narrow"/>
                <w:vertAlign w:val="superscript"/>
              </w:rPr>
              <w:t>o.</w:t>
            </w:r>
            <w:r w:rsidRPr="006C22F7">
              <w:rPr>
                <w:rFonts w:ascii="Arial Narrow" w:hAnsi="Arial Narrow"/>
              </w:rPr>
              <w:t xml:space="preserve"> of Men</w:t>
            </w:r>
          </w:p>
        </w:tc>
        <w:tc>
          <w:tcPr>
            <w:tcW w:w="1666" w:type="dxa"/>
            <w:shd w:val="clear" w:color="auto" w:fill="auto"/>
          </w:tcPr>
          <w:p w14:paraId="04B22A65"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rPr>
              <w:t>Total</w:t>
            </w:r>
          </w:p>
        </w:tc>
      </w:tr>
      <w:tr w:rsidR="00CC45F6" w:rsidRPr="006C22F7" w14:paraId="37343943" w14:textId="77777777" w:rsidTr="00B6112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2" w:type="dxa"/>
          </w:tcPr>
          <w:p w14:paraId="22DF120E" w14:textId="77777777" w:rsidR="00CC45F6" w:rsidRPr="006C22F7" w:rsidRDefault="00DF60CF" w:rsidP="006C22F7">
            <w:pPr>
              <w:pStyle w:val="Normal1"/>
              <w:spacing w:line="276" w:lineRule="auto"/>
              <w:rPr>
                <w:rFonts w:ascii="Arial Narrow" w:hAnsi="Arial Narrow"/>
                <w:sz w:val="18"/>
                <w:szCs w:val="18"/>
              </w:rPr>
            </w:pPr>
            <w:r w:rsidRPr="006C22F7">
              <w:rPr>
                <w:rFonts w:ascii="Arial Narrow" w:hAnsi="Arial Narrow"/>
              </w:rPr>
              <w:t>Cambodia</w:t>
            </w:r>
          </w:p>
        </w:tc>
        <w:tc>
          <w:tcPr>
            <w:tcW w:w="1878" w:type="dxa"/>
          </w:tcPr>
          <w:p w14:paraId="62C478E1"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rPr>
              <w:t>5,813</w:t>
            </w:r>
          </w:p>
        </w:tc>
        <w:tc>
          <w:tcPr>
            <w:tcW w:w="1872" w:type="dxa"/>
          </w:tcPr>
          <w:p w14:paraId="265E28C1"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rPr>
              <w:t>607</w:t>
            </w:r>
          </w:p>
        </w:tc>
        <w:tc>
          <w:tcPr>
            <w:tcW w:w="1872" w:type="dxa"/>
          </w:tcPr>
          <w:p w14:paraId="054E45DD"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rPr>
              <w:t>752</w:t>
            </w:r>
          </w:p>
        </w:tc>
        <w:tc>
          <w:tcPr>
            <w:tcW w:w="1666" w:type="dxa"/>
            <w:shd w:val="clear" w:color="auto" w:fill="auto"/>
          </w:tcPr>
          <w:p w14:paraId="26DAE948"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6C22F7">
              <w:rPr>
                <w:rFonts w:ascii="Arial Narrow" w:hAnsi="Arial Narrow"/>
              </w:rPr>
              <w:t>7,172</w:t>
            </w:r>
          </w:p>
        </w:tc>
      </w:tr>
      <w:tr w:rsidR="00CC45F6" w:rsidRPr="006C22F7" w14:paraId="34B2B8B7" w14:textId="77777777" w:rsidTr="00B6112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2" w:type="dxa"/>
          </w:tcPr>
          <w:p w14:paraId="69858B77" w14:textId="77777777" w:rsidR="00CC45F6" w:rsidRPr="006C22F7" w:rsidRDefault="00DF60CF" w:rsidP="006C22F7">
            <w:pPr>
              <w:pStyle w:val="Normal1"/>
              <w:spacing w:line="276" w:lineRule="auto"/>
              <w:rPr>
                <w:rFonts w:ascii="Arial Narrow" w:hAnsi="Arial Narrow"/>
                <w:sz w:val="18"/>
                <w:szCs w:val="18"/>
              </w:rPr>
            </w:pPr>
            <w:r w:rsidRPr="006C22F7">
              <w:rPr>
                <w:rFonts w:ascii="Arial Narrow" w:hAnsi="Arial Narrow"/>
              </w:rPr>
              <w:t xml:space="preserve">Indonesia </w:t>
            </w:r>
          </w:p>
        </w:tc>
        <w:tc>
          <w:tcPr>
            <w:tcW w:w="1878" w:type="dxa"/>
          </w:tcPr>
          <w:p w14:paraId="4344430D"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rPr>
              <w:t>5,306</w:t>
            </w:r>
          </w:p>
        </w:tc>
        <w:tc>
          <w:tcPr>
            <w:tcW w:w="1872" w:type="dxa"/>
          </w:tcPr>
          <w:p w14:paraId="2CCD1600"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rPr>
              <w:t>1,072</w:t>
            </w:r>
          </w:p>
        </w:tc>
        <w:tc>
          <w:tcPr>
            <w:tcW w:w="1872" w:type="dxa"/>
          </w:tcPr>
          <w:p w14:paraId="52D1D464"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6C22F7">
              <w:rPr>
                <w:rFonts w:ascii="Arial Narrow" w:hAnsi="Arial Narrow"/>
              </w:rPr>
              <w:t>1,019</w:t>
            </w:r>
          </w:p>
        </w:tc>
        <w:tc>
          <w:tcPr>
            <w:tcW w:w="1666" w:type="dxa"/>
            <w:shd w:val="clear" w:color="auto" w:fill="auto"/>
          </w:tcPr>
          <w:p w14:paraId="56CDEABA" w14:textId="77777777" w:rsidR="00CC45F6" w:rsidRPr="006C22F7" w:rsidRDefault="00DF60CF" w:rsidP="006C22F7">
            <w:pPr>
              <w:pStyle w:val="Normal1"/>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6C22F7">
              <w:rPr>
                <w:rFonts w:ascii="Arial Narrow" w:hAnsi="Arial Narrow"/>
              </w:rPr>
              <w:t>7,397</w:t>
            </w:r>
          </w:p>
        </w:tc>
      </w:tr>
    </w:tbl>
    <w:p w14:paraId="47650179" w14:textId="266440B8" w:rsidR="00CC45F6" w:rsidRDefault="00DF60CF">
      <w:pPr>
        <w:pStyle w:val="Normal1"/>
        <w:spacing w:after="0"/>
        <w:ind w:right="-284"/>
        <w:jc w:val="both"/>
      </w:pPr>
      <w:r>
        <w:rPr>
          <w:color w:val="FF0000"/>
        </w:rPr>
        <w:t>*</w:t>
      </w:r>
      <w:r>
        <w:t xml:space="preserve"> </w:t>
      </w:r>
      <w:r>
        <w:rPr>
          <w:sz w:val="18"/>
          <w:szCs w:val="18"/>
        </w:rPr>
        <w:t>Notes: the n</w:t>
      </w:r>
      <w:r>
        <w:rPr>
          <w:sz w:val="18"/>
          <w:szCs w:val="18"/>
          <w:vertAlign w:val="superscript"/>
        </w:rPr>
        <w:t>o.</w:t>
      </w:r>
      <w:r>
        <w:rPr>
          <w:sz w:val="18"/>
          <w:szCs w:val="18"/>
        </w:rPr>
        <w:t xml:space="preserve"> of students wasn’t disaggregated by gender and</w:t>
      </w:r>
      <w:r w:rsidR="008C74FB">
        <w:rPr>
          <w:sz w:val="18"/>
          <w:szCs w:val="18"/>
        </w:rPr>
        <w:t xml:space="preserve"> is</w:t>
      </w:r>
      <w:r>
        <w:rPr>
          <w:sz w:val="18"/>
          <w:szCs w:val="18"/>
        </w:rPr>
        <w:t xml:space="preserve"> presented as such in this table</w:t>
      </w:r>
    </w:p>
    <w:p w14:paraId="46707543" w14:textId="3907D30F" w:rsidR="00E81614" w:rsidRDefault="00E81614">
      <w:r>
        <w:br w:type="page"/>
      </w:r>
    </w:p>
    <w:p w14:paraId="634F5870" w14:textId="77777777" w:rsidR="00CC45F6" w:rsidRDefault="00DF60CF">
      <w:pPr>
        <w:pStyle w:val="Normal1"/>
        <w:numPr>
          <w:ilvl w:val="0"/>
          <w:numId w:val="3"/>
        </w:numPr>
        <w:pBdr>
          <w:top w:val="nil"/>
          <w:left w:val="nil"/>
          <w:bottom w:val="nil"/>
          <w:right w:val="nil"/>
          <w:between w:val="nil"/>
        </w:pBdr>
        <w:spacing w:before="40" w:after="60" w:line="312" w:lineRule="auto"/>
        <w:ind w:right="-284"/>
        <w:jc w:val="both"/>
        <w:rPr>
          <w:rFonts w:ascii="Calibri" w:eastAsia="Calibri" w:hAnsi="Calibri" w:cs="Calibri"/>
          <w:b/>
          <w:color w:val="004A80"/>
        </w:rPr>
      </w:pPr>
      <w:bookmarkStart w:id="8" w:name="_3ygebqi" w:colFirst="0" w:colLast="0"/>
      <w:bookmarkEnd w:id="8"/>
      <w:r>
        <w:rPr>
          <w:rFonts w:ascii="Calibri" w:eastAsia="Calibri" w:hAnsi="Calibri" w:cs="Calibri"/>
          <w:b/>
          <w:color w:val="004A80"/>
        </w:rPr>
        <w:lastRenderedPageBreak/>
        <w:t>Conclusion and recommendations</w:t>
      </w:r>
    </w:p>
    <w:p w14:paraId="3405B4E3" w14:textId="4068E0E5" w:rsidR="00CE0D49" w:rsidRPr="003C55F8" w:rsidRDefault="00CE0D49" w:rsidP="00FB387F">
      <w:pPr>
        <w:pStyle w:val="Normal1"/>
        <w:spacing w:before="120"/>
        <w:ind w:right="-288"/>
        <w:jc w:val="both"/>
      </w:pPr>
      <w:r w:rsidRPr="003C55F8">
        <w:t>Since the project has concluded</w:t>
      </w:r>
      <w:r w:rsidR="00A77706">
        <w:t xml:space="preserve"> and Phase 3 design completed</w:t>
      </w:r>
      <w:r w:rsidRPr="003C55F8">
        <w:t>, what follows are observations rather than recommendations</w:t>
      </w:r>
      <w:r w:rsidR="00A77706">
        <w:t>.</w:t>
      </w:r>
      <w:r w:rsidR="00911B42" w:rsidRPr="003C55F8">
        <w:t xml:space="preserve"> </w:t>
      </w:r>
      <w:r w:rsidR="00FB387F" w:rsidRPr="003C55F8">
        <w:t xml:space="preserve">While Phase 2 was highly successful in meeting all its targets that verify the achievement of project outputs and outcomes, the project could </w:t>
      </w:r>
      <w:r w:rsidR="00540383" w:rsidRPr="003C55F8">
        <w:t>have benefited from the</w:t>
      </w:r>
      <w:r w:rsidR="00BC5099">
        <w:t xml:space="preserve"> </w:t>
      </w:r>
      <w:r w:rsidR="00540383" w:rsidRPr="003C55F8">
        <w:t>observations</w:t>
      </w:r>
      <w:r w:rsidR="00BC5099">
        <w:t xml:space="preserve"> listed below</w:t>
      </w:r>
      <w:r w:rsidR="005D1127" w:rsidRPr="003C55F8">
        <w:t>.</w:t>
      </w:r>
    </w:p>
    <w:p w14:paraId="4BCF4665" w14:textId="15540B28" w:rsidR="00CC45F6" w:rsidRPr="00E150F9" w:rsidRDefault="00DF60CF">
      <w:pPr>
        <w:pStyle w:val="Normal1"/>
        <w:pBdr>
          <w:top w:val="nil"/>
          <w:left w:val="nil"/>
          <w:bottom w:val="nil"/>
          <w:right w:val="nil"/>
          <w:between w:val="nil"/>
        </w:pBdr>
        <w:spacing w:after="200" w:line="240" w:lineRule="auto"/>
        <w:jc w:val="both"/>
        <w:rPr>
          <w:b/>
          <w:color w:val="44546A"/>
        </w:rPr>
      </w:pPr>
      <w:bookmarkStart w:id="9" w:name="_2dlolyb" w:colFirst="0" w:colLast="0"/>
      <w:bookmarkEnd w:id="9"/>
      <w:r w:rsidRPr="00E150F9">
        <w:rPr>
          <w:b/>
          <w:color w:val="44546A"/>
        </w:rPr>
        <w:t xml:space="preserve">Table 4: Summary of </w:t>
      </w:r>
      <w:r w:rsidR="006A32A9" w:rsidRPr="006A32A9">
        <w:rPr>
          <w:b/>
          <w:color w:val="44546A"/>
        </w:rPr>
        <w:t>observation</w:t>
      </w:r>
      <w:r w:rsidR="006A32A9">
        <w:rPr>
          <w:b/>
          <w:color w:val="44546A"/>
        </w:rPr>
        <w:t>s</w:t>
      </w:r>
    </w:p>
    <w:tbl>
      <w:tblPr>
        <w:tblStyle w:val="19"/>
        <w:tblW w:w="94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484"/>
      </w:tblGrid>
      <w:tr w:rsidR="00CC45F6" w:rsidRPr="00E150F9" w14:paraId="6133FFAE" w14:textId="77777777" w:rsidTr="00CC45F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84" w:type="dxa"/>
          </w:tcPr>
          <w:p w14:paraId="69CC6462" w14:textId="1A51C45D" w:rsidR="00CC45F6" w:rsidRPr="00E150F9" w:rsidRDefault="007074F6">
            <w:pPr>
              <w:pStyle w:val="Normal1"/>
              <w:spacing w:line="276" w:lineRule="auto"/>
              <w:rPr>
                <w:rFonts w:ascii="Arial Narrow" w:hAnsi="Arial Narrow"/>
              </w:rPr>
            </w:pPr>
            <w:r w:rsidRPr="007074F6">
              <w:rPr>
                <w:rFonts w:ascii="Arial Narrow" w:hAnsi="Arial Narrow"/>
              </w:rPr>
              <w:t>Observation</w:t>
            </w:r>
            <w:r w:rsidR="00DF60CF" w:rsidRPr="00E150F9">
              <w:rPr>
                <w:rFonts w:ascii="Arial Narrow" w:hAnsi="Arial Narrow"/>
              </w:rPr>
              <w:t xml:space="preserve"> 1: The project </w:t>
            </w:r>
            <w:r w:rsidR="005B03F5">
              <w:rPr>
                <w:rFonts w:ascii="Arial Narrow" w:hAnsi="Arial Narrow"/>
              </w:rPr>
              <w:t>c</w:t>
            </w:r>
            <w:r w:rsidR="00DF60CF" w:rsidRPr="00E150F9">
              <w:rPr>
                <w:rFonts w:ascii="Arial Narrow" w:hAnsi="Arial Narrow"/>
              </w:rPr>
              <w:t xml:space="preserve">ould </w:t>
            </w:r>
            <w:r w:rsidR="005B03F5">
              <w:rPr>
                <w:rFonts w:ascii="Arial Narrow" w:hAnsi="Arial Narrow"/>
              </w:rPr>
              <w:t xml:space="preserve">have </w:t>
            </w:r>
            <w:r w:rsidR="00DF60CF" w:rsidRPr="00E150F9">
              <w:rPr>
                <w:rFonts w:ascii="Arial Narrow" w:hAnsi="Arial Narrow"/>
              </w:rPr>
              <w:t>use</w:t>
            </w:r>
            <w:r w:rsidR="005B03F5">
              <w:rPr>
                <w:rFonts w:ascii="Arial Narrow" w:hAnsi="Arial Narrow"/>
              </w:rPr>
              <w:t>d</w:t>
            </w:r>
            <w:r w:rsidR="00DF60CF" w:rsidRPr="00E150F9">
              <w:rPr>
                <w:rFonts w:ascii="Arial Narrow" w:hAnsi="Arial Narrow"/>
              </w:rPr>
              <w:t xml:space="preserve"> a logical framework approach for </w:t>
            </w:r>
            <w:r w:rsidR="00C75772" w:rsidRPr="00C75772">
              <w:rPr>
                <w:rFonts w:ascii="Arial Narrow" w:hAnsi="Arial Narrow"/>
              </w:rPr>
              <w:t>systematic and analytical planning process</w:t>
            </w:r>
            <w:r w:rsidR="00C75772">
              <w:rPr>
                <w:rFonts w:ascii="Arial Narrow" w:hAnsi="Arial Narrow"/>
              </w:rPr>
              <w:t xml:space="preserve">es to identify beneficiary countries </w:t>
            </w:r>
            <w:r w:rsidR="002C074F" w:rsidRPr="002C074F">
              <w:rPr>
                <w:rFonts w:ascii="Arial Narrow" w:hAnsi="Arial Narrow"/>
              </w:rPr>
              <w:t xml:space="preserve">upfront </w:t>
            </w:r>
            <w:r w:rsidR="00C75772">
              <w:rPr>
                <w:rFonts w:ascii="Arial Narrow" w:hAnsi="Arial Narrow"/>
              </w:rPr>
              <w:t xml:space="preserve">before having a signed off </w:t>
            </w:r>
            <w:r w:rsidR="002C074F" w:rsidRPr="002C074F">
              <w:rPr>
                <w:rFonts w:ascii="Arial Narrow" w:hAnsi="Arial Narrow"/>
              </w:rPr>
              <w:t>Phase 2</w:t>
            </w:r>
            <w:r w:rsidR="002C074F">
              <w:rPr>
                <w:rFonts w:ascii="Arial Narrow" w:hAnsi="Arial Narrow"/>
              </w:rPr>
              <w:t xml:space="preserve"> </w:t>
            </w:r>
            <w:r w:rsidR="00C75772">
              <w:rPr>
                <w:rFonts w:ascii="Arial Narrow" w:hAnsi="Arial Narrow"/>
              </w:rPr>
              <w:t>Programme document</w:t>
            </w:r>
          </w:p>
        </w:tc>
      </w:tr>
    </w:tbl>
    <w:p w14:paraId="66DD20CA" w14:textId="796E9786" w:rsidR="00C75772" w:rsidRDefault="00AE29D8">
      <w:pPr>
        <w:pStyle w:val="Normal1"/>
        <w:pBdr>
          <w:top w:val="nil"/>
          <w:left w:val="nil"/>
          <w:bottom w:val="nil"/>
          <w:right w:val="nil"/>
          <w:between w:val="nil"/>
        </w:pBdr>
        <w:spacing w:after="0" w:line="276" w:lineRule="auto"/>
        <w:ind w:right="-284"/>
        <w:jc w:val="both"/>
        <w:rPr>
          <w:color w:val="000000"/>
        </w:rPr>
      </w:pPr>
      <w:r>
        <w:rPr>
          <w:color w:val="000000"/>
        </w:rPr>
        <w:t>T</w:t>
      </w:r>
      <w:r w:rsidR="00DF60CF" w:rsidRPr="00E150F9">
        <w:rPr>
          <w:color w:val="000000"/>
        </w:rPr>
        <w:t xml:space="preserve">he EPE </w:t>
      </w:r>
      <w:r w:rsidR="006E67E7">
        <w:rPr>
          <w:color w:val="000000"/>
        </w:rPr>
        <w:t>observes</w:t>
      </w:r>
      <w:r>
        <w:rPr>
          <w:color w:val="000000"/>
        </w:rPr>
        <w:t>, a</w:t>
      </w:r>
      <w:r w:rsidRPr="00AE29D8">
        <w:rPr>
          <w:color w:val="000000"/>
        </w:rPr>
        <w:t xml:space="preserve">s </w:t>
      </w:r>
      <w:r w:rsidR="00A77E1A" w:rsidRPr="00E150F9">
        <w:rPr>
          <w:color w:val="000000"/>
        </w:rPr>
        <w:t xml:space="preserve">also </w:t>
      </w:r>
      <w:r w:rsidRPr="00AE29D8">
        <w:rPr>
          <w:color w:val="000000"/>
        </w:rPr>
        <w:t xml:space="preserve">highlighted in the mid-term evaluation, </w:t>
      </w:r>
      <w:r>
        <w:rPr>
          <w:color w:val="000000"/>
        </w:rPr>
        <w:t>that</w:t>
      </w:r>
      <w:r w:rsidR="00DF60CF" w:rsidRPr="00E150F9">
        <w:rPr>
          <w:color w:val="000000"/>
        </w:rPr>
        <w:t xml:space="preserve"> the project </w:t>
      </w:r>
      <w:r w:rsidR="006E67E7">
        <w:rPr>
          <w:color w:val="000000"/>
        </w:rPr>
        <w:t xml:space="preserve">could have </w:t>
      </w:r>
      <w:r w:rsidR="001368E6">
        <w:rPr>
          <w:color w:val="000000"/>
        </w:rPr>
        <w:t xml:space="preserve">benefitted from </w:t>
      </w:r>
      <w:r w:rsidR="00DF60CF" w:rsidRPr="00E150F9">
        <w:rPr>
          <w:color w:val="000000"/>
        </w:rPr>
        <w:t>develop</w:t>
      </w:r>
      <w:r w:rsidR="001368E6">
        <w:rPr>
          <w:color w:val="000000"/>
        </w:rPr>
        <w:t>ing a</w:t>
      </w:r>
      <w:r w:rsidR="00DF60CF" w:rsidRPr="00E150F9">
        <w:rPr>
          <w:color w:val="000000"/>
        </w:rPr>
        <w:t>nd us</w:t>
      </w:r>
      <w:r w:rsidR="001368E6">
        <w:rPr>
          <w:color w:val="000000"/>
        </w:rPr>
        <w:t xml:space="preserve">ing </w:t>
      </w:r>
      <w:r w:rsidR="00DF60CF" w:rsidRPr="00E150F9">
        <w:rPr>
          <w:color w:val="000000"/>
        </w:rPr>
        <w:t xml:space="preserve">a </w:t>
      </w:r>
      <w:r w:rsidR="001368E6" w:rsidRPr="001368E6">
        <w:rPr>
          <w:color w:val="000000"/>
        </w:rPr>
        <w:t xml:space="preserve">logical framework approach </w:t>
      </w:r>
      <w:r w:rsidR="00DF60CF" w:rsidRPr="00E150F9">
        <w:rPr>
          <w:color w:val="000000"/>
        </w:rPr>
        <w:t>for</w:t>
      </w:r>
      <w:r w:rsidR="00C75772">
        <w:rPr>
          <w:color w:val="000000"/>
        </w:rPr>
        <w:t xml:space="preserve"> the following</w:t>
      </w:r>
      <w:r w:rsidR="00A77706">
        <w:rPr>
          <w:color w:val="000000"/>
        </w:rPr>
        <w:t xml:space="preserve"> reasons</w:t>
      </w:r>
      <w:r w:rsidR="00C75772">
        <w:rPr>
          <w:color w:val="000000"/>
        </w:rPr>
        <w:t>:</w:t>
      </w:r>
    </w:p>
    <w:p w14:paraId="20116297" w14:textId="0D769D71" w:rsidR="00C75772" w:rsidRDefault="00C75772" w:rsidP="003E7F6A">
      <w:pPr>
        <w:pStyle w:val="Normal1"/>
        <w:numPr>
          <w:ilvl w:val="0"/>
          <w:numId w:val="27"/>
        </w:numPr>
        <w:pBdr>
          <w:top w:val="nil"/>
          <w:left w:val="nil"/>
          <w:bottom w:val="nil"/>
          <w:right w:val="nil"/>
          <w:between w:val="nil"/>
        </w:pBdr>
        <w:spacing w:after="0" w:line="276" w:lineRule="auto"/>
        <w:ind w:left="426" w:right="-284" w:hanging="284"/>
        <w:jc w:val="both"/>
        <w:rPr>
          <w:color w:val="000000"/>
        </w:rPr>
      </w:pPr>
      <w:r w:rsidRPr="00C75772">
        <w:rPr>
          <w:color w:val="000000"/>
        </w:rPr>
        <w:t xml:space="preserve">systematic and analytical planning processes to identify beneficiary countries </w:t>
      </w:r>
      <w:r w:rsidR="00EB68C9">
        <w:rPr>
          <w:color w:val="000000"/>
        </w:rPr>
        <w:t xml:space="preserve">upfront </w:t>
      </w:r>
      <w:r w:rsidRPr="00C75772">
        <w:rPr>
          <w:color w:val="000000"/>
        </w:rPr>
        <w:t xml:space="preserve">before having a signed off </w:t>
      </w:r>
      <w:r w:rsidR="00FE481D">
        <w:rPr>
          <w:color w:val="000000"/>
        </w:rPr>
        <w:t xml:space="preserve">Phase 2 </w:t>
      </w:r>
      <w:r w:rsidRPr="00C75772">
        <w:rPr>
          <w:color w:val="000000"/>
        </w:rPr>
        <w:t>Programme document</w:t>
      </w:r>
      <w:r w:rsidR="00472C23" w:rsidRPr="00472C23">
        <w:rPr>
          <w:color w:val="000000"/>
        </w:rPr>
        <w:t xml:space="preserve"> </w:t>
      </w:r>
      <w:r w:rsidR="00472C23">
        <w:rPr>
          <w:color w:val="000000"/>
        </w:rPr>
        <w:t>alongside in-country project champions</w:t>
      </w:r>
      <w:r w:rsidR="00FB1B74">
        <w:rPr>
          <w:color w:val="000000"/>
        </w:rPr>
        <w:t xml:space="preserve">. This would have </w:t>
      </w:r>
      <w:r w:rsidR="00FB1B74" w:rsidRPr="00FB1B74">
        <w:rPr>
          <w:color w:val="000000"/>
        </w:rPr>
        <w:t>help</w:t>
      </w:r>
      <w:r w:rsidR="00FB1B74">
        <w:rPr>
          <w:color w:val="000000"/>
        </w:rPr>
        <w:t>ed</w:t>
      </w:r>
      <w:r w:rsidR="00FB1B74" w:rsidRPr="00FB1B74">
        <w:rPr>
          <w:color w:val="000000"/>
        </w:rPr>
        <w:t xml:space="preserve"> strengthen </w:t>
      </w:r>
      <w:r w:rsidR="00FB1B74">
        <w:rPr>
          <w:color w:val="000000"/>
        </w:rPr>
        <w:t xml:space="preserve">the </w:t>
      </w:r>
      <w:r w:rsidR="00FB1B74" w:rsidRPr="00FB1B74">
        <w:rPr>
          <w:color w:val="000000"/>
        </w:rPr>
        <w:t>project design and implementation</w:t>
      </w:r>
      <w:r w:rsidR="00190EC3">
        <w:rPr>
          <w:color w:val="000000"/>
        </w:rPr>
        <w:t>.</w:t>
      </w:r>
    </w:p>
    <w:p w14:paraId="073023D7" w14:textId="68FC8EEC" w:rsidR="00C75772" w:rsidRDefault="00DF60CF" w:rsidP="003E7F6A">
      <w:pPr>
        <w:pStyle w:val="Normal1"/>
        <w:numPr>
          <w:ilvl w:val="0"/>
          <w:numId w:val="27"/>
        </w:numPr>
        <w:pBdr>
          <w:top w:val="nil"/>
          <w:left w:val="nil"/>
          <w:bottom w:val="nil"/>
          <w:right w:val="nil"/>
          <w:between w:val="nil"/>
        </w:pBdr>
        <w:spacing w:after="0" w:line="276" w:lineRule="auto"/>
        <w:ind w:left="426" w:right="-284" w:hanging="284"/>
        <w:jc w:val="both"/>
        <w:rPr>
          <w:color w:val="000000"/>
        </w:rPr>
      </w:pPr>
      <w:r w:rsidRPr="00E150F9">
        <w:rPr>
          <w:color w:val="000000"/>
        </w:rPr>
        <w:t xml:space="preserve">its overarching </w:t>
      </w:r>
      <w:r w:rsidR="00EB68C9">
        <w:rPr>
          <w:color w:val="000000"/>
        </w:rPr>
        <w:t>g</w:t>
      </w:r>
      <w:r w:rsidR="00EB68C9" w:rsidRPr="00EB68C9">
        <w:rPr>
          <w:color w:val="000000"/>
        </w:rPr>
        <w:t xml:space="preserve">oal </w:t>
      </w:r>
      <w:r w:rsidR="00005447">
        <w:rPr>
          <w:color w:val="000000"/>
        </w:rPr>
        <w:t>would have</w:t>
      </w:r>
      <w:r w:rsidRPr="00E150F9">
        <w:rPr>
          <w:color w:val="000000"/>
        </w:rPr>
        <w:t xml:space="preserve"> determine</w:t>
      </w:r>
      <w:r w:rsidR="00005447">
        <w:rPr>
          <w:color w:val="000000"/>
        </w:rPr>
        <w:t>d</w:t>
      </w:r>
      <w:r w:rsidRPr="00E150F9">
        <w:rPr>
          <w:color w:val="000000"/>
        </w:rPr>
        <w:t xml:space="preserve"> the causal links between </w:t>
      </w:r>
      <w:r w:rsidR="00FE481D">
        <w:rPr>
          <w:color w:val="000000"/>
        </w:rPr>
        <w:t>project activities/</w:t>
      </w:r>
      <w:r w:rsidRPr="00E150F9">
        <w:rPr>
          <w:color w:val="000000"/>
        </w:rPr>
        <w:t xml:space="preserve">interventions that the Programme supported and noted progress in achieving </w:t>
      </w:r>
      <w:r w:rsidR="00777A45">
        <w:rPr>
          <w:color w:val="000000"/>
        </w:rPr>
        <w:t xml:space="preserve">impact </w:t>
      </w:r>
      <w:r w:rsidRPr="00E150F9">
        <w:rPr>
          <w:color w:val="000000"/>
        </w:rPr>
        <w:t>at the national and local levels</w:t>
      </w:r>
      <w:r w:rsidR="00FE481D">
        <w:rPr>
          <w:color w:val="000000"/>
        </w:rPr>
        <w:t xml:space="preserve">, </w:t>
      </w:r>
      <w:r w:rsidR="00777A45">
        <w:rPr>
          <w:color w:val="000000"/>
        </w:rPr>
        <w:t xml:space="preserve">not solely </w:t>
      </w:r>
      <w:r w:rsidR="00777A45" w:rsidRPr="00E150F9">
        <w:rPr>
          <w:color w:val="000000"/>
        </w:rPr>
        <w:t>expected results</w:t>
      </w:r>
      <w:r w:rsidR="00777A45">
        <w:rPr>
          <w:color w:val="000000"/>
        </w:rPr>
        <w:t>/outputs (</w:t>
      </w:r>
      <w:r w:rsidR="00777A45" w:rsidRPr="00777A45">
        <w:rPr>
          <w:i/>
          <w:iCs/>
          <w:color w:val="000000"/>
        </w:rPr>
        <w:t xml:space="preserve">tracked by </w:t>
      </w:r>
      <w:r w:rsidR="00777A45">
        <w:rPr>
          <w:i/>
          <w:iCs/>
          <w:color w:val="000000"/>
        </w:rPr>
        <w:t xml:space="preserve">the </w:t>
      </w:r>
      <w:r w:rsidR="00777A45" w:rsidRPr="00777A45">
        <w:rPr>
          <w:i/>
          <w:iCs/>
          <w:color w:val="000000"/>
        </w:rPr>
        <w:t>existing results-based M&amp;E</w:t>
      </w:r>
      <w:r w:rsidR="00777A45">
        <w:rPr>
          <w:color w:val="000000"/>
        </w:rPr>
        <w:t>),</w:t>
      </w:r>
      <w:r w:rsidR="00777A45" w:rsidRPr="00E150F9">
        <w:rPr>
          <w:color w:val="000000"/>
        </w:rPr>
        <w:t xml:space="preserve"> </w:t>
      </w:r>
      <w:r w:rsidR="00FE481D">
        <w:rPr>
          <w:color w:val="000000"/>
        </w:rPr>
        <w:t xml:space="preserve">since </w:t>
      </w:r>
      <w:r w:rsidR="00C75772">
        <w:rPr>
          <w:color w:val="000000"/>
        </w:rPr>
        <w:t>l</w:t>
      </w:r>
      <w:r w:rsidRPr="00E150F9">
        <w:rPr>
          <w:color w:val="000000"/>
        </w:rPr>
        <w:t xml:space="preserve">og frames enable </w:t>
      </w:r>
      <w:r w:rsidR="00352A7A" w:rsidRPr="00E150F9">
        <w:rPr>
          <w:color w:val="000000"/>
        </w:rPr>
        <w:t xml:space="preserve">the </w:t>
      </w:r>
      <w:r w:rsidRPr="00E150F9">
        <w:rPr>
          <w:color w:val="000000"/>
        </w:rPr>
        <w:t>tracking of results towards sustainable impact, as a way of interpreting the intensity and significance of results</w:t>
      </w:r>
      <w:r w:rsidR="00777A45">
        <w:rPr>
          <w:color w:val="000000"/>
        </w:rPr>
        <w:t>/outputs</w:t>
      </w:r>
      <w:r w:rsidRPr="00E150F9">
        <w:rPr>
          <w:color w:val="000000"/>
        </w:rPr>
        <w:t xml:space="preserve">. </w:t>
      </w:r>
    </w:p>
    <w:p w14:paraId="3A0BDFA1" w14:textId="6F139F1E" w:rsidR="00CC45F6" w:rsidRDefault="00CC45F6">
      <w:pPr>
        <w:pStyle w:val="Normal1"/>
        <w:spacing w:after="0" w:line="276" w:lineRule="auto"/>
        <w:jc w:val="both"/>
        <w:rPr>
          <w:sz w:val="18"/>
          <w:szCs w:val="18"/>
        </w:rPr>
      </w:pPr>
    </w:p>
    <w:p w14:paraId="5ECC3EA7" w14:textId="77777777" w:rsidR="008C74FB" w:rsidRPr="005800CF" w:rsidRDefault="008C74FB">
      <w:pPr>
        <w:pStyle w:val="Normal1"/>
        <w:spacing w:after="0" w:line="276" w:lineRule="auto"/>
        <w:jc w:val="both"/>
        <w:rPr>
          <w:sz w:val="18"/>
          <w:szCs w:val="18"/>
        </w:rPr>
      </w:pPr>
    </w:p>
    <w:tbl>
      <w:tblPr>
        <w:tblStyle w:val="18"/>
        <w:tblW w:w="94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484"/>
      </w:tblGrid>
      <w:tr w:rsidR="00CC45F6" w:rsidRPr="00E150F9" w14:paraId="2D850696" w14:textId="77777777" w:rsidTr="00CC45F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84" w:type="dxa"/>
          </w:tcPr>
          <w:p w14:paraId="748F0378" w14:textId="05559672" w:rsidR="00CC45F6" w:rsidRPr="00E150F9" w:rsidRDefault="007074F6">
            <w:pPr>
              <w:pStyle w:val="Normal1"/>
              <w:spacing w:line="276" w:lineRule="auto"/>
              <w:rPr>
                <w:rFonts w:ascii="Arial Narrow" w:hAnsi="Arial Narrow"/>
              </w:rPr>
            </w:pPr>
            <w:r w:rsidRPr="007074F6">
              <w:rPr>
                <w:rFonts w:ascii="Arial Narrow" w:hAnsi="Arial Narrow"/>
              </w:rPr>
              <w:t>Observation</w:t>
            </w:r>
            <w:r w:rsidR="00DF60CF" w:rsidRPr="00E150F9">
              <w:rPr>
                <w:rFonts w:ascii="Arial Narrow" w:hAnsi="Arial Narrow"/>
              </w:rPr>
              <w:t xml:space="preserve"> 2: The project </w:t>
            </w:r>
            <w:r w:rsidR="00AE29D8">
              <w:rPr>
                <w:rFonts w:ascii="Arial Narrow" w:hAnsi="Arial Narrow"/>
              </w:rPr>
              <w:t>c</w:t>
            </w:r>
            <w:r w:rsidR="00DF60CF" w:rsidRPr="00E150F9">
              <w:rPr>
                <w:rFonts w:ascii="Arial Narrow" w:hAnsi="Arial Narrow"/>
              </w:rPr>
              <w:t xml:space="preserve">ould </w:t>
            </w:r>
            <w:r w:rsidR="00AE29D8">
              <w:rPr>
                <w:rFonts w:ascii="Arial Narrow" w:hAnsi="Arial Narrow"/>
              </w:rPr>
              <w:t xml:space="preserve">have </w:t>
            </w:r>
            <w:r w:rsidR="00DF60CF" w:rsidRPr="00E150F9">
              <w:rPr>
                <w:rFonts w:ascii="Arial Narrow" w:hAnsi="Arial Narrow"/>
              </w:rPr>
              <w:t>foster</w:t>
            </w:r>
            <w:r w:rsidR="00AE29D8">
              <w:rPr>
                <w:rFonts w:ascii="Arial Narrow" w:hAnsi="Arial Narrow"/>
              </w:rPr>
              <w:t>ed</w:t>
            </w:r>
            <w:r w:rsidR="00C40127">
              <w:rPr>
                <w:rFonts w:ascii="Arial Narrow" w:hAnsi="Arial Narrow"/>
              </w:rPr>
              <w:t xml:space="preserve"> </w:t>
            </w:r>
            <w:r w:rsidR="00DF60CF" w:rsidRPr="00E150F9">
              <w:rPr>
                <w:rFonts w:ascii="Arial Narrow" w:hAnsi="Arial Narrow"/>
              </w:rPr>
              <w:t>greater use of efficient and less time-consuming cooperative program of work</w:t>
            </w:r>
            <w:r w:rsidR="00DF60CF" w:rsidRPr="00E150F9">
              <w:rPr>
                <w:rFonts w:ascii="Arial Narrow" w:hAnsi="Arial Narrow"/>
                <w:b w:val="0"/>
              </w:rPr>
              <w:t xml:space="preserve"> </w:t>
            </w:r>
            <w:r w:rsidR="00DF60CF" w:rsidRPr="00E150F9">
              <w:rPr>
                <w:rFonts w:ascii="Arial Narrow" w:hAnsi="Arial Narrow"/>
              </w:rPr>
              <w:t>options amongst partnering institutions</w:t>
            </w:r>
          </w:p>
        </w:tc>
      </w:tr>
    </w:tbl>
    <w:p w14:paraId="68EADC8D" w14:textId="76592504" w:rsidR="00453DEA" w:rsidRDefault="00453DEA" w:rsidP="00453DEA">
      <w:pPr>
        <w:pStyle w:val="Normal1"/>
        <w:spacing w:after="0"/>
        <w:ind w:right="-284"/>
        <w:jc w:val="both"/>
      </w:pPr>
      <w:r>
        <w:t>G</w:t>
      </w:r>
      <w:r w:rsidRPr="00453DEA">
        <w:t xml:space="preserve">reater use of efficient and less time-consuming cooperative program of work options amongst partnering institutions </w:t>
      </w:r>
      <w:r>
        <w:t>could have included the following:</w:t>
      </w:r>
      <w:r w:rsidRPr="00453DEA">
        <w:t xml:space="preserve"> </w:t>
      </w:r>
    </w:p>
    <w:p w14:paraId="6C22AF79" w14:textId="77777777" w:rsidR="00453DEA" w:rsidRDefault="00453DEA">
      <w:pPr>
        <w:pStyle w:val="Normal1"/>
        <w:spacing w:after="0"/>
        <w:ind w:right="-284"/>
        <w:jc w:val="both"/>
      </w:pPr>
    </w:p>
    <w:p w14:paraId="635A62DC" w14:textId="0BEA0438" w:rsidR="00CC45F6" w:rsidRPr="00E150F9" w:rsidRDefault="00DF60CF" w:rsidP="003E7F6A">
      <w:pPr>
        <w:pStyle w:val="Normal1"/>
        <w:numPr>
          <w:ilvl w:val="0"/>
          <w:numId w:val="28"/>
        </w:numPr>
        <w:spacing w:after="0"/>
        <w:ind w:left="426" w:right="-284" w:hanging="295"/>
        <w:jc w:val="both"/>
      </w:pPr>
      <w:r w:rsidRPr="00453DEA">
        <w:t>where feasible</w:t>
      </w:r>
      <w:r w:rsidRPr="00E150F9">
        <w:t xml:space="preserve"> </w:t>
      </w:r>
      <w:r w:rsidR="00CA6C22" w:rsidRPr="00CA6C22">
        <w:t xml:space="preserve">consideration of </w:t>
      </w:r>
      <w:r w:rsidR="00CA6C22">
        <w:t>v</w:t>
      </w:r>
      <w:r w:rsidRPr="00E150F9">
        <w:t xml:space="preserve">irtual proximity and the exponential boom of online and virtual meetings </w:t>
      </w:r>
      <w:r w:rsidR="000E5C17">
        <w:t xml:space="preserve">could have </w:t>
      </w:r>
      <w:r w:rsidR="00453DEA">
        <w:t xml:space="preserve">positively </w:t>
      </w:r>
      <w:r w:rsidR="000E5C17">
        <w:t xml:space="preserve">contributed </w:t>
      </w:r>
      <w:r w:rsidR="00453DEA">
        <w:t xml:space="preserve">towards </w:t>
      </w:r>
      <w:r w:rsidRPr="00E150F9">
        <w:t>break</w:t>
      </w:r>
      <w:r w:rsidR="00453DEA">
        <w:t>ing</w:t>
      </w:r>
      <w:r w:rsidRPr="00E150F9">
        <w:t xml:space="preserve"> down the physical barriers</w:t>
      </w:r>
      <w:r w:rsidR="00426D41">
        <w:t>/silos</w:t>
      </w:r>
      <w:r w:rsidRPr="00E150F9">
        <w:t xml:space="preserve"> of physical distance amongst institutions</w:t>
      </w:r>
      <w:r w:rsidR="001F0E5C">
        <w:t xml:space="preserve">. </w:t>
      </w:r>
      <w:r w:rsidR="000E5C17">
        <w:t xml:space="preserve">It must be noted that </w:t>
      </w:r>
      <w:r w:rsidRPr="00E150F9">
        <w:t>not all meetings need</w:t>
      </w:r>
      <w:r w:rsidR="000E5C17">
        <w:t>ed</w:t>
      </w:r>
      <w:r w:rsidRPr="00E150F9">
        <w:t xml:space="preserve"> to be physical</w:t>
      </w:r>
      <w:r w:rsidR="00426D41">
        <w:t>ly</w:t>
      </w:r>
      <w:r w:rsidRPr="00E150F9">
        <w:t xml:space="preserve"> in person </w:t>
      </w:r>
      <w:r w:rsidR="00453DEA">
        <w:t xml:space="preserve">convenings </w:t>
      </w:r>
      <w:r w:rsidRPr="00E150F9">
        <w:t xml:space="preserve">and remote meetings in instances </w:t>
      </w:r>
      <w:r w:rsidR="000E5C17">
        <w:t xml:space="preserve">where </w:t>
      </w:r>
      <w:r w:rsidR="00453DEA">
        <w:t>the</w:t>
      </w:r>
      <w:r w:rsidRPr="00E150F9">
        <w:t xml:space="preserve"> technology exists or</w:t>
      </w:r>
      <w:r w:rsidR="001F0E5C">
        <w:t xml:space="preserve"> </w:t>
      </w:r>
      <w:r w:rsidR="00426D41">
        <w:t>wa</w:t>
      </w:r>
      <w:r w:rsidR="000E5C17">
        <w:t xml:space="preserve">s </w:t>
      </w:r>
      <w:r w:rsidRPr="00E150F9">
        <w:t xml:space="preserve">available at local levels </w:t>
      </w:r>
      <w:r w:rsidR="000E5C17">
        <w:t xml:space="preserve">could have </w:t>
      </w:r>
      <w:r w:rsidRPr="00E150F9">
        <w:t xml:space="preserve">cut down on wasted travel time </w:t>
      </w:r>
      <w:r w:rsidR="000E5C17">
        <w:t xml:space="preserve">without </w:t>
      </w:r>
      <w:r w:rsidRPr="00E150F9">
        <w:t>requir</w:t>
      </w:r>
      <w:r w:rsidR="000E5C17">
        <w:t>ing any</w:t>
      </w:r>
      <w:r w:rsidRPr="00E150F9">
        <w:t xml:space="preserve"> travel budget (</w:t>
      </w:r>
      <w:r w:rsidRPr="00E150F9">
        <w:rPr>
          <w:i/>
        </w:rPr>
        <w:t xml:space="preserve">a hybrid of both physical and online as necessary </w:t>
      </w:r>
      <w:r w:rsidR="00453DEA">
        <w:rPr>
          <w:i/>
        </w:rPr>
        <w:t>could have been of benefit</w:t>
      </w:r>
      <w:r w:rsidRPr="00E150F9">
        <w:rPr>
          <w:i/>
        </w:rPr>
        <w:t xml:space="preserve"> as opposed to one option over the other</w:t>
      </w:r>
      <w:r w:rsidRPr="00E150F9">
        <w:t>).</w:t>
      </w:r>
    </w:p>
    <w:p w14:paraId="1D8F7EDF" w14:textId="77777777" w:rsidR="00CC45F6" w:rsidRPr="005800CF" w:rsidRDefault="00CC45F6">
      <w:pPr>
        <w:pStyle w:val="Normal1"/>
        <w:spacing w:after="0"/>
        <w:ind w:right="-284"/>
        <w:jc w:val="both"/>
        <w:rPr>
          <w:sz w:val="18"/>
          <w:szCs w:val="18"/>
        </w:rPr>
      </w:pPr>
    </w:p>
    <w:tbl>
      <w:tblPr>
        <w:tblStyle w:val="17"/>
        <w:tblW w:w="94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484"/>
      </w:tblGrid>
      <w:tr w:rsidR="00CC45F6" w:rsidRPr="00E150F9" w14:paraId="7B9F9A18" w14:textId="77777777" w:rsidTr="00CC45F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84" w:type="dxa"/>
          </w:tcPr>
          <w:p w14:paraId="2502E889" w14:textId="2907D638" w:rsidR="00CC45F6" w:rsidRPr="00E150F9" w:rsidRDefault="007074F6">
            <w:pPr>
              <w:pStyle w:val="Normal1"/>
              <w:spacing w:line="276" w:lineRule="auto"/>
              <w:rPr>
                <w:rFonts w:ascii="Arial Narrow" w:hAnsi="Arial Narrow"/>
              </w:rPr>
            </w:pPr>
            <w:r w:rsidRPr="007074F6">
              <w:rPr>
                <w:rFonts w:ascii="Arial Narrow" w:hAnsi="Arial Narrow"/>
              </w:rPr>
              <w:t>Observation</w:t>
            </w:r>
            <w:r w:rsidR="00DF60CF" w:rsidRPr="00E150F9">
              <w:rPr>
                <w:rFonts w:ascii="Arial Narrow" w:hAnsi="Arial Narrow"/>
              </w:rPr>
              <w:t xml:space="preserve"> 3: </w:t>
            </w:r>
            <w:r w:rsidR="00CA5493">
              <w:rPr>
                <w:rFonts w:ascii="Arial Narrow" w:hAnsi="Arial Narrow"/>
              </w:rPr>
              <w:t>The c</w:t>
            </w:r>
            <w:r w:rsidR="00DF60CF" w:rsidRPr="00E150F9">
              <w:rPr>
                <w:rFonts w:ascii="Arial Narrow" w:hAnsi="Arial Narrow"/>
              </w:rPr>
              <w:t xml:space="preserve">ontinuous strengthening of the understanding / </w:t>
            </w:r>
            <w:r w:rsidR="001C632B">
              <w:rPr>
                <w:rFonts w:ascii="Arial Narrow" w:hAnsi="Arial Narrow"/>
              </w:rPr>
              <w:t xml:space="preserve">implications </w:t>
            </w:r>
            <w:r w:rsidR="00DF60CF" w:rsidRPr="00E150F9">
              <w:rPr>
                <w:rFonts w:ascii="Arial Narrow" w:hAnsi="Arial Narrow"/>
              </w:rPr>
              <w:t xml:space="preserve">of SS &amp; </w:t>
            </w:r>
            <w:proofErr w:type="spellStart"/>
            <w:r w:rsidR="00DF60CF" w:rsidRPr="00E150F9">
              <w:rPr>
                <w:rFonts w:ascii="Arial Narrow" w:hAnsi="Arial Narrow"/>
              </w:rPr>
              <w:t>TrC</w:t>
            </w:r>
            <w:proofErr w:type="spellEnd"/>
            <w:r w:rsidR="00DF60CF" w:rsidRPr="00E150F9">
              <w:rPr>
                <w:rFonts w:ascii="Arial Narrow" w:hAnsi="Arial Narrow"/>
              </w:rPr>
              <w:t xml:space="preserve"> and what</w:t>
            </w:r>
            <w:r w:rsidR="00DF60CF" w:rsidRPr="00E150F9">
              <w:rPr>
                <w:rFonts w:ascii="Arial Narrow" w:hAnsi="Arial Narrow"/>
                <w:b w:val="0"/>
              </w:rPr>
              <w:t xml:space="preserve"> </w:t>
            </w:r>
            <w:r w:rsidR="00DF60CF" w:rsidRPr="00E150F9">
              <w:rPr>
                <w:rFonts w:ascii="Arial Narrow" w:hAnsi="Arial Narrow"/>
              </w:rPr>
              <w:t>it</w:t>
            </w:r>
            <w:r w:rsidR="00DF60CF" w:rsidRPr="00E150F9">
              <w:rPr>
                <w:rFonts w:ascii="Arial Narrow" w:hAnsi="Arial Narrow"/>
                <w:b w:val="0"/>
              </w:rPr>
              <w:t xml:space="preserve"> </w:t>
            </w:r>
            <w:r w:rsidR="00DF60CF" w:rsidRPr="00E150F9">
              <w:rPr>
                <w:rFonts w:ascii="Arial Narrow" w:hAnsi="Arial Narrow"/>
              </w:rPr>
              <w:t>entail</w:t>
            </w:r>
            <w:r w:rsidR="00CA5493">
              <w:rPr>
                <w:rFonts w:ascii="Arial Narrow" w:hAnsi="Arial Narrow"/>
              </w:rPr>
              <w:t>ed</w:t>
            </w:r>
            <w:r w:rsidR="00DF60CF" w:rsidRPr="00E150F9">
              <w:rPr>
                <w:rFonts w:ascii="Arial Narrow" w:hAnsi="Arial Narrow"/>
              </w:rPr>
              <w:t xml:space="preserve"> for all stakeholders and partner countries</w:t>
            </w:r>
            <w:r w:rsidR="00C40127">
              <w:rPr>
                <w:rFonts w:ascii="Arial Narrow" w:hAnsi="Arial Narrow"/>
              </w:rPr>
              <w:t xml:space="preserve"> involved</w:t>
            </w:r>
            <w:r w:rsidR="00CA5493">
              <w:rPr>
                <w:rFonts w:ascii="Arial Narrow" w:hAnsi="Arial Narrow"/>
              </w:rPr>
              <w:t xml:space="preserve"> would have been beneficial</w:t>
            </w:r>
          </w:p>
        </w:tc>
      </w:tr>
    </w:tbl>
    <w:p w14:paraId="066B4B29" w14:textId="48B1AAE5" w:rsidR="00C40127" w:rsidRDefault="00DF60CF" w:rsidP="00C40127">
      <w:pPr>
        <w:pStyle w:val="Normal1"/>
        <w:spacing w:after="0" w:line="276" w:lineRule="auto"/>
        <w:ind w:right="-284"/>
        <w:jc w:val="both"/>
      </w:pPr>
      <w:r w:rsidRPr="00E150F9">
        <w:t xml:space="preserve">For a Programme </w:t>
      </w:r>
      <w:r w:rsidR="003F0AC1">
        <w:t xml:space="preserve">that was </w:t>
      </w:r>
      <w:r w:rsidRPr="00E150F9">
        <w:t xml:space="preserve">incubating innovative, integrated, and demand-driven southern owned </w:t>
      </w:r>
      <w:r w:rsidR="00A77706">
        <w:t>solutions</w:t>
      </w:r>
      <w:r w:rsidRPr="00E150F9">
        <w:t xml:space="preserve">, </w:t>
      </w:r>
      <w:r w:rsidR="00190EC3">
        <w:t xml:space="preserve">with </w:t>
      </w:r>
      <w:r w:rsidRPr="00E150F9">
        <w:t>multi-</w:t>
      </w:r>
      <w:r w:rsidR="00C40127" w:rsidRPr="00E150F9">
        <w:t>disciplinarily</w:t>
      </w:r>
      <w:r w:rsidR="00A96752">
        <w:t xml:space="preserve"> approaches</w:t>
      </w:r>
      <w:r w:rsidRPr="00E150F9">
        <w:t xml:space="preserve">, </w:t>
      </w:r>
      <w:r w:rsidR="00C40127">
        <w:t>this could have included the following:</w:t>
      </w:r>
    </w:p>
    <w:p w14:paraId="18E46273" w14:textId="4F6C1ADB" w:rsidR="00C40127" w:rsidRDefault="00A96752" w:rsidP="003E7F6A">
      <w:pPr>
        <w:pStyle w:val="Normal1"/>
        <w:numPr>
          <w:ilvl w:val="0"/>
          <w:numId w:val="28"/>
        </w:numPr>
        <w:spacing w:after="0" w:line="276" w:lineRule="auto"/>
        <w:ind w:left="426" w:right="-284" w:hanging="284"/>
        <w:jc w:val="both"/>
      </w:pPr>
      <w:r w:rsidRPr="00A96752">
        <w:t>continuous</w:t>
      </w:r>
      <w:r>
        <w:t xml:space="preserve">ly </w:t>
      </w:r>
      <w:r w:rsidR="00C40127">
        <w:t xml:space="preserve">making </w:t>
      </w:r>
      <w:r w:rsidR="00DF60CF" w:rsidRPr="00E150F9">
        <w:t xml:space="preserve">a clear understanding of the characteristics and principles of SS &amp; </w:t>
      </w:r>
      <w:proofErr w:type="spellStart"/>
      <w:r w:rsidR="00DF60CF" w:rsidRPr="00E150F9">
        <w:t>TrC</w:t>
      </w:r>
      <w:proofErr w:type="spellEnd"/>
      <w:r w:rsidR="00AB380D">
        <w:t xml:space="preserve"> to all </w:t>
      </w:r>
      <w:r w:rsidR="003B48B7">
        <w:t xml:space="preserve">the </w:t>
      </w:r>
      <w:r w:rsidR="00AB380D">
        <w:t xml:space="preserve">stakeholders. </w:t>
      </w:r>
    </w:p>
    <w:p w14:paraId="34E7921D" w14:textId="67A4FDB3" w:rsidR="00CC45F6" w:rsidRPr="00E150F9" w:rsidRDefault="00C40127" w:rsidP="003E7F6A">
      <w:pPr>
        <w:pStyle w:val="Normal1"/>
        <w:numPr>
          <w:ilvl w:val="0"/>
          <w:numId w:val="28"/>
        </w:numPr>
        <w:spacing w:after="0" w:line="276" w:lineRule="auto"/>
        <w:ind w:left="426" w:right="-284" w:hanging="284"/>
        <w:jc w:val="both"/>
      </w:pPr>
      <w:r>
        <w:t>b</w:t>
      </w:r>
      <w:r w:rsidR="00DF60CF" w:rsidRPr="00E150F9">
        <w:t xml:space="preserve">esides the once off </w:t>
      </w:r>
      <w:r w:rsidR="003F0AC1">
        <w:t xml:space="preserve">project </w:t>
      </w:r>
      <w:r w:rsidR="00DF60CF" w:rsidRPr="00E150F9">
        <w:t xml:space="preserve">implementation kick-off induction session/workshop, the project </w:t>
      </w:r>
      <w:r>
        <w:t>could have</w:t>
      </w:r>
      <w:r w:rsidR="00DF60CF" w:rsidRPr="00E150F9">
        <w:t xml:space="preserve"> use</w:t>
      </w:r>
      <w:r>
        <w:t>d</w:t>
      </w:r>
      <w:r w:rsidR="00DF60CF" w:rsidRPr="00E150F9">
        <w:t xml:space="preserve"> all its other follow up meeting sessions/workshops where all the stakeholders </w:t>
      </w:r>
      <w:r w:rsidR="00B13B75">
        <w:t xml:space="preserve">convened </w:t>
      </w:r>
      <w:r w:rsidR="00DF60CF" w:rsidRPr="00E150F9">
        <w:t>to ensure that there is also a focus on continued orientati</w:t>
      </w:r>
      <w:r w:rsidR="00D839B3">
        <w:t>on</w:t>
      </w:r>
      <w:r w:rsidR="00DF60CF" w:rsidRPr="00E150F9">
        <w:t xml:space="preserve"> to fully understand the SS &amp; </w:t>
      </w:r>
      <w:proofErr w:type="spellStart"/>
      <w:r w:rsidR="00DF60CF" w:rsidRPr="00E150F9">
        <w:t>TrC</w:t>
      </w:r>
      <w:proofErr w:type="spellEnd"/>
      <w:r w:rsidR="00DF60CF" w:rsidRPr="00E150F9">
        <w:t xml:space="preserve"> </w:t>
      </w:r>
      <w:r w:rsidR="00C20D6D" w:rsidRPr="00C20D6D">
        <w:t>implications</w:t>
      </w:r>
      <w:r w:rsidR="00DF60CF" w:rsidRPr="00E150F9">
        <w:t>.</w:t>
      </w:r>
    </w:p>
    <w:p w14:paraId="6721AFD2" w14:textId="77777777" w:rsidR="00CC45F6" w:rsidRPr="00E150F9" w:rsidRDefault="00CC45F6">
      <w:pPr>
        <w:pStyle w:val="Normal1"/>
        <w:spacing w:after="0" w:line="276" w:lineRule="auto"/>
        <w:jc w:val="both"/>
      </w:pPr>
    </w:p>
    <w:tbl>
      <w:tblPr>
        <w:tblStyle w:val="15"/>
        <w:tblW w:w="94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484"/>
      </w:tblGrid>
      <w:tr w:rsidR="00CC45F6" w:rsidRPr="00E150F9" w14:paraId="79589980" w14:textId="77777777" w:rsidTr="00CC45F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84" w:type="dxa"/>
          </w:tcPr>
          <w:p w14:paraId="1262F4DE" w14:textId="53C18AEA" w:rsidR="00CC45F6" w:rsidRPr="00E150F9" w:rsidRDefault="007074F6">
            <w:pPr>
              <w:pStyle w:val="Normal1"/>
              <w:spacing w:line="276" w:lineRule="auto"/>
              <w:rPr>
                <w:rFonts w:ascii="Arial Narrow" w:hAnsi="Arial Narrow"/>
              </w:rPr>
            </w:pPr>
            <w:r w:rsidRPr="007074F6">
              <w:rPr>
                <w:rFonts w:ascii="Arial Narrow" w:hAnsi="Arial Narrow"/>
              </w:rPr>
              <w:t>Observation</w:t>
            </w:r>
            <w:r w:rsidR="00DF60CF" w:rsidRPr="00E150F9">
              <w:rPr>
                <w:rFonts w:ascii="Arial Narrow" w:hAnsi="Arial Narrow"/>
              </w:rPr>
              <w:t xml:space="preserve"> </w:t>
            </w:r>
            <w:r w:rsidR="00631085">
              <w:rPr>
                <w:rFonts w:ascii="Arial Narrow" w:hAnsi="Arial Narrow"/>
              </w:rPr>
              <w:t>4</w:t>
            </w:r>
            <w:r w:rsidR="00DF60CF" w:rsidRPr="00E150F9">
              <w:rPr>
                <w:rFonts w:ascii="Arial Narrow" w:hAnsi="Arial Narrow"/>
              </w:rPr>
              <w:t xml:space="preserve">: The project </w:t>
            </w:r>
            <w:r w:rsidR="00B04F44">
              <w:rPr>
                <w:rFonts w:ascii="Arial Narrow" w:hAnsi="Arial Narrow"/>
              </w:rPr>
              <w:t>c</w:t>
            </w:r>
            <w:r w:rsidR="00DF60CF" w:rsidRPr="00E150F9">
              <w:rPr>
                <w:rFonts w:ascii="Arial Narrow" w:hAnsi="Arial Narrow"/>
              </w:rPr>
              <w:t xml:space="preserve">ould </w:t>
            </w:r>
            <w:r w:rsidR="00B04F44">
              <w:rPr>
                <w:rFonts w:ascii="Arial Narrow" w:hAnsi="Arial Narrow"/>
              </w:rPr>
              <w:t xml:space="preserve">have </w:t>
            </w:r>
            <w:r w:rsidR="00DF60CF" w:rsidRPr="00E150F9">
              <w:rPr>
                <w:rFonts w:ascii="Arial Narrow" w:hAnsi="Arial Narrow"/>
              </w:rPr>
              <w:t>g</w:t>
            </w:r>
            <w:r w:rsidR="00AA7B86">
              <w:rPr>
                <w:rFonts w:ascii="Arial Narrow" w:hAnsi="Arial Narrow"/>
              </w:rPr>
              <w:t>ranted</w:t>
            </w:r>
            <w:r w:rsidR="00DF60CF" w:rsidRPr="00E150F9">
              <w:rPr>
                <w:rFonts w:ascii="Arial Narrow" w:hAnsi="Arial Narrow"/>
              </w:rPr>
              <w:t xml:space="preserve"> more flexibility to encourage women </w:t>
            </w:r>
            <w:r w:rsidR="003B6515" w:rsidRPr="003B6515">
              <w:rPr>
                <w:rFonts w:ascii="Arial Narrow" w:hAnsi="Arial Narrow"/>
              </w:rPr>
              <w:t xml:space="preserve">participation </w:t>
            </w:r>
            <w:r w:rsidR="001C632B">
              <w:rPr>
                <w:rFonts w:ascii="Arial Narrow" w:hAnsi="Arial Narrow"/>
              </w:rPr>
              <w:t xml:space="preserve">on </w:t>
            </w:r>
            <w:r w:rsidR="00DF60CF" w:rsidRPr="00E150F9">
              <w:rPr>
                <w:rFonts w:ascii="Arial Narrow" w:hAnsi="Arial Narrow"/>
              </w:rPr>
              <w:t>targeted Programme activities and ensure</w:t>
            </w:r>
            <w:r w:rsidR="00B04F44">
              <w:rPr>
                <w:rFonts w:ascii="Arial Narrow" w:hAnsi="Arial Narrow"/>
              </w:rPr>
              <w:t>d that</w:t>
            </w:r>
            <w:r w:rsidR="00DF60CF" w:rsidRPr="00E150F9">
              <w:rPr>
                <w:rFonts w:ascii="Arial Narrow" w:hAnsi="Arial Narrow"/>
              </w:rPr>
              <w:t xml:space="preserve"> they </w:t>
            </w:r>
            <w:r w:rsidR="00B04F44">
              <w:rPr>
                <w:rFonts w:ascii="Arial Narrow" w:hAnsi="Arial Narrow"/>
              </w:rPr>
              <w:t>we</w:t>
            </w:r>
            <w:r w:rsidR="00DF60CF" w:rsidRPr="00E150F9">
              <w:rPr>
                <w:rFonts w:ascii="Arial Narrow" w:hAnsi="Arial Narrow"/>
              </w:rPr>
              <w:t>re designed around the convenience of women participation despite their matriarchal responsibility for taking care of their</w:t>
            </w:r>
            <w:r w:rsidR="00DF60CF" w:rsidRPr="00E150F9">
              <w:rPr>
                <w:rFonts w:ascii="Arial Narrow" w:hAnsi="Arial Narrow"/>
                <w:b w:val="0"/>
              </w:rPr>
              <w:t xml:space="preserve"> </w:t>
            </w:r>
            <w:r w:rsidR="00DF60CF" w:rsidRPr="00E150F9">
              <w:rPr>
                <w:rFonts w:ascii="Arial Narrow" w:hAnsi="Arial Narrow"/>
              </w:rPr>
              <w:t>homes and families</w:t>
            </w:r>
          </w:p>
        </w:tc>
      </w:tr>
    </w:tbl>
    <w:p w14:paraId="4C99196B" w14:textId="37907A26" w:rsidR="00B04F44" w:rsidRDefault="00B04F44" w:rsidP="00B04F44">
      <w:pPr>
        <w:pStyle w:val="Normal1"/>
        <w:spacing w:after="0"/>
        <w:ind w:right="-284"/>
        <w:jc w:val="both"/>
      </w:pPr>
      <w:r>
        <w:t>This could have included the following:</w:t>
      </w:r>
    </w:p>
    <w:p w14:paraId="01B8DDD5" w14:textId="77777777" w:rsidR="00B04F44" w:rsidRDefault="00DF60CF" w:rsidP="00B04F44">
      <w:pPr>
        <w:pStyle w:val="Normal1"/>
        <w:numPr>
          <w:ilvl w:val="0"/>
          <w:numId w:val="29"/>
        </w:numPr>
        <w:spacing w:after="0"/>
        <w:ind w:right="-284"/>
        <w:jc w:val="both"/>
      </w:pPr>
      <w:r w:rsidRPr="00E150F9">
        <w:lastRenderedPageBreak/>
        <w:t>the Programme</w:t>
      </w:r>
      <w:r w:rsidR="003E6692" w:rsidRPr="00E150F9">
        <w:t>’</w:t>
      </w:r>
      <w:r w:rsidR="00323294" w:rsidRPr="00E150F9">
        <w:t>s</w:t>
      </w:r>
      <w:r w:rsidRPr="00E150F9">
        <w:t xml:space="preserve"> activities targeted at women </w:t>
      </w:r>
      <w:r w:rsidR="00B04F44">
        <w:t xml:space="preserve">being </w:t>
      </w:r>
      <w:r w:rsidRPr="00E150F9">
        <w:t>flexibly designed around their responsibility for taking care of their homes and families</w:t>
      </w:r>
      <w:r w:rsidRPr="00E150F9">
        <w:rPr>
          <w:vertAlign w:val="superscript"/>
        </w:rPr>
        <w:footnoteReference w:id="4"/>
      </w:r>
      <w:r w:rsidRPr="00E150F9">
        <w:t xml:space="preserve"> so that women participation </w:t>
      </w:r>
      <w:r w:rsidR="00B04F44">
        <w:t>was</w:t>
      </w:r>
      <w:r w:rsidRPr="00E150F9">
        <w:t xml:space="preserve"> </w:t>
      </w:r>
      <w:r w:rsidR="006859AC">
        <w:t xml:space="preserve">easily </w:t>
      </w:r>
      <w:r w:rsidRPr="00E150F9">
        <w:t>encouraged</w:t>
      </w:r>
      <w:r w:rsidR="00263677">
        <w:t xml:space="preserve"> with </w:t>
      </w:r>
      <w:r w:rsidR="00263677" w:rsidRPr="00263677">
        <w:t>buy-in to the process</w:t>
      </w:r>
      <w:r w:rsidRPr="00E150F9">
        <w:t xml:space="preserve">. </w:t>
      </w:r>
    </w:p>
    <w:p w14:paraId="5705ADD2" w14:textId="719730EF" w:rsidR="00CC45F6" w:rsidRPr="00E150F9" w:rsidRDefault="00DF60CF" w:rsidP="00B04F44">
      <w:pPr>
        <w:pStyle w:val="Normal1"/>
        <w:numPr>
          <w:ilvl w:val="0"/>
          <w:numId w:val="29"/>
        </w:numPr>
        <w:spacing w:after="0"/>
        <w:ind w:right="-284"/>
        <w:jc w:val="both"/>
      </w:pPr>
      <w:r w:rsidRPr="00E150F9">
        <w:t xml:space="preserve">Women/female participants </w:t>
      </w:r>
      <w:r w:rsidR="00B04F44">
        <w:t xml:space="preserve">could </w:t>
      </w:r>
      <w:r w:rsidR="00AA7B86">
        <w:t xml:space="preserve">also </w:t>
      </w:r>
      <w:r w:rsidR="006B7188">
        <w:t xml:space="preserve">have </w:t>
      </w:r>
      <w:r w:rsidR="00CA2F5E">
        <w:t>been</w:t>
      </w:r>
      <w:r w:rsidR="00CA2F5E" w:rsidRPr="00E150F9">
        <w:t xml:space="preserve"> </w:t>
      </w:r>
      <w:r w:rsidRPr="00E150F9">
        <w:t xml:space="preserve">identified well in advance so that those who required to </w:t>
      </w:r>
      <w:r w:rsidR="006859AC">
        <w:t>pre-</w:t>
      </w:r>
      <w:r w:rsidRPr="00E150F9">
        <w:t>plan their family life around the project activities (</w:t>
      </w:r>
      <w:r w:rsidRPr="00E150F9">
        <w:rPr>
          <w:i/>
        </w:rPr>
        <w:t>where applicable</w:t>
      </w:r>
      <w:r w:rsidRPr="00E150F9">
        <w:t xml:space="preserve">) </w:t>
      </w:r>
      <w:r w:rsidR="006859AC">
        <w:t>as</w:t>
      </w:r>
      <w:r w:rsidRPr="00E150F9">
        <w:t xml:space="preserve"> participa</w:t>
      </w:r>
      <w:r w:rsidR="006859AC">
        <w:t xml:space="preserve">nts </w:t>
      </w:r>
      <w:r w:rsidRPr="00E150F9">
        <w:t xml:space="preserve">on the program </w:t>
      </w:r>
      <w:r w:rsidR="00B04F44">
        <w:t>we</w:t>
      </w:r>
      <w:r w:rsidRPr="00E150F9">
        <w:t>re able to do so with great ease from any limitations and</w:t>
      </w:r>
      <w:r w:rsidR="00DC6B66">
        <w:t xml:space="preserve">/or </w:t>
      </w:r>
      <w:r w:rsidRPr="00E150F9">
        <w:t>barriers.</w:t>
      </w:r>
    </w:p>
    <w:p w14:paraId="0FEA47E7" w14:textId="77777777" w:rsidR="00CC45F6" w:rsidRPr="00E150F9" w:rsidRDefault="00CC45F6">
      <w:pPr>
        <w:pStyle w:val="Normal1"/>
        <w:spacing w:after="0"/>
        <w:ind w:right="-284"/>
        <w:jc w:val="both"/>
      </w:pPr>
    </w:p>
    <w:tbl>
      <w:tblPr>
        <w:tblStyle w:val="14"/>
        <w:tblW w:w="94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484"/>
      </w:tblGrid>
      <w:tr w:rsidR="00CC45F6" w:rsidRPr="00E150F9" w14:paraId="72C59CCC" w14:textId="77777777" w:rsidTr="00CC45F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84" w:type="dxa"/>
          </w:tcPr>
          <w:p w14:paraId="29D53100" w14:textId="05BEA85A" w:rsidR="00CC45F6" w:rsidRPr="00E150F9" w:rsidRDefault="007074F6">
            <w:pPr>
              <w:pStyle w:val="Normal1"/>
              <w:spacing w:line="276" w:lineRule="auto"/>
              <w:rPr>
                <w:rFonts w:ascii="Arial Narrow" w:hAnsi="Arial Narrow"/>
              </w:rPr>
            </w:pPr>
            <w:r w:rsidRPr="007074F6">
              <w:rPr>
                <w:rFonts w:ascii="Arial Narrow" w:hAnsi="Arial Narrow"/>
              </w:rPr>
              <w:t>Observation</w:t>
            </w:r>
            <w:r w:rsidR="00DF60CF" w:rsidRPr="00E150F9">
              <w:rPr>
                <w:rFonts w:ascii="Arial Narrow" w:hAnsi="Arial Narrow"/>
              </w:rPr>
              <w:t xml:space="preserve"> </w:t>
            </w:r>
            <w:r w:rsidR="00631085">
              <w:rPr>
                <w:rFonts w:ascii="Arial Narrow" w:hAnsi="Arial Narrow"/>
              </w:rPr>
              <w:t>5</w:t>
            </w:r>
            <w:r w:rsidR="00DF60CF" w:rsidRPr="00E150F9">
              <w:rPr>
                <w:rFonts w:ascii="Arial Narrow" w:hAnsi="Arial Narrow"/>
              </w:rPr>
              <w:t xml:space="preserve">: The project </w:t>
            </w:r>
            <w:r w:rsidR="002344B5">
              <w:rPr>
                <w:rFonts w:ascii="Arial Narrow" w:hAnsi="Arial Narrow"/>
              </w:rPr>
              <w:t>c</w:t>
            </w:r>
            <w:r w:rsidR="00DF60CF" w:rsidRPr="00E150F9">
              <w:rPr>
                <w:rFonts w:ascii="Arial Narrow" w:hAnsi="Arial Narrow"/>
              </w:rPr>
              <w:t xml:space="preserve">ould have </w:t>
            </w:r>
            <w:r w:rsidR="002344B5">
              <w:rPr>
                <w:rFonts w:ascii="Arial Narrow" w:hAnsi="Arial Narrow"/>
              </w:rPr>
              <w:t xml:space="preserve">had </w:t>
            </w:r>
            <w:r w:rsidR="00DF60CF" w:rsidRPr="00E150F9">
              <w:rPr>
                <w:rFonts w:ascii="Arial Narrow" w:hAnsi="Arial Narrow"/>
              </w:rPr>
              <w:t>a clear</w:t>
            </w:r>
            <w:r w:rsidR="002344B5">
              <w:rPr>
                <w:rFonts w:ascii="Arial Narrow" w:hAnsi="Arial Narrow"/>
              </w:rPr>
              <w:t>er</w:t>
            </w:r>
            <w:r w:rsidR="00DF60CF" w:rsidRPr="00E150F9">
              <w:rPr>
                <w:rFonts w:ascii="Arial Narrow" w:hAnsi="Arial Narrow"/>
              </w:rPr>
              <w:t xml:space="preserve"> definition of the cross-cutting target</w:t>
            </w:r>
            <w:r w:rsidR="00383388">
              <w:rPr>
                <w:rFonts w:ascii="Arial Narrow" w:hAnsi="Arial Narrow"/>
              </w:rPr>
              <w:t xml:space="preserve"> of </w:t>
            </w:r>
            <w:r w:rsidR="00DF60CF" w:rsidRPr="00E150F9">
              <w:rPr>
                <w:rFonts w:ascii="Arial Narrow" w:hAnsi="Arial Narrow"/>
              </w:rPr>
              <w:t>gender equality and/or gender disaggregated target setting</w:t>
            </w:r>
            <w:r w:rsidR="00DF60CF" w:rsidRPr="00E150F9">
              <w:rPr>
                <w:rFonts w:ascii="Arial Narrow" w:hAnsi="Arial Narrow"/>
                <w:i/>
              </w:rPr>
              <w:t xml:space="preserve"> in the results framework (</w:t>
            </w:r>
            <w:r w:rsidR="002344B5">
              <w:rPr>
                <w:rFonts w:ascii="Arial Narrow" w:hAnsi="Arial Narrow"/>
                <w:i/>
              </w:rPr>
              <w:t>wa</w:t>
            </w:r>
            <w:r w:rsidR="00DF60CF" w:rsidRPr="00E150F9">
              <w:rPr>
                <w:rFonts w:ascii="Arial Narrow" w:hAnsi="Arial Narrow"/>
                <w:i/>
              </w:rPr>
              <w:t xml:space="preserve">s the aim “gender equality” </w:t>
            </w:r>
            <w:r w:rsidR="00DF60CF" w:rsidRPr="00E150F9">
              <w:rPr>
                <w:rFonts w:ascii="Arial Narrow" w:hAnsi="Arial Narrow"/>
              </w:rPr>
              <w:t>or</w:t>
            </w:r>
            <w:r w:rsidR="00DF60CF" w:rsidRPr="00E150F9">
              <w:rPr>
                <w:rFonts w:ascii="Arial Narrow" w:hAnsi="Arial Narrow"/>
                <w:i/>
              </w:rPr>
              <w:t xml:space="preserve"> “gender disaggregated data”?</w:t>
            </w:r>
            <w:r w:rsidR="00DF60CF" w:rsidRPr="00E150F9">
              <w:rPr>
                <w:rFonts w:ascii="Arial Narrow" w:hAnsi="Arial Narrow"/>
              </w:rPr>
              <w:t>)</w:t>
            </w:r>
          </w:p>
        </w:tc>
      </w:tr>
    </w:tbl>
    <w:p w14:paraId="60C1B1C9" w14:textId="77777777" w:rsidR="002344B5" w:rsidRDefault="002344B5" w:rsidP="002344B5">
      <w:pPr>
        <w:pStyle w:val="Normal1"/>
        <w:spacing w:after="0"/>
        <w:ind w:right="-284"/>
        <w:jc w:val="both"/>
      </w:pPr>
      <w:r>
        <w:t>This could have included the following:</w:t>
      </w:r>
    </w:p>
    <w:p w14:paraId="04D0F9CD" w14:textId="62E5B303" w:rsidR="002344B5" w:rsidRDefault="00B34F4F" w:rsidP="002344B5">
      <w:pPr>
        <w:pStyle w:val="Normal1"/>
        <w:numPr>
          <w:ilvl w:val="0"/>
          <w:numId w:val="30"/>
        </w:numPr>
        <w:spacing w:after="0"/>
        <w:ind w:right="-284"/>
        <w:jc w:val="both"/>
      </w:pPr>
      <w:r>
        <w:t xml:space="preserve">clarity </w:t>
      </w:r>
      <w:r w:rsidR="00DF60CF" w:rsidRPr="00E150F9">
        <w:t xml:space="preserve">in the Programme/Facility results framework by having gender disaggregated targeting explicitly captured </w:t>
      </w:r>
      <w:r>
        <w:t xml:space="preserve">since </w:t>
      </w:r>
      <w:r w:rsidR="00DF60CF" w:rsidRPr="00E150F9">
        <w:t xml:space="preserve">gender equality </w:t>
      </w:r>
      <w:r>
        <w:t xml:space="preserve">is </w:t>
      </w:r>
      <w:r w:rsidR="00DF60CF" w:rsidRPr="00E150F9">
        <w:t xml:space="preserve">an aspect that a </w:t>
      </w:r>
      <w:r w:rsidR="00120DC8" w:rsidRPr="00E150F9">
        <w:t>project target</w:t>
      </w:r>
      <w:r w:rsidR="00DF60CF" w:rsidRPr="00E150F9">
        <w:t xml:space="preserve"> using a gender capacity building</w:t>
      </w:r>
      <w:r w:rsidR="00DF60CF" w:rsidRPr="00E150F9">
        <w:rPr>
          <w:vertAlign w:val="superscript"/>
        </w:rPr>
        <w:footnoteReference w:id="5"/>
      </w:r>
      <w:r w:rsidR="00DF60CF" w:rsidRPr="00E150F9">
        <w:t xml:space="preserve"> approach. </w:t>
      </w:r>
    </w:p>
    <w:p w14:paraId="221D291C" w14:textId="616C07B2" w:rsidR="00CC45F6" w:rsidRPr="00E150F9" w:rsidRDefault="002344B5" w:rsidP="002344B5">
      <w:pPr>
        <w:pStyle w:val="Normal1"/>
        <w:numPr>
          <w:ilvl w:val="0"/>
          <w:numId w:val="30"/>
        </w:numPr>
        <w:ind w:right="-284"/>
        <w:jc w:val="both"/>
      </w:pPr>
      <w:r w:rsidRPr="00E150F9">
        <w:t>a</w:t>
      </w:r>
      <w:r w:rsidR="00DF60CF" w:rsidRPr="00E150F9">
        <w:t>lternatively, if that</w:t>
      </w:r>
      <w:r>
        <w:t xml:space="preserve"> was</w:t>
      </w:r>
      <w:r w:rsidR="00DF60CF" w:rsidRPr="00E150F9">
        <w:t xml:space="preserve"> not the intention, then a clear definition of what the Programme implie</w:t>
      </w:r>
      <w:r>
        <w:t>d</w:t>
      </w:r>
      <w:r w:rsidR="00DF60CF" w:rsidRPr="00E150F9">
        <w:t xml:space="preserve"> by gender equality </w:t>
      </w:r>
      <w:r>
        <w:t>could have</w:t>
      </w:r>
      <w:r w:rsidR="00DF60CF" w:rsidRPr="00E150F9">
        <w:t xml:space="preserve"> be</w:t>
      </w:r>
      <w:r>
        <w:t>en</w:t>
      </w:r>
      <w:r w:rsidR="00DF60CF" w:rsidRPr="00E150F9">
        <w:t xml:space="preserve"> developed as this clarity </w:t>
      </w:r>
      <w:r>
        <w:t>wa</w:t>
      </w:r>
      <w:r w:rsidR="00DF60CF" w:rsidRPr="00E150F9">
        <w:t xml:space="preserve">s </w:t>
      </w:r>
      <w:r w:rsidR="006E349A">
        <w:t>missing.</w:t>
      </w:r>
    </w:p>
    <w:p w14:paraId="01FF7D8E" w14:textId="77777777" w:rsidR="00B5736F" w:rsidRDefault="00B5736F">
      <w:pPr>
        <w:pStyle w:val="Normal1"/>
        <w:ind w:right="-284"/>
        <w:jc w:val="both"/>
      </w:pPr>
    </w:p>
    <w:p w14:paraId="759FAA94" w14:textId="77777777" w:rsidR="00E81614" w:rsidRDefault="00E81614">
      <w:pPr>
        <w:pStyle w:val="Normal1"/>
        <w:ind w:right="-284"/>
        <w:jc w:val="both"/>
      </w:pPr>
    </w:p>
    <w:p w14:paraId="5658AA0C" w14:textId="73A5195D" w:rsidR="00CC45F6" w:rsidRDefault="00CC45F6">
      <w:pPr>
        <w:pStyle w:val="Normal1"/>
      </w:pPr>
    </w:p>
    <w:sectPr w:rsidR="00CC45F6" w:rsidSect="00CC45F6">
      <w:footerReference w:type="default" r:id="rId1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06BA" w14:textId="77777777" w:rsidR="009E5A52" w:rsidRDefault="009E5A52" w:rsidP="00CC45F6">
      <w:pPr>
        <w:spacing w:after="0" w:line="240" w:lineRule="auto"/>
      </w:pPr>
      <w:r>
        <w:separator/>
      </w:r>
    </w:p>
  </w:endnote>
  <w:endnote w:type="continuationSeparator" w:id="0">
    <w:p w14:paraId="03885AB4" w14:textId="77777777" w:rsidR="009E5A52" w:rsidRDefault="009E5A52" w:rsidP="00CC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0CD9" w14:textId="77777777" w:rsidR="006407F5" w:rsidRDefault="006407F5">
    <w:pPr>
      <w:pStyle w:val="Normal1"/>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18</w:t>
    </w:r>
    <w:r>
      <w:rPr>
        <w:color w:val="000000"/>
      </w:rPr>
      <w:fldChar w:fldCharType="end"/>
    </w:r>
  </w:p>
  <w:p w14:paraId="5B0E8D6A" w14:textId="77777777" w:rsidR="006407F5" w:rsidRDefault="006407F5">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70A1" w14:textId="77777777" w:rsidR="009E5A52" w:rsidRDefault="009E5A52" w:rsidP="00CC45F6">
      <w:pPr>
        <w:spacing w:after="0" w:line="240" w:lineRule="auto"/>
      </w:pPr>
      <w:r>
        <w:separator/>
      </w:r>
    </w:p>
  </w:footnote>
  <w:footnote w:type="continuationSeparator" w:id="0">
    <w:p w14:paraId="53C26F9E" w14:textId="77777777" w:rsidR="009E5A52" w:rsidRDefault="009E5A52" w:rsidP="00CC45F6">
      <w:pPr>
        <w:spacing w:after="0" w:line="240" w:lineRule="auto"/>
      </w:pPr>
      <w:r>
        <w:continuationSeparator/>
      </w:r>
    </w:p>
  </w:footnote>
  <w:footnote w:id="1">
    <w:p w14:paraId="4304067D" w14:textId="77777777" w:rsidR="006407F5" w:rsidRPr="00583C74" w:rsidRDefault="006407F5">
      <w:pPr>
        <w:pStyle w:val="Normal1"/>
        <w:pBdr>
          <w:top w:val="nil"/>
          <w:left w:val="nil"/>
          <w:bottom w:val="nil"/>
          <w:right w:val="nil"/>
          <w:between w:val="nil"/>
        </w:pBdr>
        <w:spacing w:after="0" w:line="240" w:lineRule="auto"/>
        <w:ind w:left="142" w:right="-142" w:hanging="142"/>
        <w:jc w:val="both"/>
        <w:rPr>
          <w:color w:val="000000"/>
          <w:sz w:val="17"/>
          <w:szCs w:val="17"/>
        </w:rPr>
      </w:pPr>
      <w:r w:rsidRPr="00583C74">
        <w:rPr>
          <w:sz w:val="17"/>
          <w:szCs w:val="17"/>
          <w:vertAlign w:val="superscript"/>
        </w:rPr>
        <w:footnoteRef/>
      </w:r>
      <w:r w:rsidRPr="00583C74">
        <w:rPr>
          <w:color w:val="000000"/>
          <w:sz w:val="17"/>
          <w:szCs w:val="17"/>
        </w:rPr>
        <w:t xml:space="preserve"> For the purposes of this report the words Project, Facility and Programme or Facility/Programme will be used interchangeably to mean the same thing.</w:t>
      </w:r>
    </w:p>
  </w:footnote>
  <w:footnote w:id="2">
    <w:p w14:paraId="0C79C640" w14:textId="77777777" w:rsidR="006407F5" w:rsidRDefault="006407F5">
      <w:pPr>
        <w:pStyle w:val="Normal1"/>
        <w:pBdr>
          <w:top w:val="nil"/>
          <w:left w:val="nil"/>
          <w:bottom w:val="nil"/>
          <w:right w:val="nil"/>
          <w:between w:val="nil"/>
        </w:pBdr>
        <w:spacing w:after="0" w:line="240" w:lineRule="auto"/>
        <w:ind w:left="142" w:right="-142" w:hanging="142"/>
        <w:jc w:val="both"/>
        <w:rPr>
          <w:color w:val="000000"/>
          <w:sz w:val="17"/>
          <w:szCs w:val="17"/>
        </w:rPr>
      </w:pPr>
      <w:r w:rsidRPr="00583C74">
        <w:rPr>
          <w:sz w:val="17"/>
          <w:szCs w:val="17"/>
          <w:vertAlign w:val="superscript"/>
        </w:rPr>
        <w:footnoteRef/>
      </w:r>
      <w:r w:rsidRPr="00583C74">
        <w:rPr>
          <w:color w:val="000000"/>
          <w:sz w:val="17"/>
          <w:szCs w:val="17"/>
        </w:rPr>
        <w:t xml:space="preserve"> The evidence obtained and used to evaluate the results generated by the facility was triangulated from a variety of sources, including verifiable data on the achievement of indicators, existing reports, evaluations and technical documents, interviews with stakeholders and focus groups.</w:t>
      </w:r>
    </w:p>
  </w:footnote>
  <w:footnote w:id="3">
    <w:p w14:paraId="36B73AC0" w14:textId="77777777" w:rsidR="006407F5" w:rsidRDefault="006407F5">
      <w:pPr>
        <w:pStyle w:val="Normal1"/>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this is acknowledged by several stakeholders</w:t>
      </w:r>
    </w:p>
  </w:footnote>
  <w:footnote w:id="4">
    <w:p w14:paraId="26C493F6" w14:textId="77777777" w:rsidR="006407F5" w:rsidRPr="00A335AC" w:rsidRDefault="006407F5">
      <w:pPr>
        <w:pStyle w:val="Normal1"/>
        <w:pBdr>
          <w:top w:val="nil"/>
          <w:left w:val="nil"/>
          <w:bottom w:val="nil"/>
          <w:right w:val="nil"/>
          <w:between w:val="nil"/>
        </w:pBdr>
        <w:spacing w:after="0" w:line="240" w:lineRule="auto"/>
        <w:jc w:val="both"/>
        <w:rPr>
          <w:color w:val="000000"/>
          <w:sz w:val="18"/>
          <w:szCs w:val="18"/>
        </w:rPr>
      </w:pPr>
      <w:r w:rsidRPr="00A335AC">
        <w:rPr>
          <w:sz w:val="18"/>
          <w:szCs w:val="18"/>
          <w:vertAlign w:val="superscript"/>
        </w:rPr>
        <w:footnoteRef/>
      </w:r>
      <w:r w:rsidRPr="00A335AC">
        <w:rPr>
          <w:color w:val="000000"/>
          <w:sz w:val="18"/>
          <w:szCs w:val="18"/>
        </w:rPr>
        <w:t xml:space="preserve"> For example, a full two (2) days training session can be run over eight (8) quarter days training sessions so that women can benefit from the training without being unable to take care of their homes and families – this flexibility needs to consider the matriarchal roles played by women as opposed to using matriarchal roles as an excuse of convenience to create barriers to participation that disadvantage women from being active participants and benefactors of the programme.</w:t>
      </w:r>
    </w:p>
  </w:footnote>
  <w:footnote w:id="5">
    <w:p w14:paraId="1AF32B84" w14:textId="77777777" w:rsidR="006407F5" w:rsidRPr="00A335AC" w:rsidRDefault="006407F5">
      <w:pPr>
        <w:pStyle w:val="Normal1"/>
        <w:pBdr>
          <w:top w:val="nil"/>
          <w:left w:val="nil"/>
          <w:bottom w:val="nil"/>
          <w:right w:val="nil"/>
          <w:between w:val="nil"/>
        </w:pBdr>
        <w:spacing w:after="0" w:line="240" w:lineRule="auto"/>
        <w:jc w:val="both"/>
        <w:rPr>
          <w:color w:val="000000"/>
          <w:sz w:val="18"/>
          <w:szCs w:val="18"/>
        </w:rPr>
      </w:pPr>
      <w:r w:rsidRPr="00A335AC">
        <w:rPr>
          <w:sz w:val="18"/>
          <w:szCs w:val="18"/>
          <w:vertAlign w:val="superscript"/>
        </w:rPr>
        <w:footnoteRef/>
      </w:r>
      <w:r w:rsidRPr="00A335AC">
        <w:rPr>
          <w:color w:val="000000"/>
          <w:sz w:val="18"/>
          <w:szCs w:val="18"/>
        </w:rPr>
        <w:t xml:space="preserve"> Sample Gender Equality Indicators could include: 1). Evidence that training and capacity building strategies include gender equality objectives and activities to address barriers to equitable outcomes or 2). Evidence that training and capacity building curricula delivery promotes equality between women and men, girls and boys </w:t>
      </w:r>
      <w:hyperlink r:id="rId1">
        <w:r w:rsidRPr="00A335AC">
          <w:rPr>
            <w:color w:val="0563C1"/>
            <w:sz w:val="18"/>
            <w:szCs w:val="18"/>
            <w:u w:val="single"/>
          </w:rPr>
          <w:t>https://www.oecd.org/derec/adb/tool-kit-gender-equality-results-indicators.pdf</w:t>
        </w:r>
      </w:hyperlink>
      <w:r w:rsidRPr="00A335AC">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4.25pt;height:14.25pt;visibility:visible;mso-wrap-style:square" o:bullet="t">
        <v:imagedata r:id="rId1" o:title="" cropbottom="5430f"/>
      </v:shape>
    </w:pict>
  </w:numPicBullet>
  <w:numPicBullet w:numPicBulletId="1">
    <w:pict>
      <v:shape id="_x0000_i1131" type="#_x0000_t75" style="width:165.75pt;height:172.5pt;visibility:visible;mso-wrap-style:square" o:bullet="t">
        <v:imagedata r:id="rId2" o:title="" cropbottom="5430f"/>
      </v:shape>
    </w:pict>
  </w:numPicBullet>
  <w:abstractNum w:abstractNumId="0" w15:restartNumberingAfterBreak="0">
    <w:nsid w:val="06B27A58"/>
    <w:multiLevelType w:val="hybridMultilevel"/>
    <w:tmpl w:val="8FD8DE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F6EF0"/>
    <w:multiLevelType w:val="multilevel"/>
    <w:tmpl w:val="83D4C5DC"/>
    <w:lvl w:ilvl="0">
      <w:start w:val="1"/>
      <w:numFmt w:val="decimal"/>
      <w:lvlText w:val="%1)"/>
      <w:lvlJc w:val="left"/>
      <w:pPr>
        <w:ind w:left="1080" w:hanging="72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864A3C"/>
    <w:multiLevelType w:val="multilevel"/>
    <w:tmpl w:val="554EEC2E"/>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 w15:restartNumberingAfterBreak="0">
    <w:nsid w:val="129E608A"/>
    <w:multiLevelType w:val="multilevel"/>
    <w:tmpl w:val="8C54DA02"/>
    <w:lvl w:ilvl="0">
      <w:start w:val="1"/>
      <w:numFmt w:val="bullet"/>
      <w:lvlText w:val="o"/>
      <w:lvlJc w:val="left"/>
      <w:pPr>
        <w:ind w:left="720"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4E29AC"/>
    <w:multiLevelType w:val="multilevel"/>
    <w:tmpl w:val="C1B855A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46103CE"/>
    <w:multiLevelType w:val="multilevel"/>
    <w:tmpl w:val="2BB08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25F3F"/>
    <w:multiLevelType w:val="hybridMultilevel"/>
    <w:tmpl w:val="68EA60A0"/>
    <w:lvl w:ilvl="0" w:tplc="DAF80ECC">
      <w:start w:val="3"/>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667BE"/>
    <w:multiLevelType w:val="multilevel"/>
    <w:tmpl w:val="F6CEC55C"/>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2484A40"/>
    <w:multiLevelType w:val="multilevel"/>
    <w:tmpl w:val="988EEBD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247ECB"/>
    <w:multiLevelType w:val="multilevel"/>
    <w:tmpl w:val="06B0CF56"/>
    <w:lvl w:ilvl="0">
      <w:start w:val="1"/>
      <w:numFmt w:val="bullet"/>
      <w:lvlText w:val="o"/>
      <w:lvlJc w:val="left"/>
      <w:pPr>
        <w:ind w:left="360" w:hanging="360"/>
      </w:pPr>
      <w:rPr>
        <w:rFonts w:ascii="Courier New" w:eastAsia="Courier New" w:hAnsi="Courier New" w:cs="Courier New"/>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58D2951"/>
    <w:multiLevelType w:val="multilevel"/>
    <w:tmpl w:val="7A5EE026"/>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A760D6"/>
    <w:multiLevelType w:val="multilevel"/>
    <w:tmpl w:val="8DEC407C"/>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826897"/>
    <w:multiLevelType w:val="hybridMultilevel"/>
    <w:tmpl w:val="3F8EB5FA"/>
    <w:lvl w:ilvl="0" w:tplc="EECEF49C">
      <w:start w:val="4"/>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8D63D2"/>
    <w:multiLevelType w:val="multilevel"/>
    <w:tmpl w:val="994802C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9C8460E"/>
    <w:multiLevelType w:val="hybridMultilevel"/>
    <w:tmpl w:val="E232445E"/>
    <w:lvl w:ilvl="0" w:tplc="32041FB2">
      <w:start w:val="1"/>
      <w:numFmt w:val="lowerRoman"/>
      <w:lvlText w:val="%1."/>
      <w:lvlJc w:val="right"/>
      <w:pPr>
        <w:ind w:left="709" w:hanging="360"/>
      </w:pPr>
      <w:rPr>
        <w:b/>
        <w:bCs/>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5" w15:restartNumberingAfterBreak="0">
    <w:nsid w:val="4ED875A2"/>
    <w:multiLevelType w:val="multilevel"/>
    <w:tmpl w:val="35CC20C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E0A6764"/>
    <w:multiLevelType w:val="multilevel"/>
    <w:tmpl w:val="67848FB0"/>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0D4CEE"/>
    <w:multiLevelType w:val="hybridMultilevel"/>
    <w:tmpl w:val="2DCEA1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752A5B"/>
    <w:multiLevelType w:val="multilevel"/>
    <w:tmpl w:val="F6ACBD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61D2251"/>
    <w:multiLevelType w:val="multilevel"/>
    <w:tmpl w:val="466C21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3D3587"/>
    <w:multiLevelType w:val="multilevel"/>
    <w:tmpl w:val="6AB05B32"/>
    <w:lvl w:ilvl="0">
      <w:start w:val="1"/>
      <w:numFmt w:val="bullet"/>
      <w:lvlText w:val="o"/>
      <w:lvlJc w:val="left"/>
      <w:pPr>
        <w:ind w:left="720"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2F0188"/>
    <w:multiLevelType w:val="hybridMultilevel"/>
    <w:tmpl w:val="B4523D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237DE1"/>
    <w:multiLevelType w:val="hybridMultilevel"/>
    <w:tmpl w:val="DF2897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00434"/>
    <w:multiLevelType w:val="multilevel"/>
    <w:tmpl w:val="D848FC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1C7241F"/>
    <w:multiLevelType w:val="hybridMultilevel"/>
    <w:tmpl w:val="6F661B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34D76"/>
    <w:multiLevelType w:val="multilevel"/>
    <w:tmpl w:val="E7322FF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7431C88"/>
    <w:multiLevelType w:val="hybridMultilevel"/>
    <w:tmpl w:val="8CE4A8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755F7"/>
    <w:multiLevelType w:val="multilevel"/>
    <w:tmpl w:val="3FF4E628"/>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857733"/>
    <w:multiLevelType w:val="multilevel"/>
    <w:tmpl w:val="5FE8B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9A0740"/>
    <w:multiLevelType w:val="multilevel"/>
    <w:tmpl w:val="B1FA40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8"/>
  </w:num>
  <w:num w:numId="2">
    <w:abstractNumId w:val="9"/>
  </w:num>
  <w:num w:numId="3">
    <w:abstractNumId w:val="15"/>
  </w:num>
  <w:num w:numId="4">
    <w:abstractNumId w:val="25"/>
  </w:num>
  <w:num w:numId="5">
    <w:abstractNumId w:val="1"/>
  </w:num>
  <w:num w:numId="6">
    <w:abstractNumId w:val="5"/>
  </w:num>
  <w:num w:numId="7">
    <w:abstractNumId w:val="16"/>
  </w:num>
  <w:num w:numId="8">
    <w:abstractNumId w:val="23"/>
  </w:num>
  <w:num w:numId="9">
    <w:abstractNumId w:val="10"/>
  </w:num>
  <w:num w:numId="10">
    <w:abstractNumId w:val="13"/>
  </w:num>
  <w:num w:numId="11">
    <w:abstractNumId w:val="29"/>
  </w:num>
  <w:num w:numId="12">
    <w:abstractNumId w:val="27"/>
  </w:num>
  <w:num w:numId="13">
    <w:abstractNumId w:val="2"/>
  </w:num>
  <w:num w:numId="14">
    <w:abstractNumId w:val="8"/>
  </w:num>
  <w:num w:numId="15">
    <w:abstractNumId w:val="7"/>
  </w:num>
  <w:num w:numId="16">
    <w:abstractNumId w:val="19"/>
  </w:num>
  <w:num w:numId="17">
    <w:abstractNumId w:val="11"/>
  </w:num>
  <w:num w:numId="18">
    <w:abstractNumId w:val="3"/>
  </w:num>
  <w:num w:numId="19">
    <w:abstractNumId w:val="28"/>
  </w:num>
  <w:num w:numId="20">
    <w:abstractNumId w:val="4"/>
  </w:num>
  <w:num w:numId="21">
    <w:abstractNumId w:val="20"/>
  </w:num>
  <w:num w:numId="22">
    <w:abstractNumId w:val="14"/>
  </w:num>
  <w:num w:numId="23">
    <w:abstractNumId w:val="21"/>
  </w:num>
  <w:num w:numId="24">
    <w:abstractNumId w:val="6"/>
  </w:num>
  <w:num w:numId="25">
    <w:abstractNumId w:val="17"/>
  </w:num>
  <w:num w:numId="26">
    <w:abstractNumId w:val="12"/>
  </w:num>
  <w:num w:numId="27">
    <w:abstractNumId w:val="26"/>
  </w:num>
  <w:num w:numId="28">
    <w:abstractNumId w:val="24"/>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F6"/>
    <w:rsid w:val="000029A8"/>
    <w:rsid w:val="00005447"/>
    <w:rsid w:val="00006BD1"/>
    <w:rsid w:val="00007765"/>
    <w:rsid w:val="00010650"/>
    <w:rsid w:val="00012502"/>
    <w:rsid w:val="00015EFC"/>
    <w:rsid w:val="0002003E"/>
    <w:rsid w:val="00020A99"/>
    <w:rsid w:val="00020CF1"/>
    <w:rsid w:val="0002462A"/>
    <w:rsid w:val="0002545D"/>
    <w:rsid w:val="00027A84"/>
    <w:rsid w:val="00027B0D"/>
    <w:rsid w:val="000353B0"/>
    <w:rsid w:val="00036BCA"/>
    <w:rsid w:val="000427D9"/>
    <w:rsid w:val="00047EE2"/>
    <w:rsid w:val="00051F0B"/>
    <w:rsid w:val="00052C3E"/>
    <w:rsid w:val="00054FE0"/>
    <w:rsid w:val="00061FB5"/>
    <w:rsid w:val="000645E5"/>
    <w:rsid w:val="0006555C"/>
    <w:rsid w:val="00070DCC"/>
    <w:rsid w:val="000710AA"/>
    <w:rsid w:val="00071394"/>
    <w:rsid w:val="0007267A"/>
    <w:rsid w:val="00072B81"/>
    <w:rsid w:val="000738FF"/>
    <w:rsid w:val="00073F44"/>
    <w:rsid w:val="0007627E"/>
    <w:rsid w:val="00077F62"/>
    <w:rsid w:val="00082FD1"/>
    <w:rsid w:val="00093264"/>
    <w:rsid w:val="000970C5"/>
    <w:rsid w:val="000A2BCD"/>
    <w:rsid w:val="000A340D"/>
    <w:rsid w:val="000A6C7F"/>
    <w:rsid w:val="000A7687"/>
    <w:rsid w:val="000B4F08"/>
    <w:rsid w:val="000B5935"/>
    <w:rsid w:val="000B5CCE"/>
    <w:rsid w:val="000B7676"/>
    <w:rsid w:val="000C379B"/>
    <w:rsid w:val="000C783E"/>
    <w:rsid w:val="000D02EB"/>
    <w:rsid w:val="000D1553"/>
    <w:rsid w:val="000E06E3"/>
    <w:rsid w:val="000E48BE"/>
    <w:rsid w:val="000E5C17"/>
    <w:rsid w:val="000F2873"/>
    <w:rsid w:val="000F313D"/>
    <w:rsid w:val="0010095C"/>
    <w:rsid w:val="0010170C"/>
    <w:rsid w:val="001029A6"/>
    <w:rsid w:val="001106AA"/>
    <w:rsid w:val="0011249E"/>
    <w:rsid w:val="00112896"/>
    <w:rsid w:val="001202B7"/>
    <w:rsid w:val="00120DC8"/>
    <w:rsid w:val="00124356"/>
    <w:rsid w:val="00124491"/>
    <w:rsid w:val="001268B6"/>
    <w:rsid w:val="00127222"/>
    <w:rsid w:val="0013068D"/>
    <w:rsid w:val="00130D9E"/>
    <w:rsid w:val="001360C8"/>
    <w:rsid w:val="001368E6"/>
    <w:rsid w:val="00140E7F"/>
    <w:rsid w:val="00142186"/>
    <w:rsid w:val="00142360"/>
    <w:rsid w:val="001423DE"/>
    <w:rsid w:val="0014507C"/>
    <w:rsid w:val="001456B3"/>
    <w:rsid w:val="00145D08"/>
    <w:rsid w:val="00146E93"/>
    <w:rsid w:val="00150387"/>
    <w:rsid w:val="001524ED"/>
    <w:rsid w:val="001535FB"/>
    <w:rsid w:val="001546DD"/>
    <w:rsid w:val="001550E7"/>
    <w:rsid w:val="00156BB7"/>
    <w:rsid w:val="00160AC5"/>
    <w:rsid w:val="00162DD7"/>
    <w:rsid w:val="00164CE8"/>
    <w:rsid w:val="00166E95"/>
    <w:rsid w:val="0017195F"/>
    <w:rsid w:val="00172232"/>
    <w:rsid w:val="001731E1"/>
    <w:rsid w:val="00175919"/>
    <w:rsid w:val="001778C3"/>
    <w:rsid w:val="00190EC3"/>
    <w:rsid w:val="00195E06"/>
    <w:rsid w:val="001970DC"/>
    <w:rsid w:val="001A1329"/>
    <w:rsid w:val="001A254B"/>
    <w:rsid w:val="001A327E"/>
    <w:rsid w:val="001A37A5"/>
    <w:rsid w:val="001A7155"/>
    <w:rsid w:val="001B011B"/>
    <w:rsid w:val="001B41F6"/>
    <w:rsid w:val="001C30E6"/>
    <w:rsid w:val="001C5579"/>
    <w:rsid w:val="001C632B"/>
    <w:rsid w:val="001C63F7"/>
    <w:rsid w:val="001D3403"/>
    <w:rsid w:val="001D4560"/>
    <w:rsid w:val="001D5238"/>
    <w:rsid w:val="001E1DFB"/>
    <w:rsid w:val="001E483F"/>
    <w:rsid w:val="001F0E5C"/>
    <w:rsid w:val="001F3749"/>
    <w:rsid w:val="001F3E50"/>
    <w:rsid w:val="001F55A5"/>
    <w:rsid w:val="001F5F20"/>
    <w:rsid w:val="00201C95"/>
    <w:rsid w:val="002032AF"/>
    <w:rsid w:val="00211812"/>
    <w:rsid w:val="002134A5"/>
    <w:rsid w:val="0021417D"/>
    <w:rsid w:val="002226F1"/>
    <w:rsid w:val="00222AAE"/>
    <w:rsid w:val="002238F7"/>
    <w:rsid w:val="00224C22"/>
    <w:rsid w:val="002254A3"/>
    <w:rsid w:val="00226629"/>
    <w:rsid w:val="0022666B"/>
    <w:rsid w:val="0022761D"/>
    <w:rsid w:val="002315BF"/>
    <w:rsid w:val="002344B5"/>
    <w:rsid w:val="002364AC"/>
    <w:rsid w:val="002369F9"/>
    <w:rsid w:val="00237C4D"/>
    <w:rsid w:val="00242340"/>
    <w:rsid w:val="00242659"/>
    <w:rsid w:val="00244ED8"/>
    <w:rsid w:val="00255273"/>
    <w:rsid w:val="0026076E"/>
    <w:rsid w:val="00261DFF"/>
    <w:rsid w:val="00262747"/>
    <w:rsid w:val="002629BF"/>
    <w:rsid w:val="00263677"/>
    <w:rsid w:val="00264C1B"/>
    <w:rsid w:val="00270512"/>
    <w:rsid w:val="00271156"/>
    <w:rsid w:val="002717FB"/>
    <w:rsid w:val="00271B19"/>
    <w:rsid w:val="002743A7"/>
    <w:rsid w:val="0027531F"/>
    <w:rsid w:val="0028273B"/>
    <w:rsid w:val="0028784F"/>
    <w:rsid w:val="002900A3"/>
    <w:rsid w:val="00290574"/>
    <w:rsid w:val="00296CB7"/>
    <w:rsid w:val="0029712B"/>
    <w:rsid w:val="002A0766"/>
    <w:rsid w:val="002A0FFC"/>
    <w:rsid w:val="002A368C"/>
    <w:rsid w:val="002A39C8"/>
    <w:rsid w:val="002A3FAA"/>
    <w:rsid w:val="002A5DBB"/>
    <w:rsid w:val="002B0130"/>
    <w:rsid w:val="002B2FD6"/>
    <w:rsid w:val="002B3450"/>
    <w:rsid w:val="002B6346"/>
    <w:rsid w:val="002B7B7C"/>
    <w:rsid w:val="002C0194"/>
    <w:rsid w:val="002C0670"/>
    <w:rsid w:val="002C074F"/>
    <w:rsid w:val="002D3A18"/>
    <w:rsid w:val="002D7563"/>
    <w:rsid w:val="002E052B"/>
    <w:rsid w:val="002E34A5"/>
    <w:rsid w:val="002E5EF3"/>
    <w:rsid w:val="002E7D3B"/>
    <w:rsid w:val="002F182D"/>
    <w:rsid w:val="002F2726"/>
    <w:rsid w:val="002F315A"/>
    <w:rsid w:val="002F3993"/>
    <w:rsid w:val="002F4664"/>
    <w:rsid w:val="003155BD"/>
    <w:rsid w:val="00315E39"/>
    <w:rsid w:val="00316057"/>
    <w:rsid w:val="00317063"/>
    <w:rsid w:val="00323294"/>
    <w:rsid w:val="00324D02"/>
    <w:rsid w:val="003272D8"/>
    <w:rsid w:val="00327D34"/>
    <w:rsid w:val="003307F4"/>
    <w:rsid w:val="003323CE"/>
    <w:rsid w:val="0033321A"/>
    <w:rsid w:val="003446EC"/>
    <w:rsid w:val="00345CE0"/>
    <w:rsid w:val="00346D1A"/>
    <w:rsid w:val="003476DD"/>
    <w:rsid w:val="00350B07"/>
    <w:rsid w:val="003514D6"/>
    <w:rsid w:val="0035224D"/>
    <w:rsid w:val="00352A7A"/>
    <w:rsid w:val="0035353C"/>
    <w:rsid w:val="0035464C"/>
    <w:rsid w:val="0035744A"/>
    <w:rsid w:val="00362947"/>
    <w:rsid w:val="00363507"/>
    <w:rsid w:val="003661E7"/>
    <w:rsid w:val="00370849"/>
    <w:rsid w:val="00372CFC"/>
    <w:rsid w:val="00373519"/>
    <w:rsid w:val="00373BBA"/>
    <w:rsid w:val="00373FD5"/>
    <w:rsid w:val="0037584A"/>
    <w:rsid w:val="003768A1"/>
    <w:rsid w:val="00383388"/>
    <w:rsid w:val="0038353A"/>
    <w:rsid w:val="0038410C"/>
    <w:rsid w:val="003855D3"/>
    <w:rsid w:val="003857DB"/>
    <w:rsid w:val="003912A6"/>
    <w:rsid w:val="003934E8"/>
    <w:rsid w:val="00396284"/>
    <w:rsid w:val="003A50DE"/>
    <w:rsid w:val="003B1FB2"/>
    <w:rsid w:val="003B4551"/>
    <w:rsid w:val="003B48B7"/>
    <w:rsid w:val="003B5489"/>
    <w:rsid w:val="003B6515"/>
    <w:rsid w:val="003B651D"/>
    <w:rsid w:val="003C2463"/>
    <w:rsid w:val="003C2F38"/>
    <w:rsid w:val="003C55F8"/>
    <w:rsid w:val="003D0710"/>
    <w:rsid w:val="003D0E5A"/>
    <w:rsid w:val="003D1AA6"/>
    <w:rsid w:val="003D597B"/>
    <w:rsid w:val="003D5E53"/>
    <w:rsid w:val="003E1DD4"/>
    <w:rsid w:val="003E2F55"/>
    <w:rsid w:val="003E339E"/>
    <w:rsid w:val="003E351C"/>
    <w:rsid w:val="003E496A"/>
    <w:rsid w:val="003E6692"/>
    <w:rsid w:val="003E7F6A"/>
    <w:rsid w:val="003F03BB"/>
    <w:rsid w:val="003F0AC1"/>
    <w:rsid w:val="003F47C3"/>
    <w:rsid w:val="003F7931"/>
    <w:rsid w:val="00402AE0"/>
    <w:rsid w:val="00406E1C"/>
    <w:rsid w:val="0041237A"/>
    <w:rsid w:val="00412ADD"/>
    <w:rsid w:val="00412F5E"/>
    <w:rsid w:val="004145C4"/>
    <w:rsid w:val="00421F55"/>
    <w:rsid w:val="00425D3C"/>
    <w:rsid w:val="00426D41"/>
    <w:rsid w:val="00441F12"/>
    <w:rsid w:val="004442D7"/>
    <w:rsid w:val="00444996"/>
    <w:rsid w:val="00445B06"/>
    <w:rsid w:val="004527E5"/>
    <w:rsid w:val="00453DEA"/>
    <w:rsid w:val="00454884"/>
    <w:rsid w:val="004551F8"/>
    <w:rsid w:val="004553BC"/>
    <w:rsid w:val="00471E2B"/>
    <w:rsid w:val="00472C23"/>
    <w:rsid w:val="004748FA"/>
    <w:rsid w:val="00481035"/>
    <w:rsid w:val="00481605"/>
    <w:rsid w:val="00482D21"/>
    <w:rsid w:val="00483CC9"/>
    <w:rsid w:val="00484FF4"/>
    <w:rsid w:val="00486CA6"/>
    <w:rsid w:val="004871FF"/>
    <w:rsid w:val="0049073E"/>
    <w:rsid w:val="00491EB7"/>
    <w:rsid w:val="00492B40"/>
    <w:rsid w:val="00492FC4"/>
    <w:rsid w:val="00494D2D"/>
    <w:rsid w:val="00495F51"/>
    <w:rsid w:val="00497F09"/>
    <w:rsid w:val="004A74CB"/>
    <w:rsid w:val="004B079F"/>
    <w:rsid w:val="004B328C"/>
    <w:rsid w:val="004B7098"/>
    <w:rsid w:val="004C1791"/>
    <w:rsid w:val="004C1C1C"/>
    <w:rsid w:val="004C4B41"/>
    <w:rsid w:val="004C707C"/>
    <w:rsid w:val="004C7961"/>
    <w:rsid w:val="004D09E6"/>
    <w:rsid w:val="004D3F88"/>
    <w:rsid w:val="004D662B"/>
    <w:rsid w:val="004E35D7"/>
    <w:rsid w:val="004E46C7"/>
    <w:rsid w:val="004E49A1"/>
    <w:rsid w:val="004E4B4F"/>
    <w:rsid w:val="004E6126"/>
    <w:rsid w:val="004E71C2"/>
    <w:rsid w:val="004E7F91"/>
    <w:rsid w:val="004F5780"/>
    <w:rsid w:val="004F58E3"/>
    <w:rsid w:val="004F5EFB"/>
    <w:rsid w:val="00502073"/>
    <w:rsid w:val="00505A38"/>
    <w:rsid w:val="00506122"/>
    <w:rsid w:val="00522703"/>
    <w:rsid w:val="00530EDF"/>
    <w:rsid w:val="00531363"/>
    <w:rsid w:val="00532D2F"/>
    <w:rsid w:val="005347AC"/>
    <w:rsid w:val="0053588B"/>
    <w:rsid w:val="005360F8"/>
    <w:rsid w:val="005379C0"/>
    <w:rsid w:val="00540383"/>
    <w:rsid w:val="00547902"/>
    <w:rsid w:val="005479D8"/>
    <w:rsid w:val="00552086"/>
    <w:rsid w:val="00553394"/>
    <w:rsid w:val="00554138"/>
    <w:rsid w:val="00554CF2"/>
    <w:rsid w:val="00561DD6"/>
    <w:rsid w:val="005748D9"/>
    <w:rsid w:val="005771FD"/>
    <w:rsid w:val="005800CF"/>
    <w:rsid w:val="005830C0"/>
    <w:rsid w:val="00583C74"/>
    <w:rsid w:val="00583DC7"/>
    <w:rsid w:val="0058792D"/>
    <w:rsid w:val="005943A8"/>
    <w:rsid w:val="00595519"/>
    <w:rsid w:val="005B0250"/>
    <w:rsid w:val="005B03F5"/>
    <w:rsid w:val="005B235C"/>
    <w:rsid w:val="005B2A96"/>
    <w:rsid w:val="005B7A99"/>
    <w:rsid w:val="005C6D75"/>
    <w:rsid w:val="005D1127"/>
    <w:rsid w:val="005D12BD"/>
    <w:rsid w:val="005D15A4"/>
    <w:rsid w:val="005D42BB"/>
    <w:rsid w:val="005D7B4A"/>
    <w:rsid w:val="005E1595"/>
    <w:rsid w:val="005E2B73"/>
    <w:rsid w:val="005E3C6C"/>
    <w:rsid w:val="005E3E65"/>
    <w:rsid w:val="005E488D"/>
    <w:rsid w:val="005E6309"/>
    <w:rsid w:val="005F03CA"/>
    <w:rsid w:val="005F4B47"/>
    <w:rsid w:val="005F68CE"/>
    <w:rsid w:val="006001AC"/>
    <w:rsid w:val="00600A11"/>
    <w:rsid w:val="00607248"/>
    <w:rsid w:val="00611113"/>
    <w:rsid w:val="00613EF6"/>
    <w:rsid w:val="00614881"/>
    <w:rsid w:val="00616763"/>
    <w:rsid w:val="006210B5"/>
    <w:rsid w:val="00625A60"/>
    <w:rsid w:val="006304E5"/>
    <w:rsid w:val="00631085"/>
    <w:rsid w:val="0063387F"/>
    <w:rsid w:val="006407F5"/>
    <w:rsid w:val="00641204"/>
    <w:rsid w:val="00645FF1"/>
    <w:rsid w:val="006529C4"/>
    <w:rsid w:val="00652CEA"/>
    <w:rsid w:val="00661301"/>
    <w:rsid w:val="00662C4F"/>
    <w:rsid w:val="00663E7E"/>
    <w:rsid w:val="00666D55"/>
    <w:rsid w:val="006709E9"/>
    <w:rsid w:val="00676ECE"/>
    <w:rsid w:val="00677F8A"/>
    <w:rsid w:val="00681036"/>
    <w:rsid w:val="006843E0"/>
    <w:rsid w:val="00685075"/>
    <w:rsid w:val="006859AC"/>
    <w:rsid w:val="00686205"/>
    <w:rsid w:val="00687DF4"/>
    <w:rsid w:val="006A1DB8"/>
    <w:rsid w:val="006A32A9"/>
    <w:rsid w:val="006A3E7E"/>
    <w:rsid w:val="006B0649"/>
    <w:rsid w:val="006B1DB3"/>
    <w:rsid w:val="006B22FA"/>
    <w:rsid w:val="006B7188"/>
    <w:rsid w:val="006C22F7"/>
    <w:rsid w:val="006C71ED"/>
    <w:rsid w:val="006D2682"/>
    <w:rsid w:val="006D2E47"/>
    <w:rsid w:val="006D6B60"/>
    <w:rsid w:val="006E2062"/>
    <w:rsid w:val="006E2380"/>
    <w:rsid w:val="006E349A"/>
    <w:rsid w:val="006E67E7"/>
    <w:rsid w:val="006F1A74"/>
    <w:rsid w:val="006F3D19"/>
    <w:rsid w:val="006F563F"/>
    <w:rsid w:val="006F5EDA"/>
    <w:rsid w:val="006F62A9"/>
    <w:rsid w:val="006F69BF"/>
    <w:rsid w:val="00700796"/>
    <w:rsid w:val="007074F6"/>
    <w:rsid w:val="00710CFB"/>
    <w:rsid w:val="007120F6"/>
    <w:rsid w:val="00714B95"/>
    <w:rsid w:val="0071641E"/>
    <w:rsid w:val="00716463"/>
    <w:rsid w:val="00720750"/>
    <w:rsid w:val="00720D2B"/>
    <w:rsid w:val="00723604"/>
    <w:rsid w:val="00723D20"/>
    <w:rsid w:val="00726BF5"/>
    <w:rsid w:val="0073350D"/>
    <w:rsid w:val="00733AB9"/>
    <w:rsid w:val="007364F9"/>
    <w:rsid w:val="00742C58"/>
    <w:rsid w:val="00744C75"/>
    <w:rsid w:val="00754665"/>
    <w:rsid w:val="00757911"/>
    <w:rsid w:val="00757F5A"/>
    <w:rsid w:val="00764246"/>
    <w:rsid w:val="007716FE"/>
    <w:rsid w:val="0077766D"/>
    <w:rsid w:val="00777A45"/>
    <w:rsid w:val="00780A73"/>
    <w:rsid w:val="00781B39"/>
    <w:rsid w:val="007841C6"/>
    <w:rsid w:val="0078719B"/>
    <w:rsid w:val="00790F38"/>
    <w:rsid w:val="0079101A"/>
    <w:rsid w:val="00793470"/>
    <w:rsid w:val="00794D53"/>
    <w:rsid w:val="007A6DCD"/>
    <w:rsid w:val="007B0E51"/>
    <w:rsid w:val="007C29FC"/>
    <w:rsid w:val="007D112F"/>
    <w:rsid w:val="007D1B87"/>
    <w:rsid w:val="007D5239"/>
    <w:rsid w:val="007D53B3"/>
    <w:rsid w:val="007D7DE5"/>
    <w:rsid w:val="007E1EF5"/>
    <w:rsid w:val="007E502E"/>
    <w:rsid w:val="007F1A87"/>
    <w:rsid w:val="007F4548"/>
    <w:rsid w:val="007F55F6"/>
    <w:rsid w:val="007F71D3"/>
    <w:rsid w:val="00800868"/>
    <w:rsid w:val="00800B51"/>
    <w:rsid w:val="008016B0"/>
    <w:rsid w:val="0080393F"/>
    <w:rsid w:val="008055F1"/>
    <w:rsid w:val="00812105"/>
    <w:rsid w:val="00812363"/>
    <w:rsid w:val="0081403D"/>
    <w:rsid w:val="008152F3"/>
    <w:rsid w:val="0081560B"/>
    <w:rsid w:val="00815C20"/>
    <w:rsid w:val="00815CC6"/>
    <w:rsid w:val="0082177C"/>
    <w:rsid w:val="00823821"/>
    <w:rsid w:val="0082544A"/>
    <w:rsid w:val="00827922"/>
    <w:rsid w:val="008319A4"/>
    <w:rsid w:val="00832933"/>
    <w:rsid w:val="0083404F"/>
    <w:rsid w:val="008364A6"/>
    <w:rsid w:val="008374E2"/>
    <w:rsid w:val="00837A71"/>
    <w:rsid w:val="008417FC"/>
    <w:rsid w:val="0084366C"/>
    <w:rsid w:val="0084442D"/>
    <w:rsid w:val="00845AA7"/>
    <w:rsid w:val="008507DD"/>
    <w:rsid w:val="008552F9"/>
    <w:rsid w:val="00860945"/>
    <w:rsid w:val="00863A9A"/>
    <w:rsid w:val="008844BE"/>
    <w:rsid w:val="00884ED2"/>
    <w:rsid w:val="0088744A"/>
    <w:rsid w:val="008948DA"/>
    <w:rsid w:val="00897005"/>
    <w:rsid w:val="008A2591"/>
    <w:rsid w:val="008B14FF"/>
    <w:rsid w:val="008B279B"/>
    <w:rsid w:val="008B2D79"/>
    <w:rsid w:val="008B3AF3"/>
    <w:rsid w:val="008B5C80"/>
    <w:rsid w:val="008B7128"/>
    <w:rsid w:val="008C0A42"/>
    <w:rsid w:val="008C4B42"/>
    <w:rsid w:val="008C64E2"/>
    <w:rsid w:val="008C74FB"/>
    <w:rsid w:val="008D3609"/>
    <w:rsid w:val="008D680E"/>
    <w:rsid w:val="008E06F5"/>
    <w:rsid w:val="008E20B9"/>
    <w:rsid w:val="008E20E1"/>
    <w:rsid w:val="008F1A77"/>
    <w:rsid w:val="008F5F63"/>
    <w:rsid w:val="008F6703"/>
    <w:rsid w:val="00910ABD"/>
    <w:rsid w:val="00911B42"/>
    <w:rsid w:val="00915A18"/>
    <w:rsid w:val="00917FAB"/>
    <w:rsid w:val="009212C5"/>
    <w:rsid w:val="009243BD"/>
    <w:rsid w:val="009247E3"/>
    <w:rsid w:val="00925F47"/>
    <w:rsid w:val="009262E0"/>
    <w:rsid w:val="00930C88"/>
    <w:rsid w:val="00930CC6"/>
    <w:rsid w:val="00935437"/>
    <w:rsid w:val="00935EC5"/>
    <w:rsid w:val="009441EF"/>
    <w:rsid w:val="009442E8"/>
    <w:rsid w:val="00945678"/>
    <w:rsid w:val="00950AD7"/>
    <w:rsid w:val="00950CD4"/>
    <w:rsid w:val="009536FB"/>
    <w:rsid w:val="00953EBB"/>
    <w:rsid w:val="00962494"/>
    <w:rsid w:val="00971F7A"/>
    <w:rsid w:val="0097287E"/>
    <w:rsid w:val="00972EE0"/>
    <w:rsid w:val="00981A8F"/>
    <w:rsid w:val="00981AE1"/>
    <w:rsid w:val="00985E16"/>
    <w:rsid w:val="00993D65"/>
    <w:rsid w:val="009943D9"/>
    <w:rsid w:val="0099612A"/>
    <w:rsid w:val="009978CB"/>
    <w:rsid w:val="009A0E35"/>
    <w:rsid w:val="009A313E"/>
    <w:rsid w:val="009A4777"/>
    <w:rsid w:val="009A4C23"/>
    <w:rsid w:val="009B058E"/>
    <w:rsid w:val="009B2D3F"/>
    <w:rsid w:val="009B2DA2"/>
    <w:rsid w:val="009B4835"/>
    <w:rsid w:val="009B50C6"/>
    <w:rsid w:val="009B660D"/>
    <w:rsid w:val="009B6751"/>
    <w:rsid w:val="009B68D3"/>
    <w:rsid w:val="009B6DB9"/>
    <w:rsid w:val="009C61DB"/>
    <w:rsid w:val="009C6E6C"/>
    <w:rsid w:val="009C7BF7"/>
    <w:rsid w:val="009D0B4B"/>
    <w:rsid w:val="009D4F76"/>
    <w:rsid w:val="009D6F4D"/>
    <w:rsid w:val="009E22B7"/>
    <w:rsid w:val="009E5A52"/>
    <w:rsid w:val="009F1211"/>
    <w:rsid w:val="009F250D"/>
    <w:rsid w:val="009F4172"/>
    <w:rsid w:val="009F6702"/>
    <w:rsid w:val="00A00932"/>
    <w:rsid w:val="00A01613"/>
    <w:rsid w:val="00A0746D"/>
    <w:rsid w:val="00A075D8"/>
    <w:rsid w:val="00A100BE"/>
    <w:rsid w:val="00A10D18"/>
    <w:rsid w:val="00A11D50"/>
    <w:rsid w:val="00A131DD"/>
    <w:rsid w:val="00A13551"/>
    <w:rsid w:val="00A14817"/>
    <w:rsid w:val="00A16744"/>
    <w:rsid w:val="00A17095"/>
    <w:rsid w:val="00A21C87"/>
    <w:rsid w:val="00A23525"/>
    <w:rsid w:val="00A235F3"/>
    <w:rsid w:val="00A23E31"/>
    <w:rsid w:val="00A23F14"/>
    <w:rsid w:val="00A26C04"/>
    <w:rsid w:val="00A32D0A"/>
    <w:rsid w:val="00A335AC"/>
    <w:rsid w:val="00A40A2C"/>
    <w:rsid w:val="00A42678"/>
    <w:rsid w:val="00A46ED6"/>
    <w:rsid w:val="00A47D71"/>
    <w:rsid w:val="00A50128"/>
    <w:rsid w:val="00A520AC"/>
    <w:rsid w:val="00A5348E"/>
    <w:rsid w:val="00A576AD"/>
    <w:rsid w:val="00A57925"/>
    <w:rsid w:val="00A616D8"/>
    <w:rsid w:val="00A634A8"/>
    <w:rsid w:val="00A6717E"/>
    <w:rsid w:val="00A71111"/>
    <w:rsid w:val="00A72012"/>
    <w:rsid w:val="00A73BDD"/>
    <w:rsid w:val="00A76E86"/>
    <w:rsid w:val="00A772E4"/>
    <w:rsid w:val="00A77706"/>
    <w:rsid w:val="00A77DE2"/>
    <w:rsid w:val="00A77E1A"/>
    <w:rsid w:val="00A82B15"/>
    <w:rsid w:val="00A901D0"/>
    <w:rsid w:val="00A90818"/>
    <w:rsid w:val="00A96752"/>
    <w:rsid w:val="00AA3388"/>
    <w:rsid w:val="00AA6E99"/>
    <w:rsid w:val="00AA7B86"/>
    <w:rsid w:val="00AB380D"/>
    <w:rsid w:val="00AB4852"/>
    <w:rsid w:val="00AB55DA"/>
    <w:rsid w:val="00AC02BF"/>
    <w:rsid w:val="00AC335F"/>
    <w:rsid w:val="00AC36C8"/>
    <w:rsid w:val="00AC57F4"/>
    <w:rsid w:val="00AC5F01"/>
    <w:rsid w:val="00AD161D"/>
    <w:rsid w:val="00AD1D7A"/>
    <w:rsid w:val="00AD22D7"/>
    <w:rsid w:val="00AD3B92"/>
    <w:rsid w:val="00AD51B8"/>
    <w:rsid w:val="00AD63AA"/>
    <w:rsid w:val="00AE29D8"/>
    <w:rsid w:val="00AE2C86"/>
    <w:rsid w:val="00AE3BA3"/>
    <w:rsid w:val="00AE437B"/>
    <w:rsid w:val="00AE7C9A"/>
    <w:rsid w:val="00AF0ADC"/>
    <w:rsid w:val="00AF7B1D"/>
    <w:rsid w:val="00B00706"/>
    <w:rsid w:val="00B04F44"/>
    <w:rsid w:val="00B05DF0"/>
    <w:rsid w:val="00B0700C"/>
    <w:rsid w:val="00B071A4"/>
    <w:rsid w:val="00B13B75"/>
    <w:rsid w:val="00B1536D"/>
    <w:rsid w:val="00B15A73"/>
    <w:rsid w:val="00B16CBD"/>
    <w:rsid w:val="00B171F6"/>
    <w:rsid w:val="00B20773"/>
    <w:rsid w:val="00B20DFD"/>
    <w:rsid w:val="00B22D1F"/>
    <w:rsid w:val="00B23FDB"/>
    <w:rsid w:val="00B25AF8"/>
    <w:rsid w:val="00B300D7"/>
    <w:rsid w:val="00B34F4F"/>
    <w:rsid w:val="00B41D24"/>
    <w:rsid w:val="00B42675"/>
    <w:rsid w:val="00B43AE9"/>
    <w:rsid w:val="00B44218"/>
    <w:rsid w:val="00B44B66"/>
    <w:rsid w:val="00B46A50"/>
    <w:rsid w:val="00B550A2"/>
    <w:rsid w:val="00B5736F"/>
    <w:rsid w:val="00B60002"/>
    <w:rsid w:val="00B6112D"/>
    <w:rsid w:val="00B6121F"/>
    <w:rsid w:val="00B668DB"/>
    <w:rsid w:val="00B67577"/>
    <w:rsid w:val="00B67E58"/>
    <w:rsid w:val="00B7162F"/>
    <w:rsid w:val="00B73454"/>
    <w:rsid w:val="00B7557A"/>
    <w:rsid w:val="00B75FED"/>
    <w:rsid w:val="00B7671F"/>
    <w:rsid w:val="00B77E7A"/>
    <w:rsid w:val="00B8385A"/>
    <w:rsid w:val="00B87B41"/>
    <w:rsid w:val="00B95E3D"/>
    <w:rsid w:val="00BA2B10"/>
    <w:rsid w:val="00BA7970"/>
    <w:rsid w:val="00BB026E"/>
    <w:rsid w:val="00BB1E6C"/>
    <w:rsid w:val="00BB33DA"/>
    <w:rsid w:val="00BB6697"/>
    <w:rsid w:val="00BB6E6F"/>
    <w:rsid w:val="00BC3A57"/>
    <w:rsid w:val="00BC3CAD"/>
    <w:rsid w:val="00BC5099"/>
    <w:rsid w:val="00BE1723"/>
    <w:rsid w:val="00BE43C9"/>
    <w:rsid w:val="00BE7AEA"/>
    <w:rsid w:val="00BF130C"/>
    <w:rsid w:val="00BF1443"/>
    <w:rsid w:val="00BF25E0"/>
    <w:rsid w:val="00BF6D9B"/>
    <w:rsid w:val="00C001EA"/>
    <w:rsid w:val="00C01020"/>
    <w:rsid w:val="00C02648"/>
    <w:rsid w:val="00C02872"/>
    <w:rsid w:val="00C03903"/>
    <w:rsid w:val="00C04F4E"/>
    <w:rsid w:val="00C20D6D"/>
    <w:rsid w:val="00C25CFE"/>
    <w:rsid w:val="00C3076B"/>
    <w:rsid w:val="00C32E92"/>
    <w:rsid w:val="00C335B8"/>
    <w:rsid w:val="00C36256"/>
    <w:rsid w:val="00C37943"/>
    <w:rsid w:val="00C40127"/>
    <w:rsid w:val="00C43FDE"/>
    <w:rsid w:val="00C519E5"/>
    <w:rsid w:val="00C56293"/>
    <w:rsid w:val="00C57ACB"/>
    <w:rsid w:val="00C67C73"/>
    <w:rsid w:val="00C720F5"/>
    <w:rsid w:val="00C73B9E"/>
    <w:rsid w:val="00C75772"/>
    <w:rsid w:val="00C764A3"/>
    <w:rsid w:val="00C76EEE"/>
    <w:rsid w:val="00C8128C"/>
    <w:rsid w:val="00C83281"/>
    <w:rsid w:val="00C8405A"/>
    <w:rsid w:val="00C84597"/>
    <w:rsid w:val="00C85D51"/>
    <w:rsid w:val="00C90BBF"/>
    <w:rsid w:val="00C91B63"/>
    <w:rsid w:val="00C97609"/>
    <w:rsid w:val="00CA20E1"/>
    <w:rsid w:val="00CA2BD1"/>
    <w:rsid w:val="00CA2F5E"/>
    <w:rsid w:val="00CA3252"/>
    <w:rsid w:val="00CA5493"/>
    <w:rsid w:val="00CA6C22"/>
    <w:rsid w:val="00CB463B"/>
    <w:rsid w:val="00CB5109"/>
    <w:rsid w:val="00CC11F6"/>
    <w:rsid w:val="00CC4323"/>
    <w:rsid w:val="00CC45F6"/>
    <w:rsid w:val="00CC529A"/>
    <w:rsid w:val="00CC6680"/>
    <w:rsid w:val="00CD5191"/>
    <w:rsid w:val="00CD7368"/>
    <w:rsid w:val="00CE0418"/>
    <w:rsid w:val="00CE0D49"/>
    <w:rsid w:val="00CE2277"/>
    <w:rsid w:val="00CE47D9"/>
    <w:rsid w:val="00CE58A6"/>
    <w:rsid w:val="00CE5B96"/>
    <w:rsid w:val="00CF0F63"/>
    <w:rsid w:val="00CF3AD7"/>
    <w:rsid w:val="00D000E7"/>
    <w:rsid w:val="00D017AA"/>
    <w:rsid w:val="00D11131"/>
    <w:rsid w:val="00D11283"/>
    <w:rsid w:val="00D12A45"/>
    <w:rsid w:val="00D1779C"/>
    <w:rsid w:val="00D21E46"/>
    <w:rsid w:val="00D24E86"/>
    <w:rsid w:val="00D26B7D"/>
    <w:rsid w:val="00D33421"/>
    <w:rsid w:val="00D365AD"/>
    <w:rsid w:val="00D366A6"/>
    <w:rsid w:val="00D40148"/>
    <w:rsid w:val="00D4191B"/>
    <w:rsid w:val="00D44EB7"/>
    <w:rsid w:val="00D51758"/>
    <w:rsid w:val="00D5681D"/>
    <w:rsid w:val="00D57C9E"/>
    <w:rsid w:val="00D6065B"/>
    <w:rsid w:val="00D60B52"/>
    <w:rsid w:val="00D61BC1"/>
    <w:rsid w:val="00D63033"/>
    <w:rsid w:val="00D714B9"/>
    <w:rsid w:val="00D71A94"/>
    <w:rsid w:val="00D72159"/>
    <w:rsid w:val="00D77487"/>
    <w:rsid w:val="00D77B8C"/>
    <w:rsid w:val="00D839B3"/>
    <w:rsid w:val="00D8401E"/>
    <w:rsid w:val="00D84ADD"/>
    <w:rsid w:val="00D9087A"/>
    <w:rsid w:val="00D908A5"/>
    <w:rsid w:val="00D9222A"/>
    <w:rsid w:val="00D96BB8"/>
    <w:rsid w:val="00DA11CA"/>
    <w:rsid w:val="00DA166F"/>
    <w:rsid w:val="00DA1E9B"/>
    <w:rsid w:val="00DA2E33"/>
    <w:rsid w:val="00DA7C72"/>
    <w:rsid w:val="00DB0088"/>
    <w:rsid w:val="00DB0373"/>
    <w:rsid w:val="00DB0B50"/>
    <w:rsid w:val="00DB2FDC"/>
    <w:rsid w:val="00DB70D2"/>
    <w:rsid w:val="00DC03A5"/>
    <w:rsid w:val="00DC2EAA"/>
    <w:rsid w:val="00DC2FF2"/>
    <w:rsid w:val="00DC59ED"/>
    <w:rsid w:val="00DC6B66"/>
    <w:rsid w:val="00DC6D0C"/>
    <w:rsid w:val="00DD0BCD"/>
    <w:rsid w:val="00DD24A5"/>
    <w:rsid w:val="00DD3D9B"/>
    <w:rsid w:val="00DD5A55"/>
    <w:rsid w:val="00DD5B38"/>
    <w:rsid w:val="00DD61A4"/>
    <w:rsid w:val="00DD729A"/>
    <w:rsid w:val="00DD7467"/>
    <w:rsid w:val="00DE2096"/>
    <w:rsid w:val="00DE2A9A"/>
    <w:rsid w:val="00DE5339"/>
    <w:rsid w:val="00DE743D"/>
    <w:rsid w:val="00DF0945"/>
    <w:rsid w:val="00DF19D9"/>
    <w:rsid w:val="00DF5961"/>
    <w:rsid w:val="00DF60CF"/>
    <w:rsid w:val="00E01289"/>
    <w:rsid w:val="00E0661C"/>
    <w:rsid w:val="00E068CD"/>
    <w:rsid w:val="00E0702A"/>
    <w:rsid w:val="00E13F7E"/>
    <w:rsid w:val="00E150F9"/>
    <w:rsid w:val="00E16DAE"/>
    <w:rsid w:val="00E17F54"/>
    <w:rsid w:val="00E21401"/>
    <w:rsid w:val="00E21D81"/>
    <w:rsid w:val="00E317FB"/>
    <w:rsid w:val="00E321E7"/>
    <w:rsid w:val="00E3225F"/>
    <w:rsid w:val="00E3450E"/>
    <w:rsid w:val="00E3497B"/>
    <w:rsid w:val="00E363E5"/>
    <w:rsid w:val="00E418C7"/>
    <w:rsid w:val="00E463C9"/>
    <w:rsid w:val="00E46A3C"/>
    <w:rsid w:val="00E50608"/>
    <w:rsid w:val="00E50872"/>
    <w:rsid w:val="00E5185A"/>
    <w:rsid w:val="00E527C2"/>
    <w:rsid w:val="00E54049"/>
    <w:rsid w:val="00E5407B"/>
    <w:rsid w:val="00E55C85"/>
    <w:rsid w:val="00E61092"/>
    <w:rsid w:val="00E640BD"/>
    <w:rsid w:val="00E64E08"/>
    <w:rsid w:val="00E651E9"/>
    <w:rsid w:val="00E71F5D"/>
    <w:rsid w:val="00E72208"/>
    <w:rsid w:val="00E724BC"/>
    <w:rsid w:val="00E7362F"/>
    <w:rsid w:val="00E74FFF"/>
    <w:rsid w:val="00E81614"/>
    <w:rsid w:val="00E81CEC"/>
    <w:rsid w:val="00E82980"/>
    <w:rsid w:val="00E829C6"/>
    <w:rsid w:val="00E877A6"/>
    <w:rsid w:val="00E90EE7"/>
    <w:rsid w:val="00E9276D"/>
    <w:rsid w:val="00E934B6"/>
    <w:rsid w:val="00E9500E"/>
    <w:rsid w:val="00E95DE3"/>
    <w:rsid w:val="00E960FA"/>
    <w:rsid w:val="00E96455"/>
    <w:rsid w:val="00E964F5"/>
    <w:rsid w:val="00EA19CE"/>
    <w:rsid w:val="00EA32C7"/>
    <w:rsid w:val="00EB4002"/>
    <w:rsid w:val="00EB499F"/>
    <w:rsid w:val="00EB5E5B"/>
    <w:rsid w:val="00EB68C9"/>
    <w:rsid w:val="00EB6E18"/>
    <w:rsid w:val="00EC3A58"/>
    <w:rsid w:val="00EC4CC6"/>
    <w:rsid w:val="00EC5483"/>
    <w:rsid w:val="00ED1CDA"/>
    <w:rsid w:val="00ED3F72"/>
    <w:rsid w:val="00ED4DBD"/>
    <w:rsid w:val="00ED76D0"/>
    <w:rsid w:val="00EE1B29"/>
    <w:rsid w:val="00EE1F63"/>
    <w:rsid w:val="00EE21F8"/>
    <w:rsid w:val="00EE3619"/>
    <w:rsid w:val="00EE4433"/>
    <w:rsid w:val="00EE587B"/>
    <w:rsid w:val="00EF07F6"/>
    <w:rsid w:val="00EF5048"/>
    <w:rsid w:val="00F032EF"/>
    <w:rsid w:val="00F06168"/>
    <w:rsid w:val="00F0706A"/>
    <w:rsid w:val="00F16322"/>
    <w:rsid w:val="00F17262"/>
    <w:rsid w:val="00F25119"/>
    <w:rsid w:val="00F27F0D"/>
    <w:rsid w:val="00F3665E"/>
    <w:rsid w:val="00F37589"/>
    <w:rsid w:val="00F37FDA"/>
    <w:rsid w:val="00F40C06"/>
    <w:rsid w:val="00F44526"/>
    <w:rsid w:val="00F44B7E"/>
    <w:rsid w:val="00F47C7E"/>
    <w:rsid w:val="00F50440"/>
    <w:rsid w:val="00F51BAE"/>
    <w:rsid w:val="00F52E60"/>
    <w:rsid w:val="00F535DC"/>
    <w:rsid w:val="00F53B0B"/>
    <w:rsid w:val="00F60046"/>
    <w:rsid w:val="00F638BA"/>
    <w:rsid w:val="00F66D14"/>
    <w:rsid w:val="00F73EE5"/>
    <w:rsid w:val="00F75860"/>
    <w:rsid w:val="00F76218"/>
    <w:rsid w:val="00F77524"/>
    <w:rsid w:val="00F77E9D"/>
    <w:rsid w:val="00F84DEA"/>
    <w:rsid w:val="00F91C24"/>
    <w:rsid w:val="00F94A9D"/>
    <w:rsid w:val="00F95E3A"/>
    <w:rsid w:val="00FA2467"/>
    <w:rsid w:val="00FA73CA"/>
    <w:rsid w:val="00FA7674"/>
    <w:rsid w:val="00FA76C7"/>
    <w:rsid w:val="00FB1B74"/>
    <w:rsid w:val="00FB384B"/>
    <w:rsid w:val="00FB387F"/>
    <w:rsid w:val="00FB3A9A"/>
    <w:rsid w:val="00FB51F0"/>
    <w:rsid w:val="00FB6981"/>
    <w:rsid w:val="00FC0B85"/>
    <w:rsid w:val="00FC1124"/>
    <w:rsid w:val="00FC3B76"/>
    <w:rsid w:val="00FD0BFE"/>
    <w:rsid w:val="00FD1460"/>
    <w:rsid w:val="00FD3C36"/>
    <w:rsid w:val="00FD560B"/>
    <w:rsid w:val="00FE1C52"/>
    <w:rsid w:val="00FE269D"/>
    <w:rsid w:val="00FE2E9F"/>
    <w:rsid w:val="00FE481D"/>
    <w:rsid w:val="00FF23C0"/>
    <w:rsid w:val="00FF26D4"/>
    <w:rsid w:val="00FF4F88"/>
    <w:rsid w:val="00FF5081"/>
    <w:rsid w:val="00FF5413"/>
    <w:rsid w:val="00FF5498"/>
    <w:rsid w:val="00FF569E"/>
  </w:rsids>
  <m:mathPr>
    <m:mathFont m:val="Cambria Math"/>
    <m:brkBin m:val="before"/>
    <m:brkBinSub m:val="--"/>
    <m:smallFrac m:val="0"/>
    <m:dispDef/>
    <m:lMargin m:val="0"/>
    <m:rMargin m:val="0"/>
    <m:defJc m:val="centerGroup"/>
    <m:wrapIndent m:val="1440"/>
    <m:intLim m:val="subSup"/>
    <m:naryLim m:val="undOvr"/>
  </m:mathPr>
  <w:themeFontLang w:val="en-ZW"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3B0516"/>
  <w15:docId w15:val="{EEF52C09-8F1A-4CD3-9612-DC3578BB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EastAsia" w:hAnsi="Arial Narrow" w:cs="Arial Narrow"/>
        <w:sz w:val="22"/>
        <w:szCs w:val="22"/>
        <w:lang w:val="en-GB" w:eastAsia="en-Z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72"/>
  </w:style>
  <w:style w:type="paragraph" w:styleId="Heading1">
    <w:name w:val="heading 1"/>
    <w:basedOn w:val="Normal1"/>
    <w:next w:val="Normal1"/>
    <w:rsid w:val="00CC45F6"/>
    <w:pPr>
      <w:keepNext/>
      <w:keepLines/>
      <w:spacing w:before="240" w:after="0"/>
      <w:ind w:left="432" w:hanging="432"/>
      <w:outlineLvl w:val="0"/>
    </w:pPr>
    <w:rPr>
      <w:rFonts w:ascii="Calibri" w:eastAsia="Calibri" w:hAnsi="Calibri" w:cs="Calibri"/>
      <w:color w:val="2F5496"/>
      <w:sz w:val="32"/>
      <w:szCs w:val="32"/>
    </w:rPr>
  </w:style>
  <w:style w:type="paragraph" w:styleId="Heading2">
    <w:name w:val="heading 2"/>
    <w:basedOn w:val="Normal1"/>
    <w:next w:val="Normal1"/>
    <w:rsid w:val="00CC45F6"/>
    <w:pPr>
      <w:keepNext/>
      <w:keepLines/>
      <w:spacing w:before="40" w:after="0"/>
      <w:ind w:left="576" w:hanging="576"/>
      <w:outlineLvl w:val="1"/>
    </w:pPr>
    <w:rPr>
      <w:rFonts w:ascii="Calibri" w:eastAsia="Calibri" w:hAnsi="Calibri" w:cs="Calibri"/>
      <w:color w:val="2F5496"/>
      <w:sz w:val="26"/>
      <w:szCs w:val="26"/>
    </w:rPr>
  </w:style>
  <w:style w:type="paragraph" w:styleId="Heading3">
    <w:name w:val="heading 3"/>
    <w:basedOn w:val="Normal1"/>
    <w:next w:val="Normal1"/>
    <w:rsid w:val="00CC45F6"/>
    <w:pPr>
      <w:keepNext/>
      <w:keepLines/>
      <w:spacing w:before="40" w:after="0"/>
      <w:ind w:left="720" w:hanging="720"/>
      <w:outlineLvl w:val="2"/>
    </w:pPr>
    <w:rPr>
      <w:rFonts w:ascii="Calibri" w:eastAsia="Calibri" w:hAnsi="Calibri" w:cs="Calibri"/>
      <w:color w:val="1F3863"/>
      <w:sz w:val="24"/>
      <w:szCs w:val="24"/>
    </w:rPr>
  </w:style>
  <w:style w:type="paragraph" w:styleId="Heading4">
    <w:name w:val="heading 4"/>
    <w:basedOn w:val="Normal1"/>
    <w:next w:val="Normal1"/>
    <w:rsid w:val="00CC45F6"/>
    <w:pPr>
      <w:keepNext/>
      <w:keepLines/>
      <w:spacing w:before="40" w:after="0"/>
      <w:ind w:left="864" w:hanging="864"/>
      <w:outlineLvl w:val="3"/>
    </w:pPr>
    <w:rPr>
      <w:rFonts w:ascii="Calibri" w:eastAsia="Calibri" w:hAnsi="Calibri" w:cs="Calibri"/>
      <w:i/>
      <w:color w:val="2F5496"/>
    </w:rPr>
  </w:style>
  <w:style w:type="paragraph" w:styleId="Heading5">
    <w:name w:val="heading 5"/>
    <w:basedOn w:val="Normal1"/>
    <w:next w:val="Normal1"/>
    <w:rsid w:val="00CC45F6"/>
    <w:pPr>
      <w:keepNext/>
      <w:keepLines/>
      <w:spacing w:before="40" w:after="0"/>
      <w:ind w:left="1008" w:hanging="1008"/>
      <w:outlineLvl w:val="4"/>
    </w:pPr>
    <w:rPr>
      <w:rFonts w:ascii="Calibri" w:eastAsia="Calibri" w:hAnsi="Calibri" w:cs="Calibri"/>
      <w:color w:val="2F5496"/>
    </w:rPr>
  </w:style>
  <w:style w:type="paragraph" w:styleId="Heading6">
    <w:name w:val="heading 6"/>
    <w:basedOn w:val="Normal1"/>
    <w:next w:val="Normal1"/>
    <w:rsid w:val="00CC45F6"/>
    <w:pPr>
      <w:keepNext/>
      <w:keepLines/>
      <w:spacing w:before="40" w:after="0"/>
      <w:ind w:left="1152" w:hanging="1152"/>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C45F6"/>
  </w:style>
  <w:style w:type="paragraph" w:styleId="Title">
    <w:name w:val="Title"/>
    <w:basedOn w:val="Normal1"/>
    <w:next w:val="Normal1"/>
    <w:rsid w:val="00CC45F6"/>
    <w:pPr>
      <w:pBdr>
        <w:top w:val="nil"/>
        <w:left w:val="nil"/>
        <w:bottom w:val="nil"/>
        <w:right w:val="nil"/>
        <w:between w:val="nil"/>
      </w:pBdr>
      <w:spacing w:before="40" w:after="0" w:line="240" w:lineRule="auto"/>
      <w:jc w:val="right"/>
    </w:pPr>
    <w:rPr>
      <w:rFonts w:ascii="Verdana" w:eastAsia="Verdana" w:hAnsi="Verdana" w:cs="Verdana"/>
      <w:b/>
      <w:color w:val="004A80"/>
      <w:sz w:val="36"/>
      <w:szCs w:val="36"/>
    </w:rPr>
  </w:style>
  <w:style w:type="paragraph" w:styleId="Subtitle">
    <w:name w:val="Subtitle"/>
    <w:basedOn w:val="Normal1"/>
    <w:next w:val="Normal1"/>
    <w:rsid w:val="00CC45F6"/>
    <w:pPr>
      <w:pBdr>
        <w:top w:val="nil"/>
        <w:left w:val="nil"/>
        <w:bottom w:val="nil"/>
        <w:right w:val="nil"/>
        <w:between w:val="nil"/>
      </w:pBdr>
      <w:spacing w:before="40" w:after="0" w:line="240" w:lineRule="auto"/>
      <w:jc w:val="right"/>
    </w:pPr>
    <w:rPr>
      <w:rFonts w:ascii="Verdana" w:eastAsia="Verdana" w:hAnsi="Verdana" w:cs="Verdana"/>
      <w:color w:val="787878"/>
      <w:sz w:val="28"/>
      <w:szCs w:val="28"/>
    </w:rPr>
  </w:style>
  <w:style w:type="table" w:customStyle="1" w:styleId="27">
    <w:name w:val="27"/>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6">
    <w:name w:val="26"/>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5">
    <w:name w:val="25"/>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4">
    <w:name w:val="24"/>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3">
    <w:name w:val="23"/>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2">
    <w:name w:val="22"/>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1">
    <w:name w:val="21"/>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0">
    <w:name w:val="20"/>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9">
    <w:name w:val="19"/>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8">
    <w:name w:val="18"/>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7">
    <w:name w:val="17"/>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6">
    <w:name w:val="16"/>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5">
    <w:name w:val="15"/>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4">
    <w:name w:val="14"/>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3">
    <w:name w:val="13"/>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2">
    <w:name w:val="12"/>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1">
    <w:name w:val="11"/>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0">
    <w:name w:val="10"/>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9">
    <w:name w:val="9"/>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8">
    <w:name w:val="8"/>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7">
    <w:name w:val="7"/>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6">
    <w:name w:val="6"/>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5">
    <w:name w:val="5"/>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4">
    <w:name w:val="4"/>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style>
  <w:style w:type="table" w:customStyle="1" w:styleId="3">
    <w:name w:val="3"/>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style>
  <w:style w:type="table" w:customStyle="1" w:styleId="2">
    <w:name w:val="2"/>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
    <w:name w:val="1"/>
    <w:basedOn w:val="TableNormal"/>
    <w:rsid w:val="00CC45F6"/>
    <w:pPr>
      <w:spacing w:before="40" w:after="0" w:line="240" w:lineRule="auto"/>
      <w:jc w:val="both"/>
    </w:pPr>
    <w:rPr>
      <w:rFonts w:ascii="Verdana" w:eastAsia="Verdana" w:hAnsi="Verdana" w:cs="Verdana"/>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paragraph" w:styleId="BalloonText">
    <w:name w:val="Balloon Text"/>
    <w:basedOn w:val="Normal"/>
    <w:link w:val="BalloonTextChar"/>
    <w:uiPriority w:val="99"/>
    <w:semiHidden/>
    <w:unhideWhenUsed/>
    <w:rsid w:val="00DF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0CF"/>
    <w:rPr>
      <w:rFonts w:ascii="Tahoma" w:hAnsi="Tahoma" w:cs="Tahoma"/>
      <w:sz w:val="16"/>
      <w:szCs w:val="16"/>
    </w:rPr>
  </w:style>
  <w:style w:type="character" w:styleId="CommentReference">
    <w:name w:val="annotation reference"/>
    <w:basedOn w:val="DefaultParagraphFont"/>
    <w:uiPriority w:val="99"/>
    <w:semiHidden/>
    <w:unhideWhenUsed/>
    <w:rsid w:val="00CD5191"/>
    <w:rPr>
      <w:sz w:val="16"/>
      <w:szCs w:val="16"/>
    </w:rPr>
  </w:style>
  <w:style w:type="paragraph" w:styleId="CommentText">
    <w:name w:val="annotation text"/>
    <w:basedOn w:val="Normal"/>
    <w:link w:val="CommentTextChar"/>
    <w:uiPriority w:val="99"/>
    <w:semiHidden/>
    <w:unhideWhenUsed/>
    <w:rsid w:val="00CD5191"/>
    <w:pPr>
      <w:spacing w:line="240" w:lineRule="auto"/>
    </w:pPr>
    <w:rPr>
      <w:sz w:val="20"/>
      <w:szCs w:val="20"/>
    </w:rPr>
  </w:style>
  <w:style w:type="character" w:customStyle="1" w:styleId="CommentTextChar">
    <w:name w:val="Comment Text Char"/>
    <w:basedOn w:val="DefaultParagraphFont"/>
    <w:link w:val="CommentText"/>
    <w:uiPriority w:val="99"/>
    <w:semiHidden/>
    <w:rsid w:val="00CD5191"/>
    <w:rPr>
      <w:sz w:val="20"/>
      <w:szCs w:val="20"/>
    </w:rPr>
  </w:style>
  <w:style w:type="paragraph" w:styleId="CommentSubject">
    <w:name w:val="annotation subject"/>
    <w:basedOn w:val="CommentText"/>
    <w:next w:val="CommentText"/>
    <w:link w:val="CommentSubjectChar"/>
    <w:uiPriority w:val="99"/>
    <w:semiHidden/>
    <w:unhideWhenUsed/>
    <w:rsid w:val="00CD5191"/>
    <w:rPr>
      <w:b/>
      <w:bCs/>
    </w:rPr>
  </w:style>
  <w:style w:type="character" w:customStyle="1" w:styleId="CommentSubjectChar">
    <w:name w:val="Comment Subject Char"/>
    <w:basedOn w:val="CommentTextChar"/>
    <w:link w:val="CommentSubject"/>
    <w:uiPriority w:val="99"/>
    <w:semiHidden/>
    <w:rsid w:val="00CD5191"/>
    <w:rPr>
      <w:b/>
      <w:bCs/>
      <w:sz w:val="20"/>
      <w:szCs w:val="20"/>
    </w:rPr>
  </w:style>
  <w:style w:type="paragraph" w:styleId="Revision">
    <w:name w:val="Revision"/>
    <w:hidden/>
    <w:uiPriority w:val="99"/>
    <w:semiHidden/>
    <w:rsid w:val="007D1B87"/>
    <w:pPr>
      <w:spacing w:after="0" w:line="240" w:lineRule="auto"/>
    </w:pPr>
  </w:style>
  <w:style w:type="paragraph" w:styleId="FootnoteText">
    <w:name w:val="footnote text"/>
    <w:basedOn w:val="Normal"/>
    <w:link w:val="FootnoteTextChar"/>
    <w:uiPriority w:val="99"/>
    <w:semiHidden/>
    <w:unhideWhenUsed/>
    <w:rsid w:val="000713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394"/>
    <w:rPr>
      <w:sz w:val="20"/>
      <w:szCs w:val="20"/>
    </w:rPr>
  </w:style>
  <w:style w:type="character" w:styleId="FootnoteReference">
    <w:name w:val="footnote reference"/>
    <w:basedOn w:val="DefaultParagraphFont"/>
    <w:uiPriority w:val="99"/>
    <w:semiHidden/>
    <w:unhideWhenUsed/>
    <w:rsid w:val="00071394"/>
    <w:rPr>
      <w:vertAlign w:val="superscript"/>
    </w:rPr>
  </w:style>
  <w:style w:type="paragraph" w:styleId="TOC1">
    <w:name w:val="toc 1"/>
    <w:basedOn w:val="Normal"/>
    <w:next w:val="Normal"/>
    <w:autoRedefine/>
    <w:uiPriority w:val="39"/>
    <w:unhideWhenUsed/>
    <w:rsid w:val="00723604"/>
    <w:pPr>
      <w:spacing w:after="100"/>
    </w:pPr>
  </w:style>
  <w:style w:type="paragraph" w:styleId="TOC2">
    <w:name w:val="toc 2"/>
    <w:basedOn w:val="Normal"/>
    <w:next w:val="Normal"/>
    <w:autoRedefine/>
    <w:uiPriority w:val="39"/>
    <w:unhideWhenUsed/>
    <w:rsid w:val="00723604"/>
    <w:pPr>
      <w:spacing w:after="100"/>
      <w:ind w:left="220"/>
    </w:pPr>
  </w:style>
  <w:style w:type="paragraph" w:styleId="TOC3">
    <w:name w:val="toc 3"/>
    <w:basedOn w:val="Normal"/>
    <w:next w:val="Normal"/>
    <w:autoRedefine/>
    <w:uiPriority w:val="39"/>
    <w:unhideWhenUsed/>
    <w:rsid w:val="00723604"/>
    <w:pPr>
      <w:spacing w:after="100"/>
      <w:ind w:left="440"/>
    </w:pPr>
  </w:style>
  <w:style w:type="paragraph" w:styleId="TOC4">
    <w:name w:val="toc 4"/>
    <w:basedOn w:val="Normal"/>
    <w:next w:val="Normal"/>
    <w:autoRedefine/>
    <w:uiPriority w:val="39"/>
    <w:unhideWhenUsed/>
    <w:rsid w:val="00723604"/>
    <w:pPr>
      <w:spacing w:after="100"/>
      <w:ind w:left="660"/>
    </w:pPr>
  </w:style>
  <w:style w:type="character" w:styleId="Hyperlink">
    <w:name w:val="Hyperlink"/>
    <w:basedOn w:val="DefaultParagraphFont"/>
    <w:uiPriority w:val="99"/>
    <w:unhideWhenUsed/>
    <w:rsid w:val="00723604"/>
    <w:rPr>
      <w:color w:val="0000FF" w:themeColor="hyperlink"/>
      <w:u w:val="single"/>
    </w:rPr>
  </w:style>
  <w:style w:type="paragraph" w:styleId="TOCHeading">
    <w:name w:val="TOC Heading"/>
    <w:basedOn w:val="Heading1"/>
    <w:next w:val="Normal"/>
    <w:uiPriority w:val="39"/>
    <w:unhideWhenUsed/>
    <w:qFormat/>
    <w:rsid w:val="003E496A"/>
    <w:pPr>
      <w:ind w:left="0" w:firstLine="0"/>
      <w:outlineLvl w:val="9"/>
    </w:pPr>
    <w:rPr>
      <w:rFonts w:asciiTheme="majorHAnsi" w:eastAsiaTheme="majorEastAsia" w:hAnsiTheme="majorHAnsi" w:cstheme="majorBidi"/>
      <w:color w:val="365F9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southsouth-galaxy.org/publications/directory-of-institutions-and-experts-for-science-technology-and-innovation-in-asia-unossc-2021/" TargetMode="External"/><Relationship Id="rId2" Type="http://schemas.openxmlformats.org/officeDocument/2006/relationships/customXml" Target="../customXml/item2.xml"/><Relationship Id="rId16" Type="http://schemas.openxmlformats.org/officeDocument/2006/relationships/hyperlink" Target="http://rcaro.org/elearning/ebfellowsh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eur03.safelinks.protection.outlook.com/?url=https%3A%2F%2Fwww.southsouth-galaxy.org%2Fnews%2Frca-unossc-project-on-electron-beam-applications-in-the-asia-pacific-region%2F&amp;data=04%7C01%7Cyejin.kim%40unossc.org%7C42227db5975741a8e11b08d8b94d8cbd%7Cb3e5db5e2944483799f57488ace54319%7C0%7C0%7C637463090032604519%7CUnknown%7CTWFpbGZsb3d8eyJWIjoiMC4wLjAwMDAiLCJQIjoiV2luMzIiLCJBTiI6Ik1haWwiLCJXVCI6Mn0%3D%7C1000&amp;sdata=tbU3MvAJstVBwUtBs%2B05MP5aA%2F2a6q3xF%2FEto5Av3Os%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erec/adb/tool-kit-gender-equality-results-indicators.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4A127C6EBB20488892A638EB3324D1" ma:contentTypeVersion="14" ma:contentTypeDescription="Create a new document." ma:contentTypeScope="" ma:versionID="81e03a68b35f4a192a47631d7ab414b6">
  <xsd:schema xmlns:xsd="http://www.w3.org/2001/XMLSchema" xmlns:xs="http://www.w3.org/2001/XMLSchema" xmlns:p="http://schemas.microsoft.com/office/2006/metadata/properties" xmlns:ns3="d7e12dc9-44a8-4fc5-a0df-2fbf656d6dcf" xmlns:ns4="c39acc85-145f-4ad1-b6f0-7428cbf50712" targetNamespace="http://schemas.microsoft.com/office/2006/metadata/properties" ma:root="true" ma:fieldsID="883a27bcc6e94f66c5c262f69832f24b" ns3:_="" ns4:_="">
    <xsd:import namespace="d7e12dc9-44a8-4fc5-a0df-2fbf656d6dcf"/>
    <xsd:import namespace="c39acc85-145f-4ad1-b6f0-7428cbf507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12dc9-44a8-4fc5-a0df-2fbf656d6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acc85-145f-4ad1-b6f0-7428cbf507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B3BB2-18F1-44AC-9976-E99C32B43432}">
  <ds:schemaRefs>
    <ds:schemaRef ds:uri="http://schemas.microsoft.com/sharepoint/v3/contenttype/forms"/>
  </ds:schemaRefs>
</ds:datastoreItem>
</file>

<file path=customXml/itemProps2.xml><?xml version="1.0" encoding="utf-8"?>
<ds:datastoreItem xmlns:ds="http://schemas.openxmlformats.org/officeDocument/2006/customXml" ds:itemID="{B85A8F45-1214-404F-A05E-40999055A211}">
  <ds:schemaRefs>
    <ds:schemaRef ds:uri="http://schemas.microsoft.com/office/infopath/2007/PartnerControls"/>
    <ds:schemaRef ds:uri="http://purl.org/dc/terms/"/>
    <ds:schemaRef ds:uri="d7e12dc9-44a8-4fc5-a0df-2fbf656d6dcf"/>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39acc85-145f-4ad1-b6f0-7428cbf50712"/>
    <ds:schemaRef ds:uri="http://www.w3.org/XML/1998/namespace"/>
  </ds:schemaRefs>
</ds:datastoreItem>
</file>

<file path=customXml/itemProps3.xml><?xml version="1.0" encoding="utf-8"?>
<ds:datastoreItem xmlns:ds="http://schemas.openxmlformats.org/officeDocument/2006/customXml" ds:itemID="{23BB79E5-0097-4C38-8EF0-E427D8944B4F}">
  <ds:schemaRefs>
    <ds:schemaRef ds:uri="http://schemas.openxmlformats.org/officeDocument/2006/bibliography"/>
  </ds:schemaRefs>
</ds:datastoreItem>
</file>

<file path=customXml/itemProps4.xml><?xml version="1.0" encoding="utf-8"?>
<ds:datastoreItem xmlns:ds="http://schemas.openxmlformats.org/officeDocument/2006/customXml" ds:itemID="{BEA4EC62-B3E7-4C46-B486-9461941D4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12dc9-44a8-4fc5-a0df-2fbf656d6dcf"/>
    <ds:schemaRef ds:uri="c39acc85-145f-4ad1-b6f0-7428cbf50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UNOSSC</cp:lastModifiedBy>
  <cp:revision>4</cp:revision>
  <dcterms:created xsi:type="dcterms:W3CDTF">2021-11-05T12:23:00Z</dcterms:created>
  <dcterms:modified xsi:type="dcterms:W3CDTF">2021-11-06T01:13:00Z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0x010100284A127C6EBB20488892A638EB3324D1</vt:lpwstr>
  </property>
</Properties>
</file>