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3B" w14:textId="6DC25B36" w:rsidR="0096080D" w:rsidRDefault="00467089" w:rsidP="0096080D">
      <w:pPr>
        <w:pStyle w:val="Ttulo2"/>
        <w:spacing w:before="0" w:line="240" w:lineRule="auto"/>
        <w:rPr>
          <w:rFonts w:ascii="Myriad Pro" w:eastAsiaTheme="minorHAnsi" w:hAnsi="Myriad Pro" w:cstheme="minorBidi"/>
          <w:bCs/>
          <w:color w:val="1F3864" w:themeColor="accent1" w:themeShade="80"/>
        </w:rPr>
      </w:pPr>
      <w:r>
        <w:rPr>
          <w:rFonts w:ascii="Myriad Pro" w:eastAsiaTheme="minorHAnsi" w:hAnsi="Myriad Pro" w:cstheme="minorBidi"/>
          <w:bCs/>
          <w:color w:val="1F3864" w:themeColor="accent1" w:themeShade="80"/>
        </w:rPr>
        <w:t>Management Response Templ</w:t>
      </w:r>
      <w:r w:rsidR="00C96677">
        <w:rPr>
          <w:rFonts w:ascii="Myriad Pro" w:eastAsiaTheme="minorHAnsi" w:hAnsi="Myriad Pro" w:cstheme="minorBidi"/>
          <w:bCs/>
          <w:color w:val="1F3864" w:themeColor="accent1" w:themeShade="80"/>
        </w:rPr>
        <w:t>a</w:t>
      </w:r>
      <w:r>
        <w:rPr>
          <w:rFonts w:ascii="Myriad Pro" w:eastAsiaTheme="minorHAnsi" w:hAnsi="Myriad Pro" w:cstheme="minorBidi"/>
          <w:bCs/>
          <w:color w:val="1F3864" w:themeColor="accent1" w:themeShade="80"/>
        </w:rPr>
        <w:t>te</w:t>
      </w:r>
    </w:p>
    <w:p w14:paraId="406CBB04" w14:textId="77777777" w:rsidR="00A97820" w:rsidRPr="00DF316C" w:rsidRDefault="00A97820" w:rsidP="00A97820">
      <w:pPr>
        <w:spacing w:after="0" w:line="240" w:lineRule="auto"/>
        <w:rPr>
          <w:rFonts w:ascii="Calibri" w:hAnsi="Calibri"/>
          <w:lang w:val="en-GB"/>
        </w:rPr>
      </w:pPr>
    </w:p>
    <w:p w14:paraId="5C9C596F" w14:textId="398CAFCE" w:rsidR="008A2782" w:rsidRPr="008A2782" w:rsidRDefault="00A97820" w:rsidP="008A2782">
      <w:pPr>
        <w:widowControl w:val="0"/>
        <w:autoSpaceDE w:val="0"/>
        <w:autoSpaceDN w:val="0"/>
        <w:adjustRightInd w:val="0"/>
        <w:spacing w:after="0" w:line="240" w:lineRule="auto"/>
        <w:rPr>
          <w:rFonts w:ascii="Calibri" w:hAnsi="Calibri"/>
          <w:b/>
          <w:bCs/>
        </w:rPr>
      </w:pPr>
      <w:r w:rsidRPr="00172B99">
        <w:rPr>
          <w:rFonts w:ascii="Calibri" w:hAnsi="Calibri"/>
          <w:b/>
          <w:bCs/>
        </w:rPr>
        <w:t xml:space="preserve">Project Title: </w:t>
      </w:r>
      <w:r w:rsidR="008A2782" w:rsidRPr="008A2782">
        <w:rPr>
          <w:rFonts w:ascii="Calibri" w:hAnsi="Calibri"/>
          <w:b/>
          <w:bCs/>
          <w:i/>
          <w:iCs/>
        </w:rPr>
        <w:t xml:space="preserve">Improved coordination of the Río Conventions for Sustainable Development in Uruguay (ECCOSUR) </w:t>
      </w:r>
    </w:p>
    <w:p w14:paraId="4F9FDBBA" w14:textId="3EE8F001"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UNDP PIMS</w:t>
      </w:r>
      <w:r w:rsidR="002B1E80" w:rsidRPr="00172B99">
        <w:rPr>
          <w:rFonts w:ascii="Calibri" w:hAnsi="Calibri"/>
          <w:b/>
          <w:bCs/>
        </w:rPr>
        <w:t xml:space="preserve"> ID</w:t>
      </w:r>
      <w:r w:rsidRPr="00172B99">
        <w:rPr>
          <w:rFonts w:ascii="Calibri" w:hAnsi="Calibri"/>
          <w:b/>
          <w:bCs/>
        </w:rPr>
        <w:t xml:space="preserve">: </w:t>
      </w:r>
      <w:r w:rsidR="008A2782">
        <w:rPr>
          <w:rFonts w:ascii="Calibri" w:hAnsi="Calibri"/>
          <w:b/>
          <w:bCs/>
        </w:rPr>
        <w:t>5226</w:t>
      </w:r>
    </w:p>
    <w:p w14:paraId="42BD499C" w14:textId="49949B90"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GEF </w:t>
      </w:r>
      <w:r w:rsidR="002B1E80" w:rsidRPr="00172B99">
        <w:rPr>
          <w:rFonts w:ascii="Calibri" w:hAnsi="Calibri"/>
          <w:b/>
          <w:bCs/>
        </w:rPr>
        <w:t>ID</w:t>
      </w:r>
      <w:r w:rsidRPr="00172B99">
        <w:rPr>
          <w:rFonts w:ascii="Calibri" w:hAnsi="Calibri"/>
          <w:b/>
          <w:bCs/>
        </w:rPr>
        <w:t>:</w:t>
      </w:r>
      <w:r w:rsidR="008A2782">
        <w:rPr>
          <w:rFonts w:ascii="Calibri" w:hAnsi="Calibri"/>
          <w:b/>
          <w:bCs/>
        </w:rPr>
        <w:t xml:space="preserve"> 5470</w:t>
      </w:r>
    </w:p>
    <w:p w14:paraId="5E8AFE59" w14:textId="77777777" w:rsidR="008A2782" w:rsidRDefault="008A2782" w:rsidP="00A97820">
      <w:pPr>
        <w:widowControl w:val="0"/>
        <w:autoSpaceDE w:val="0"/>
        <w:autoSpaceDN w:val="0"/>
        <w:adjustRightInd w:val="0"/>
        <w:spacing w:after="0" w:line="240" w:lineRule="auto"/>
        <w:rPr>
          <w:rFonts w:ascii="Calibri" w:hAnsi="Calibri"/>
          <w:b/>
          <w:bCs/>
        </w:rPr>
      </w:pPr>
    </w:p>
    <w:p w14:paraId="72BDB3BF" w14:textId="369A7519"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Terminal Evaluatio</w:t>
      </w:r>
      <w:r w:rsidR="002B1E80" w:rsidRPr="00172B99">
        <w:rPr>
          <w:rFonts w:ascii="Calibri" w:hAnsi="Calibri"/>
          <w:b/>
          <w:bCs/>
        </w:rPr>
        <w:t>n</w:t>
      </w:r>
      <w:r w:rsidRPr="00172B99">
        <w:rPr>
          <w:rFonts w:ascii="Calibri" w:hAnsi="Calibri"/>
          <w:b/>
          <w:bCs/>
        </w:rPr>
        <w:t xml:space="preserve"> Completion Date: </w:t>
      </w:r>
      <w:r w:rsidR="008A2782">
        <w:rPr>
          <w:rFonts w:ascii="Calibri" w:hAnsi="Calibri"/>
          <w:b/>
          <w:bCs/>
        </w:rPr>
        <w:t>21 February 2022</w:t>
      </w:r>
    </w:p>
    <w:p w14:paraId="72A58A90" w14:textId="50F77B75"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Date of Issue of Management Response: </w:t>
      </w:r>
      <w:r w:rsidR="008A2782">
        <w:rPr>
          <w:rFonts w:ascii="Calibri" w:hAnsi="Calibri"/>
          <w:b/>
          <w:bCs/>
        </w:rPr>
        <w:t>February 2022</w:t>
      </w:r>
    </w:p>
    <w:p w14:paraId="53C1B0F8" w14:textId="77777777" w:rsidR="00A97820" w:rsidRPr="00172B99" w:rsidRDefault="00A97820" w:rsidP="00A97820">
      <w:pPr>
        <w:widowControl w:val="0"/>
        <w:autoSpaceDE w:val="0"/>
        <w:autoSpaceDN w:val="0"/>
        <w:adjustRightInd w:val="0"/>
        <w:spacing w:after="0" w:line="240" w:lineRule="auto"/>
        <w:rPr>
          <w:rFonts w:ascii="Calibri" w:hAnsi="Calibri"/>
          <w:b/>
          <w:bCs/>
        </w:rPr>
      </w:pPr>
    </w:p>
    <w:p w14:paraId="48AF0145" w14:textId="010E4A40" w:rsidR="00A97820" w:rsidRPr="00172B99" w:rsidRDefault="00A97820" w:rsidP="008A2782">
      <w:pPr>
        <w:tabs>
          <w:tab w:val="left" w:pos="2880"/>
        </w:tabs>
        <w:spacing w:after="0" w:line="240" w:lineRule="auto"/>
        <w:ind w:left="2880" w:hanging="2880"/>
        <w:rPr>
          <w:rFonts w:ascii="Calibri" w:hAnsi="Calibri"/>
          <w:b/>
          <w:bCs/>
          <w:i/>
        </w:rPr>
      </w:pPr>
      <w:r w:rsidRPr="00172B99">
        <w:rPr>
          <w:rFonts w:ascii="Calibri" w:hAnsi="Calibri"/>
          <w:b/>
          <w:bCs/>
        </w:rPr>
        <w:t xml:space="preserve">Prepared by: </w:t>
      </w:r>
      <w:r w:rsidR="008A2782">
        <w:rPr>
          <w:rFonts w:ascii="Calibri" w:hAnsi="Calibri"/>
          <w:b/>
          <w:bCs/>
        </w:rPr>
        <w:t xml:space="preserve">Flavio Scasso (UNDP </w:t>
      </w:r>
      <w:proofErr w:type="spellStart"/>
      <w:r w:rsidR="008A2782">
        <w:rPr>
          <w:rFonts w:ascii="Calibri" w:hAnsi="Calibri"/>
          <w:b/>
          <w:bCs/>
        </w:rPr>
        <w:t>Programme</w:t>
      </w:r>
      <w:proofErr w:type="spellEnd"/>
      <w:r w:rsidR="008A2782">
        <w:rPr>
          <w:rFonts w:ascii="Calibri" w:hAnsi="Calibri"/>
          <w:b/>
          <w:bCs/>
        </w:rPr>
        <w:t xml:space="preserve"> Analyst), </w:t>
      </w:r>
      <w:r w:rsidR="00934812">
        <w:rPr>
          <w:rFonts w:ascii="Calibri" w:hAnsi="Calibri"/>
          <w:b/>
          <w:bCs/>
        </w:rPr>
        <w:t xml:space="preserve">Carolina </w:t>
      </w:r>
      <w:proofErr w:type="spellStart"/>
      <w:r w:rsidR="00934812">
        <w:rPr>
          <w:rFonts w:ascii="Calibri" w:hAnsi="Calibri"/>
          <w:b/>
          <w:bCs/>
        </w:rPr>
        <w:t>Neme</w:t>
      </w:r>
      <w:proofErr w:type="spellEnd"/>
      <w:r w:rsidR="00934812">
        <w:rPr>
          <w:rFonts w:ascii="Calibri" w:hAnsi="Calibri"/>
          <w:b/>
          <w:bCs/>
        </w:rPr>
        <w:t xml:space="preserve"> (Project Coordinator)</w:t>
      </w:r>
    </w:p>
    <w:p w14:paraId="7CD09279" w14:textId="4CC9EF20" w:rsidR="00A97820" w:rsidRPr="00172B99" w:rsidRDefault="00A97820" w:rsidP="008A2782">
      <w:pPr>
        <w:tabs>
          <w:tab w:val="left" w:pos="2880"/>
        </w:tabs>
        <w:spacing w:after="0" w:line="240" w:lineRule="auto"/>
        <w:ind w:left="2880" w:hanging="2880"/>
        <w:rPr>
          <w:rFonts w:ascii="Calibri" w:hAnsi="Calibri"/>
          <w:b/>
          <w:bCs/>
          <w:i/>
        </w:rPr>
      </w:pPr>
      <w:r w:rsidRPr="00172B99">
        <w:rPr>
          <w:rFonts w:ascii="Calibri" w:hAnsi="Calibri"/>
          <w:b/>
          <w:bCs/>
        </w:rPr>
        <w:t>Contributors:</w:t>
      </w:r>
    </w:p>
    <w:p w14:paraId="0463527A" w14:textId="7387E1A8" w:rsidR="00A97820" w:rsidRDefault="00A97820" w:rsidP="008A2782">
      <w:pPr>
        <w:tabs>
          <w:tab w:val="left" w:pos="2880"/>
        </w:tabs>
        <w:spacing w:after="0" w:line="240" w:lineRule="auto"/>
        <w:ind w:left="2880" w:hanging="2880"/>
        <w:rPr>
          <w:rFonts w:ascii="Calibri" w:hAnsi="Calibri"/>
        </w:rPr>
      </w:pPr>
      <w:r w:rsidRPr="00172B99">
        <w:rPr>
          <w:rFonts w:ascii="Calibri" w:hAnsi="Calibri"/>
          <w:b/>
          <w:bCs/>
        </w:rPr>
        <w:t>Cleared by:</w:t>
      </w:r>
      <w:r w:rsidRPr="00DF316C">
        <w:rPr>
          <w:rFonts w:ascii="Calibri" w:hAnsi="Calibri"/>
        </w:rPr>
        <w:t xml:space="preserve"> </w:t>
      </w:r>
      <w:r w:rsidR="008A2782" w:rsidRPr="008A2782">
        <w:rPr>
          <w:rFonts w:ascii="Calibri" w:hAnsi="Calibri"/>
          <w:b/>
          <w:bCs/>
        </w:rPr>
        <w:t xml:space="preserve">Eva </w:t>
      </w:r>
      <w:proofErr w:type="spellStart"/>
      <w:r w:rsidR="008A2782" w:rsidRPr="008A2782">
        <w:rPr>
          <w:rFonts w:ascii="Calibri" w:hAnsi="Calibri"/>
          <w:b/>
          <w:bCs/>
        </w:rPr>
        <w:t>Hutova</w:t>
      </w:r>
      <w:proofErr w:type="spellEnd"/>
      <w:r w:rsidR="008A2782" w:rsidRPr="008A2782">
        <w:rPr>
          <w:rFonts w:ascii="Calibri" w:hAnsi="Calibri"/>
          <w:b/>
          <w:bCs/>
        </w:rPr>
        <w:t xml:space="preserve"> UNDP Regional Technical Advisor. </w:t>
      </w:r>
      <w:r w:rsidRPr="008A2782">
        <w:rPr>
          <w:rFonts w:ascii="Calibri" w:hAnsi="Calibri"/>
          <w:b/>
          <w:bCs/>
        </w:rPr>
        <w:tab/>
      </w:r>
    </w:p>
    <w:p w14:paraId="7EF59ED5" w14:textId="77777777" w:rsidR="00EB32AB" w:rsidRPr="001F2C1B" w:rsidRDefault="00EB32AB" w:rsidP="001F2C1B">
      <w:pPr>
        <w:tabs>
          <w:tab w:val="left" w:pos="2880"/>
        </w:tabs>
        <w:spacing w:line="240" w:lineRule="auto"/>
        <w:ind w:left="2880" w:hanging="2880"/>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56"/>
        <w:gridCol w:w="1085"/>
        <w:gridCol w:w="2037"/>
        <w:gridCol w:w="1207"/>
        <w:gridCol w:w="1031"/>
      </w:tblGrid>
      <w:tr w:rsidR="00A97820" w:rsidRPr="00DF316C" w14:paraId="046A3B4F" w14:textId="77777777" w:rsidTr="003A4A86">
        <w:trPr>
          <w:trHeight w:val="242"/>
        </w:trPr>
        <w:tc>
          <w:tcPr>
            <w:tcW w:w="9216" w:type="dxa"/>
            <w:gridSpan w:val="5"/>
            <w:shd w:val="clear" w:color="auto" w:fill="F3F3F3"/>
          </w:tcPr>
          <w:p w14:paraId="4F06E616" w14:textId="77777777" w:rsidR="00666D34" w:rsidRDefault="00A97820" w:rsidP="00666D34">
            <w:pPr>
              <w:tabs>
                <w:tab w:val="left" w:pos="1080"/>
              </w:tabs>
              <w:rPr>
                <w:rFonts w:ascii="Calibri" w:hAnsi="Calibri"/>
                <w:b/>
                <w:sz w:val="20"/>
                <w:szCs w:val="20"/>
              </w:rPr>
            </w:pPr>
            <w:r w:rsidRPr="00DF316C">
              <w:rPr>
                <w:rFonts w:ascii="Calibri" w:hAnsi="Calibri"/>
                <w:b/>
                <w:sz w:val="20"/>
                <w:szCs w:val="20"/>
              </w:rPr>
              <w:t xml:space="preserve">Terminal Evaluation recommendation 1. </w:t>
            </w:r>
          </w:p>
          <w:p w14:paraId="501AD3D0" w14:textId="0A6E92EB" w:rsidR="00BF754D" w:rsidRPr="00BF754D" w:rsidRDefault="00BF754D" w:rsidP="00666D34">
            <w:pPr>
              <w:tabs>
                <w:tab w:val="left" w:pos="1080"/>
              </w:tabs>
              <w:spacing w:after="0" w:line="240" w:lineRule="auto"/>
            </w:pPr>
            <w:r w:rsidRPr="00BF754D">
              <w:rPr>
                <w:b/>
                <w:bCs/>
              </w:rPr>
              <w:t xml:space="preserve">Project exit plan </w:t>
            </w:r>
          </w:p>
          <w:p w14:paraId="715FD48E" w14:textId="46E75B66" w:rsidR="00A97820" w:rsidRPr="00051D35" w:rsidRDefault="00BF754D" w:rsidP="00666D34">
            <w:pPr>
              <w:tabs>
                <w:tab w:val="left" w:pos="1080"/>
              </w:tabs>
              <w:spacing w:after="0" w:line="240" w:lineRule="auto"/>
              <w:rPr>
                <w:rFonts w:ascii="Calibri" w:hAnsi="Calibri"/>
                <w:b/>
                <w:sz w:val="20"/>
                <w:szCs w:val="20"/>
              </w:rPr>
            </w:pPr>
            <w:r>
              <w:t xml:space="preserve">Develop a detailed exit plan to guide future activities and next steps towards the implementation and synergies of Rio Conventions in the country. </w:t>
            </w:r>
          </w:p>
        </w:tc>
      </w:tr>
      <w:tr w:rsidR="00A97820" w:rsidRPr="00DF316C" w14:paraId="00741068" w14:textId="77777777" w:rsidTr="003A4A86">
        <w:trPr>
          <w:trHeight w:val="210"/>
        </w:trPr>
        <w:tc>
          <w:tcPr>
            <w:tcW w:w="9216" w:type="dxa"/>
            <w:gridSpan w:val="5"/>
            <w:shd w:val="clear" w:color="auto" w:fill="F3F3F3"/>
          </w:tcPr>
          <w:p w14:paraId="7A71F294" w14:textId="140099C2" w:rsidR="00A97820" w:rsidRPr="00DF316C" w:rsidRDefault="00A97820" w:rsidP="003A4A86">
            <w:pPr>
              <w:tabs>
                <w:tab w:val="left" w:pos="1080"/>
              </w:tabs>
              <w:jc w:val="both"/>
              <w:rPr>
                <w:rFonts w:ascii="Calibri" w:hAnsi="Calibri"/>
                <w:sz w:val="20"/>
                <w:szCs w:val="20"/>
              </w:rPr>
            </w:pPr>
            <w:r w:rsidRPr="00DF316C">
              <w:rPr>
                <w:rFonts w:ascii="Calibri" w:hAnsi="Calibri"/>
                <w:b/>
                <w:sz w:val="20"/>
                <w:szCs w:val="20"/>
              </w:rPr>
              <w:t>Management response:</w:t>
            </w:r>
            <w:r w:rsidR="00735444">
              <w:rPr>
                <w:rStyle w:val="Refdenotaalpie"/>
                <w:rFonts w:ascii="Calibri" w:hAnsi="Calibri"/>
                <w:b/>
                <w:sz w:val="20"/>
                <w:szCs w:val="20"/>
              </w:rPr>
              <w:footnoteReference w:id="1"/>
            </w:r>
            <w:r w:rsidR="00375092">
              <w:rPr>
                <w:rFonts w:ascii="Calibri" w:hAnsi="Calibri"/>
                <w:b/>
                <w:sz w:val="20"/>
                <w:szCs w:val="20"/>
              </w:rPr>
              <w:t xml:space="preserve"> </w:t>
            </w:r>
            <w:r w:rsidR="001E4F79" w:rsidRPr="001E4F79">
              <w:rPr>
                <w:rFonts w:ascii="Calibri" w:hAnsi="Calibri"/>
                <w:bCs/>
                <w:sz w:val="20"/>
                <w:szCs w:val="20"/>
              </w:rPr>
              <w:t>Fully</w:t>
            </w:r>
            <w:r w:rsidR="00375092" w:rsidRPr="001E4F79">
              <w:rPr>
                <w:rFonts w:ascii="Calibri" w:hAnsi="Calibri"/>
                <w:bCs/>
                <w:sz w:val="20"/>
                <w:szCs w:val="20"/>
              </w:rPr>
              <w:t xml:space="preserve"> </w:t>
            </w:r>
            <w:r w:rsidR="00375092" w:rsidRPr="00A06591">
              <w:rPr>
                <w:rFonts w:ascii="Calibri" w:hAnsi="Calibri"/>
                <w:sz w:val="20"/>
                <w:szCs w:val="20"/>
              </w:rPr>
              <w:t xml:space="preserve">Accept. </w:t>
            </w:r>
            <w:r w:rsidR="00375092" w:rsidRPr="006C6515">
              <w:rPr>
                <w:rFonts w:ascii="Calibri" w:hAnsi="Calibri"/>
                <w:sz w:val="20"/>
                <w:szCs w:val="20"/>
              </w:rPr>
              <w:t>ECCOSUR establish</w:t>
            </w:r>
            <w:r w:rsidR="001E4F79">
              <w:rPr>
                <w:rFonts w:ascii="Calibri" w:hAnsi="Calibri"/>
                <w:sz w:val="20"/>
                <w:szCs w:val="20"/>
              </w:rPr>
              <w:t>ed</w:t>
            </w:r>
            <w:r w:rsidR="00375092" w:rsidRPr="006C6515">
              <w:rPr>
                <w:rFonts w:ascii="Calibri" w:hAnsi="Calibri"/>
                <w:sz w:val="20"/>
                <w:szCs w:val="20"/>
              </w:rPr>
              <w:t xml:space="preserve"> an alliance between the government and civil society to implement GEF project jointly, through a Steering Committee made up of 11 public, private and civil society institutions. The foundations have been laid so that civil society and the Ministry of the Environment can continue working on an integrated and synergistic management of the Rio Conventions in Uruguay</w:t>
            </w:r>
            <w:r w:rsidR="00A06591">
              <w:rPr>
                <w:rFonts w:ascii="Calibri" w:hAnsi="Calibri"/>
                <w:sz w:val="20"/>
                <w:szCs w:val="20"/>
              </w:rPr>
              <w:t xml:space="preserve">. </w:t>
            </w:r>
          </w:p>
        </w:tc>
      </w:tr>
      <w:tr w:rsidR="00A97820" w:rsidRPr="00DF316C" w14:paraId="2045421A" w14:textId="77777777" w:rsidTr="00CE2D40">
        <w:trPr>
          <w:trHeight w:val="135"/>
        </w:trPr>
        <w:tc>
          <w:tcPr>
            <w:tcW w:w="3856" w:type="dxa"/>
            <w:vMerge w:val="restart"/>
            <w:shd w:val="clear" w:color="auto" w:fill="F3F3F3"/>
          </w:tcPr>
          <w:p w14:paraId="7FA603F9"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Key action(s)</w:t>
            </w:r>
          </w:p>
        </w:tc>
        <w:tc>
          <w:tcPr>
            <w:tcW w:w="1085" w:type="dxa"/>
            <w:vMerge w:val="restart"/>
            <w:shd w:val="clear" w:color="auto" w:fill="F3F3F3"/>
          </w:tcPr>
          <w:p w14:paraId="1EF36F61"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Time frame</w:t>
            </w:r>
          </w:p>
        </w:tc>
        <w:tc>
          <w:tcPr>
            <w:tcW w:w="2037" w:type="dxa"/>
            <w:vMerge w:val="restart"/>
            <w:shd w:val="clear" w:color="auto" w:fill="F3F3F3"/>
          </w:tcPr>
          <w:p w14:paraId="7C04AE48"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Responsible unit(s)</w:t>
            </w:r>
          </w:p>
        </w:tc>
        <w:tc>
          <w:tcPr>
            <w:tcW w:w="2238" w:type="dxa"/>
            <w:gridSpan w:val="2"/>
            <w:shd w:val="clear" w:color="auto" w:fill="F3F3F3"/>
          </w:tcPr>
          <w:p w14:paraId="5A9EFC63"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Tracking</w:t>
            </w:r>
            <w:r w:rsidRPr="00DF316C">
              <w:rPr>
                <w:rStyle w:val="Refdenotaalpie"/>
                <w:rFonts w:ascii="Calibri" w:hAnsi="Calibri"/>
                <w:b/>
              </w:rPr>
              <w:footnoteReference w:id="2"/>
            </w:r>
          </w:p>
        </w:tc>
      </w:tr>
      <w:tr w:rsidR="00A97820" w:rsidRPr="00DF316C" w14:paraId="30024C57" w14:textId="77777777" w:rsidTr="00CE2D40">
        <w:trPr>
          <w:trHeight w:val="135"/>
        </w:trPr>
        <w:tc>
          <w:tcPr>
            <w:tcW w:w="3856" w:type="dxa"/>
            <w:vMerge/>
            <w:shd w:val="clear" w:color="auto" w:fill="F3F3F3"/>
          </w:tcPr>
          <w:p w14:paraId="1C0594A6" w14:textId="77777777" w:rsidR="00A97820" w:rsidRPr="00DF316C" w:rsidRDefault="00A97820" w:rsidP="00834D10">
            <w:pPr>
              <w:tabs>
                <w:tab w:val="left" w:pos="1080"/>
              </w:tabs>
              <w:jc w:val="center"/>
              <w:rPr>
                <w:rFonts w:ascii="Calibri" w:hAnsi="Calibri"/>
                <w:sz w:val="20"/>
                <w:szCs w:val="20"/>
              </w:rPr>
            </w:pPr>
          </w:p>
        </w:tc>
        <w:tc>
          <w:tcPr>
            <w:tcW w:w="1085" w:type="dxa"/>
            <w:vMerge/>
            <w:shd w:val="clear" w:color="auto" w:fill="F3F3F3"/>
          </w:tcPr>
          <w:p w14:paraId="1D24566F" w14:textId="77777777" w:rsidR="00A97820" w:rsidRPr="00DF316C" w:rsidRDefault="00A97820" w:rsidP="00834D10">
            <w:pPr>
              <w:tabs>
                <w:tab w:val="left" w:pos="1080"/>
              </w:tabs>
              <w:jc w:val="center"/>
              <w:rPr>
                <w:rFonts w:ascii="Calibri" w:hAnsi="Calibri"/>
                <w:b/>
                <w:sz w:val="20"/>
                <w:szCs w:val="20"/>
              </w:rPr>
            </w:pPr>
          </w:p>
        </w:tc>
        <w:tc>
          <w:tcPr>
            <w:tcW w:w="2037" w:type="dxa"/>
            <w:vMerge/>
            <w:shd w:val="clear" w:color="auto" w:fill="F3F3F3"/>
          </w:tcPr>
          <w:p w14:paraId="1614A7A9" w14:textId="77777777" w:rsidR="00A97820" w:rsidRPr="00DF316C" w:rsidRDefault="00A97820" w:rsidP="00834D10">
            <w:pPr>
              <w:tabs>
                <w:tab w:val="left" w:pos="1080"/>
              </w:tabs>
              <w:jc w:val="center"/>
              <w:rPr>
                <w:rFonts w:ascii="Calibri" w:hAnsi="Calibri"/>
                <w:b/>
                <w:sz w:val="20"/>
                <w:szCs w:val="20"/>
              </w:rPr>
            </w:pPr>
          </w:p>
        </w:tc>
        <w:tc>
          <w:tcPr>
            <w:tcW w:w="1207" w:type="dxa"/>
          </w:tcPr>
          <w:p w14:paraId="3170AEE0"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Comments</w:t>
            </w:r>
          </w:p>
        </w:tc>
        <w:tc>
          <w:tcPr>
            <w:tcW w:w="1031" w:type="dxa"/>
          </w:tcPr>
          <w:p w14:paraId="4AF18EDB" w14:textId="77777777" w:rsidR="00A97820" w:rsidRPr="00DF316C" w:rsidRDefault="00A97820" w:rsidP="00834D10">
            <w:pPr>
              <w:tabs>
                <w:tab w:val="left" w:pos="1080"/>
              </w:tabs>
              <w:jc w:val="center"/>
              <w:rPr>
                <w:rFonts w:ascii="Calibri" w:hAnsi="Calibri"/>
                <w:b/>
                <w:sz w:val="20"/>
                <w:szCs w:val="20"/>
              </w:rPr>
            </w:pPr>
            <w:r w:rsidRPr="00DF316C">
              <w:rPr>
                <w:rFonts w:ascii="Calibri" w:hAnsi="Calibri"/>
                <w:b/>
                <w:sz w:val="20"/>
                <w:szCs w:val="20"/>
              </w:rPr>
              <w:t>Status</w:t>
            </w:r>
            <w:r w:rsidRPr="00DF316C">
              <w:rPr>
                <w:rStyle w:val="Refdenotaalpie"/>
                <w:rFonts w:ascii="Calibri" w:hAnsi="Calibri"/>
                <w:b/>
              </w:rPr>
              <w:footnoteReference w:id="3"/>
            </w:r>
          </w:p>
        </w:tc>
      </w:tr>
      <w:tr w:rsidR="00A97820" w:rsidRPr="00DF316C" w14:paraId="2501E1C2" w14:textId="77777777" w:rsidTr="00CE2D40">
        <w:tc>
          <w:tcPr>
            <w:tcW w:w="3856" w:type="dxa"/>
          </w:tcPr>
          <w:p w14:paraId="633764D8" w14:textId="3F4929BC" w:rsidR="004A1040" w:rsidRPr="006C6515" w:rsidRDefault="00A06591" w:rsidP="006C6515">
            <w:pPr>
              <w:pStyle w:val="Prrafodelista"/>
              <w:numPr>
                <w:ilvl w:val="1"/>
                <w:numId w:val="2"/>
              </w:numPr>
              <w:tabs>
                <w:tab w:val="left" w:pos="1080"/>
              </w:tabs>
              <w:rPr>
                <w:rFonts w:ascii="Calibri" w:hAnsi="Calibri"/>
                <w:sz w:val="20"/>
                <w:szCs w:val="20"/>
              </w:rPr>
            </w:pPr>
            <w:r>
              <w:rPr>
                <w:rFonts w:ascii="Calibri" w:hAnsi="Calibri"/>
                <w:sz w:val="20"/>
                <w:szCs w:val="20"/>
              </w:rPr>
              <w:t>T</w:t>
            </w:r>
            <w:r w:rsidR="006C6515" w:rsidRPr="006C6515">
              <w:rPr>
                <w:rFonts w:ascii="Calibri" w:hAnsi="Calibri"/>
                <w:sz w:val="20"/>
                <w:szCs w:val="20"/>
              </w:rPr>
              <w:t>he project has generated tools such as the Observatory of Conventions (www.oicr. Eccosur.org), a knowledge platform, which will continue to function beyond the project. Likewise, and as recommended in the final evaluation of the project, continuity will be given to the areas of coordination between the focal points of the Rio Conventions and continuity will be given to a simplified format of the Project Steering Committee, led by the Ministry of Environment.</w:t>
            </w:r>
          </w:p>
        </w:tc>
        <w:tc>
          <w:tcPr>
            <w:tcW w:w="1085" w:type="dxa"/>
          </w:tcPr>
          <w:p w14:paraId="6FDB7AC5" w14:textId="0CFF6682" w:rsidR="00B21328" w:rsidRPr="00CE2D40" w:rsidRDefault="00B21328" w:rsidP="00B21328">
            <w:pPr>
              <w:pStyle w:val="Default"/>
              <w:rPr>
                <w:rFonts w:ascii="Calibri" w:hAnsi="Calibri" w:cstheme="minorBidi"/>
                <w:color w:val="auto"/>
                <w:sz w:val="20"/>
                <w:szCs w:val="20"/>
                <w:lang w:val="en-US"/>
              </w:rPr>
            </w:pPr>
            <w:r w:rsidRPr="00CE2D40">
              <w:rPr>
                <w:rFonts w:ascii="Calibri" w:hAnsi="Calibri" w:cstheme="minorBidi"/>
                <w:color w:val="auto"/>
                <w:sz w:val="20"/>
                <w:szCs w:val="20"/>
                <w:lang w:val="en-US"/>
              </w:rPr>
              <w:t>March 2022</w:t>
            </w:r>
          </w:p>
          <w:p w14:paraId="5F2497FF" w14:textId="77777777" w:rsidR="00A97820" w:rsidRPr="00DF316C" w:rsidRDefault="00A97820" w:rsidP="003A4A86">
            <w:pPr>
              <w:tabs>
                <w:tab w:val="left" w:pos="1080"/>
              </w:tabs>
              <w:rPr>
                <w:rFonts w:ascii="Calibri" w:hAnsi="Calibri"/>
                <w:sz w:val="20"/>
                <w:szCs w:val="20"/>
              </w:rPr>
            </w:pPr>
          </w:p>
        </w:tc>
        <w:tc>
          <w:tcPr>
            <w:tcW w:w="2037" w:type="dxa"/>
          </w:tcPr>
          <w:p w14:paraId="54B3B27B" w14:textId="47DDDFB4" w:rsidR="00C72E8F" w:rsidRPr="00CE2D40" w:rsidRDefault="00CE523F" w:rsidP="00C72E8F">
            <w:pPr>
              <w:pStyle w:val="Default"/>
              <w:rPr>
                <w:rFonts w:ascii="Calibri" w:hAnsi="Calibri" w:cstheme="minorBidi"/>
                <w:color w:val="auto"/>
                <w:sz w:val="20"/>
                <w:szCs w:val="20"/>
                <w:lang w:val="en-US"/>
              </w:rPr>
            </w:pPr>
            <w:r w:rsidRPr="00CE2D40">
              <w:rPr>
                <w:rFonts w:ascii="Calibri" w:hAnsi="Calibri" w:cstheme="minorBidi"/>
                <w:color w:val="auto"/>
                <w:sz w:val="20"/>
                <w:szCs w:val="20"/>
                <w:lang w:val="en-US"/>
              </w:rPr>
              <w:t xml:space="preserve">Project Management Unit </w:t>
            </w:r>
            <w:r w:rsidR="00C72E8F" w:rsidRPr="00CE2D40">
              <w:rPr>
                <w:rFonts w:ascii="Calibri" w:hAnsi="Calibri" w:cstheme="minorBidi"/>
                <w:color w:val="auto"/>
                <w:sz w:val="20"/>
                <w:szCs w:val="20"/>
                <w:lang w:val="en-US"/>
              </w:rPr>
              <w:t xml:space="preserve">with support of all stakeholders </w:t>
            </w:r>
          </w:p>
          <w:p w14:paraId="19E7F033" w14:textId="77777777" w:rsidR="00A97820" w:rsidRPr="00DF316C" w:rsidRDefault="00A97820" w:rsidP="003A4A86">
            <w:pPr>
              <w:tabs>
                <w:tab w:val="left" w:pos="1080"/>
              </w:tabs>
              <w:rPr>
                <w:rFonts w:ascii="Calibri" w:hAnsi="Calibri"/>
                <w:sz w:val="20"/>
                <w:szCs w:val="20"/>
              </w:rPr>
            </w:pPr>
          </w:p>
        </w:tc>
        <w:tc>
          <w:tcPr>
            <w:tcW w:w="1207" w:type="dxa"/>
          </w:tcPr>
          <w:p w14:paraId="71F690D8" w14:textId="77777777" w:rsidR="00A97820" w:rsidRPr="00DF316C" w:rsidRDefault="00A97820" w:rsidP="003A4A86">
            <w:pPr>
              <w:tabs>
                <w:tab w:val="left" w:pos="1080"/>
              </w:tabs>
              <w:rPr>
                <w:rFonts w:ascii="Calibri" w:hAnsi="Calibri"/>
                <w:sz w:val="20"/>
                <w:szCs w:val="20"/>
              </w:rPr>
            </w:pPr>
          </w:p>
        </w:tc>
        <w:tc>
          <w:tcPr>
            <w:tcW w:w="1031" w:type="dxa"/>
          </w:tcPr>
          <w:p w14:paraId="1B1F90C7" w14:textId="2A98B268" w:rsidR="00A97820" w:rsidRPr="00DF316C" w:rsidRDefault="006B637F" w:rsidP="003A4A86">
            <w:pPr>
              <w:tabs>
                <w:tab w:val="left" w:pos="1080"/>
              </w:tabs>
              <w:rPr>
                <w:rFonts w:ascii="Calibri" w:hAnsi="Calibri"/>
                <w:sz w:val="20"/>
                <w:szCs w:val="20"/>
              </w:rPr>
            </w:pPr>
            <w:r>
              <w:rPr>
                <w:rFonts w:ascii="Calibri" w:hAnsi="Calibri"/>
                <w:sz w:val="20"/>
                <w:szCs w:val="20"/>
              </w:rPr>
              <w:t>Not initiated</w:t>
            </w:r>
          </w:p>
        </w:tc>
      </w:tr>
      <w:tr w:rsidR="00A97820" w:rsidRPr="00DF316C" w14:paraId="4274897E" w14:textId="77777777" w:rsidTr="00CE2D40">
        <w:tc>
          <w:tcPr>
            <w:tcW w:w="3856" w:type="dxa"/>
          </w:tcPr>
          <w:p w14:paraId="543EA38C" w14:textId="21CE1227" w:rsidR="00A97820" w:rsidRPr="0088535D" w:rsidRDefault="00A97820" w:rsidP="00A14423">
            <w:pPr>
              <w:tabs>
                <w:tab w:val="left" w:pos="1080"/>
              </w:tabs>
              <w:ind w:left="349" w:hanging="349"/>
              <w:rPr>
                <w:rFonts w:ascii="Calibri" w:hAnsi="Calibri"/>
                <w:sz w:val="20"/>
                <w:szCs w:val="20"/>
              </w:rPr>
            </w:pPr>
            <w:r w:rsidRPr="0088535D">
              <w:rPr>
                <w:rFonts w:ascii="Calibri" w:hAnsi="Calibri"/>
                <w:sz w:val="20"/>
                <w:szCs w:val="20"/>
              </w:rPr>
              <w:t xml:space="preserve">1.2 </w:t>
            </w:r>
            <w:r w:rsidR="0088535D" w:rsidRPr="0088535D">
              <w:rPr>
                <w:rFonts w:ascii="Calibri" w:hAnsi="Calibri"/>
                <w:sz w:val="20"/>
                <w:szCs w:val="20"/>
              </w:rPr>
              <w:t xml:space="preserve">The possibility of presenting a project to the GEF 8 will be evaluated in order to support actions on the ground and </w:t>
            </w:r>
            <w:r w:rsidR="0088535D" w:rsidRPr="0088535D">
              <w:rPr>
                <w:rFonts w:ascii="Calibri" w:hAnsi="Calibri"/>
                <w:sz w:val="20"/>
                <w:szCs w:val="20"/>
              </w:rPr>
              <w:lastRenderedPageBreak/>
              <w:t>coordination between the Focal Points of the Conventions to work jointly with local governments and civil society. It will seek to scale successful experiences taking advantage of the lessons learned in the implementation of this project.</w:t>
            </w:r>
          </w:p>
        </w:tc>
        <w:tc>
          <w:tcPr>
            <w:tcW w:w="1085" w:type="dxa"/>
          </w:tcPr>
          <w:p w14:paraId="0215040F" w14:textId="2E67733E" w:rsidR="00A97820" w:rsidRPr="0088535D" w:rsidRDefault="000F00AF" w:rsidP="003A4A86">
            <w:pPr>
              <w:tabs>
                <w:tab w:val="left" w:pos="1080"/>
              </w:tabs>
              <w:rPr>
                <w:rFonts w:ascii="Calibri" w:hAnsi="Calibri"/>
                <w:sz w:val="20"/>
                <w:szCs w:val="20"/>
              </w:rPr>
            </w:pPr>
            <w:r>
              <w:rPr>
                <w:rFonts w:ascii="Calibri" w:hAnsi="Calibri"/>
                <w:sz w:val="20"/>
                <w:szCs w:val="20"/>
              </w:rPr>
              <w:lastRenderedPageBreak/>
              <w:t>2022</w:t>
            </w:r>
          </w:p>
        </w:tc>
        <w:tc>
          <w:tcPr>
            <w:tcW w:w="2037" w:type="dxa"/>
          </w:tcPr>
          <w:p w14:paraId="7B4970E3" w14:textId="5DA74EC4" w:rsidR="00A97820" w:rsidRPr="0088535D" w:rsidRDefault="00875C3E" w:rsidP="003A4A86">
            <w:pPr>
              <w:tabs>
                <w:tab w:val="left" w:pos="1080"/>
              </w:tabs>
              <w:rPr>
                <w:rFonts w:ascii="Calibri" w:hAnsi="Calibri"/>
                <w:sz w:val="20"/>
                <w:szCs w:val="20"/>
              </w:rPr>
            </w:pPr>
            <w:r>
              <w:rPr>
                <w:rFonts w:ascii="Calibri" w:hAnsi="Calibri"/>
                <w:sz w:val="20"/>
                <w:szCs w:val="20"/>
              </w:rPr>
              <w:t>M</w:t>
            </w:r>
            <w:r w:rsidR="00B542A1">
              <w:rPr>
                <w:rFonts w:ascii="Calibri" w:hAnsi="Calibri"/>
                <w:sz w:val="20"/>
                <w:szCs w:val="20"/>
              </w:rPr>
              <w:t>i</w:t>
            </w:r>
            <w:r>
              <w:rPr>
                <w:rFonts w:ascii="Calibri" w:hAnsi="Calibri"/>
                <w:sz w:val="20"/>
                <w:szCs w:val="20"/>
              </w:rPr>
              <w:t>nistry of Environme</w:t>
            </w:r>
            <w:r w:rsidR="00B542A1">
              <w:rPr>
                <w:rFonts w:ascii="Calibri" w:hAnsi="Calibri"/>
                <w:sz w:val="20"/>
                <w:szCs w:val="20"/>
              </w:rPr>
              <w:t>nt and civil society</w:t>
            </w:r>
          </w:p>
        </w:tc>
        <w:tc>
          <w:tcPr>
            <w:tcW w:w="1207" w:type="dxa"/>
          </w:tcPr>
          <w:p w14:paraId="4B7CB292" w14:textId="77777777" w:rsidR="00A97820" w:rsidRPr="0088535D" w:rsidRDefault="00A97820" w:rsidP="003A4A86">
            <w:pPr>
              <w:tabs>
                <w:tab w:val="left" w:pos="1080"/>
              </w:tabs>
              <w:rPr>
                <w:rFonts w:ascii="Calibri" w:hAnsi="Calibri"/>
                <w:sz w:val="20"/>
                <w:szCs w:val="20"/>
              </w:rPr>
            </w:pPr>
          </w:p>
        </w:tc>
        <w:tc>
          <w:tcPr>
            <w:tcW w:w="1031" w:type="dxa"/>
          </w:tcPr>
          <w:p w14:paraId="09DB706C" w14:textId="36BD60FA" w:rsidR="00A97820" w:rsidRPr="00DF316C" w:rsidRDefault="00042F16" w:rsidP="003A4A86">
            <w:pPr>
              <w:tabs>
                <w:tab w:val="left" w:pos="1080"/>
              </w:tabs>
              <w:rPr>
                <w:rFonts w:ascii="Calibri" w:hAnsi="Calibri"/>
                <w:sz w:val="20"/>
                <w:szCs w:val="20"/>
              </w:rPr>
            </w:pPr>
            <w:r>
              <w:rPr>
                <w:rFonts w:ascii="Calibri" w:hAnsi="Calibri"/>
                <w:sz w:val="20"/>
                <w:szCs w:val="20"/>
              </w:rPr>
              <w:t>Not initiated</w:t>
            </w:r>
          </w:p>
        </w:tc>
      </w:tr>
    </w:tbl>
    <w:p w14:paraId="373E4ACB"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43"/>
        <w:gridCol w:w="2028"/>
        <w:gridCol w:w="1205"/>
        <w:gridCol w:w="1110"/>
      </w:tblGrid>
      <w:tr w:rsidR="00A97820" w:rsidRPr="00DF316C" w14:paraId="79DFA8EF" w14:textId="77777777" w:rsidTr="008308AA">
        <w:tc>
          <w:tcPr>
            <w:tcW w:w="9242" w:type="dxa"/>
            <w:gridSpan w:val="5"/>
            <w:shd w:val="clear" w:color="auto" w:fill="F3F3F3"/>
          </w:tcPr>
          <w:p w14:paraId="01E18294" w14:textId="77777777" w:rsidR="00D141E4" w:rsidRPr="00DF316C" w:rsidRDefault="00A97820" w:rsidP="003A4A86">
            <w:pPr>
              <w:tabs>
                <w:tab w:val="left" w:pos="1080"/>
              </w:tabs>
              <w:rPr>
                <w:rFonts w:ascii="Calibri" w:hAnsi="Calibri"/>
                <w:sz w:val="20"/>
                <w:szCs w:val="20"/>
              </w:rPr>
            </w:pPr>
            <w:r w:rsidRPr="00DF316C">
              <w:rPr>
                <w:rFonts w:ascii="Calibri" w:hAnsi="Calibri"/>
                <w:b/>
                <w:sz w:val="20"/>
                <w:szCs w:val="20"/>
              </w:rPr>
              <w:t xml:space="preserve">Terminal Evaluation recommendation 2. </w:t>
            </w:r>
          </w:p>
          <w:p w14:paraId="2638D53A" w14:textId="77777777" w:rsidR="00D141E4" w:rsidRPr="00D141E4" w:rsidRDefault="00D141E4" w:rsidP="00D141E4">
            <w:pPr>
              <w:pStyle w:val="Default"/>
              <w:rPr>
                <w:sz w:val="22"/>
                <w:szCs w:val="22"/>
                <w:lang w:val="en-US"/>
              </w:rPr>
            </w:pPr>
            <w:r w:rsidRPr="00D141E4">
              <w:rPr>
                <w:b/>
                <w:bCs/>
                <w:sz w:val="22"/>
                <w:szCs w:val="22"/>
                <w:lang w:val="en-US"/>
              </w:rPr>
              <w:t xml:space="preserve">Communicating project results </w:t>
            </w:r>
          </w:p>
          <w:p w14:paraId="6BC82FD3" w14:textId="578D5797" w:rsidR="00A97820" w:rsidRPr="00DF316C" w:rsidRDefault="00D141E4" w:rsidP="00D141E4">
            <w:pPr>
              <w:tabs>
                <w:tab w:val="left" w:pos="1080"/>
              </w:tabs>
              <w:rPr>
                <w:rFonts w:ascii="Calibri" w:hAnsi="Calibri"/>
                <w:sz w:val="20"/>
                <w:szCs w:val="20"/>
              </w:rPr>
            </w:pPr>
            <w:r>
              <w:t xml:space="preserve">Develop a public communication strategy to disseminate the results and relevance of the project. It is recommended to develop a dissemination plan for all the tools developed by the project to ensure that future initiatives are based on the project results as input. </w:t>
            </w:r>
          </w:p>
        </w:tc>
      </w:tr>
      <w:tr w:rsidR="00A97820" w:rsidRPr="00DF316C" w14:paraId="636FA7E8" w14:textId="77777777" w:rsidTr="008308AA">
        <w:tc>
          <w:tcPr>
            <w:tcW w:w="9242" w:type="dxa"/>
            <w:gridSpan w:val="5"/>
            <w:shd w:val="clear" w:color="auto" w:fill="F3F3F3"/>
          </w:tcPr>
          <w:p w14:paraId="1460DFA0" w14:textId="0C7EE528" w:rsidR="00A97820" w:rsidRPr="00DF316C" w:rsidRDefault="00A97820" w:rsidP="00834D10">
            <w:pPr>
              <w:tabs>
                <w:tab w:val="left" w:pos="1080"/>
              </w:tabs>
              <w:jc w:val="both"/>
              <w:rPr>
                <w:rFonts w:ascii="Calibri" w:hAnsi="Calibri"/>
                <w:b/>
                <w:sz w:val="20"/>
                <w:szCs w:val="20"/>
              </w:rPr>
            </w:pPr>
            <w:r w:rsidRPr="00DF316C">
              <w:rPr>
                <w:rFonts w:ascii="Calibri" w:hAnsi="Calibri"/>
                <w:b/>
                <w:sz w:val="20"/>
                <w:szCs w:val="20"/>
              </w:rPr>
              <w:t>Management response:</w:t>
            </w:r>
            <w:r w:rsidR="00A06591">
              <w:rPr>
                <w:rFonts w:ascii="Calibri" w:hAnsi="Calibri"/>
                <w:b/>
                <w:sz w:val="20"/>
                <w:szCs w:val="20"/>
              </w:rPr>
              <w:t xml:space="preserve"> </w:t>
            </w:r>
            <w:r w:rsidR="0010721A" w:rsidRPr="00834D10">
              <w:rPr>
                <w:rFonts w:ascii="Calibri" w:hAnsi="Calibri"/>
                <w:bCs/>
                <w:sz w:val="20"/>
                <w:szCs w:val="20"/>
              </w:rPr>
              <w:t>Fully Accept.</w:t>
            </w:r>
            <w:r w:rsidR="0010721A">
              <w:rPr>
                <w:rFonts w:ascii="Calibri" w:hAnsi="Calibri"/>
                <w:sz w:val="18"/>
                <w:szCs w:val="18"/>
              </w:rPr>
              <w:t xml:space="preserve"> </w:t>
            </w:r>
          </w:p>
        </w:tc>
      </w:tr>
      <w:tr w:rsidR="001E356E" w:rsidRPr="00DF316C" w14:paraId="45C93A6E" w14:textId="77777777" w:rsidTr="008308AA">
        <w:trPr>
          <w:trHeight w:val="135"/>
        </w:trPr>
        <w:tc>
          <w:tcPr>
            <w:tcW w:w="3856" w:type="dxa"/>
            <w:vMerge w:val="restart"/>
            <w:shd w:val="clear" w:color="auto" w:fill="F3F3F3"/>
          </w:tcPr>
          <w:p w14:paraId="4D89649E"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Key action(s)</w:t>
            </w:r>
          </w:p>
        </w:tc>
        <w:tc>
          <w:tcPr>
            <w:tcW w:w="1043" w:type="dxa"/>
            <w:vMerge w:val="restart"/>
            <w:shd w:val="clear" w:color="auto" w:fill="F3F3F3"/>
          </w:tcPr>
          <w:p w14:paraId="2AE5EC79"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Time frame</w:t>
            </w:r>
          </w:p>
        </w:tc>
        <w:tc>
          <w:tcPr>
            <w:tcW w:w="2028" w:type="dxa"/>
            <w:vMerge w:val="restart"/>
            <w:shd w:val="clear" w:color="auto" w:fill="F3F3F3"/>
          </w:tcPr>
          <w:p w14:paraId="51ADA716"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315" w:type="dxa"/>
            <w:gridSpan w:val="2"/>
            <w:shd w:val="clear" w:color="auto" w:fill="F3F3F3"/>
          </w:tcPr>
          <w:p w14:paraId="0DEFDBA0"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Tracking</w:t>
            </w:r>
          </w:p>
        </w:tc>
      </w:tr>
      <w:tr w:rsidR="009D2D1D" w:rsidRPr="00DF316C" w14:paraId="2EA5B8B3" w14:textId="77777777" w:rsidTr="008308AA">
        <w:trPr>
          <w:trHeight w:val="135"/>
        </w:trPr>
        <w:tc>
          <w:tcPr>
            <w:tcW w:w="3856" w:type="dxa"/>
            <w:vMerge/>
            <w:shd w:val="clear" w:color="auto" w:fill="F3F3F3"/>
          </w:tcPr>
          <w:p w14:paraId="53D3555E" w14:textId="77777777" w:rsidR="00A97820" w:rsidRPr="00DF316C" w:rsidRDefault="00A97820" w:rsidP="003A4A86">
            <w:pPr>
              <w:tabs>
                <w:tab w:val="left" w:pos="1080"/>
              </w:tabs>
              <w:rPr>
                <w:rFonts w:ascii="Calibri" w:hAnsi="Calibri"/>
                <w:sz w:val="20"/>
                <w:szCs w:val="20"/>
              </w:rPr>
            </w:pPr>
          </w:p>
        </w:tc>
        <w:tc>
          <w:tcPr>
            <w:tcW w:w="1043" w:type="dxa"/>
            <w:vMerge/>
            <w:shd w:val="clear" w:color="auto" w:fill="F3F3F3"/>
          </w:tcPr>
          <w:p w14:paraId="6D7ED4F5" w14:textId="77777777" w:rsidR="00A97820" w:rsidRPr="00DF316C" w:rsidRDefault="00A97820" w:rsidP="003A4A86">
            <w:pPr>
              <w:tabs>
                <w:tab w:val="left" w:pos="1080"/>
              </w:tabs>
              <w:rPr>
                <w:rFonts w:ascii="Calibri" w:hAnsi="Calibri"/>
                <w:b/>
                <w:sz w:val="20"/>
                <w:szCs w:val="20"/>
              </w:rPr>
            </w:pPr>
          </w:p>
        </w:tc>
        <w:tc>
          <w:tcPr>
            <w:tcW w:w="2028" w:type="dxa"/>
            <w:vMerge/>
            <w:shd w:val="clear" w:color="auto" w:fill="F3F3F3"/>
          </w:tcPr>
          <w:p w14:paraId="35BCA4BB" w14:textId="77777777" w:rsidR="00A97820" w:rsidRPr="00DF316C" w:rsidRDefault="00A97820" w:rsidP="003A4A86">
            <w:pPr>
              <w:tabs>
                <w:tab w:val="left" w:pos="1080"/>
              </w:tabs>
              <w:rPr>
                <w:rFonts w:ascii="Calibri" w:hAnsi="Calibri"/>
                <w:b/>
                <w:sz w:val="20"/>
                <w:szCs w:val="20"/>
              </w:rPr>
            </w:pPr>
          </w:p>
        </w:tc>
        <w:tc>
          <w:tcPr>
            <w:tcW w:w="1205" w:type="dxa"/>
          </w:tcPr>
          <w:p w14:paraId="210858CD"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1110" w:type="dxa"/>
          </w:tcPr>
          <w:p w14:paraId="58437328"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Status</w:t>
            </w:r>
          </w:p>
        </w:tc>
      </w:tr>
      <w:tr w:rsidR="001E356E" w:rsidRPr="00DF316C" w14:paraId="4D3D7CBB" w14:textId="77777777" w:rsidTr="008308AA">
        <w:tc>
          <w:tcPr>
            <w:tcW w:w="3856" w:type="dxa"/>
          </w:tcPr>
          <w:p w14:paraId="26AB6579" w14:textId="207BCF87" w:rsidR="00A97820" w:rsidRPr="00383671" w:rsidRDefault="00A97820" w:rsidP="00383671">
            <w:pPr>
              <w:tabs>
                <w:tab w:val="left" w:pos="1080"/>
              </w:tabs>
              <w:ind w:left="349" w:hanging="349"/>
              <w:rPr>
                <w:rFonts w:ascii="Calibri" w:hAnsi="Calibri"/>
                <w:sz w:val="20"/>
                <w:szCs w:val="20"/>
              </w:rPr>
            </w:pPr>
            <w:r w:rsidRPr="00383671">
              <w:rPr>
                <w:rFonts w:ascii="Calibri" w:hAnsi="Calibri"/>
                <w:sz w:val="20"/>
                <w:szCs w:val="20"/>
              </w:rPr>
              <w:t xml:space="preserve">2.1 </w:t>
            </w:r>
            <w:r w:rsidR="00383671" w:rsidRPr="00383671">
              <w:rPr>
                <w:rFonts w:ascii="Calibri" w:hAnsi="Calibri"/>
                <w:sz w:val="20"/>
                <w:szCs w:val="20"/>
              </w:rPr>
              <w:t>The Observatory of the Conventions (OICR) is a platform for communication and dissemination of the results of the project, including reports, research, and public activities. The Observatory will continue to operate within the framework of the Ministry of the Environment to disseminate information on the country's progress in complying with the obligations assumed within the framework of the Rio Conventions.</w:t>
            </w:r>
          </w:p>
        </w:tc>
        <w:tc>
          <w:tcPr>
            <w:tcW w:w="1043" w:type="dxa"/>
          </w:tcPr>
          <w:p w14:paraId="6FC683F9" w14:textId="7FF8F5EC" w:rsidR="00545052" w:rsidRPr="00383671" w:rsidRDefault="00545052" w:rsidP="00545052">
            <w:pPr>
              <w:pStyle w:val="Default"/>
              <w:rPr>
                <w:rFonts w:ascii="Calibri" w:hAnsi="Calibri" w:cstheme="minorBidi"/>
                <w:color w:val="auto"/>
                <w:sz w:val="20"/>
                <w:szCs w:val="20"/>
                <w:lang w:val="en-US"/>
              </w:rPr>
            </w:pPr>
            <w:r w:rsidRPr="00383671">
              <w:rPr>
                <w:rFonts w:ascii="Calibri" w:hAnsi="Calibri" w:cstheme="minorBidi"/>
                <w:color w:val="auto"/>
                <w:sz w:val="20"/>
                <w:szCs w:val="20"/>
                <w:lang w:val="en-US"/>
              </w:rPr>
              <w:t xml:space="preserve">2022 </w:t>
            </w:r>
          </w:p>
          <w:p w14:paraId="1860A083" w14:textId="77777777" w:rsidR="00A97820" w:rsidRPr="00477731" w:rsidRDefault="00A97820" w:rsidP="003A4A86">
            <w:pPr>
              <w:tabs>
                <w:tab w:val="left" w:pos="1080"/>
              </w:tabs>
              <w:rPr>
                <w:rFonts w:ascii="Calibri" w:hAnsi="Calibri"/>
                <w:sz w:val="20"/>
                <w:szCs w:val="20"/>
              </w:rPr>
            </w:pPr>
          </w:p>
        </w:tc>
        <w:tc>
          <w:tcPr>
            <w:tcW w:w="2028" w:type="dxa"/>
          </w:tcPr>
          <w:p w14:paraId="2AAB0B14" w14:textId="42AF4DAE" w:rsidR="00014851" w:rsidRPr="00383671" w:rsidRDefault="00014851" w:rsidP="00014851">
            <w:pPr>
              <w:pStyle w:val="Default"/>
              <w:rPr>
                <w:rFonts w:ascii="Calibri" w:hAnsi="Calibri" w:cstheme="minorBidi"/>
                <w:color w:val="auto"/>
                <w:sz w:val="20"/>
                <w:szCs w:val="20"/>
                <w:lang w:val="en-US"/>
              </w:rPr>
            </w:pPr>
            <w:r w:rsidRPr="00383671">
              <w:rPr>
                <w:rFonts w:ascii="Calibri" w:hAnsi="Calibri" w:cstheme="minorBidi"/>
                <w:color w:val="auto"/>
                <w:sz w:val="20"/>
                <w:szCs w:val="20"/>
                <w:lang w:val="en-US"/>
              </w:rPr>
              <w:t xml:space="preserve">Uruguayan Government (Ministry of Environment) with UNDP support for public dissemination </w:t>
            </w:r>
          </w:p>
          <w:p w14:paraId="4DFA74FD" w14:textId="77777777" w:rsidR="00A97820" w:rsidRPr="00DF316C" w:rsidRDefault="00A97820" w:rsidP="003A4A86">
            <w:pPr>
              <w:tabs>
                <w:tab w:val="left" w:pos="1080"/>
              </w:tabs>
              <w:rPr>
                <w:rFonts w:ascii="Calibri" w:hAnsi="Calibri"/>
                <w:sz w:val="20"/>
                <w:szCs w:val="20"/>
              </w:rPr>
            </w:pPr>
          </w:p>
        </w:tc>
        <w:tc>
          <w:tcPr>
            <w:tcW w:w="1205" w:type="dxa"/>
          </w:tcPr>
          <w:p w14:paraId="1C66FEFB" w14:textId="77777777" w:rsidR="00A97820" w:rsidRPr="00DF316C" w:rsidRDefault="00A97820" w:rsidP="003A4A86">
            <w:pPr>
              <w:tabs>
                <w:tab w:val="left" w:pos="1080"/>
              </w:tabs>
              <w:rPr>
                <w:rFonts w:ascii="Calibri" w:hAnsi="Calibri"/>
                <w:sz w:val="20"/>
                <w:szCs w:val="20"/>
              </w:rPr>
            </w:pPr>
          </w:p>
        </w:tc>
        <w:tc>
          <w:tcPr>
            <w:tcW w:w="1110" w:type="dxa"/>
          </w:tcPr>
          <w:p w14:paraId="36509A55" w14:textId="42D65378" w:rsidR="00A97820" w:rsidRPr="00DF316C" w:rsidRDefault="00042F16" w:rsidP="003A4A86">
            <w:pPr>
              <w:tabs>
                <w:tab w:val="left" w:pos="1080"/>
              </w:tabs>
              <w:rPr>
                <w:rFonts w:ascii="Calibri" w:hAnsi="Calibri"/>
                <w:sz w:val="20"/>
                <w:szCs w:val="20"/>
              </w:rPr>
            </w:pPr>
            <w:r w:rsidRPr="00383671">
              <w:rPr>
                <w:rFonts w:ascii="Calibri" w:hAnsi="Calibri"/>
                <w:sz w:val="20"/>
                <w:szCs w:val="20"/>
              </w:rPr>
              <w:t>Completed</w:t>
            </w:r>
          </w:p>
        </w:tc>
      </w:tr>
      <w:tr w:rsidR="001E356E" w:rsidRPr="00DF316C" w14:paraId="708AC980" w14:textId="77777777" w:rsidTr="008308AA">
        <w:tc>
          <w:tcPr>
            <w:tcW w:w="3856" w:type="dxa"/>
          </w:tcPr>
          <w:p w14:paraId="4AE6E135" w14:textId="727617CA" w:rsidR="00A97820" w:rsidRPr="008308AA" w:rsidRDefault="008308AA" w:rsidP="008308AA">
            <w:pPr>
              <w:tabs>
                <w:tab w:val="left" w:pos="1080"/>
              </w:tabs>
              <w:ind w:left="349" w:hanging="425"/>
              <w:rPr>
                <w:rFonts w:ascii="Calibri" w:hAnsi="Calibri"/>
                <w:sz w:val="20"/>
                <w:szCs w:val="20"/>
              </w:rPr>
            </w:pPr>
            <w:r>
              <w:rPr>
                <w:rFonts w:ascii="Calibri" w:hAnsi="Calibri"/>
                <w:sz w:val="20"/>
                <w:szCs w:val="20"/>
              </w:rPr>
              <w:t xml:space="preserve">2.2. </w:t>
            </w:r>
            <w:r w:rsidRPr="008308AA">
              <w:rPr>
                <w:rFonts w:ascii="Calibri" w:hAnsi="Calibri"/>
                <w:sz w:val="20"/>
                <w:szCs w:val="20"/>
              </w:rPr>
              <w:t>Within the framework of the project, the CSO CIEDUR has published 10 Bulletins, which have been published in the OICR and will be uploaded on the web pages of the Ministry of the Environment, UNDP Uruguay, Vida Silvestre Uruguay, CEUTA, ECOS AC and Aves Uruguay.</w:t>
            </w:r>
          </w:p>
        </w:tc>
        <w:tc>
          <w:tcPr>
            <w:tcW w:w="1043" w:type="dxa"/>
          </w:tcPr>
          <w:p w14:paraId="165A8ED7" w14:textId="2AE79AE2" w:rsidR="00A97820" w:rsidRPr="00DF316C" w:rsidRDefault="0084215D" w:rsidP="003A4A86">
            <w:pPr>
              <w:tabs>
                <w:tab w:val="left" w:pos="1080"/>
              </w:tabs>
              <w:rPr>
                <w:rFonts w:ascii="Calibri" w:hAnsi="Calibri"/>
                <w:sz w:val="20"/>
                <w:szCs w:val="20"/>
              </w:rPr>
            </w:pPr>
            <w:r>
              <w:rPr>
                <w:rFonts w:ascii="Calibri" w:hAnsi="Calibri"/>
                <w:sz w:val="20"/>
                <w:szCs w:val="20"/>
              </w:rPr>
              <w:t>2021</w:t>
            </w:r>
          </w:p>
        </w:tc>
        <w:tc>
          <w:tcPr>
            <w:tcW w:w="2028" w:type="dxa"/>
          </w:tcPr>
          <w:p w14:paraId="060C17BA" w14:textId="379AB8BD" w:rsidR="001E356E" w:rsidRPr="001E356E" w:rsidRDefault="001E356E" w:rsidP="001E356E">
            <w:pPr>
              <w:tabs>
                <w:tab w:val="left" w:pos="1080"/>
              </w:tabs>
              <w:rPr>
                <w:rFonts w:ascii="Calibri" w:hAnsi="Calibri"/>
                <w:sz w:val="20"/>
                <w:szCs w:val="20"/>
              </w:rPr>
            </w:pPr>
            <w:r w:rsidRPr="001E356E">
              <w:rPr>
                <w:rFonts w:ascii="Calibri" w:hAnsi="Calibri"/>
                <w:sz w:val="20"/>
                <w:szCs w:val="20"/>
              </w:rPr>
              <w:t xml:space="preserve">Uruguayan Government </w:t>
            </w:r>
            <w:r>
              <w:rPr>
                <w:rFonts w:ascii="Calibri" w:hAnsi="Calibri"/>
                <w:sz w:val="20"/>
                <w:szCs w:val="20"/>
              </w:rPr>
              <w:t>and members of the Steering Committee</w:t>
            </w:r>
          </w:p>
          <w:p w14:paraId="2B2686C1" w14:textId="77777777" w:rsidR="00A97820" w:rsidRPr="00DF316C" w:rsidRDefault="00A97820" w:rsidP="003A4A86">
            <w:pPr>
              <w:tabs>
                <w:tab w:val="left" w:pos="1080"/>
              </w:tabs>
              <w:rPr>
                <w:rFonts w:ascii="Calibri" w:hAnsi="Calibri"/>
                <w:sz w:val="20"/>
                <w:szCs w:val="20"/>
              </w:rPr>
            </w:pPr>
          </w:p>
        </w:tc>
        <w:tc>
          <w:tcPr>
            <w:tcW w:w="1205" w:type="dxa"/>
          </w:tcPr>
          <w:p w14:paraId="000C59E2" w14:textId="77777777" w:rsidR="00A97820" w:rsidRPr="00DF316C" w:rsidRDefault="00A97820" w:rsidP="003A4A86">
            <w:pPr>
              <w:tabs>
                <w:tab w:val="left" w:pos="1080"/>
              </w:tabs>
              <w:rPr>
                <w:rFonts w:ascii="Calibri" w:hAnsi="Calibri"/>
                <w:sz w:val="20"/>
                <w:szCs w:val="20"/>
              </w:rPr>
            </w:pPr>
          </w:p>
        </w:tc>
        <w:tc>
          <w:tcPr>
            <w:tcW w:w="1110" w:type="dxa"/>
          </w:tcPr>
          <w:p w14:paraId="74E0D651" w14:textId="334D020E" w:rsidR="00A97820" w:rsidRPr="00DF316C" w:rsidRDefault="00042F16" w:rsidP="003A4A86">
            <w:pPr>
              <w:tabs>
                <w:tab w:val="left" w:pos="1080"/>
              </w:tabs>
              <w:rPr>
                <w:rFonts w:ascii="Calibri" w:hAnsi="Calibri"/>
                <w:sz w:val="20"/>
                <w:szCs w:val="20"/>
              </w:rPr>
            </w:pPr>
            <w:r w:rsidRPr="00DF316C">
              <w:rPr>
                <w:rFonts w:ascii="Calibri" w:hAnsi="Calibri"/>
                <w:sz w:val="18"/>
                <w:szCs w:val="18"/>
              </w:rPr>
              <w:t>Completed</w:t>
            </w:r>
          </w:p>
        </w:tc>
      </w:tr>
      <w:tr w:rsidR="001E356E" w:rsidRPr="00DF316C" w14:paraId="31D09430" w14:textId="77777777" w:rsidTr="008308AA">
        <w:tc>
          <w:tcPr>
            <w:tcW w:w="3856" w:type="dxa"/>
          </w:tcPr>
          <w:p w14:paraId="016499CA" w14:textId="51F5F2B4" w:rsidR="0084215D" w:rsidRPr="00C50710" w:rsidRDefault="0084215D" w:rsidP="003D4D32">
            <w:pPr>
              <w:tabs>
                <w:tab w:val="left" w:pos="1080"/>
              </w:tabs>
              <w:ind w:left="349" w:hanging="349"/>
              <w:rPr>
                <w:rFonts w:ascii="Calibri" w:hAnsi="Calibri"/>
                <w:sz w:val="20"/>
                <w:szCs w:val="20"/>
              </w:rPr>
            </w:pPr>
            <w:r w:rsidRPr="00C50710">
              <w:rPr>
                <w:rFonts w:ascii="Calibri" w:hAnsi="Calibri"/>
                <w:sz w:val="20"/>
                <w:szCs w:val="20"/>
              </w:rPr>
              <w:t xml:space="preserve">2.3 </w:t>
            </w:r>
            <w:r w:rsidR="00C50710" w:rsidRPr="00C50710">
              <w:rPr>
                <w:rFonts w:ascii="Calibri" w:hAnsi="Calibri"/>
                <w:sz w:val="20"/>
                <w:szCs w:val="20"/>
              </w:rPr>
              <w:t xml:space="preserve">A final publication is being drafted with the objectives, </w:t>
            </w:r>
            <w:r w:rsidR="00C50710">
              <w:rPr>
                <w:rFonts w:ascii="Calibri" w:hAnsi="Calibri"/>
                <w:sz w:val="20"/>
                <w:szCs w:val="20"/>
              </w:rPr>
              <w:t>products</w:t>
            </w:r>
            <w:r w:rsidR="00C50710" w:rsidRPr="00C50710">
              <w:rPr>
                <w:rFonts w:ascii="Calibri" w:hAnsi="Calibri"/>
                <w:sz w:val="20"/>
                <w:szCs w:val="20"/>
              </w:rPr>
              <w:t>, and main achievements of the project.</w:t>
            </w:r>
          </w:p>
        </w:tc>
        <w:tc>
          <w:tcPr>
            <w:tcW w:w="1043" w:type="dxa"/>
          </w:tcPr>
          <w:p w14:paraId="0B6C7B81" w14:textId="122D95CA" w:rsidR="0084215D" w:rsidRPr="00DF316C" w:rsidRDefault="0084215D" w:rsidP="003A4A86">
            <w:pPr>
              <w:tabs>
                <w:tab w:val="left" w:pos="1080"/>
              </w:tabs>
              <w:rPr>
                <w:rFonts w:ascii="Calibri" w:hAnsi="Calibri"/>
                <w:sz w:val="20"/>
                <w:szCs w:val="20"/>
              </w:rPr>
            </w:pPr>
            <w:r>
              <w:rPr>
                <w:rFonts w:ascii="Calibri" w:hAnsi="Calibri"/>
                <w:sz w:val="20"/>
                <w:szCs w:val="20"/>
              </w:rPr>
              <w:t>2022</w:t>
            </w:r>
          </w:p>
        </w:tc>
        <w:tc>
          <w:tcPr>
            <w:tcW w:w="2028" w:type="dxa"/>
          </w:tcPr>
          <w:p w14:paraId="7E2EFAC2" w14:textId="77777777" w:rsidR="00B542A1" w:rsidRPr="00B542A1" w:rsidRDefault="00B542A1" w:rsidP="00B542A1">
            <w:pPr>
              <w:tabs>
                <w:tab w:val="left" w:pos="1080"/>
              </w:tabs>
              <w:rPr>
                <w:rFonts w:ascii="Calibri" w:hAnsi="Calibri"/>
                <w:sz w:val="20"/>
                <w:szCs w:val="20"/>
              </w:rPr>
            </w:pPr>
            <w:r w:rsidRPr="00B542A1">
              <w:rPr>
                <w:rFonts w:ascii="Calibri" w:hAnsi="Calibri"/>
                <w:sz w:val="20"/>
                <w:szCs w:val="20"/>
              </w:rPr>
              <w:t xml:space="preserve">Project Management Unit with support of all stakeholders </w:t>
            </w:r>
          </w:p>
          <w:p w14:paraId="5BCAC247" w14:textId="77777777" w:rsidR="0084215D" w:rsidRPr="00DF316C" w:rsidRDefault="0084215D" w:rsidP="003A4A86">
            <w:pPr>
              <w:tabs>
                <w:tab w:val="left" w:pos="1080"/>
              </w:tabs>
              <w:rPr>
                <w:rFonts w:ascii="Calibri" w:hAnsi="Calibri"/>
                <w:sz w:val="20"/>
                <w:szCs w:val="20"/>
              </w:rPr>
            </w:pPr>
          </w:p>
        </w:tc>
        <w:tc>
          <w:tcPr>
            <w:tcW w:w="1205" w:type="dxa"/>
          </w:tcPr>
          <w:p w14:paraId="0C8C0EE7" w14:textId="77777777" w:rsidR="0084215D" w:rsidRPr="00DF316C" w:rsidRDefault="0084215D" w:rsidP="003A4A86">
            <w:pPr>
              <w:tabs>
                <w:tab w:val="left" w:pos="1080"/>
              </w:tabs>
              <w:rPr>
                <w:rFonts w:ascii="Calibri" w:hAnsi="Calibri"/>
                <w:sz w:val="20"/>
                <w:szCs w:val="20"/>
              </w:rPr>
            </w:pPr>
          </w:p>
        </w:tc>
        <w:tc>
          <w:tcPr>
            <w:tcW w:w="1110" w:type="dxa"/>
          </w:tcPr>
          <w:p w14:paraId="74245B54" w14:textId="037AA711" w:rsidR="0084215D" w:rsidRPr="00DF316C" w:rsidRDefault="009D2D1D" w:rsidP="003A4A86">
            <w:pPr>
              <w:tabs>
                <w:tab w:val="left" w:pos="1080"/>
              </w:tabs>
              <w:rPr>
                <w:rFonts w:ascii="Calibri" w:hAnsi="Calibri"/>
                <w:sz w:val="18"/>
                <w:szCs w:val="18"/>
              </w:rPr>
            </w:pPr>
            <w:r>
              <w:rPr>
                <w:rFonts w:ascii="Calibri" w:hAnsi="Calibri"/>
                <w:sz w:val="18"/>
                <w:szCs w:val="18"/>
              </w:rPr>
              <w:t>Initiated</w:t>
            </w:r>
          </w:p>
        </w:tc>
      </w:tr>
    </w:tbl>
    <w:p w14:paraId="64F97C9E"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56"/>
        <w:gridCol w:w="1111"/>
        <w:gridCol w:w="2044"/>
        <w:gridCol w:w="1207"/>
        <w:gridCol w:w="998"/>
      </w:tblGrid>
      <w:tr w:rsidR="00A97820" w:rsidRPr="00DF316C" w14:paraId="64DB22E4" w14:textId="77777777" w:rsidTr="003A4A86">
        <w:tc>
          <w:tcPr>
            <w:tcW w:w="9216" w:type="dxa"/>
            <w:gridSpan w:val="5"/>
            <w:shd w:val="clear" w:color="auto" w:fill="F3F3F3"/>
          </w:tcPr>
          <w:p w14:paraId="46C4F336" w14:textId="77777777" w:rsidR="00825659" w:rsidRPr="00DF316C" w:rsidRDefault="00A97820" w:rsidP="003A4A86">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3. </w:t>
            </w:r>
          </w:p>
          <w:p w14:paraId="3C425BA1" w14:textId="77777777" w:rsidR="00825659" w:rsidRPr="00825659" w:rsidRDefault="00825659" w:rsidP="00825659">
            <w:pPr>
              <w:pStyle w:val="Default"/>
              <w:rPr>
                <w:sz w:val="22"/>
                <w:szCs w:val="22"/>
                <w:lang w:val="en-US"/>
              </w:rPr>
            </w:pPr>
            <w:r w:rsidRPr="00825659">
              <w:rPr>
                <w:b/>
                <w:bCs/>
                <w:sz w:val="22"/>
                <w:szCs w:val="22"/>
                <w:lang w:val="en-US"/>
              </w:rPr>
              <w:lastRenderedPageBreak/>
              <w:t xml:space="preserve">Resource mobilization </w:t>
            </w:r>
          </w:p>
          <w:p w14:paraId="522EB4CE" w14:textId="15583EE8" w:rsidR="00A97820" w:rsidRPr="00DF316C" w:rsidRDefault="00825659" w:rsidP="00825659">
            <w:pPr>
              <w:tabs>
                <w:tab w:val="left" w:pos="1080"/>
              </w:tabs>
              <w:rPr>
                <w:rFonts w:ascii="Calibri" w:hAnsi="Calibri"/>
                <w:b/>
                <w:sz w:val="20"/>
                <w:szCs w:val="20"/>
              </w:rPr>
            </w:pPr>
            <w:r>
              <w:t xml:space="preserve">Develop a strategy for resource mobilization and financial sustainability. It is recommended to develop a project concept to promote the synergies of the Rio Conventions and the mobilization of resources for implementing them in Uruguay. </w:t>
            </w:r>
          </w:p>
        </w:tc>
      </w:tr>
      <w:tr w:rsidR="00A97820" w:rsidRPr="00DF316C" w14:paraId="50F11EA1" w14:textId="77777777" w:rsidTr="003A4A86">
        <w:tc>
          <w:tcPr>
            <w:tcW w:w="9216" w:type="dxa"/>
            <w:gridSpan w:val="5"/>
            <w:tcBorders>
              <w:top w:val="single" w:sz="4" w:space="0" w:color="auto"/>
              <w:bottom w:val="single" w:sz="6" w:space="0" w:color="auto"/>
            </w:tcBorders>
            <w:shd w:val="clear" w:color="auto" w:fill="F3F3F3"/>
          </w:tcPr>
          <w:p w14:paraId="45D67FC9" w14:textId="2A415991" w:rsidR="00A97820" w:rsidRPr="00DF316C" w:rsidRDefault="00A97820" w:rsidP="003A4A86">
            <w:pPr>
              <w:tabs>
                <w:tab w:val="left" w:pos="1080"/>
              </w:tabs>
              <w:rPr>
                <w:rFonts w:ascii="Calibri" w:hAnsi="Calibri"/>
                <w:sz w:val="20"/>
                <w:szCs w:val="20"/>
              </w:rPr>
            </w:pPr>
            <w:r w:rsidRPr="00DF316C">
              <w:rPr>
                <w:rFonts w:ascii="Calibri" w:hAnsi="Calibri"/>
                <w:b/>
                <w:sz w:val="20"/>
                <w:szCs w:val="20"/>
              </w:rPr>
              <w:lastRenderedPageBreak/>
              <w:t>Management response</w:t>
            </w:r>
            <w:r w:rsidRPr="00DF316C">
              <w:rPr>
                <w:rFonts w:ascii="Calibri" w:hAnsi="Calibri"/>
                <w:sz w:val="20"/>
                <w:szCs w:val="20"/>
              </w:rPr>
              <w:t xml:space="preserve">: </w:t>
            </w:r>
            <w:r w:rsidR="00834D10">
              <w:rPr>
                <w:rFonts w:ascii="Calibri" w:hAnsi="Calibri"/>
                <w:sz w:val="18"/>
                <w:szCs w:val="18"/>
              </w:rPr>
              <w:t>Fully</w:t>
            </w:r>
            <w:r w:rsidR="0010721A" w:rsidRPr="00682E04">
              <w:rPr>
                <w:rFonts w:ascii="Calibri" w:hAnsi="Calibri"/>
                <w:sz w:val="18"/>
                <w:szCs w:val="18"/>
              </w:rPr>
              <w:t xml:space="preserve"> Accept</w:t>
            </w:r>
            <w:r w:rsidR="0010721A">
              <w:rPr>
                <w:rFonts w:ascii="Calibri" w:hAnsi="Calibri"/>
                <w:sz w:val="18"/>
                <w:szCs w:val="18"/>
              </w:rPr>
              <w:t>.</w:t>
            </w:r>
          </w:p>
        </w:tc>
      </w:tr>
      <w:tr w:rsidR="00A97820" w:rsidRPr="00DF316C" w14:paraId="1F57FB38" w14:textId="77777777" w:rsidTr="008308AA">
        <w:trPr>
          <w:trHeight w:val="135"/>
        </w:trPr>
        <w:tc>
          <w:tcPr>
            <w:tcW w:w="3856"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Key action(s)</w:t>
            </w:r>
          </w:p>
        </w:tc>
        <w:tc>
          <w:tcPr>
            <w:tcW w:w="1111"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Tracking</w:t>
            </w:r>
          </w:p>
        </w:tc>
      </w:tr>
      <w:tr w:rsidR="00A97820" w:rsidRPr="00DF316C" w14:paraId="78A56EE2" w14:textId="77777777" w:rsidTr="008308AA">
        <w:trPr>
          <w:trHeight w:val="135"/>
        </w:trPr>
        <w:tc>
          <w:tcPr>
            <w:tcW w:w="3856" w:type="dxa"/>
            <w:vMerge/>
            <w:tcBorders>
              <w:top w:val="single" w:sz="6" w:space="0" w:color="auto"/>
              <w:bottom w:val="single" w:sz="6" w:space="0" w:color="auto"/>
              <w:right w:val="single" w:sz="6" w:space="0" w:color="auto"/>
            </w:tcBorders>
            <w:shd w:val="clear" w:color="auto" w:fill="F3F3F3"/>
          </w:tcPr>
          <w:p w14:paraId="0D4D4673" w14:textId="77777777" w:rsidR="00A97820" w:rsidRPr="00DF316C" w:rsidRDefault="00A97820" w:rsidP="003A4A86">
            <w:pPr>
              <w:tabs>
                <w:tab w:val="left" w:pos="1080"/>
              </w:tabs>
              <w:rPr>
                <w:rFonts w:ascii="Calibri" w:hAnsi="Calibri"/>
                <w:sz w:val="20"/>
                <w:szCs w:val="20"/>
              </w:rPr>
            </w:pPr>
          </w:p>
        </w:tc>
        <w:tc>
          <w:tcPr>
            <w:tcW w:w="1111"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DF316C" w:rsidRDefault="00A97820" w:rsidP="003A4A86">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DF316C" w:rsidRDefault="00A97820" w:rsidP="003A4A86">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E9C1CB1"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6605694C"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Status</w:t>
            </w:r>
          </w:p>
        </w:tc>
      </w:tr>
      <w:tr w:rsidR="00A97820" w:rsidRPr="00DF316C" w14:paraId="7076FF51" w14:textId="77777777" w:rsidTr="008308AA">
        <w:tc>
          <w:tcPr>
            <w:tcW w:w="3856" w:type="dxa"/>
            <w:tcBorders>
              <w:top w:val="single" w:sz="6" w:space="0" w:color="auto"/>
              <w:bottom w:val="single" w:sz="6" w:space="0" w:color="auto"/>
              <w:right w:val="single" w:sz="6" w:space="0" w:color="auto"/>
            </w:tcBorders>
          </w:tcPr>
          <w:p w14:paraId="7D9BD1FA" w14:textId="75227521" w:rsidR="00A97820" w:rsidRPr="003D4D32" w:rsidRDefault="003D4D32" w:rsidP="003D4D32">
            <w:pPr>
              <w:tabs>
                <w:tab w:val="left" w:pos="1080"/>
              </w:tabs>
              <w:ind w:left="349" w:hanging="349"/>
              <w:rPr>
                <w:rFonts w:ascii="Calibri" w:hAnsi="Calibri"/>
                <w:sz w:val="20"/>
                <w:szCs w:val="20"/>
              </w:rPr>
            </w:pPr>
            <w:r>
              <w:rPr>
                <w:rFonts w:ascii="Calibri" w:hAnsi="Calibri"/>
                <w:sz w:val="20"/>
                <w:szCs w:val="20"/>
              </w:rPr>
              <w:t xml:space="preserve">3.1. </w:t>
            </w:r>
            <w:r w:rsidRPr="003D4D32">
              <w:rPr>
                <w:rFonts w:ascii="Calibri" w:hAnsi="Calibri"/>
                <w:sz w:val="20"/>
                <w:szCs w:val="20"/>
              </w:rPr>
              <w:t>The possibility of developing a new project to be presented to GEF 8 with a governance approach that promotes the decentralization of the application of the Rio Conventions in the field will be evaluated.</w:t>
            </w:r>
          </w:p>
        </w:tc>
        <w:tc>
          <w:tcPr>
            <w:tcW w:w="1111" w:type="dxa"/>
            <w:tcBorders>
              <w:top w:val="single" w:sz="6" w:space="0" w:color="auto"/>
              <w:left w:val="single" w:sz="6" w:space="0" w:color="auto"/>
              <w:bottom w:val="single" w:sz="6" w:space="0" w:color="auto"/>
              <w:right w:val="single" w:sz="6" w:space="0" w:color="auto"/>
            </w:tcBorders>
          </w:tcPr>
          <w:p w14:paraId="744875BB" w14:textId="6494D18A" w:rsidR="00545052" w:rsidRPr="003D4D32" w:rsidRDefault="00545052" w:rsidP="00545052">
            <w:pPr>
              <w:pStyle w:val="Default"/>
              <w:rPr>
                <w:rFonts w:ascii="Calibri" w:hAnsi="Calibri" w:cstheme="minorBidi"/>
                <w:color w:val="auto"/>
                <w:sz w:val="20"/>
                <w:szCs w:val="20"/>
                <w:lang w:val="en-US"/>
              </w:rPr>
            </w:pPr>
            <w:r w:rsidRPr="003D4D32">
              <w:rPr>
                <w:rFonts w:ascii="Calibri" w:hAnsi="Calibri" w:cstheme="minorBidi"/>
                <w:color w:val="auto"/>
                <w:sz w:val="20"/>
                <w:szCs w:val="20"/>
                <w:lang w:val="en-US"/>
              </w:rPr>
              <w:t xml:space="preserve">2022 </w:t>
            </w:r>
          </w:p>
          <w:p w14:paraId="5DD36A04" w14:textId="77777777" w:rsidR="00A97820" w:rsidRPr="00477731" w:rsidRDefault="00A97820" w:rsidP="003A4A86">
            <w:pPr>
              <w:tabs>
                <w:tab w:val="left" w:pos="1080"/>
              </w:tabs>
              <w:rPr>
                <w:rFonts w:ascii="Calibri" w:hAnsi="Calibr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53BE6B44" w14:textId="4E4B3557" w:rsidR="00DC5754" w:rsidRPr="003D4D32" w:rsidRDefault="00DC5754" w:rsidP="00DC5754">
            <w:pPr>
              <w:pStyle w:val="Default"/>
              <w:rPr>
                <w:rFonts w:ascii="Calibri" w:hAnsi="Calibri" w:cstheme="minorBidi"/>
                <w:color w:val="auto"/>
                <w:sz w:val="20"/>
                <w:szCs w:val="20"/>
                <w:lang w:val="en-US"/>
              </w:rPr>
            </w:pPr>
            <w:r w:rsidRPr="003D4D32">
              <w:rPr>
                <w:rFonts w:ascii="Calibri" w:hAnsi="Calibri" w:cstheme="minorBidi"/>
                <w:color w:val="auto"/>
                <w:sz w:val="20"/>
                <w:szCs w:val="20"/>
                <w:lang w:val="en-US"/>
              </w:rPr>
              <w:t xml:space="preserve">Steering Committee Members </w:t>
            </w:r>
          </w:p>
          <w:p w14:paraId="12970195" w14:textId="77777777" w:rsidR="00A97820" w:rsidRPr="00DC5754" w:rsidRDefault="00A97820" w:rsidP="003A4A86">
            <w:pPr>
              <w:tabs>
                <w:tab w:val="left" w:pos="1080"/>
              </w:tabs>
              <w:rPr>
                <w:rFonts w:ascii="Calibri" w:hAnsi="Calibr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46247AB5" w14:textId="77777777" w:rsidR="00A97820" w:rsidRPr="00DF316C" w:rsidRDefault="00A97820" w:rsidP="003A4A86">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008459D5" w14:textId="549556B7" w:rsidR="00A97820" w:rsidRPr="00DF316C" w:rsidRDefault="00042F16" w:rsidP="003A4A86">
            <w:pPr>
              <w:tabs>
                <w:tab w:val="left" w:pos="1080"/>
              </w:tabs>
              <w:rPr>
                <w:rFonts w:ascii="Calibri" w:hAnsi="Calibri"/>
                <w:sz w:val="20"/>
                <w:szCs w:val="20"/>
              </w:rPr>
            </w:pPr>
            <w:r w:rsidRPr="00042F16">
              <w:rPr>
                <w:rFonts w:ascii="Calibri" w:hAnsi="Calibri"/>
                <w:sz w:val="20"/>
                <w:szCs w:val="20"/>
              </w:rPr>
              <w:t>Not initiated</w:t>
            </w:r>
          </w:p>
        </w:tc>
      </w:tr>
    </w:tbl>
    <w:p w14:paraId="199427E1"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56"/>
        <w:gridCol w:w="1843"/>
        <w:gridCol w:w="1276"/>
        <w:gridCol w:w="1134"/>
        <w:gridCol w:w="1133"/>
      </w:tblGrid>
      <w:tr w:rsidR="00172B99" w:rsidRPr="00DF316C" w14:paraId="2ECDE37F" w14:textId="77777777" w:rsidTr="008308AA">
        <w:tc>
          <w:tcPr>
            <w:tcW w:w="9242" w:type="dxa"/>
            <w:gridSpan w:val="5"/>
            <w:shd w:val="clear" w:color="auto" w:fill="F3F3F3"/>
          </w:tcPr>
          <w:p w14:paraId="1276C2AB" w14:textId="77777777" w:rsidR="0016032F" w:rsidRPr="00DF316C" w:rsidRDefault="00172B99" w:rsidP="003A4A86">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4</w:t>
            </w:r>
            <w:r w:rsidRPr="00DF316C">
              <w:rPr>
                <w:rFonts w:ascii="Calibri" w:hAnsi="Calibri"/>
                <w:b/>
                <w:sz w:val="20"/>
                <w:szCs w:val="20"/>
              </w:rPr>
              <w:t xml:space="preserve">. </w:t>
            </w:r>
          </w:p>
          <w:p w14:paraId="584EB865" w14:textId="77777777" w:rsidR="0016032F" w:rsidRPr="0016032F" w:rsidRDefault="0016032F" w:rsidP="0016032F">
            <w:pPr>
              <w:pStyle w:val="Default"/>
              <w:rPr>
                <w:sz w:val="22"/>
                <w:szCs w:val="22"/>
                <w:lang w:val="en-US"/>
              </w:rPr>
            </w:pPr>
            <w:r w:rsidRPr="0016032F">
              <w:rPr>
                <w:b/>
                <w:bCs/>
                <w:sz w:val="22"/>
                <w:szCs w:val="22"/>
                <w:lang w:val="en-US"/>
              </w:rPr>
              <w:t xml:space="preserve">Gender </w:t>
            </w:r>
          </w:p>
          <w:p w14:paraId="0E4CAE78" w14:textId="12A4C375" w:rsidR="00172B99" w:rsidRPr="00DF316C" w:rsidRDefault="0016032F" w:rsidP="0016032F">
            <w:pPr>
              <w:tabs>
                <w:tab w:val="left" w:pos="1080"/>
              </w:tabs>
              <w:rPr>
                <w:rFonts w:ascii="Calibri" w:hAnsi="Calibri"/>
                <w:b/>
                <w:sz w:val="20"/>
                <w:szCs w:val="20"/>
              </w:rPr>
            </w:pPr>
            <w:r>
              <w:t xml:space="preserve">The role of women in natural resource management in Uruguay is critical. It is recommended to strengthen gender mainstreaming in Rio Conventions and other projects related to the Global Environmental Agreements in Uruguay. </w:t>
            </w:r>
          </w:p>
        </w:tc>
      </w:tr>
      <w:tr w:rsidR="00172B99" w:rsidRPr="00DF316C" w14:paraId="4E43024D" w14:textId="77777777" w:rsidTr="008308AA">
        <w:tc>
          <w:tcPr>
            <w:tcW w:w="9242" w:type="dxa"/>
            <w:gridSpan w:val="5"/>
            <w:tcBorders>
              <w:top w:val="single" w:sz="4" w:space="0" w:color="auto"/>
              <w:bottom w:val="single" w:sz="6" w:space="0" w:color="auto"/>
            </w:tcBorders>
            <w:shd w:val="clear" w:color="auto" w:fill="F3F3F3"/>
          </w:tcPr>
          <w:p w14:paraId="2B9D57EE" w14:textId="77B87C4B" w:rsidR="00172B99" w:rsidRPr="00DF316C" w:rsidRDefault="00172B99" w:rsidP="003A4A86">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5800F4">
              <w:rPr>
                <w:rFonts w:ascii="Calibri" w:hAnsi="Calibri"/>
                <w:sz w:val="20"/>
                <w:szCs w:val="20"/>
              </w:rPr>
              <w:t>Fully accept.</w:t>
            </w:r>
          </w:p>
        </w:tc>
      </w:tr>
      <w:tr w:rsidR="00172B99" w:rsidRPr="00DF316C" w14:paraId="59CB0A26" w14:textId="77777777" w:rsidTr="00A8587D">
        <w:trPr>
          <w:trHeight w:val="135"/>
        </w:trPr>
        <w:tc>
          <w:tcPr>
            <w:tcW w:w="3856"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Key action(s)</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3F3F3"/>
          </w:tcPr>
          <w:p w14:paraId="54562D56" w14:textId="77777777" w:rsidR="008308AA" w:rsidRDefault="00172B99" w:rsidP="003A4A86">
            <w:pPr>
              <w:tabs>
                <w:tab w:val="left" w:pos="1080"/>
              </w:tabs>
              <w:jc w:val="center"/>
              <w:rPr>
                <w:rFonts w:ascii="Calibri" w:hAnsi="Calibri"/>
                <w:b/>
                <w:sz w:val="20"/>
                <w:szCs w:val="20"/>
              </w:rPr>
            </w:pPr>
            <w:r w:rsidRPr="00DF316C">
              <w:rPr>
                <w:rFonts w:ascii="Calibri" w:hAnsi="Calibri"/>
                <w:b/>
                <w:sz w:val="20"/>
                <w:szCs w:val="20"/>
              </w:rPr>
              <w:t xml:space="preserve">Time </w:t>
            </w:r>
          </w:p>
          <w:p w14:paraId="7DA4E5A4" w14:textId="05637A44"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frame</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267" w:type="dxa"/>
            <w:gridSpan w:val="2"/>
            <w:tcBorders>
              <w:top w:val="single" w:sz="6" w:space="0" w:color="auto"/>
              <w:left w:val="single" w:sz="6" w:space="0" w:color="auto"/>
              <w:bottom w:val="single" w:sz="6" w:space="0" w:color="auto"/>
            </w:tcBorders>
            <w:shd w:val="clear" w:color="auto" w:fill="F3F3F3"/>
          </w:tcPr>
          <w:p w14:paraId="49B90393" w14:textId="77777777"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Tracking</w:t>
            </w:r>
          </w:p>
        </w:tc>
      </w:tr>
      <w:tr w:rsidR="00172B99" w:rsidRPr="00DF316C" w14:paraId="22ED0B38" w14:textId="77777777" w:rsidTr="00A8587D">
        <w:trPr>
          <w:trHeight w:val="135"/>
        </w:trPr>
        <w:tc>
          <w:tcPr>
            <w:tcW w:w="3856" w:type="dxa"/>
            <w:vMerge/>
            <w:tcBorders>
              <w:top w:val="single" w:sz="6" w:space="0" w:color="auto"/>
              <w:bottom w:val="single" w:sz="6" w:space="0" w:color="auto"/>
              <w:right w:val="single" w:sz="6" w:space="0" w:color="auto"/>
            </w:tcBorders>
            <w:shd w:val="clear" w:color="auto" w:fill="F3F3F3"/>
          </w:tcPr>
          <w:p w14:paraId="5D513549" w14:textId="77777777" w:rsidR="00172B99" w:rsidRPr="00DF316C" w:rsidRDefault="00172B99" w:rsidP="003A4A86">
            <w:pPr>
              <w:tabs>
                <w:tab w:val="left" w:pos="1080"/>
              </w:tabs>
              <w:rPr>
                <w:rFonts w:ascii="Calibri" w:hAnsi="Calibri"/>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DF316C" w:rsidRDefault="00172B99" w:rsidP="003A4A86">
            <w:pPr>
              <w:tabs>
                <w:tab w:val="left" w:pos="1080"/>
              </w:tabs>
              <w:rPr>
                <w:rFonts w:ascii="Calibri" w:hAnsi="Calibri"/>
                <w:b/>
                <w:sz w:val="20"/>
                <w:szCs w:val="20"/>
              </w:rPr>
            </w:pPr>
          </w:p>
        </w:tc>
        <w:tc>
          <w:tcPr>
            <w:tcW w:w="1276" w:type="dxa"/>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DF316C" w:rsidRDefault="00172B99" w:rsidP="003A4A86">
            <w:pPr>
              <w:tabs>
                <w:tab w:val="left" w:pos="1080"/>
              </w:tabs>
              <w:rPr>
                <w:rFonts w:ascii="Calibri" w:hAnsi="Calibri"/>
                <w:b/>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FD2FC81" w14:textId="77777777"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1133" w:type="dxa"/>
            <w:tcBorders>
              <w:top w:val="single" w:sz="6" w:space="0" w:color="auto"/>
              <w:left w:val="single" w:sz="6" w:space="0" w:color="auto"/>
              <w:bottom w:val="single" w:sz="6" w:space="0" w:color="auto"/>
            </w:tcBorders>
          </w:tcPr>
          <w:p w14:paraId="1C2DC50B" w14:textId="77777777" w:rsidR="00172B99" w:rsidRPr="00DF316C" w:rsidRDefault="00172B99" w:rsidP="003A4A86">
            <w:pPr>
              <w:tabs>
                <w:tab w:val="left" w:pos="1080"/>
              </w:tabs>
              <w:jc w:val="center"/>
              <w:rPr>
                <w:rFonts w:ascii="Calibri" w:hAnsi="Calibri"/>
                <w:b/>
                <w:sz w:val="20"/>
                <w:szCs w:val="20"/>
              </w:rPr>
            </w:pPr>
            <w:r w:rsidRPr="00DF316C">
              <w:rPr>
                <w:rFonts w:ascii="Calibri" w:hAnsi="Calibri"/>
                <w:b/>
                <w:sz w:val="20"/>
                <w:szCs w:val="20"/>
              </w:rPr>
              <w:t>Status</w:t>
            </w:r>
          </w:p>
        </w:tc>
      </w:tr>
      <w:tr w:rsidR="00172B99" w:rsidRPr="00DF316C" w14:paraId="7159E1F6" w14:textId="77777777" w:rsidTr="00A8587D">
        <w:tc>
          <w:tcPr>
            <w:tcW w:w="3856" w:type="dxa"/>
            <w:tcBorders>
              <w:top w:val="single" w:sz="6" w:space="0" w:color="auto"/>
              <w:bottom w:val="single" w:sz="6" w:space="0" w:color="auto"/>
              <w:right w:val="single" w:sz="6" w:space="0" w:color="auto"/>
            </w:tcBorders>
          </w:tcPr>
          <w:p w14:paraId="7AD41D1C" w14:textId="13CCF919" w:rsidR="00C7472A" w:rsidRPr="00C7472A" w:rsidRDefault="00A8587D" w:rsidP="00A8587D">
            <w:pPr>
              <w:tabs>
                <w:tab w:val="left" w:pos="1080"/>
              </w:tabs>
              <w:ind w:left="349" w:hanging="349"/>
              <w:rPr>
                <w:rFonts w:ascii="Calibri" w:hAnsi="Calibri"/>
                <w:sz w:val="20"/>
                <w:szCs w:val="20"/>
              </w:rPr>
            </w:pPr>
            <w:r>
              <w:rPr>
                <w:rFonts w:ascii="Calibri" w:hAnsi="Calibri"/>
                <w:sz w:val="20"/>
                <w:szCs w:val="20"/>
              </w:rPr>
              <w:t xml:space="preserve">4.1. </w:t>
            </w:r>
            <w:r w:rsidR="00C7472A" w:rsidRPr="00C7472A">
              <w:rPr>
                <w:rFonts w:ascii="Calibri" w:hAnsi="Calibri"/>
                <w:sz w:val="20"/>
                <w:szCs w:val="20"/>
              </w:rPr>
              <w:t xml:space="preserve">The Climate Change Directorate of the Ministry of the Environment has a gender and climate change strategy approved in 2019. At COP 25, the revision of the Lima work plan on gender and the plan of the Convention was approved. In accordance with this, Uruguay approved its national action plan in 2021. In 2022 it is planned to work with civil society organizations in training at the national level. In addition, gender and climate change workshops are being held for the formulation of the National Coastal Adaptation Plan and the identification of specific measures. </w:t>
            </w:r>
          </w:p>
        </w:tc>
        <w:tc>
          <w:tcPr>
            <w:tcW w:w="1843" w:type="dxa"/>
            <w:tcBorders>
              <w:top w:val="single" w:sz="6" w:space="0" w:color="auto"/>
              <w:left w:val="single" w:sz="6" w:space="0" w:color="auto"/>
              <w:bottom w:val="single" w:sz="6" w:space="0" w:color="auto"/>
              <w:right w:val="single" w:sz="6" w:space="0" w:color="auto"/>
            </w:tcBorders>
          </w:tcPr>
          <w:p w14:paraId="4C0D5BD4" w14:textId="77777777" w:rsidR="00477731" w:rsidRPr="00C7472A" w:rsidRDefault="00477731" w:rsidP="00477731">
            <w:pPr>
              <w:pStyle w:val="Default"/>
              <w:rPr>
                <w:rFonts w:ascii="Calibri" w:hAnsi="Calibri" w:cstheme="minorBidi"/>
                <w:color w:val="auto"/>
                <w:sz w:val="20"/>
                <w:szCs w:val="20"/>
                <w:lang w:val="en-US"/>
              </w:rPr>
            </w:pPr>
            <w:r w:rsidRPr="00C7472A">
              <w:rPr>
                <w:rFonts w:ascii="Calibri" w:hAnsi="Calibri" w:cstheme="minorBidi"/>
                <w:color w:val="auto"/>
                <w:sz w:val="20"/>
                <w:szCs w:val="20"/>
                <w:lang w:val="en-US"/>
              </w:rPr>
              <w:t xml:space="preserve">2022 </w:t>
            </w:r>
          </w:p>
          <w:p w14:paraId="366DBD19" w14:textId="77777777" w:rsidR="00172B99" w:rsidRPr="00477731" w:rsidRDefault="00172B99" w:rsidP="003A4A86">
            <w:pPr>
              <w:tabs>
                <w:tab w:val="left" w:pos="1080"/>
              </w:tab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FD8DFD1" w14:textId="6B01EB3E" w:rsidR="00790ECF" w:rsidRPr="00C7472A" w:rsidRDefault="00790ECF" w:rsidP="00790ECF">
            <w:pPr>
              <w:pStyle w:val="Default"/>
              <w:rPr>
                <w:rFonts w:ascii="Calibri" w:hAnsi="Calibri" w:cstheme="minorBidi"/>
                <w:color w:val="auto"/>
                <w:sz w:val="20"/>
                <w:szCs w:val="20"/>
                <w:lang w:val="en-US"/>
              </w:rPr>
            </w:pPr>
            <w:r w:rsidRPr="00C7472A">
              <w:rPr>
                <w:rFonts w:ascii="Calibri" w:hAnsi="Calibri" w:cstheme="minorBidi"/>
                <w:color w:val="auto"/>
                <w:sz w:val="20"/>
                <w:szCs w:val="20"/>
                <w:lang w:val="en-US"/>
              </w:rPr>
              <w:t>Uruguayan Government (Ministry of Environment)</w:t>
            </w:r>
          </w:p>
          <w:p w14:paraId="2AFC40B9" w14:textId="77777777" w:rsidR="00172B99" w:rsidRPr="00790ECF" w:rsidRDefault="00172B99" w:rsidP="003A4A86">
            <w:pPr>
              <w:tabs>
                <w:tab w:val="left" w:pos="1080"/>
              </w:tabs>
              <w:rPr>
                <w:rFonts w:ascii="Calibri" w:hAnsi="Calibri"/>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A4BCE7A" w14:textId="77777777" w:rsidR="00172B99" w:rsidRPr="00DF316C" w:rsidRDefault="00172B99" w:rsidP="003A4A86">
            <w:pPr>
              <w:tabs>
                <w:tab w:val="left" w:pos="1080"/>
              </w:tabs>
              <w:rPr>
                <w:rFonts w:ascii="Calibri" w:hAnsi="Calibri"/>
                <w:sz w:val="20"/>
                <w:szCs w:val="20"/>
              </w:rPr>
            </w:pPr>
          </w:p>
        </w:tc>
        <w:tc>
          <w:tcPr>
            <w:tcW w:w="1133" w:type="dxa"/>
            <w:tcBorders>
              <w:top w:val="single" w:sz="6" w:space="0" w:color="auto"/>
              <w:left w:val="single" w:sz="6" w:space="0" w:color="auto"/>
              <w:bottom w:val="single" w:sz="6" w:space="0" w:color="auto"/>
            </w:tcBorders>
          </w:tcPr>
          <w:p w14:paraId="393CECEC" w14:textId="567C890F" w:rsidR="00172B99" w:rsidRPr="00DF316C" w:rsidRDefault="005757DA" w:rsidP="003A4A86">
            <w:pPr>
              <w:tabs>
                <w:tab w:val="left" w:pos="1080"/>
              </w:tabs>
              <w:rPr>
                <w:rFonts w:ascii="Calibri" w:hAnsi="Calibri"/>
                <w:sz w:val="20"/>
                <w:szCs w:val="20"/>
              </w:rPr>
            </w:pPr>
            <w:r w:rsidRPr="00C7472A">
              <w:rPr>
                <w:rFonts w:ascii="Calibri" w:hAnsi="Calibri"/>
                <w:sz w:val="20"/>
                <w:szCs w:val="20"/>
              </w:rPr>
              <w:t>Initiated</w:t>
            </w:r>
          </w:p>
        </w:tc>
      </w:tr>
      <w:tr w:rsidR="00172B99" w:rsidRPr="00DF316C" w14:paraId="0D79948C" w14:textId="77777777" w:rsidTr="00A8587D">
        <w:tc>
          <w:tcPr>
            <w:tcW w:w="3856" w:type="dxa"/>
            <w:tcBorders>
              <w:top w:val="single" w:sz="6" w:space="0" w:color="auto"/>
              <w:bottom w:val="single" w:sz="6" w:space="0" w:color="auto"/>
              <w:right w:val="single" w:sz="6" w:space="0" w:color="auto"/>
            </w:tcBorders>
          </w:tcPr>
          <w:p w14:paraId="203E9E78" w14:textId="469C32FB" w:rsidR="00172B99" w:rsidRPr="00891800" w:rsidRDefault="008823E7" w:rsidP="008823E7">
            <w:pPr>
              <w:tabs>
                <w:tab w:val="left" w:pos="1080"/>
              </w:tabs>
              <w:ind w:left="349" w:hanging="349"/>
              <w:rPr>
                <w:rFonts w:ascii="Calibri" w:hAnsi="Calibri"/>
                <w:sz w:val="20"/>
                <w:szCs w:val="20"/>
              </w:rPr>
            </w:pPr>
            <w:r>
              <w:rPr>
                <w:rFonts w:ascii="Calibri" w:hAnsi="Calibri"/>
                <w:sz w:val="20"/>
                <w:szCs w:val="20"/>
              </w:rPr>
              <w:t xml:space="preserve">4.2. </w:t>
            </w:r>
            <w:r w:rsidRPr="008823E7">
              <w:rPr>
                <w:rFonts w:ascii="Calibri" w:hAnsi="Calibri"/>
                <w:sz w:val="20"/>
                <w:szCs w:val="20"/>
              </w:rPr>
              <w:t xml:space="preserve">Through the GEF PIMS 6252 Consolidating biodiversity and land </w:t>
            </w:r>
            <w:r w:rsidRPr="008823E7">
              <w:rPr>
                <w:rFonts w:ascii="Calibri" w:hAnsi="Calibri"/>
                <w:sz w:val="20"/>
                <w:szCs w:val="20"/>
              </w:rPr>
              <w:lastRenderedPageBreak/>
              <w:t xml:space="preserve">conservation policies and actions as pillars of sustainable development project, the Biodiversity Directorate will hire a gender and participation expert who will work so that the project's actions incorporate the gender perspective. In addition, in the framework of the new biodiversity strategy, the recommendations of the gender action plan of the agreement will be </w:t>
            </w:r>
            <w:r w:rsidR="00014778" w:rsidRPr="008823E7">
              <w:rPr>
                <w:rFonts w:ascii="Calibri" w:hAnsi="Calibri"/>
                <w:sz w:val="20"/>
                <w:szCs w:val="20"/>
              </w:rPr>
              <w:t>considered</w:t>
            </w:r>
            <w:r w:rsidRPr="008823E7">
              <w:rPr>
                <w:rFonts w:ascii="Calibri" w:hAnsi="Calibri"/>
                <w:sz w:val="20"/>
                <w:szCs w:val="20"/>
              </w:rPr>
              <w:t>.</w:t>
            </w:r>
          </w:p>
        </w:tc>
        <w:tc>
          <w:tcPr>
            <w:tcW w:w="1843" w:type="dxa"/>
            <w:tcBorders>
              <w:top w:val="single" w:sz="6" w:space="0" w:color="auto"/>
              <w:left w:val="single" w:sz="6" w:space="0" w:color="auto"/>
              <w:bottom w:val="single" w:sz="6" w:space="0" w:color="auto"/>
              <w:right w:val="single" w:sz="6" w:space="0" w:color="auto"/>
            </w:tcBorders>
          </w:tcPr>
          <w:p w14:paraId="1D521E10" w14:textId="3CAF1B85" w:rsidR="00172B99" w:rsidRPr="00891800" w:rsidRDefault="008823E7" w:rsidP="003A4A86">
            <w:pPr>
              <w:tabs>
                <w:tab w:val="left" w:pos="1080"/>
              </w:tabs>
              <w:rPr>
                <w:rFonts w:ascii="Calibri" w:hAnsi="Calibri"/>
                <w:sz w:val="20"/>
                <w:szCs w:val="20"/>
              </w:rPr>
            </w:pPr>
            <w:r>
              <w:rPr>
                <w:rFonts w:ascii="Calibri" w:hAnsi="Calibri"/>
                <w:sz w:val="20"/>
                <w:szCs w:val="20"/>
              </w:rPr>
              <w:lastRenderedPageBreak/>
              <w:t>2022</w:t>
            </w:r>
            <w:r w:rsidR="005800F4">
              <w:rPr>
                <w:rFonts w:ascii="Calibri" w:hAnsi="Calibri"/>
                <w:sz w:val="20"/>
                <w:szCs w:val="20"/>
              </w:rPr>
              <w:t xml:space="preserve"> - 2026</w:t>
            </w:r>
          </w:p>
        </w:tc>
        <w:tc>
          <w:tcPr>
            <w:tcW w:w="1276" w:type="dxa"/>
            <w:tcBorders>
              <w:top w:val="single" w:sz="6" w:space="0" w:color="auto"/>
              <w:left w:val="single" w:sz="6" w:space="0" w:color="auto"/>
              <w:bottom w:val="single" w:sz="6" w:space="0" w:color="auto"/>
              <w:right w:val="single" w:sz="6" w:space="0" w:color="auto"/>
            </w:tcBorders>
          </w:tcPr>
          <w:p w14:paraId="045C679B" w14:textId="77777777" w:rsidR="008823E7" w:rsidRPr="008823E7" w:rsidRDefault="008823E7" w:rsidP="008823E7">
            <w:pPr>
              <w:tabs>
                <w:tab w:val="left" w:pos="1080"/>
              </w:tabs>
              <w:rPr>
                <w:rFonts w:ascii="Calibri" w:hAnsi="Calibri"/>
                <w:sz w:val="20"/>
                <w:szCs w:val="20"/>
              </w:rPr>
            </w:pPr>
            <w:r w:rsidRPr="008823E7">
              <w:rPr>
                <w:rFonts w:ascii="Calibri" w:hAnsi="Calibri"/>
                <w:sz w:val="20"/>
                <w:szCs w:val="20"/>
              </w:rPr>
              <w:t xml:space="preserve">Uruguayan Government </w:t>
            </w:r>
            <w:r w:rsidRPr="008823E7">
              <w:rPr>
                <w:rFonts w:ascii="Calibri" w:hAnsi="Calibri"/>
                <w:sz w:val="20"/>
                <w:szCs w:val="20"/>
              </w:rPr>
              <w:lastRenderedPageBreak/>
              <w:t>(Ministry of Environment)</w:t>
            </w:r>
          </w:p>
          <w:p w14:paraId="725815B0" w14:textId="77777777" w:rsidR="00172B99" w:rsidRPr="00891800" w:rsidRDefault="00172B99" w:rsidP="003A4A86">
            <w:pPr>
              <w:tabs>
                <w:tab w:val="left" w:pos="1080"/>
              </w:tabs>
              <w:rPr>
                <w:rFonts w:ascii="Calibri" w:hAnsi="Calibri"/>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84504E3" w14:textId="77777777" w:rsidR="00172B99" w:rsidRPr="00891800" w:rsidRDefault="00172B99" w:rsidP="003A4A86">
            <w:pPr>
              <w:tabs>
                <w:tab w:val="left" w:pos="1080"/>
              </w:tabs>
              <w:rPr>
                <w:rFonts w:ascii="Calibri" w:hAnsi="Calibri"/>
                <w:sz w:val="20"/>
                <w:szCs w:val="20"/>
              </w:rPr>
            </w:pPr>
          </w:p>
        </w:tc>
        <w:tc>
          <w:tcPr>
            <w:tcW w:w="1133" w:type="dxa"/>
            <w:tcBorders>
              <w:top w:val="single" w:sz="6" w:space="0" w:color="auto"/>
              <w:left w:val="single" w:sz="6" w:space="0" w:color="auto"/>
              <w:bottom w:val="single" w:sz="6" w:space="0" w:color="auto"/>
            </w:tcBorders>
          </w:tcPr>
          <w:p w14:paraId="4AD94D5C" w14:textId="0987FF56" w:rsidR="00172B99" w:rsidRPr="00DF316C" w:rsidRDefault="00444869" w:rsidP="003A4A86">
            <w:pPr>
              <w:tabs>
                <w:tab w:val="left" w:pos="1080"/>
              </w:tabs>
              <w:rPr>
                <w:rFonts w:ascii="Calibri" w:hAnsi="Calibri"/>
                <w:sz w:val="20"/>
                <w:szCs w:val="20"/>
              </w:rPr>
            </w:pPr>
            <w:r>
              <w:rPr>
                <w:rFonts w:ascii="Calibri" w:hAnsi="Calibri"/>
                <w:sz w:val="18"/>
                <w:szCs w:val="18"/>
              </w:rPr>
              <w:t>Not initiated</w:t>
            </w:r>
          </w:p>
        </w:tc>
      </w:tr>
    </w:tbl>
    <w:p w14:paraId="4E42AAC4" w14:textId="38F50A81" w:rsidR="00172B99" w:rsidRDefault="00172B99" w:rsidP="00A9782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790ECF" w:rsidRPr="00790ECF" w14:paraId="470C90E3" w14:textId="77777777" w:rsidTr="003B22DC">
        <w:tc>
          <w:tcPr>
            <w:tcW w:w="9216" w:type="dxa"/>
            <w:gridSpan w:val="5"/>
            <w:shd w:val="clear" w:color="auto" w:fill="F3F3F3"/>
          </w:tcPr>
          <w:p w14:paraId="2B311CE8" w14:textId="77777777" w:rsidR="00846E5D" w:rsidRPr="00790ECF" w:rsidRDefault="00790ECF" w:rsidP="00790ECF">
            <w:pPr>
              <w:rPr>
                <w:rFonts w:ascii="Calibri" w:hAnsi="Calibri"/>
                <w:b/>
                <w:i/>
                <w:iCs/>
              </w:rPr>
            </w:pPr>
            <w:r w:rsidRPr="00790ECF">
              <w:rPr>
                <w:rFonts w:ascii="Calibri" w:hAnsi="Calibri"/>
                <w:i/>
                <w:iCs/>
              </w:rPr>
              <w:br w:type="page"/>
            </w:r>
            <w:r w:rsidRPr="00790ECF">
              <w:rPr>
                <w:rFonts w:ascii="Calibri" w:hAnsi="Calibri"/>
                <w:b/>
                <w:i/>
                <w:iCs/>
              </w:rPr>
              <w:t>Terminal Evaluation recommendation</w:t>
            </w:r>
            <w:r w:rsidR="00E76D7D">
              <w:rPr>
                <w:rFonts w:ascii="Calibri" w:hAnsi="Calibri"/>
                <w:b/>
                <w:i/>
                <w:iCs/>
              </w:rPr>
              <w:t xml:space="preserve"> 5</w:t>
            </w:r>
            <w:r w:rsidRPr="00790ECF">
              <w:rPr>
                <w:rFonts w:ascii="Calibri" w:hAnsi="Calibri"/>
                <w:b/>
                <w:i/>
                <w:iCs/>
              </w:rPr>
              <w:t xml:space="preserve">. </w:t>
            </w:r>
          </w:p>
          <w:p w14:paraId="2D163066" w14:textId="77777777" w:rsidR="00846E5D" w:rsidRPr="00846E5D" w:rsidRDefault="00846E5D" w:rsidP="00846E5D">
            <w:pPr>
              <w:pStyle w:val="Default"/>
              <w:rPr>
                <w:sz w:val="22"/>
                <w:szCs w:val="22"/>
                <w:lang w:val="en-US"/>
              </w:rPr>
            </w:pPr>
            <w:r w:rsidRPr="00846E5D">
              <w:rPr>
                <w:b/>
                <w:bCs/>
                <w:sz w:val="22"/>
                <w:szCs w:val="22"/>
                <w:lang w:val="en-US"/>
              </w:rPr>
              <w:t xml:space="preserve">Monitor medium and long-term benefits of the project </w:t>
            </w:r>
          </w:p>
          <w:p w14:paraId="13052296" w14:textId="60A78970" w:rsidR="00790ECF" w:rsidRPr="00790ECF" w:rsidRDefault="00846E5D" w:rsidP="00846E5D">
            <w:pPr>
              <w:rPr>
                <w:rFonts w:ascii="Calibri" w:hAnsi="Calibri"/>
                <w:b/>
                <w:i/>
                <w:iCs/>
              </w:rPr>
            </w:pPr>
            <w:r>
              <w:t xml:space="preserve">Due to the lack of field visits to the target local communities in this evaluation, it would be interesting to carry out a post-evaluation study in the coming years to quantify and report on the medium and long-term impacts of the project and the sustainability of the achievements on the ground. </w:t>
            </w:r>
          </w:p>
        </w:tc>
      </w:tr>
      <w:tr w:rsidR="00790ECF" w:rsidRPr="00790ECF" w14:paraId="6F4317E0" w14:textId="77777777" w:rsidTr="003B22DC">
        <w:tc>
          <w:tcPr>
            <w:tcW w:w="9216" w:type="dxa"/>
            <w:gridSpan w:val="5"/>
            <w:tcBorders>
              <w:top w:val="single" w:sz="4" w:space="0" w:color="auto"/>
              <w:bottom w:val="single" w:sz="6" w:space="0" w:color="auto"/>
            </w:tcBorders>
            <w:shd w:val="clear" w:color="auto" w:fill="F3F3F3"/>
          </w:tcPr>
          <w:p w14:paraId="481F2E61" w14:textId="3EC29D4F" w:rsidR="00790ECF" w:rsidRPr="00790ECF" w:rsidRDefault="00790ECF" w:rsidP="00790ECF">
            <w:pPr>
              <w:rPr>
                <w:rFonts w:ascii="Calibri" w:hAnsi="Calibri"/>
                <w:i/>
                <w:iCs/>
              </w:rPr>
            </w:pPr>
            <w:r w:rsidRPr="00790ECF">
              <w:rPr>
                <w:rFonts w:ascii="Calibri" w:hAnsi="Calibri"/>
                <w:b/>
                <w:i/>
                <w:iCs/>
              </w:rPr>
              <w:t>Management response</w:t>
            </w:r>
            <w:r w:rsidRPr="00790ECF">
              <w:rPr>
                <w:rFonts w:ascii="Calibri" w:hAnsi="Calibri"/>
                <w:i/>
                <w:iCs/>
              </w:rPr>
              <w:t xml:space="preserve">: </w:t>
            </w:r>
            <w:r w:rsidR="005800F4" w:rsidRPr="005800F4">
              <w:rPr>
                <w:rFonts w:ascii="Calibri" w:hAnsi="Calibri"/>
              </w:rPr>
              <w:t>Fully accept.</w:t>
            </w:r>
            <w:r w:rsidR="005800F4">
              <w:rPr>
                <w:rFonts w:ascii="Calibri" w:hAnsi="Calibri"/>
              </w:rPr>
              <w:t xml:space="preserve"> </w:t>
            </w:r>
          </w:p>
        </w:tc>
      </w:tr>
      <w:tr w:rsidR="00790ECF" w:rsidRPr="00790ECF" w14:paraId="32FA982F" w14:textId="77777777" w:rsidTr="003B22DC">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BF7E801" w14:textId="77777777" w:rsidR="00790ECF" w:rsidRPr="00790ECF" w:rsidRDefault="00790ECF" w:rsidP="00790ECF">
            <w:pPr>
              <w:rPr>
                <w:rFonts w:ascii="Calibri" w:hAnsi="Calibri"/>
                <w:b/>
                <w:i/>
                <w:iCs/>
              </w:rPr>
            </w:pPr>
            <w:r w:rsidRPr="00790ECF">
              <w:rPr>
                <w:rFonts w:ascii="Calibri" w:hAnsi="Calibri"/>
                <w:b/>
                <w:i/>
                <w:iCs/>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08C6379" w14:textId="77777777" w:rsidR="00790ECF" w:rsidRPr="00790ECF" w:rsidRDefault="00790ECF" w:rsidP="00790ECF">
            <w:pPr>
              <w:rPr>
                <w:rFonts w:ascii="Calibri" w:hAnsi="Calibri"/>
                <w:b/>
                <w:i/>
                <w:iCs/>
              </w:rPr>
            </w:pPr>
            <w:r w:rsidRPr="00790ECF">
              <w:rPr>
                <w:rFonts w:ascii="Calibri" w:hAnsi="Calibri"/>
                <w:b/>
                <w:i/>
                <w:iCs/>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54D11590" w14:textId="77777777" w:rsidR="00790ECF" w:rsidRPr="00790ECF" w:rsidRDefault="00790ECF" w:rsidP="00790ECF">
            <w:pPr>
              <w:rPr>
                <w:rFonts w:ascii="Calibri" w:hAnsi="Calibri"/>
                <w:b/>
                <w:i/>
                <w:iCs/>
              </w:rPr>
            </w:pPr>
            <w:r w:rsidRPr="00790ECF">
              <w:rPr>
                <w:rFonts w:ascii="Calibri" w:hAnsi="Calibri"/>
                <w:b/>
                <w:i/>
                <w:iCs/>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743511D9" w14:textId="77777777" w:rsidR="00790ECF" w:rsidRPr="00790ECF" w:rsidRDefault="00790ECF" w:rsidP="00790ECF">
            <w:pPr>
              <w:rPr>
                <w:rFonts w:ascii="Calibri" w:hAnsi="Calibri"/>
                <w:b/>
                <w:i/>
                <w:iCs/>
              </w:rPr>
            </w:pPr>
            <w:r w:rsidRPr="00790ECF">
              <w:rPr>
                <w:rFonts w:ascii="Calibri" w:hAnsi="Calibri"/>
                <w:b/>
                <w:i/>
                <w:iCs/>
              </w:rPr>
              <w:t>Tracking</w:t>
            </w:r>
          </w:p>
        </w:tc>
      </w:tr>
      <w:tr w:rsidR="00790ECF" w:rsidRPr="00790ECF" w14:paraId="33784BA7" w14:textId="77777777" w:rsidTr="003B22DC">
        <w:trPr>
          <w:trHeight w:val="135"/>
        </w:trPr>
        <w:tc>
          <w:tcPr>
            <w:tcW w:w="2965" w:type="dxa"/>
            <w:vMerge/>
            <w:tcBorders>
              <w:top w:val="single" w:sz="6" w:space="0" w:color="auto"/>
              <w:bottom w:val="single" w:sz="6" w:space="0" w:color="auto"/>
              <w:right w:val="single" w:sz="6" w:space="0" w:color="auto"/>
            </w:tcBorders>
            <w:shd w:val="clear" w:color="auto" w:fill="F3F3F3"/>
          </w:tcPr>
          <w:p w14:paraId="52AD21B5" w14:textId="77777777" w:rsidR="00790ECF" w:rsidRPr="00790ECF" w:rsidRDefault="00790ECF" w:rsidP="00790ECF">
            <w:pPr>
              <w:rPr>
                <w:rFonts w:ascii="Calibri" w:hAnsi="Calibri"/>
                <w:i/>
                <w:iCs/>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6F30667" w14:textId="77777777" w:rsidR="00790ECF" w:rsidRPr="00790ECF" w:rsidRDefault="00790ECF" w:rsidP="00790ECF">
            <w:pPr>
              <w:rPr>
                <w:rFonts w:ascii="Calibri" w:hAnsi="Calibri"/>
                <w:b/>
                <w:i/>
                <w:iCs/>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4497B9A" w14:textId="77777777" w:rsidR="00790ECF" w:rsidRPr="00790ECF" w:rsidRDefault="00790ECF" w:rsidP="00790ECF">
            <w:pPr>
              <w:rPr>
                <w:rFonts w:ascii="Calibri" w:hAnsi="Calibri"/>
                <w:b/>
                <w:i/>
                <w:iCs/>
              </w:rPr>
            </w:pPr>
          </w:p>
        </w:tc>
        <w:tc>
          <w:tcPr>
            <w:tcW w:w="1207" w:type="dxa"/>
            <w:tcBorders>
              <w:top w:val="single" w:sz="6" w:space="0" w:color="auto"/>
              <w:left w:val="single" w:sz="6" w:space="0" w:color="auto"/>
              <w:bottom w:val="single" w:sz="6" w:space="0" w:color="auto"/>
              <w:right w:val="single" w:sz="6" w:space="0" w:color="auto"/>
            </w:tcBorders>
          </w:tcPr>
          <w:p w14:paraId="5217A926" w14:textId="77777777" w:rsidR="00790ECF" w:rsidRPr="00790ECF" w:rsidRDefault="00790ECF" w:rsidP="00790ECF">
            <w:pPr>
              <w:rPr>
                <w:rFonts w:ascii="Calibri" w:hAnsi="Calibri"/>
                <w:b/>
                <w:i/>
                <w:iCs/>
              </w:rPr>
            </w:pPr>
            <w:r w:rsidRPr="00790ECF">
              <w:rPr>
                <w:rFonts w:ascii="Calibri" w:hAnsi="Calibri"/>
                <w:b/>
                <w:i/>
                <w:iCs/>
              </w:rPr>
              <w:t>Comments</w:t>
            </w:r>
          </w:p>
        </w:tc>
        <w:tc>
          <w:tcPr>
            <w:tcW w:w="998" w:type="dxa"/>
            <w:tcBorders>
              <w:top w:val="single" w:sz="6" w:space="0" w:color="auto"/>
              <w:left w:val="single" w:sz="6" w:space="0" w:color="auto"/>
              <w:bottom w:val="single" w:sz="6" w:space="0" w:color="auto"/>
            </w:tcBorders>
          </w:tcPr>
          <w:p w14:paraId="70C0E75A" w14:textId="77777777" w:rsidR="00790ECF" w:rsidRPr="00790ECF" w:rsidRDefault="00790ECF" w:rsidP="00790ECF">
            <w:pPr>
              <w:rPr>
                <w:rFonts w:ascii="Calibri" w:hAnsi="Calibri"/>
                <w:b/>
                <w:i/>
                <w:iCs/>
              </w:rPr>
            </w:pPr>
            <w:r w:rsidRPr="00790ECF">
              <w:rPr>
                <w:rFonts w:ascii="Calibri" w:hAnsi="Calibri"/>
                <w:b/>
                <w:i/>
                <w:iCs/>
              </w:rPr>
              <w:t>Status</w:t>
            </w:r>
          </w:p>
        </w:tc>
      </w:tr>
      <w:tr w:rsidR="00790ECF" w:rsidRPr="00790ECF" w14:paraId="6FF48592" w14:textId="77777777" w:rsidTr="003B22DC">
        <w:tc>
          <w:tcPr>
            <w:tcW w:w="2965" w:type="dxa"/>
            <w:tcBorders>
              <w:top w:val="single" w:sz="6" w:space="0" w:color="auto"/>
              <w:bottom w:val="single" w:sz="6" w:space="0" w:color="auto"/>
              <w:right w:val="single" w:sz="6" w:space="0" w:color="auto"/>
            </w:tcBorders>
          </w:tcPr>
          <w:p w14:paraId="28FB0522" w14:textId="508DBCEA" w:rsidR="00790ECF" w:rsidRPr="00014778" w:rsidRDefault="00E76D7D" w:rsidP="00014778">
            <w:pPr>
              <w:ind w:left="349" w:hanging="349"/>
              <w:rPr>
                <w:rFonts w:ascii="Calibri" w:hAnsi="Calibri"/>
                <w:i/>
                <w:iCs/>
              </w:rPr>
            </w:pPr>
            <w:r w:rsidRPr="00014778">
              <w:rPr>
                <w:rFonts w:ascii="Calibri" w:hAnsi="Calibri"/>
                <w:sz w:val="20"/>
                <w:szCs w:val="20"/>
              </w:rPr>
              <w:t>5</w:t>
            </w:r>
            <w:r w:rsidR="00014778">
              <w:rPr>
                <w:rFonts w:ascii="Calibri" w:hAnsi="Calibri"/>
                <w:sz w:val="20"/>
                <w:szCs w:val="20"/>
              </w:rPr>
              <w:t xml:space="preserve">.1. </w:t>
            </w:r>
            <w:r w:rsidR="00014778" w:rsidRPr="00014778">
              <w:rPr>
                <w:rFonts w:ascii="Calibri" w:hAnsi="Calibri"/>
                <w:sz w:val="20"/>
                <w:szCs w:val="20"/>
              </w:rPr>
              <w:t>In the GEF 7 projects that are being implemented and in the next projects to be presented to GEF 8, monitoring, impact assessment and sustainability actions could be incorporated for some of the field projects that have been implemented by ECCOSUR.</w:t>
            </w:r>
          </w:p>
        </w:tc>
        <w:tc>
          <w:tcPr>
            <w:tcW w:w="2002" w:type="dxa"/>
            <w:tcBorders>
              <w:top w:val="single" w:sz="6" w:space="0" w:color="auto"/>
              <w:left w:val="single" w:sz="6" w:space="0" w:color="auto"/>
              <w:bottom w:val="single" w:sz="6" w:space="0" w:color="auto"/>
              <w:right w:val="single" w:sz="6" w:space="0" w:color="auto"/>
            </w:tcBorders>
          </w:tcPr>
          <w:p w14:paraId="30E5D333" w14:textId="77777777" w:rsidR="008209DC" w:rsidRPr="00014778" w:rsidRDefault="008209DC" w:rsidP="008209DC">
            <w:pPr>
              <w:pStyle w:val="Default"/>
              <w:rPr>
                <w:rFonts w:ascii="Calibri" w:hAnsi="Calibri" w:cstheme="minorBidi"/>
                <w:color w:val="auto"/>
                <w:sz w:val="20"/>
                <w:szCs w:val="20"/>
                <w:lang w:val="en-US"/>
              </w:rPr>
            </w:pPr>
            <w:r w:rsidRPr="00014778">
              <w:rPr>
                <w:rFonts w:ascii="Calibri" w:hAnsi="Calibri" w:cstheme="minorBidi"/>
                <w:color w:val="auto"/>
                <w:sz w:val="20"/>
                <w:szCs w:val="20"/>
                <w:lang w:val="en-US"/>
              </w:rPr>
              <w:t xml:space="preserve">2023-2024 </w:t>
            </w:r>
          </w:p>
          <w:p w14:paraId="4100BD6C" w14:textId="77777777" w:rsidR="00790ECF" w:rsidRPr="00014778" w:rsidRDefault="00790ECF" w:rsidP="00790ECF">
            <w:pPr>
              <w:rPr>
                <w:rFonts w:ascii="Calibri" w:hAnsi="Calibr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546FAA6E" w14:textId="77777777" w:rsidR="00790ECF" w:rsidRPr="00014778" w:rsidRDefault="00790ECF" w:rsidP="00790ECF">
            <w:pPr>
              <w:rPr>
                <w:rFonts w:ascii="Calibri" w:hAnsi="Calibri"/>
                <w:sz w:val="20"/>
                <w:szCs w:val="20"/>
              </w:rPr>
            </w:pPr>
            <w:r w:rsidRPr="00014778">
              <w:rPr>
                <w:rFonts w:ascii="Calibri" w:hAnsi="Calibri"/>
                <w:sz w:val="20"/>
                <w:szCs w:val="20"/>
              </w:rPr>
              <w:t>Uruguayan Government (Ministry of Environment)</w:t>
            </w:r>
          </w:p>
          <w:p w14:paraId="5AEA21C4" w14:textId="77777777" w:rsidR="00790ECF" w:rsidRPr="00014778" w:rsidRDefault="00790ECF" w:rsidP="00790ECF">
            <w:pPr>
              <w:rPr>
                <w:rFonts w:ascii="Calibri" w:hAnsi="Calibr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631E33F1" w14:textId="77777777" w:rsidR="00790ECF" w:rsidRPr="00014778" w:rsidRDefault="00790ECF" w:rsidP="00790ECF">
            <w:pPr>
              <w:rPr>
                <w:rFonts w:ascii="Calibri" w:hAnsi="Calibri"/>
                <w:sz w:val="20"/>
                <w:szCs w:val="20"/>
              </w:rPr>
            </w:pPr>
          </w:p>
        </w:tc>
        <w:tc>
          <w:tcPr>
            <w:tcW w:w="998" w:type="dxa"/>
            <w:tcBorders>
              <w:top w:val="single" w:sz="6" w:space="0" w:color="auto"/>
              <w:left w:val="single" w:sz="6" w:space="0" w:color="auto"/>
              <w:bottom w:val="single" w:sz="6" w:space="0" w:color="auto"/>
            </w:tcBorders>
          </w:tcPr>
          <w:p w14:paraId="18BB994B" w14:textId="1856DD39" w:rsidR="00790ECF" w:rsidRPr="00014778" w:rsidRDefault="00A95882" w:rsidP="00790ECF">
            <w:pPr>
              <w:rPr>
                <w:rFonts w:ascii="Calibri" w:hAnsi="Calibri"/>
                <w:sz w:val="20"/>
                <w:szCs w:val="20"/>
              </w:rPr>
            </w:pPr>
            <w:r w:rsidRPr="00014778">
              <w:rPr>
                <w:rFonts w:ascii="Calibri" w:hAnsi="Calibri"/>
                <w:sz w:val="20"/>
                <w:szCs w:val="20"/>
              </w:rPr>
              <w:t>Not initiated</w:t>
            </w:r>
          </w:p>
        </w:tc>
      </w:tr>
    </w:tbl>
    <w:p w14:paraId="1ECFC626" w14:textId="77777777" w:rsidR="00707E92" w:rsidRDefault="00707E92" w:rsidP="00014778"/>
    <w:sectPr w:rsidR="00707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E3D7" w14:textId="77777777" w:rsidR="00885340" w:rsidRDefault="00885340" w:rsidP="000208B5">
      <w:pPr>
        <w:spacing w:after="0" w:line="240" w:lineRule="auto"/>
      </w:pPr>
      <w:r>
        <w:separator/>
      </w:r>
    </w:p>
  </w:endnote>
  <w:endnote w:type="continuationSeparator" w:id="0">
    <w:p w14:paraId="2506DB23" w14:textId="77777777" w:rsidR="00885340" w:rsidRDefault="00885340"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FBB7" w14:textId="77777777" w:rsidR="00885340" w:rsidRDefault="00885340" w:rsidP="000208B5">
      <w:pPr>
        <w:spacing w:after="0" w:line="240" w:lineRule="auto"/>
      </w:pPr>
      <w:r>
        <w:separator/>
      </w:r>
    </w:p>
  </w:footnote>
  <w:footnote w:type="continuationSeparator" w:id="0">
    <w:p w14:paraId="020F6568" w14:textId="77777777" w:rsidR="00885340" w:rsidRDefault="00885340" w:rsidP="000208B5">
      <w:pPr>
        <w:spacing w:after="0" w:line="240" w:lineRule="auto"/>
      </w:pPr>
      <w:r>
        <w:continuationSeparator/>
      </w:r>
    </w:p>
  </w:footnote>
  <w:footnote w:id="1">
    <w:p w14:paraId="62BDBF42" w14:textId="10037812" w:rsidR="00735444" w:rsidRPr="00682E04" w:rsidRDefault="00735444">
      <w:pPr>
        <w:pStyle w:val="Textonotapie"/>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47670F5C" w14:textId="64366036" w:rsidR="00A97820" w:rsidRPr="00060E35" w:rsidRDefault="00A97820" w:rsidP="00A97820">
      <w:pPr>
        <w:pStyle w:val="Textonotapie"/>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sidR="00FF1A23">
        <w:rPr>
          <w:rFonts w:ascii="Calibri" w:hAnsi="Calibri"/>
          <w:sz w:val="18"/>
          <w:szCs w:val="18"/>
        </w:rPr>
        <w:t>S</w:t>
      </w:r>
      <w:r w:rsidRPr="00DF316C">
        <w:rPr>
          <w:rFonts w:ascii="Calibri" w:hAnsi="Calibri"/>
          <w:sz w:val="18"/>
          <w:szCs w:val="18"/>
        </w:rPr>
        <w:t>tatus of implementation is tracked electronically in the Evaluation Resource Centre</w:t>
      </w:r>
      <w:r w:rsidR="00FF1A23">
        <w:rPr>
          <w:rFonts w:ascii="Calibri" w:hAnsi="Calibri"/>
          <w:sz w:val="18"/>
          <w:szCs w:val="18"/>
        </w:rPr>
        <w:t xml:space="preserve"> </w:t>
      </w:r>
      <w:r w:rsidRPr="00DF316C">
        <w:rPr>
          <w:rFonts w:ascii="Calibri" w:hAnsi="Calibri"/>
          <w:sz w:val="18"/>
          <w:szCs w:val="18"/>
        </w:rPr>
        <w:t>(ERC).</w:t>
      </w:r>
    </w:p>
  </w:footnote>
  <w:footnote w:id="3">
    <w:p w14:paraId="57C507A6" w14:textId="381666BF" w:rsidR="00A97820" w:rsidRPr="00DF316C" w:rsidRDefault="00A97820"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Refdenotaalpie"/>
          <w:rFonts w:ascii="Calibri" w:hAnsi="Calibri"/>
          <w:sz w:val="18"/>
          <w:szCs w:val="18"/>
        </w:rPr>
        <w:footnoteRef/>
      </w:r>
      <w:r w:rsidRPr="00DF316C">
        <w:rPr>
          <w:rFonts w:ascii="Calibri" w:hAnsi="Calibri"/>
          <w:sz w:val="18"/>
          <w:szCs w:val="18"/>
        </w:rPr>
        <w:t xml:space="preserve"> S</w:t>
      </w:r>
      <w:r w:rsidR="00172B99">
        <w:rPr>
          <w:rFonts w:ascii="Calibri" w:hAnsi="Calibri"/>
          <w:sz w:val="18"/>
          <w:szCs w:val="18"/>
        </w:rPr>
        <w:t xml:space="preserve">elect one: Not initiated, </w:t>
      </w:r>
      <w:proofErr w:type="gramStart"/>
      <w:r w:rsidR="00172B99">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sidR="00172B99">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4DDA"/>
    <w:multiLevelType w:val="multilevel"/>
    <w:tmpl w:val="D93A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0D"/>
    <w:rsid w:val="00014778"/>
    <w:rsid w:val="00014851"/>
    <w:rsid w:val="000208B5"/>
    <w:rsid w:val="00042F16"/>
    <w:rsid w:val="000E3484"/>
    <w:rsid w:val="000F00AF"/>
    <w:rsid w:val="0010721A"/>
    <w:rsid w:val="00152D73"/>
    <w:rsid w:val="0016032F"/>
    <w:rsid w:val="00172B99"/>
    <w:rsid w:val="001D7A57"/>
    <w:rsid w:val="001E356E"/>
    <w:rsid w:val="001E4F79"/>
    <w:rsid w:val="001F2C1B"/>
    <w:rsid w:val="00225CD3"/>
    <w:rsid w:val="00241B76"/>
    <w:rsid w:val="002544DE"/>
    <w:rsid w:val="002B1E80"/>
    <w:rsid w:val="002D7FB3"/>
    <w:rsid w:val="00304D9A"/>
    <w:rsid w:val="00375092"/>
    <w:rsid w:val="00383671"/>
    <w:rsid w:val="003D4D32"/>
    <w:rsid w:val="00444869"/>
    <w:rsid w:val="00467089"/>
    <w:rsid w:val="0047689E"/>
    <w:rsid w:val="00477731"/>
    <w:rsid w:val="00491777"/>
    <w:rsid w:val="00494037"/>
    <w:rsid w:val="00495CDE"/>
    <w:rsid w:val="004A1040"/>
    <w:rsid w:val="004C66B1"/>
    <w:rsid w:val="004E311E"/>
    <w:rsid w:val="005056EA"/>
    <w:rsid w:val="005422D9"/>
    <w:rsid w:val="00545052"/>
    <w:rsid w:val="005757DA"/>
    <w:rsid w:val="005800F4"/>
    <w:rsid w:val="00583775"/>
    <w:rsid w:val="00597589"/>
    <w:rsid w:val="00647B26"/>
    <w:rsid w:val="00653A6C"/>
    <w:rsid w:val="00666D34"/>
    <w:rsid w:val="00682E04"/>
    <w:rsid w:val="006B637F"/>
    <w:rsid w:val="006C6515"/>
    <w:rsid w:val="00707E92"/>
    <w:rsid w:val="00735444"/>
    <w:rsid w:val="00752CE1"/>
    <w:rsid w:val="00790ECF"/>
    <w:rsid w:val="007F2B42"/>
    <w:rsid w:val="008209DC"/>
    <w:rsid w:val="00825659"/>
    <w:rsid w:val="008308AA"/>
    <w:rsid w:val="00834D10"/>
    <w:rsid w:val="0084215D"/>
    <w:rsid w:val="00846E5D"/>
    <w:rsid w:val="00875C3E"/>
    <w:rsid w:val="008823E7"/>
    <w:rsid w:val="00885340"/>
    <w:rsid w:val="0088535D"/>
    <w:rsid w:val="00887DDB"/>
    <w:rsid w:val="00891800"/>
    <w:rsid w:val="00896751"/>
    <w:rsid w:val="008A2782"/>
    <w:rsid w:val="008B1234"/>
    <w:rsid w:val="00934812"/>
    <w:rsid w:val="0096080D"/>
    <w:rsid w:val="00966154"/>
    <w:rsid w:val="009D2D1D"/>
    <w:rsid w:val="00A06591"/>
    <w:rsid w:val="00A14423"/>
    <w:rsid w:val="00A8587D"/>
    <w:rsid w:val="00A95882"/>
    <w:rsid w:val="00A97820"/>
    <w:rsid w:val="00AD11ED"/>
    <w:rsid w:val="00B21328"/>
    <w:rsid w:val="00B542A1"/>
    <w:rsid w:val="00B54326"/>
    <w:rsid w:val="00BA264C"/>
    <w:rsid w:val="00BF754D"/>
    <w:rsid w:val="00C500AE"/>
    <w:rsid w:val="00C50710"/>
    <w:rsid w:val="00C72E8F"/>
    <w:rsid w:val="00C7472A"/>
    <w:rsid w:val="00C96677"/>
    <w:rsid w:val="00CD0519"/>
    <w:rsid w:val="00CE2D40"/>
    <w:rsid w:val="00CE523F"/>
    <w:rsid w:val="00CF5237"/>
    <w:rsid w:val="00CF52E6"/>
    <w:rsid w:val="00D141E4"/>
    <w:rsid w:val="00D53B7C"/>
    <w:rsid w:val="00DC5754"/>
    <w:rsid w:val="00E21AA0"/>
    <w:rsid w:val="00E64537"/>
    <w:rsid w:val="00E76D7D"/>
    <w:rsid w:val="00EB32AB"/>
    <w:rsid w:val="00F5776E"/>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Ttulo2">
    <w:name w:val="heading 2"/>
    <w:basedOn w:val="Normal"/>
    <w:next w:val="Normal"/>
    <w:link w:val="Ttulo2C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080D"/>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96080D"/>
    <w:pPr>
      <w:spacing w:line="240" w:lineRule="auto"/>
    </w:pPr>
    <w:rPr>
      <w:sz w:val="20"/>
      <w:szCs w:val="20"/>
    </w:rPr>
  </w:style>
  <w:style w:type="character" w:customStyle="1" w:styleId="TextocomentarioCar">
    <w:name w:val="Texto comentario Car"/>
    <w:basedOn w:val="Fuentedeprrafopredeter"/>
    <w:link w:val="Textocomentario"/>
    <w:rsid w:val="0096080D"/>
    <w:rPr>
      <w:sz w:val="20"/>
      <w:szCs w:val="20"/>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647B26"/>
    <w:pPr>
      <w:ind w:left="720"/>
      <w:contextualSpacing/>
    </w:p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basedOn w:val="Fuentedeprrafopredeter"/>
    <w:link w:val="Prrafodelista"/>
    <w:uiPriority w:val="34"/>
    <w:qFormat/>
    <w:rsid w:val="00647B26"/>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iPriority w:val="99"/>
    <w:unhideWhenUsed/>
    <w:rsid w:val="000208B5"/>
    <w:pPr>
      <w:spacing w:after="0" w:line="240" w:lineRule="auto"/>
    </w:pPr>
    <w:rPr>
      <w:sz w:val="20"/>
      <w:szCs w:val="20"/>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link w:val="Textonotapie"/>
    <w:uiPriority w:val="99"/>
    <w:rsid w:val="000208B5"/>
    <w:rPr>
      <w:sz w:val="20"/>
      <w:szCs w:val="20"/>
    </w:rPr>
  </w:style>
  <w:style w:type="character" w:styleId="Refdenotaalpie">
    <w:name w:val="footnote reference"/>
    <w:aliases w:val="16 Point,Superscript 6 Point,Superscript 6 Point + 11 pt,ftref,fr,Footnote Ref in FtNote,Style 24,o,SUPERS"/>
    <w:basedOn w:val="Fuentedeprrafopredeter"/>
    <w:uiPriority w:val="99"/>
    <w:unhideWhenUsed/>
    <w:rsid w:val="000208B5"/>
    <w:rPr>
      <w:vertAlign w:val="superscript"/>
    </w:rPr>
  </w:style>
  <w:style w:type="character" w:styleId="Hipervnculo">
    <w:name w:val="Hyperlink"/>
    <w:basedOn w:val="Fuentedeprrafopredeter"/>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Default">
    <w:name w:val="Default"/>
    <w:rsid w:val="00BF754D"/>
    <w:pPr>
      <w:autoSpaceDE w:val="0"/>
      <w:autoSpaceDN w:val="0"/>
      <w:adjustRightInd w:val="0"/>
      <w:spacing w:after="0" w:line="240" w:lineRule="auto"/>
    </w:pPr>
    <w:rPr>
      <w:rFonts w:ascii="Arial" w:hAnsi="Arial" w:cs="Arial"/>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EE611-EE68-426D-8877-AAB95CD12665}">
  <ds:schemaRefs>
    <ds:schemaRef ds:uri="http://schemas.openxmlformats.org/officeDocument/2006/bibliography"/>
  </ds:schemaRefs>
</ds:datastoreItem>
</file>

<file path=customXml/itemProps3.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79183D-819A-42C3-BAA3-57DAE7BD2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5671</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Scasso</dc:creator>
  <cp:keywords/>
  <dc:description/>
  <cp:lastModifiedBy>Sofia Cancela</cp:lastModifiedBy>
  <cp:revision>2</cp:revision>
  <dcterms:created xsi:type="dcterms:W3CDTF">2022-03-24T17:37:00Z</dcterms:created>
  <dcterms:modified xsi:type="dcterms:W3CDTF">2022-03-24T17:37:00Z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