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A13D" w14:textId="4DE19761" w:rsidR="009D3546" w:rsidRPr="00F76785" w:rsidRDefault="00554F23" w:rsidP="005F174C">
      <w:pPr>
        <w:pStyle w:val="Heading1"/>
        <w:spacing w:line="360" w:lineRule="auto"/>
        <w:jc w:val="center"/>
        <w:rPr>
          <w:rFonts w:asciiTheme="minorHAnsi" w:hAnsiTheme="minorHAnsi" w:cs="Times New Roman"/>
          <w:b/>
          <w:sz w:val="22"/>
          <w:szCs w:val="22"/>
          <w:lang w:val="en-GB"/>
        </w:rPr>
      </w:pPr>
      <w:r>
        <w:rPr>
          <w:noProof/>
        </w:rPr>
        <w:drawing>
          <wp:anchor distT="0" distB="0" distL="114300" distR="114300" simplePos="0" relativeHeight="251659264" behindDoc="0" locked="0" layoutInCell="1" allowOverlap="1" wp14:anchorId="62793AEE" wp14:editId="2498AD67">
            <wp:simplePos x="0" y="0"/>
            <wp:positionH relativeFrom="column">
              <wp:posOffset>5323114</wp:posOffset>
            </wp:positionH>
            <wp:positionV relativeFrom="paragraph">
              <wp:posOffset>-772886</wp:posOffset>
            </wp:positionV>
            <wp:extent cx="1371521" cy="2095254"/>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DP-Logo-Blue-Large.png"/>
                    <pic:cNvPicPr/>
                  </pic:nvPicPr>
                  <pic:blipFill>
                    <a:blip r:embed="rId8"/>
                    <a:stretch>
                      <a:fillRect/>
                    </a:stretch>
                  </pic:blipFill>
                  <pic:spPr>
                    <a:xfrm>
                      <a:off x="0" y="0"/>
                      <a:ext cx="1371521" cy="2095254"/>
                    </a:xfrm>
                    <a:prstGeom prst="rect">
                      <a:avLst/>
                    </a:prstGeom>
                  </pic:spPr>
                </pic:pic>
              </a:graphicData>
            </a:graphic>
            <wp14:sizeRelH relativeFrom="margin">
              <wp14:pctWidth>0</wp14:pctWidth>
            </wp14:sizeRelH>
            <wp14:sizeRelV relativeFrom="margin">
              <wp14:pctHeight>0</wp14:pctHeight>
            </wp14:sizeRelV>
          </wp:anchor>
        </w:drawing>
      </w:r>
    </w:p>
    <w:p w14:paraId="7B71587A" w14:textId="120AA2DF" w:rsidR="009D3546" w:rsidRPr="00F76785" w:rsidRDefault="009D3546" w:rsidP="009D3546">
      <w:pPr>
        <w:spacing w:after="200" w:line="276" w:lineRule="auto"/>
        <w:rPr>
          <w:rFonts w:eastAsia="Calibri" w:cs="Times New Roman"/>
          <w:lang w:val="en-ZA" w:eastAsia="ja-JP"/>
        </w:rPr>
      </w:pPr>
    </w:p>
    <w:p w14:paraId="465C36C8" w14:textId="77777777" w:rsidR="009D3546" w:rsidRPr="00F76785" w:rsidRDefault="009D3546" w:rsidP="009D3546">
      <w:pPr>
        <w:spacing w:after="200" w:line="276" w:lineRule="auto"/>
        <w:rPr>
          <w:rFonts w:eastAsia="Calibri" w:cs="Times New Roman"/>
          <w:lang w:val="en-ZA" w:eastAsia="ja-JP"/>
        </w:rPr>
      </w:pPr>
    </w:p>
    <w:p w14:paraId="5AAE773D" w14:textId="77777777" w:rsidR="009D3546" w:rsidRPr="00F76785" w:rsidRDefault="009D3546" w:rsidP="009D3546">
      <w:pPr>
        <w:spacing w:after="200" w:line="276" w:lineRule="auto"/>
        <w:rPr>
          <w:rFonts w:eastAsia="Calibri" w:cs="Times New Roman"/>
          <w:lang w:val="en-ZA" w:eastAsia="ja-JP"/>
        </w:rPr>
      </w:pPr>
    </w:p>
    <w:p w14:paraId="72213E2B" w14:textId="77777777" w:rsidR="009D3546" w:rsidRPr="002D437C" w:rsidRDefault="009D3546" w:rsidP="009D3546">
      <w:pPr>
        <w:spacing w:after="200" w:line="276" w:lineRule="auto"/>
        <w:rPr>
          <w:rFonts w:ascii="Times New Roman" w:eastAsia="Calibri" w:hAnsi="Times New Roman" w:cs="Times New Roman"/>
          <w:lang w:val="en-ZA" w:eastAsia="ja-JP"/>
        </w:rPr>
      </w:pPr>
    </w:p>
    <w:p w14:paraId="5F0C5D90" w14:textId="77777777" w:rsidR="009E3EA9" w:rsidRPr="002D437C" w:rsidRDefault="009D3546" w:rsidP="009D3546">
      <w:pPr>
        <w:jc w:val="both"/>
        <w:rPr>
          <w:rFonts w:ascii="Times New Roman" w:eastAsia="Times New Roman" w:hAnsi="Times New Roman" w:cs="Times New Roman"/>
          <w:lang w:val="en-ZA" w:eastAsia="ja-JP"/>
        </w:rPr>
      </w:pPr>
      <w:r w:rsidRPr="002D437C">
        <w:rPr>
          <w:rFonts w:ascii="Times New Roman" w:eastAsia="Times New Roman" w:hAnsi="Times New Roman" w:cs="Times New Roman"/>
          <w:lang w:val="en-ZA" w:eastAsia="ja-JP"/>
        </w:rPr>
        <w:tab/>
      </w:r>
    </w:p>
    <w:tbl>
      <w:tblPr>
        <w:tblStyle w:val="TableGrid"/>
        <w:tblW w:w="0" w:type="auto"/>
        <w:jc w:val="center"/>
        <w:tblLook w:val="04A0" w:firstRow="1" w:lastRow="0" w:firstColumn="1" w:lastColumn="0" w:noHBand="0" w:noVBand="1"/>
      </w:tblPr>
      <w:tblGrid>
        <w:gridCol w:w="2425"/>
        <w:gridCol w:w="6584"/>
      </w:tblGrid>
      <w:tr w:rsidR="009E3EA9" w:rsidRPr="002D437C" w14:paraId="5594B845" w14:textId="77777777" w:rsidTr="001A7BD2">
        <w:trPr>
          <w:trHeight w:val="243"/>
          <w:jc w:val="center"/>
        </w:trPr>
        <w:tc>
          <w:tcPr>
            <w:tcW w:w="2425" w:type="dxa"/>
          </w:tcPr>
          <w:p w14:paraId="786E355A"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Assignment Title</w:t>
            </w:r>
          </w:p>
        </w:tc>
        <w:tc>
          <w:tcPr>
            <w:tcW w:w="6584" w:type="dxa"/>
          </w:tcPr>
          <w:p w14:paraId="3701A7F2" w14:textId="462D6DF0" w:rsidR="009E3EA9" w:rsidRPr="002D437C" w:rsidRDefault="00D60AB3" w:rsidP="00297784">
            <w:pPr>
              <w:rPr>
                <w:rFonts w:ascii="Times New Roman" w:hAnsi="Times New Roman" w:cs="Times New Roman"/>
              </w:rPr>
            </w:pPr>
            <w:r w:rsidRPr="002D437C">
              <w:rPr>
                <w:rFonts w:ascii="Times New Roman" w:hAnsi="Times New Roman" w:cs="Times New Roman"/>
                <w:b/>
                <w:lang w:val="en-GB"/>
              </w:rPr>
              <w:t xml:space="preserve">Individual Consultancy for </w:t>
            </w:r>
            <w:r w:rsidR="003E2CC4" w:rsidRPr="002D437C">
              <w:rPr>
                <w:rFonts w:ascii="Times New Roman" w:hAnsi="Times New Roman" w:cs="Times New Roman"/>
                <w:b/>
                <w:lang w:val="en-GB"/>
              </w:rPr>
              <w:t xml:space="preserve">Team Leader </w:t>
            </w:r>
            <w:r w:rsidR="00015DC9" w:rsidRPr="002D437C">
              <w:rPr>
                <w:rFonts w:ascii="Times New Roman" w:hAnsi="Times New Roman" w:cs="Times New Roman"/>
                <w:b/>
                <w:lang w:val="en-GB"/>
              </w:rPr>
              <w:t xml:space="preserve">for </w:t>
            </w:r>
            <w:r w:rsidR="00554F23" w:rsidRPr="002D437C">
              <w:rPr>
                <w:rFonts w:ascii="Times New Roman" w:hAnsi="Times New Roman" w:cs="Times New Roman"/>
                <w:b/>
                <w:lang w:val="en-GB"/>
              </w:rPr>
              <w:t>Mid Term Evaluation of UNDP Malawi Country Programme 2019 to 2023</w:t>
            </w:r>
            <w:r w:rsidRPr="002D437C">
              <w:rPr>
                <w:rFonts w:ascii="Times New Roman" w:hAnsi="Times New Roman" w:cs="Times New Roman"/>
                <w:b/>
                <w:lang w:val="en-GB"/>
              </w:rPr>
              <w:t xml:space="preserve"> </w:t>
            </w:r>
          </w:p>
        </w:tc>
      </w:tr>
      <w:tr w:rsidR="009E3EA9" w:rsidRPr="002D437C" w14:paraId="6C6A02C2" w14:textId="77777777" w:rsidTr="001A7BD2">
        <w:trPr>
          <w:trHeight w:val="337"/>
          <w:jc w:val="center"/>
        </w:trPr>
        <w:tc>
          <w:tcPr>
            <w:tcW w:w="2425" w:type="dxa"/>
          </w:tcPr>
          <w:p w14:paraId="456E023D"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Project</w:t>
            </w:r>
          </w:p>
        </w:tc>
        <w:tc>
          <w:tcPr>
            <w:tcW w:w="6584" w:type="dxa"/>
          </w:tcPr>
          <w:p w14:paraId="2858A977" w14:textId="5327B5F7" w:rsidR="009E3EA9" w:rsidRPr="002D437C" w:rsidRDefault="007A5777" w:rsidP="001A7BD2">
            <w:pPr>
              <w:rPr>
                <w:rFonts w:ascii="Times New Roman" w:eastAsia="Times New Roman" w:hAnsi="Times New Roman" w:cs="Times New Roman"/>
              </w:rPr>
            </w:pPr>
            <w:r w:rsidRPr="002D437C">
              <w:rPr>
                <w:rFonts w:ascii="Times New Roman" w:eastAsia="Times New Roman" w:hAnsi="Times New Roman" w:cs="Times New Roman"/>
              </w:rPr>
              <w:t>Public Sector Innovation</w:t>
            </w:r>
          </w:p>
        </w:tc>
      </w:tr>
      <w:tr w:rsidR="009E3EA9" w:rsidRPr="002D437C" w14:paraId="3CEA30FC" w14:textId="77777777" w:rsidTr="001A7BD2">
        <w:trPr>
          <w:jc w:val="center"/>
        </w:trPr>
        <w:tc>
          <w:tcPr>
            <w:tcW w:w="2425" w:type="dxa"/>
          </w:tcPr>
          <w:p w14:paraId="39F8C616"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Type of Contract</w:t>
            </w:r>
          </w:p>
        </w:tc>
        <w:tc>
          <w:tcPr>
            <w:tcW w:w="6584" w:type="dxa"/>
          </w:tcPr>
          <w:p w14:paraId="17D40C57" w14:textId="39E28650" w:rsidR="009E3EA9" w:rsidRPr="002D437C" w:rsidRDefault="009E3EA9" w:rsidP="001A7BD2">
            <w:pPr>
              <w:tabs>
                <w:tab w:val="left" w:pos="924"/>
              </w:tabs>
              <w:jc w:val="both"/>
              <w:rPr>
                <w:rFonts w:ascii="Times New Roman" w:hAnsi="Times New Roman" w:cs="Times New Roman"/>
              </w:rPr>
            </w:pPr>
            <w:r w:rsidRPr="002D437C">
              <w:rPr>
                <w:rFonts w:ascii="Times New Roman" w:eastAsia="Times New Roman" w:hAnsi="Times New Roman" w:cs="Times New Roman"/>
                <w:lang w:val="en-ZA" w:eastAsia="ja-JP"/>
              </w:rPr>
              <w:t xml:space="preserve">Short Term Individual Consultant </w:t>
            </w:r>
            <w:r w:rsidR="003E2CC4" w:rsidRPr="002D437C">
              <w:rPr>
                <w:rFonts w:ascii="Times New Roman" w:eastAsia="Times New Roman" w:hAnsi="Times New Roman" w:cs="Times New Roman"/>
                <w:lang w:val="en-ZA" w:eastAsia="ja-JP"/>
              </w:rPr>
              <w:t>(International)</w:t>
            </w:r>
          </w:p>
        </w:tc>
      </w:tr>
      <w:tr w:rsidR="009E3EA9" w:rsidRPr="002D437C" w14:paraId="2EBF11B2" w14:textId="77777777" w:rsidTr="001A7BD2">
        <w:trPr>
          <w:trHeight w:val="242"/>
          <w:jc w:val="center"/>
        </w:trPr>
        <w:tc>
          <w:tcPr>
            <w:tcW w:w="2425" w:type="dxa"/>
          </w:tcPr>
          <w:p w14:paraId="7F66030B"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Contract Period</w:t>
            </w:r>
          </w:p>
        </w:tc>
        <w:tc>
          <w:tcPr>
            <w:tcW w:w="6584" w:type="dxa"/>
          </w:tcPr>
          <w:p w14:paraId="078FB27D" w14:textId="6320D4CE" w:rsidR="009E3EA9" w:rsidRPr="002D437C" w:rsidRDefault="004E4BF4" w:rsidP="001A7BD2">
            <w:pPr>
              <w:jc w:val="both"/>
              <w:rPr>
                <w:rFonts w:ascii="Times New Roman" w:hAnsi="Times New Roman" w:cs="Times New Roman"/>
                <w:bCs/>
              </w:rPr>
            </w:pPr>
            <w:r>
              <w:rPr>
                <w:rFonts w:ascii="Times New Roman" w:hAnsi="Times New Roman" w:cs="Times New Roman"/>
              </w:rPr>
              <w:t>30</w:t>
            </w:r>
            <w:r w:rsidR="009E3EA9" w:rsidRPr="002D437C">
              <w:rPr>
                <w:rFonts w:ascii="Times New Roman" w:hAnsi="Times New Roman" w:cs="Times New Roman"/>
              </w:rPr>
              <w:t xml:space="preserve"> </w:t>
            </w:r>
            <w:r w:rsidR="00D60AB3" w:rsidRPr="002D437C">
              <w:rPr>
                <w:rFonts w:ascii="Times New Roman" w:hAnsi="Times New Roman" w:cs="Times New Roman"/>
              </w:rPr>
              <w:t xml:space="preserve">working </w:t>
            </w:r>
            <w:r w:rsidR="009E3EA9" w:rsidRPr="002D437C">
              <w:rPr>
                <w:rFonts w:ascii="Times New Roman" w:hAnsi="Times New Roman" w:cs="Times New Roman"/>
              </w:rPr>
              <w:t>days</w:t>
            </w:r>
            <w:r w:rsidR="009E3EA9" w:rsidRPr="002D437C">
              <w:rPr>
                <w:rFonts w:ascii="Times New Roman" w:hAnsi="Times New Roman" w:cs="Times New Roman"/>
                <w:bCs/>
              </w:rPr>
              <w:t xml:space="preserve"> spread over </w:t>
            </w:r>
            <w:r w:rsidR="00A75CC9">
              <w:rPr>
                <w:rFonts w:ascii="Times New Roman" w:hAnsi="Times New Roman" w:cs="Times New Roman"/>
                <w:bCs/>
              </w:rPr>
              <w:t>2</w:t>
            </w:r>
            <w:r w:rsidR="009E3EA9" w:rsidRPr="002D437C">
              <w:rPr>
                <w:rFonts w:ascii="Times New Roman" w:hAnsi="Times New Roman" w:cs="Times New Roman"/>
                <w:bCs/>
              </w:rPr>
              <w:t xml:space="preserve"> calendar months </w:t>
            </w:r>
          </w:p>
        </w:tc>
      </w:tr>
      <w:tr w:rsidR="009E3EA9" w:rsidRPr="002D437C" w14:paraId="75D4FCA4" w14:textId="77777777" w:rsidTr="001A7BD2">
        <w:trPr>
          <w:jc w:val="center"/>
        </w:trPr>
        <w:tc>
          <w:tcPr>
            <w:tcW w:w="2425" w:type="dxa"/>
          </w:tcPr>
          <w:p w14:paraId="73169A8D"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Supervisor</w:t>
            </w:r>
          </w:p>
        </w:tc>
        <w:tc>
          <w:tcPr>
            <w:tcW w:w="6584" w:type="dxa"/>
          </w:tcPr>
          <w:p w14:paraId="4533F89A" w14:textId="78F7DBB8" w:rsidR="009E3EA9" w:rsidRPr="002D437C" w:rsidRDefault="00554F23" w:rsidP="001A7BD2">
            <w:pPr>
              <w:pStyle w:val="NoSpacing"/>
              <w:rPr>
                <w:rFonts w:ascii="Times New Roman" w:eastAsia="Calibri" w:hAnsi="Times New Roman"/>
                <w:bCs/>
                <w:sz w:val="22"/>
                <w:szCs w:val="22"/>
              </w:rPr>
            </w:pPr>
            <w:r w:rsidRPr="002D437C">
              <w:rPr>
                <w:rFonts w:ascii="Times New Roman" w:hAnsi="Times New Roman"/>
                <w:sz w:val="22"/>
                <w:szCs w:val="22"/>
              </w:rPr>
              <w:t>UNDP M&amp;E Specialist in consultation with Programme Portfolio Managers</w:t>
            </w:r>
          </w:p>
        </w:tc>
      </w:tr>
      <w:tr w:rsidR="009E3EA9" w:rsidRPr="002D437C" w14:paraId="2E2827CA" w14:textId="77777777" w:rsidTr="001A7BD2">
        <w:trPr>
          <w:jc w:val="center"/>
        </w:trPr>
        <w:tc>
          <w:tcPr>
            <w:tcW w:w="2425" w:type="dxa"/>
          </w:tcPr>
          <w:p w14:paraId="06ED1179"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Location</w:t>
            </w:r>
          </w:p>
        </w:tc>
        <w:tc>
          <w:tcPr>
            <w:tcW w:w="6584" w:type="dxa"/>
          </w:tcPr>
          <w:p w14:paraId="4FC40607" w14:textId="2D05F19C" w:rsidR="009E3EA9" w:rsidRPr="002D437C" w:rsidRDefault="00015DC9" w:rsidP="001A7BD2">
            <w:pPr>
              <w:jc w:val="both"/>
              <w:rPr>
                <w:rFonts w:ascii="Times New Roman" w:hAnsi="Times New Roman" w:cs="Times New Roman"/>
                <w:lang w:val="en-GB"/>
              </w:rPr>
            </w:pPr>
            <w:r w:rsidRPr="002D437C">
              <w:rPr>
                <w:rFonts w:ascii="Times New Roman" w:hAnsi="Times New Roman" w:cs="Times New Roman"/>
                <w:lang w:val="en-GB"/>
              </w:rPr>
              <w:t xml:space="preserve">Home-based with possible </w:t>
            </w:r>
            <w:r w:rsidR="009E3EA9" w:rsidRPr="002D437C">
              <w:rPr>
                <w:rFonts w:ascii="Times New Roman" w:hAnsi="Times New Roman" w:cs="Times New Roman"/>
                <w:lang w:val="en-GB"/>
              </w:rPr>
              <w:t xml:space="preserve">travel </w:t>
            </w:r>
            <w:r w:rsidRPr="002D437C">
              <w:rPr>
                <w:rFonts w:ascii="Times New Roman" w:hAnsi="Times New Roman" w:cs="Times New Roman"/>
                <w:lang w:val="en-GB"/>
              </w:rPr>
              <w:t>depending on COVID 19 situation</w:t>
            </w:r>
          </w:p>
        </w:tc>
      </w:tr>
      <w:tr w:rsidR="009E3EA9" w:rsidRPr="002D437C" w14:paraId="47DD5608" w14:textId="77777777" w:rsidTr="001A7BD2">
        <w:trPr>
          <w:jc w:val="center"/>
        </w:trPr>
        <w:tc>
          <w:tcPr>
            <w:tcW w:w="2425" w:type="dxa"/>
          </w:tcPr>
          <w:p w14:paraId="558B43C7" w14:textId="77777777" w:rsidR="009E3EA9" w:rsidRPr="002D437C" w:rsidRDefault="009E3EA9" w:rsidP="001A7BD2">
            <w:pPr>
              <w:jc w:val="both"/>
              <w:rPr>
                <w:rFonts w:ascii="Times New Roman" w:hAnsi="Times New Roman" w:cs="Times New Roman"/>
                <w:b/>
              </w:rPr>
            </w:pPr>
            <w:r w:rsidRPr="002D437C">
              <w:rPr>
                <w:rFonts w:ascii="Times New Roman" w:hAnsi="Times New Roman" w:cs="Times New Roman"/>
                <w:b/>
              </w:rPr>
              <w:t>Country</w:t>
            </w:r>
          </w:p>
        </w:tc>
        <w:tc>
          <w:tcPr>
            <w:tcW w:w="6584" w:type="dxa"/>
          </w:tcPr>
          <w:p w14:paraId="5AB40980" w14:textId="77777777" w:rsidR="009E3EA9" w:rsidRPr="002D437C" w:rsidRDefault="009E3EA9" w:rsidP="001A7BD2">
            <w:pPr>
              <w:jc w:val="both"/>
              <w:rPr>
                <w:rFonts w:ascii="Times New Roman" w:hAnsi="Times New Roman" w:cs="Times New Roman"/>
              </w:rPr>
            </w:pPr>
            <w:r w:rsidRPr="002D437C">
              <w:rPr>
                <w:rFonts w:ascii="Times New Roman" w:hAnsi="Times New Roman" w:cs="Times New Roman"/>
              </w:rPr>
              <w:t>Malawi</w:t>
            </w:r>
          </w:p>
        </w:tc>
      </w:tr>
    </w:tbl>
    <w:p w14:paraId="175A6249" w14:textId="0B2CC670" w:rsidR="009D3546" w:rsidRPr="002D437C" w:rsidRDefault="009D3546" w:rsidP="009D3546">
      <w:pPr>
        <w:spacing w:after="200" w:line="276" w:lineRule="auto"/>
        <w:rPr>
          <w:rFonts w:ascii="Times New Roman" w:eastAsia="Times New Roman" w:hAnsi="Times New Roman" w:cs="Times New Roman"/>
          <w:b/>
          <w:lang w:val="en-ZA" w:eastAsia="ja-JP"/>
        </w:rPr>
      </w:pPr>
    </w:p>
    <w:p w14:paraId="140D2468" w14:textId="76D1910D" w:rsidR="00554F23" w:rsidRPr="00B5597A" w:rsidRDefault="00B21C2A" w:rsidP="00B5597A">
      <w:pPr>
        <w:pStyle w:val="ListParagraph"/>
        <w:numPr>
          <w:ilvl w:val="0"/>
          <w:numId w:val="23"/>
        </w:numPr>
        <w:autoSpaceDE w:val="0"/>
        <w:autoSpaceDN w:val="0"/>
        <w:adjustRightInd w:val="0"/>
        <w:spacing w:before="100" w:beforeAutospacing="1" w:after="100" w:afterAutospacing="1" w:line="240" w:lineRule="auto"/>
        <w:jc w:val="both"/>
        <w:rPr>
          <w:rFonts w:ascii="Times New Roman" w:hAnsi="Times New Roman"/>
          <w:b/>
        </w:rPr>
      </w:pPr>
      <w:r w:rsidRPr="00B5597A">
        <w:rPr>
          <w:rFonts w:ascii="Times New Roman" w:hAnsi="Times New Roman"/>
          <w:b/>
        </w:rPr>
        <w:t xml:space="preserve">Background and Programme </w:t>
      </w:r>
      <w:r w:rsidR="00554F23" w:rsidRPr="00B5597A">
        <w:rPr>
          <w:rFonts w:ascii="Times New Roman" w:hAnsi="Times New Roman"/>
          <w:b/>
        </w:rPr>
        <w:t>Context</w:t>
      </w:r>
    </w:p>
    <w:p w14:paraId="573A663F" w14:textId="2D997E0E" w:rsidR="00554F23" w:rsidRPr="00B5597A" w:rsidRDefault="00554F23" w:rsidP="00554F23">
      <w:pPr>
        <w:autoSpaceDE w:val="0"/>
        <w:autoSpaceDN w:val="0"/>
        <w:adjustRightInd w:val="0"/>
        <w:spacing w:before="100" w:beforeAutospacing="1" w:after="100" w:afterAutospacing="1" w:line="240" w:lineRule="auto"/>
        <w:jc w:val="both"/>
        <w:rPr>
          <w:rFonts w:ascii="Times New Roman" w:hAnsi="Times New Roman" w:cs="Times New Roman"/>
          <w:lang w:eastAsia="en-GB"/>
        </w:rPr>
      </w:pPr>
      <w:r w:rsidRPr="006C04DF">
        <w:rPr>
          <w:rFonts w:ascii="Times New Roman" w:hAnsi="Times New Roman"/>
        </w:rPr>
        <w:t>Malawi is a landlocked country, covering an area of approximately 118,000 km</w:t>
      </w:r>
      <w:r w:rsidRPr="006C04DF">
        <w:rPr>
          <w:rFonts w:ascii="Times New Roman" w:hAnsi="Times New Roman"/>
          <w:vertAlign w:val="superscript"/>
        </w:rPr>
        <w:t>2</w:t>
      </w:r>
      <w:r w:rsidRPr="006C04DF">
        <w:rPr>
          <w:rFonts w:ascii="Times New Roman" w:hAnsi="Times New Roman"/>
        </w:rPr>
        <w:t>. It is ranked among the Least Develo</w:t>
      </w:r>
      <w:r w:rsidR="0004544B">
        <w:rPr>
          <w:rFonts w:ascii="Times New Roman" w:hAnsi="Times New Roman"/>
        </w:rPr>
        <w:t>p</w:t>
      </w:r>
      <w:r w:rsidRPr="006C04DF">
        <w:rPr>
          <w:rFonts w:ascii="Times New Roman" w:hAnsi="Times New Roman"/>
        </w:rPr>
        <w:t xml:space="preserve">ed Countries in the world.  Its population of approximately 18 million is predominantly rural with a rapidly </w:t>
      </w:r>
      <w:r w:rsidR="0004544B">
        <w:rPr>
          <w:rFonts w:ascii="Times New Roman" w:hAnsi="Times New Roman"/>
        </w:rPr>
        <w:t xml:space="preserve">urbanizing </w:t>
      </w:r>
      <w:r w:rsidRPr="006C04DF">
        <w:rPr>
          <w:rFonts w:ascii="Times New Roman" w:hAnsi="Times New Roman"/>
        </w:rPr>
        <w:t xml:space="preserve">sector and with high population growth rates. </w:t>
      </w:r>
      <w:r w:rsidRPr="006C04DF">
        <w:rPr>
          <w:rFonts w:ascii="Times New Roman" w:hAnsi="Times New Roman"/>
          <w:lang w:eastAsia="en-GB"/>
        </w:rPr>
        <w:t>Malawi’s GDP per capita is estimated at $411.60 (2019),</w:t>
      </w:r>
      <w:r w:rsidRPr="006C04DF">
        <w:rPr>
          <w:rStyle w:val="FootnoteReference"/>
          <w:rFonts w:ascii="Times New Roman" w:hAnsi="Times New Roman"/>
        </w:rPr>
        <w:footnoteReference w:id="1"/>
      </w:r>
      <w:r w:rsidRPr="006C04DF">
        <w:rPr>
          <w:rFonts w:ascii="Times New Roman" w:hAnsi="Times New Roman"/>
          <w:lang w:eastAsia="en-GB"/>
        </w:rPr>
        <w:t xml:space="preserve"> with its Gini coefficient placed at 44.7</w:t>
      </w:r>
      <w:r w:rsidRPr="006C04DF">
        <w:rPr>
          <w:rStyle w:val="FootnoteReference"/>
          <w:rFonts w:ascii="Times New Roman" w:hAnsi="Times New Roman"/>
        </w:rPr>
        <w:footnoteReference w:id="2"/>
      </w:r>
      <w:r w:rsidRPr="006C04DF">
        <w:rPr>
          <w:rFonts w:ascii="Times New Roman" w:hAnsi="Times New Roman"/>
          <w:lang w:eastAsia="en-GB"/>
        </w:rPr>
        <w:t xml:space="preserve"> (2016). Agriculture, which employs over 80% of the Malawian population, is the mainstay of the economy. It drives livelihoods for two-thirds of the country’s population but contributes only a third to GDP</w:t>
      </w:r>
      <w:r w:rsidRPr="006C04DF">
        <w:rPr>
          <w:rStyle w:val="FootnoteReference"/>
          <w:rFonts w:ascii="Times New Roman" w:hAnsi="Times New Roman"/>
        </w:rPr>
        <w:footnoteReference w:id="3"/>
      </w:r>
      <w:r w:rsidRPr="006C04DF">
        <w:rPr>
          <w:rFonts w:ascii="Times New Roman" w:hAnsi="Times New Roman"/>
          <w:lang w:eastAsia="en-GB"/>
        </w:rPr>
        <w:t xml:space="preserve"> and </w:t>
      </w:r>
      <w:r w:rsidRPr="006C04DF">
        <w:rPr>
          <w:rFonts w:ascii="Times New Roman" w:hAnsi="Times New Roman"/>
        </w:rPr>
        <w:t xml:space="preserve">accounts for over </w:t>
      </w:r>
      <w:r w:rsidRPr="004D6463">
        <w:rPr>
          <w:rFonts w:ascii="Times New Roman" w:hAnsi="Times New Roman"/>
        </w:rPr>
        <w:t>85%</w:t>
      </w:r>
      <w:r w:rsidRPr="006C04DF">
        <w:rPr>
          <w:rFonts w:ascii="Times New Roman" w:hAnsi="Times New Roman"/>
        </w:rPr>
        <w:t xml:space="preserve"> of export earnings.  </w:t>
      </w:r>
      <w:r w:rsidRPr="006C04DF">
        <w:rPr>
          <w:rFonts w:ascii="Times New Roman" w:hAnsi="Times New Roman"/>
          <w:lang w:eastAsia="en-GB"/>
        </w:rPr>
        <w:t xml:space="preserve">The </w:t>
      </w:r>
      <w:r w:rsidR="0004544B">
        <w:rPr>
          <w:rFonts w:ascii="Times New Roman" w:hAnsi="Times New Roman"/>
          <w:lang w:eastAsia="en-GB"/>
        </w:rPr>
        <w:t>H</w:t>
      </w:r>
      <w:r w:rsidRPr="006C04DF">
        <w:rPr>
          <w:rFonts w:ascii="Times New Roman" w:hAnsi="Times New Roman"/>
          <w:lang w:eastAsia="en-GB"/>
        </w:rPr>
        <w:t xml:space="preserve">uman </w:t>
      </w:r>
      <w:r w:rsidR="0004544B">
        <w:rPr>
          <w:rFonts w:ascii="Times New Roman" w:hAnsi="Times New Roman"/>
          <w:lang w:eastAsia="en-GB"/>
        </w:rPr>
        <w:t>D</w:t>
      </w:r>
      <w:r w:rsidRPr="006C04DF">
        <w:rPr>
          <w:rFonts w:ascii="Times New Roman" w:hAnsi="Times New Roman"/>
          <w:lang w:eastAsia="en-GB"/>
        </w:rPr>
        <w:t xml:space="preserve">evelopment </w:t>
      </w:r>
      <w:r w:rsidR="0004544B" w:rsidRPr="00B5597A">
        <w:rPr>
          <w:rFonts w:ascii="Times New Roman" w:hAnsi="Times New Roman" w:cs="Times New Roman"/>
          <w:lang w:eastAsia="en-GB"/>
        </w:rPr>
        <w:t>I</w:t>
      </w:r>
      <w:r w:rsidRPr="00B5597A">
        <w:rPr>
          <w:rFonts w:ascii="Times New Roman" w:hAnsi="Times New Roman" w:cs="Times New Roman"/>
          <w:lang w:eastAsia="en-GB"/>
        </w:rPr>
        <w:t>ndex (HDI) value of 0.483 (2019) puts the country in a rank 174 out of the 189 countries and territories.</w:t>
      </w:r>
      <w:r w:rsidRPr="00B5597A">
        <w:rPr>
          <w:rStyle w:val="FootnoteReference"/>
          <w:rFonts w:ascii="Times New Roman" w:hAnsi="Times New Roman" w:cs="Times New Roman"/>
        </w:rPr>
        <w:footnoteReference w:id="4"/>
      </w:r>
      <w:r w:rsidRPr="00B5597A">
        <w:rPr>
          <w:rFonts w:ascii="Times New Roman" w:hAnsi="Times New Roman" w:cs="Times New Roman"/>
          <w:lang w:eastAsia="en-GB"/>
        </w:rPr>
        <w:t> </w:t>
      </w:r>
    </w:p>
    <w:p w14:paraId="72D0D2CC" w14:textId="5597167C" w:rsidR="0096693D" w:rsidRPr="00B5597A" w:rsidRDefault="0096693D" w:rsidP="00554F23">
      <w:pPr>
        <w:autoSpaceDE w:val="0"/>
        <w:autoSpaceDN w:val="0"/>
        <w:adjustRightInd w:val="0"/>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Malawi attained political pluralism in 1993 following a national referendum that resulted in the provisional adoption of a democratic Constitution of the Republic of Malawi (the Constitution) in 1994. This provisional Constitution was adopted in 1995.  Since 1993 the country has held six general elections.</w:t>
      </w:r>
    </w:p>
    <w:p w14:paraId="76716F20" w14:textId="7485B1BB" w:rsidR="00554F23" w:rsidRPr="006F3C5E" w:rsidRDefault="00554F23" w:rsidP="00554F23">
      <w:pPr>
        <w:autoSpaceDE w:val="0"/>
        <w:autoSpaceDN w:val="0"/>
        <w:adjustRightInd w:val="0"/>
        <w:spacing w:before="100" w:beforeAutospacing="1" w:after="100" w:afterAutospacing="1" w:line="240" w:lineRule="auto"/>
        <w:jc w:val="both"/>
        <w:rPr>
          <w:rFonts w:ascii="Times New Roman" w:hAnsi="Times New Roman"/>
        </w:rPr>
      </w:pPr>
      <w:r w:rsidRPr="006C04DF">
        <w:rPr>
          <w:rFonts w:ascii="Times New Roman" w:hAnsi="Times New Roman"/>
        </w:rPr>
        <w:t xml:space="preserve">The Gender Equality Act (GEA) (2013) </w:t>
      </w:r>
      <w:r w:rsidR="0004544B">
        <w:rPr>
          <w:rFonts w:ascii="Times New Roman" w:hAnsi="Times New Roman"/>
        </w:rPr>
        <w:t>S</w:t>
      </w:r>
      <w:r w:rsidRPr="006C04DF">
        <w:rPr>
          <w:rFonts w:ascii="Times New Roman" w:hAnsi="Times New Roman"/>
        </w:rPr>
        <w:t xml:space="preserve">ection 11 provides for a 40-60 quota for recruitments in the public service.  Malawi has seen an increase in appointment of women in decision making positions in recent years.  There was also an increase of 23% in women´s representation in the parliament in the 2019 election.  However, the number falls short of the 30% threshold.   </w:t>
      </w:r>
      <w:r w:rsidRPr="006F3C5E">
        <w:rPr>
          <w:rFonts w:ascii="Times New Roman" w:hAnsi="Times New Roman"/>
        </w:rPr>
        <w:t xml:space="preserve">   </w:t>
      </w:r>
    </w:p>
    <w:p w14:paraId="78C12292" w14:textId="3B43B38B" w:rsidR="00554F23" w:rsidRPr="006F3C5E" w:rsidRDefault="00554F23" w:rsidP="00554F23">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lastRenderedPageBreak/>
        <w:t>In general</w:t>
      </w:r>
      <w:r w:rsidR="0004544B">
        <w:rPr>
          <w:rFonts w:ascii="Times New Roman" w:hAnsi="Times New Roman"/>
        </w:rPr>
        <w:t>,</w:t>
      </w:r>
      <w:r w:rsidRPr="006F3C5E">
        <w:rPr>
          <w:rFonts w:ascii="Times New Roman" w:hAnsi="Times New Roman"/>
        </w:rPr>
        <w:t xml:space="preserve"> gender related indicators are not encouraging.  For instance, Malawi’s Gender Inequality Index is 0.565 and ranks 142 out of </w:t>
      </w:r>
      <w:r>
        <w:rPr>
          <w:rFonts w:ascii="Times New Roman" w:hAnsi="Times New Roman"/>
        </w:rPr>
        <w:t xml:space="preserve">the </w:t>
      </w:r>
      <w:r w:rsidRPr="006F3C5E">
        <w:rPr>
          <w:rFonts w:ascii="Times New Roman" w:hAnsi="Times New Roman"/>
        </w:rPr>
        <w:t xml:space="preserve">162 among countries which have been assessed. Maternal mortality is relatively high at 349 deaths for every 100,000 births. The country records significant cases of </w:t>
      </w:r>
      <w:r>
        <w:rPr>
          <w:rFonts w:ascii="Times New Roman" w:hAnsi="Times New Roman"/>
        </w:rPr>
        <w:t>g</w:t>
      </w:r>
      <w:r w:rsidRPr="006F3C5E">
        <w:rPr>
          <w:rFonts w:ascii="Times New Roman" w:hAnsi="Times New Roman"/>
        </w:rPr>
        <w:t>ender</w:t>
      </w:r>
      <w:r w:rsidR="0004544B">
        <w:rPr>
          <w:rFonts w:ascii="Times New Roman" w:hAnsi="Times New Roman"/>
        </w:rPr>
        <w:t>-</w:t>
      </w:r>
      <w:r>
        <w:rPr>
          <w:rFonts w:ascii="Times New Roman" w:hAnsi="Times New Roman"/>
        </w:rPr>
        <w:t>b</w:t>
      </w:r>
      <w:r w:rsidRPr="006F3C5E">
        <w:rPr>
          <w:rFonts w:ascii="Times New Roman" w:hAnsi="Times New Roman"/>
        </w:rPr>
        <w:t xml:space="preserve">ased </w:t>
      </w:r>
      <w:r>
        <w:rPr>
          <w:rFonts w:ascii="Times New Roman" w:hAnsi="Times New Roman"/>
        </w:rPr>
        <w:t>v</w:t>
      </w:r>
      <w:r w:rsidRPr="006F3C5E">
        <w:rPr>
          <w:rFonts w:ascii="Times New Roman" w:hAnsi="Times New Roman"/>
        </w:rPr>
        <w:t xml:space="preserve">iolence and child marriages fueled by poverty. </w:t>
      </w:r>
      <w:r>
        <w:rPr>
          <w:rFonts w:ascii="Times New Roman" w:hAnsi="Times New Roman"/>
        </w:rPr>
        <w:t xml:space="preserve"> </w:t>
      </w:r>
      <w:r w:rsidRPr="006F3C5E">
        <w:rPr>
          <w:rFonts w:ascii="Times New Roman" w:hAnsi="Times New Roman"/>
        </w:rPr>
        <w:t>According to Human Rights Watch, 42 per cent of women are married by age 18 and 9 per cent by age 15</w:t>
      </w:r>
      <w:r>
        <w:rPr>
          <w:rFonts w:ascii="Times New Roman" w:hAnsi="Times New Roman"/>
        </w:rPr>
        <w:t>.</w:t>
      </w:r>
      <w:r w:rsidRPr="006F3C5E">
        <w:rPr>
          <w:rFonts w:ascii="Times New Roman" w:hAnsi="Times New Roman"/>
        </w:rPr>
        <w:t xml:space="preserve">  </w:t>
      </w:r>
    </w:p>
    <w:p w14:paraId="2458364C" w14:textId="438FCEAA" w:rsidR="00554F23" w:rsidRPr="006C04DF" w:rsidRDefault="00554F23" w:rsidP="00554F23">
      <w:pPr>
        <w:spacing w:before="100" w:beforeAutospacing="1" w:after="100" w:afterAutospacing="1" w:line="240" w:lineRule="auto"/>
        <w:jc w:val="both"/>
        <w:rPr>
          <w:rFonts w:ascii="Times New Roman" w:hAnsi="Times New Roman"/>
          <w:lang w:eastAsia="en-GB"/>
        </w:rPr>
      </w:pPr>
      <w:r w:rsidRPr="006F3C5E">
        <w:rPr>
          <w:rFonts w:ascii="Times New Roman" w:hAnsi="Times New Roman"/>
        </w:rPr>
        <w:t>Since 2017</w:t>
      </w:r>
      <w:r w:rsidR="004702BC">
        <w:rPr>
          <w:rFonts w:ascii="Times New Roman" w:hAnsi="Times New Roman"/>
        </w:rPr>
        <w:t>,</w:t>
      </w:r>
      <w:r w:rsidRPr="006F3C5E">
        <w:rPr>
          <w:rFonts w:ascii="Times New Roman" w:hAnsi="Times New Roman"/>
        </w:rPr>
        <w:t xml:space="preserve"> Malawi has implemented the Malawi Growth and Development Strategy </w:t>
      </w:r>
      <w:r>
        <w:rPr>
          <w:rFonts w:ascii="Times New Roman" w:hAnsi="Times New Roman"/>
        </w:rPr>
        <w:t xml:space="preserve">(MGDS III) </w:t>
      </w:r>
      <w:r w:rsidRPr="006F3C5E">
        <w:rPr>
          <w:rFonts w:ascii="Times New Roman" w:hAnsi="Times New Roman"/>
        </w:rPr>
        <w:t xml:space="preserve">as its principal </w:t>
      </w:r>
      <w:r w:rsidR="004702BC">
        <w:rPr>
          <w:rFonts w:ascii="Times New Roman" w:hAnsi="Times New Roman"/>
        </w:rPr>
        <w:t xml:space="preserve">national development framework </w:t>
      </w:r>
      <w:r w:rsidRPr="006F3C5E">
        <w:rPr>
          <w:rFonts w:ascii="Times New Roman" w:hAnsi="Times New Roman"/>
        </w:rPr>
        <w:t xml:space="preserve">to achieving national development goals as well as </w:t>
      </w:r>
      <w:r w:rsidR="004702BC">
        <w:rPr>
          <w:rFonts w:ascii="Times New Roman" w:hAnsi="Times New Roman"/>
        </w:rPr>
        <w:t xml:space="preserve">the </w:t>
      </w:r>
      <w:r w:rsidRPr="006F3C5E">
        <w:rPr>
          <w:rFonts w:ascii="Times New Roman" w:hAnsi="Times New Roman"/>
        </w:rPr>
        <w:t xml:space="preserve">Sustainable Development Goals </w:t>
      </w:r>
      <w:r>
        <w:rPr>
          <w:rFonts w:ascii="Times New Roman" w:hAnsi="Times New Roman"/>
        </w:rPr>
        <w:t xml:space="preserve">(SDGs) </w:t>
      </w:r>
      <w:r w:rsidRPr="006F3C5E">
        <w:rPr>
          <w:rFonts w:ascii="Times New Roman" w:hAnsi="Times New Roman"/>
        </w:rPr>
        <w:t xml:space="preserve">of Agenda 2030. </w:t>
      </w:r>
      <w:r w:rsidR="007561C2">
        <w:rPr>
          <w:rFonts w:ascii="Times New Roman" w:hAnsi="Times New Roman"/>
        </w:rPr>
        <w:t xml:space="preserve">The priority areas of the </w:t>
      </w:r>
      <w:r>
        <w:rPr>
          <w:rFonts w:ascii="Times New Roman" w:hAnsi="Times New Roman"/>
        </w:rPr>
        <w:t>MGDS III</w:t>
      </w:r>
      <w:r w:rsidRPr="006F3C5E">
        <w:rPr>
          <w:rFonts w:ascii="Times New Roman" w:hAnsi="Times New Roman"/>
        </w:rPr>
        <w:t xml:space="preserve"> </w:t>
      </w:r>
      <w:r w:rsidR="00315E5D">
        <w:rPr>
          <w:rFonts w:ascii="Times New Roman" w:hAnsi="Times New Roman"/>
        </w:rPr>
        <w:t xml:space="preserve">include </w:t>
      </w:r>
      <w:r w:rsidRPr="006F3C5E">
        <w:rPr>
          <w:rFonts w:ascii="Times New Roman" w:hAnsi="Times New Roman"/>
        </w:rPr>
        <w:t xml:space="preserve">the following: </w:t>
      </w:r>
      <w:r>
        <w:rPr>
          <w:rFonts w:ascii="Times New Roman" w:hAnsi="Times New Roman"/>
          <w:lang w:eastAsia="en-GB"/>
        </w:rPr>
        <w:t>a</w:t>
      </w:r>
      <w:r w:rsidRPr="006F3C5E">
        <w:rPr>
          <w:rFonts w:ascii="Times New Roman" w:hAnsi="Times New Roman"/>
          <w:lang w:eastAsia="en-GB"/>
        </w:rPr>
        <w:t>griculture, water development</w:t>
      </w:r>
      <w:r w:rsidR="007561C2">
        <w:rPr>
          <w:rFonts w:ascii="Times New Roman" w:hAnsi="Times New Roman"/>
          <w:lang w:eastAsia="en-GB"/>
        </w:rPr>
        <w:t>,</w:t>
      </w:r>
      <w:r w:rsidRPr="006F3C5E">
        <w:rPr>
          <w:rFonts w:ascii="Times New Roman" w:hAnsi="Times New Roman"/>
          <w:lang w:eastAsia="en-GB"/>
        </w:rPr>
        <w:t xml:space="preserve"> and </w:t>
      </w:r>
      <w:r>
        <w:rPr>
          <w:rFonts w:ascii="Times New Roman" w:hAnsi="Times New Roman"/>
          <w:lang w:eastAsia="en-GB"/>
        </w:rPr>
        <w:t>c</w:t>
      </w:r>
      <w:r w:rsidRPr="006F3C5E">
        <w:rPr>
          <w:rFonts w:ascii="Times New Roman" w:hAnsi="Times New Roman"/>
          <w:lang w:eastAsia="en-GB"/>
        </w:rPr>
        <w:t xml:space="preserve">limate change management; </w:t>
      </w:r>
      <w:r w:rsidR="00315E5D">
        <w:rPr>
          <w:rFonts w:ascii="Times New Roman" w:hAnsi="Times New Roman"/>
          <w:lang w:eastAsia="en-GB"/>
        </w:rPr>
        <w:t>e</w:t>
      </w:r>
      <w:r w:rsidRPr="006F3C5E">
        <w:rPr>
          <w:rFonts w:ascii="Times New Roman" w:hAnsi="Times New Roman"/>
          <w:lang w:eastAsia="en-GB"/>
        </w:rPr>
        <w:t>ducation and skills development; Energy, industry</w:t>
      </w:r>
      <w:r w:rsidR="007561C2">
        <w:rPr>
          <w:rFonts w:ascii="Times New Roman" w:hAnsi="Times New Roman"/>
          <w:lang w:eastAsia="en-GB"/>
        </w:rPr>
        <w:t>,</w:t>
      </w:r>
      <w:r w:rsidRPr="006F3C5E">
        <w:rPr>
          <w:rFonts w:ascii="Times New Roman" w:hAnsi="Times New Roman"/>
          <w:lang w:eastAsia="en-GB"/>
        </w:rPr>
        <w:t xml:space="preserve"> and tourism development; transport and </w:t>
      </w:r>
      <w:r w:rsidR="00315E5D">
        <w:rPr>
          <w:rFonts w:ascii="Times New Roman" w:hAnsi="Times New Roman"/>
          <w:lang w:eastAsia="en-GB"/>
        </w:rPr>
        <w:t>information and communication technology (I</w:t>
      </w:r>
      <w:r w:rsidRPr="006F3C5E">
        <w:rPr>
          <w:rFonts w:ascii="Times New Roman" w:hAnsi="Times New Roman"/>
          <w:lang w:eastAsia="en-GB"/>
        </w:rPr>
        <w:t>CT</w:t>
      </w:r>
      <w:r w:rsidR="00315E5D">
        <w:rPr>
          <w:rFonts w:ascii="Times New Roman" w:hAnsi="Times New Roman"/>
          <w:lang w:eastAsia="en-GB"/>
        </w:rPr>
        <w:t>)</w:t>
      </w:r>
      <w:r w:rsidRPr="006F3C5E">
        <w:rPr>
          <w:rFonts w:ascii="Times New Roman" w:hAnsi="Times New Roman"/>
          <w:lang w:eastAsia="en-GB"/>
        </w:rPr>
        <w:t xml:space="preserve"> infrastructure; </w:t>
      </w:r>
      <w:r w:rsidR="00315E5D">
        <w:rPr>
          <w:rFonts w:ascii="Times New Roman" w:hAnsi="Times New Roman"/>
          <w:lang w:eastAsia="en-GB"/>
        </w:rPr>
        <w:t>h</w:t>
      </w:r>
      <w:r w:rsidRPr="006F3C5E">
        <w:rPr>
          <w:rFonts w:ascii="Times New Roman" w:hAnsi="Times New Roman"/>
          <w:lang w:eastAsia="en-GB"/>
        </w:rPr>
        <w:t xml:space="preserve">ealth and population.  Other </w:t>
      </w:r>
      <w:r w:rsidR="007561C2">
        <w:rPr>
          <w:rFonts w:ascii="Times New Roman" w:hAnsi="Times New Roman"/>
          <w:lang w:eastAsia="en-GB"/>
        </w:rPr>
        <w:t xml:space="preserve">strategic </w:t>
      </w:r>
      <w:r w:rsidRPr="006F3C5E">
        <w:rPr>
          <w:rFonts w:ascii="Times New Roman" w:hAnsi="Times New Roman"/>
          <w:lang w:eastAsia="en-GB"/>
        </w:rPr>
        <w:t>areas of development include</w:t>
      </w:r>
      <w:r w:rsidR="00315E5D">
        <w:rPr>
          <w:rFonts w:ascii="Times New Roman" w:hAnsi="Times New Roman"/>
          <w:lang w:eastAsia="en-GB"/>
        </w:rPr>
        <w:t>:</w:t>
      </w:r>
      <w:r w:rsidRPr="006F3C5E">
        <w:rPr>
          <w:rFonts w:ascii="Times New Roman" w:hAnsi="Times New Roman"/>
          <w:lang w:eastAsia="en-GB"/>
        </w:rPr>
        <w:t xml:space="preserve"> </w:t>
      </w:r>
      <w:r>
        <w:rPr>
          <w:rFonts w:ascii="Times New Roman" w:hAnsi="Times New Roman"/>
          <w:lang w:eastAsia="en-GB"/>
        </w:rPr>
        <w:t>v</w:t>
      </w:r>
      <w:r w:rsidRPr="006F3C5E">
        <w:rPr>
          <w:rFonts w:ascii="Times New Roman" w:hAnsi="Times New Roman"/>
          <w:lang w:eastAsia="en-GB"/>
        </w:rPr>
        <w:t xml:space="preserve">ulnerability, </w:t>
      </w:r>
      <w:r>
        <w:rPr>
          <w:rFonts w:ascii="Times New Roman" w:hAnsi="Times New Roman"/>
          <w:lang w:eastAsia="en-GB"/>
        </w:rPr>
        <w:t>d</w:t>
      </w:r>
      <w:r w:rsidRPr="006F3C5E">
        <w:rPr>
          <w:rFonts w:ascii="Times New Roman" w:hAnsi="Times New Roman"/>
          <w:lang w:eastAsia="en-GB"/>
        </w:rPr>
        <w:t>isaster management</w:t>
      </w:r>
      <w:r w:rsidR="007561C2">
        <w:rPr>
          <w:rFonts w:ascii="Times New Roman" w:hAnsi="Times New Roman"/>
          <w:lang w:eastAsia="en-GB"/>
        </w:rPr>
        <w:t>,</w:t>
      </w:r>
      <w:r w:rsidRPr="006F3C5E">
        <w:rPr>
          <w:rFonts w:ascii="Times New Roman" w:hAnsi="Times New Roman"/>
          <w:lang w:eastAsia="en-GB"/>
        </w:rPr>
        <w:t xml:space="preserve"> and social support; </w:t>
      </w:r>
      <w:r>
        <w:rPr>
          <w:rFonts w:ascii="Times New Roman" w:hAnsi="Times New Roman"/>
          <w:lang w:eastAsia="en-GB"/>
        </w:rPr>
        <w:t>g</w:t>
      </w:r>
      <w:r w:rsidRPr="006F3C5E">
        <w:rPr>
          <w:rFonts w:ascii="Times New Roman" w:hAnsi="Times New Roman"/>
          <w:lang w:eastAsia="en-GB"/>
        </w:rPr>
        <w:t>ender, youth development</w:t>
      </w:r>
      <w:r w:rsidR="007561C2">
        <w:rPr>
          <w:rFonts w:ascii="Times New Roman" w:hAnsi="Times New Roman"/>
          <w:lang w:eastAsia="en-GB"/>
        </w:rPr>
        <w:t>,</w:t>
      </w:r>
      <w:r w:rsidRPr="006F3C5E">
        <w:rPr>
          <w:rFonts w:ascii="Times New Roman" w:hAnsi="Times New Roman"/>
          <w:lang w:eastAsia="en-GB"/>
        </w:rPr>
        <w:t xml:space="preserve"> and </w:t>
      </w:r>
      <w:r>
        <w:rPr>
          <w:rFonts w:ascii="Times New Roman" w:hAnsi="Times New Roman"/>
          <w:lang w:eastAsia="en-GB"/>
        </w:rPr>
        <w:t>s</w:t>
      </w:r>
      <w:r w:rsidRPr="006F3C5E">
        <w:rPr>
          <w:rFonts w:ascii="Times New Roman" w:hAnsi="Times New Roman"/>
          <w:lang w:eastAsia="en-GB"/>
        </w:rPr>
        <w:t xml:space="preserve">ocial welfare; </w:t>
      </w:r>
      <w:r>
        <w:rPr>
          <w:rFonts w:ascii="Times New Roman" w:hAnsi="Times New Roman"/>
          <w:lang w:eastAsia="en-GB"/>
        </w:rPr>
        <w:t>h</w:t>
      </w:r>
      <w:r w:rsidRPr="006F3C5E">
        <w:rPr>
          <w:rFonts w:ascii="Times New Roman" w:hAnsi="Times New Roman"/>
          <w:lang w:eastAsia="en-GB"/>
        </w:rPr>
        <w:t xml:space="preserve">uman settlement and physical planning; </w:t>
      </w:r>
      <w:r>
        <w:rPr>
          <w:rFonts w:ascii="Times New Roman" w:hAnsi="Times New Roman"/>
          <w:lang w:eastAsia="en-GB"/>
        </w:rPr>
        <w:t>e</w:t>
      </w:r>
      <w:r w:rsidRPr="006F3C5E">
        <w:rPr>
          <w:rFonts w:ascii="Times New Roman" w:hAnsi="Times New Roman"/>
          <w:lang w:eastAsia="en-GB"/>
        </w:rPr>
        <w:t xml:space="preserve">nvironmental sustainability; HIV/AIDS management; </w:t>
      </w:r>
      <w:r>
        <w:rPr>
          <w:rFonts w:ascii="Times New Roman" w:hAnsi="Times New Roman"/>
          <w:lang w:eastAsia="en-GB"/>
        </w:rPr>
        <w:t>p</w:t>
      </w:r>
      <w:r w:rsidRPr="006F3C5E">
        <w:rPr>
          <w:rFonts w:ascii="Times New Roman" w:hAnsi="Times New Roman"/>
          <w:lang w:eastAsia="en-GB"/>
        </w:rPr>
        <w:t xml:space="preserve">eace </w:t>
      </w:r>
      <w:r w:rsidRPr="006C04DF">
        <w:rPr>
          <w:rFonts w:ascii="Times New Roman" w:hAnsi="Times New Roman"/>
          <w:lang w:eastAsia="en-GB"/>
        </w:rPr>
        <w:t>and security</w:t>
      </w:r>
      <w:r w:rsidR="007561C2">
        <w:rPr>
          <w:rFonts w:ascii="Times New Roman" w:hAnsi="Times New Roman"/>
          <w:lang w:eastAsia="en-GB"/>
        </w:rPr>
        <w:t>;</w:t>
      </w:r>
      <w:r w:rsidRPr="006C04DF">
        <w:rPr>
          <w:rFonts w:ascii="Times New Roman" w:hAnsi="Times New Roman"/>
          <w:lang w:eastAsia="en-GB"/>
        </w:rPr>
        <w:t xml:space="preserve"> and nutrition.  </w:t>
      </w:r>
    </w:p>
    <w:p w14:paraId="6727D3CE" w14:textId="128B96CF" w:rsidR="00554F23" w:rsidRPr="006F3C5E" w:rsidRDefault="00554F23" w:rsidP="00554F23">
      <w:pPr>
        <w:spacing w:before="100" w:beforeAutospacing="1" w:after="0" w:line="240" w:lineRule="auto"/>
        <w:jc w:val="both"/>
        <w:rPr>
          <w:rFonts w:ascii="Times New Roman" w:hAnsi="Times New Roman"/>
          <w:lang w:eastAsia="en-GB"/>
        </w:rPr>
      </w:pPr>
      <w:r w:rsidRPr="006C04DF">
        <w:rPr>
          <w:rFonts w:ascii="Times New Roman" w:hAnsi="Times New Roman"/>
          <w:lang w:eastAsia="en-GB"/>
        </w:rPr>
        <w:t>While there have been notable developments in a number of sectors, the country has a daunting task to accelerate development to meet demands from a rapidly growing and young population including provision of jobs.  The country needs effective solutions to address effects of climate change</w:t>
      </w:r>
      <w:r w:rsidR="007561C2">
        <w:rPr>
          <w:rFonts w:ascii="Times New Roman" w:hAnsi="Times New Roman"/>
          <w:lang w:eastAsia="en-GB"/>
        </w:rPr>
        <w:t>,</w:t>
      </w:r>
      <w:r w:rsidRPr="006C04DF">
        <w:rPr>
          <w:rFonts w:ascii="Times New Roman" w:hAnsi="Times New Roman"/>
          <w:lang w:eastAsia="en-GB"/>
        </w:rPr>
        <w:t xml:space="preserve"> which is</w:t>
      </w:r>
      <w:r w:rsidRPr="006F3C5E">
        <w:rPr>
          <w:rFonts w:ascii="Times New Roman" w:hAnsi="Times New Roman"/>
          <w:lang w:eastAsia="en-GB"/>
        </w:rPr>
        <w:t xml:space="preserve"> eroding the resilience of many Malawians</w:t>
      </w:r>
      <w:r w:rsidR="007561C2">
        <w:rPr>
          <w:rFonts w:ascii="Times New Roman" w:hAnsi="Times New Roman"/>
          <w:lang w:eastAsia="en-GB"/>
        </w:rPr>
        <w:t>,</w:t>
      </w:r>
      <w:r w:rsidRPr="006F3C5E">
        <w:rPr>
          <w:rFonts w:ascii="Times New Roman" w:hAnsi="Times New Roman"/>
          <w:lang w:eastAsia="en-GB"/>
        </w:rPr>
        <w:t xml:space="preserve"> which has been exacerbated by the </w:t>
      </w:r>
      <w:r w:rsidR="007561C2">
        <w:rPr>
          <w:rFonts w:ascii="Times New Roman" w:hAnsi="Times New Roman"/>
          <w:lang w:eastAsia="en-GB"/>
        </w:rPr>
        <w:t>COVID-</w:t>
      </w:r>
      <w:r w:rsidRPr="006F3C5E">
        <w:rPr>
          <w:rFonts w:ascii="Times New Roman" w:hAnsi="Times New Roman"/>
          <w:lang w:eastAsia="en-GB"/>
        </w:rPr>
        <w:t>2019 Pandemic. In the governance space, Malawi’s institutions are considered weak in the delivery of public services and foster transparency and accountabil</w:t>
      </w:r>
      <w:r w:rsidR="007561C2">
        <w:rPr>
          <w:rFonts w:ascii="Times New Roman" w:hAnsi="Times New Roman"/>
          <w:lang w:eastAsia="en-GB"/>
        </w:rPr>
        <w:t>i</w:t>
      </w:r>
      <w:r w:rsidRPr="006F3C5E">
        <w:rPr>
          <w:rFonts w:ascii="Times New Roman" w:hAnsi="Times New Roman"/>
          <w:lang w:eastAsia="en-GB"/>
        </w:rPr>
        <w:t xml:space="preserve">ty and performance </w:t>
      </w:r>
      <w:r w:rsidR="008B7DE9">
        <w:rPr>
          <w:rFonts w:ascii="Times New Roman" w:hAnsi="Times New Roman"/>
          <w:lang w:eastAsia="en-GB"/>
        </w:rPr>
        <w:t xml:space="preserve">management </w:t>
      </w:r>
      <w:r w:rsidRPr="006F3C5E">
        <w:rPr>
          <w:rFonts w:ascii="Times New Roman" w:hAnsi="Times New Roman"/>
          <w:lang w:eastAsia="en-GB"/>
        </w:rPr>
        <w:t>oversight functions.</w:t>
      </w:r>
    </w:p>
    <w:p w14:paraId="7DF569A3" w14:textId="4A0B06DC" w:rsidR="00554F23" w:rsidRPr="00267476" w:rsidRDefault="00554F23" w:rsidP="00554F23">
      <w:pPr>
        <w:pStyle w:val="BodyA"/>
        <w:spacing w:before="100" w:beforeAutospacing="1" w:after="100" w:afterAutospacing="1" w:line="240" w:lineRule="auto"/>
        <w:jc w:val="both"/>
        <w:rPr>
          <w:rFonts w:ascii="Times New Roman" w:hAnsi="Times New Roman" w:cs="Times New Roman"/>
        </w:rPr>
      </w:pPr>
      <w:r w:rsidRPr="00267476">
        <w:rPr>
          <w:rFonts w:ascii="Times New Roman" w:hAnsi="Times New Roman" w:cs="Times New Roman"/>
        </w:rPr>
        <w:t>Malawi has been affected by the COVID-19 pandemic since March 2020</w:t>
      </w:r>
      <w:r w:rsidR="00AA0D30">
        <w:rPr>
          <w:rFonts w:ascii="Times New Roman" w:hAnsi="Times New Roman" w:cs="Times New Roman"/>
        </w:rPr>
        <w:t>,</w:t>
      </w:r>
      <w:r w:rsidRPr="00267476">
        <w:rPr>
          <w:rFonts w:ascii="Times New Roman" w:hAnsi="Times New Roman" w:cs="Times New Roman"/>
        </w:rPr>
        <w:t xml:space="preserve"> when </w:t>
      </w:r>
      <w:r w:rsidR="00AA0D30">
        <w:rPr>
          <w:rFonts w:ascii="Times New Roman" w:hAnsi="Times New Roman" w:cs="Times New Roman"/>
        </w:rPr>
        <w:t xml:space="preserve">the </w:t>
      </w:r>
      <w:r w:rsidRPr="00267476">
        <w:rPr>
          <w:rFonts w:ascii="Times New Roman" w:hAnsi="Times New Roman" w:cs="Times New Roman"/>
        </w:rPr>
        <w:t xml:space="preserve">first preventive measures were applied.  </w:t>
      </w:r>
      <w:r w:rsidR="00AA0D30" w:rsidRPr="00267476">
        <w:rPr>
          <w:rFonts w:ascii="Times New Roman" w:hAnsi="Times New Roman" w:cs="Times New Roman"/>
        </w:rPr>
        <w:t>Despite</w:t>
      </w:r>
      <w:r w:rsidRPr="00267476">
        <w:rPr>
          <w:rFonts w:ascii="Times New Roman" w:hAnsi="Times New Roman" w:cs="Times New Roman"/>
        </w:rPr>
        <w:t xml:space="preserve"> less stringent measures</w:t>
      </w:r>
      <w:r w:rsidR="00025CF5">
        <w:rPr>
          <w:rFonts w:ascii="Times New Roman" w:hAnsi="Times New Roman" w:cs="Times New Roman"/>
        </w:rPr>
        <w:t xml:space="preserve"> and </w:t>
      </w:r>
      <w:r w:rsidR="00315E5D">
        <w:rPr>
          <w:rFonts w:ascii="Times New Roman" w:hAnsi="Times New Roman" w:cs="Times New Roman"/>
        </w:rPr>
        <w:t xml:space="preserve">a </w:t>
      </w:r>
      <w:r w:rsidRPr="00267476">
        <w:rPr>
          <w:rFonts w:ascii="Times New Roman" w:hAnsi="Times New Roman" w:cs="Times New Roman"/>
        </w:rPr>
        <w:t xml:space="preserve">partial lockdown, economic activities slowed down resulting in substantial loss of household income, livelihoods, jobs, businesses, and markets for agriculture produce. The Malawian economy grew at only 0.9% in 2020 and is projected to grow at 2.5% in 2021. This trend is reflective of the growth patterns that have prevailed in many countries around the world due to the COVID-19 pandemic, including sub-Saharan Africa. </w:t>
      </w:r>
    </w:p>
    <w:p w14:paraId="4AE29052" w14:textId="079A3123" w:rsidR="00554F23" w:rsidRPr="006F3C5E" w:rsidRDefault="00554F23" w:rsidP="00554F23">
      <w:pPr>
        <w:pStyle w:val="BodyA"/>
        <w:spacing w:before="100" w:beforeAutospacing="1" w:after="0" w:line="240" w:lineRule="auto"/>
        <w:jc w:val="both"/>
        <w:rPr>
          <w:rFonts w:ascii="Times New Roman" w:hAnsi="Times New Roman" w:cs="Times New Roman"/>
        </w:rPr>
      </w:pPr>
      <w:r w:rsidRPr="006F3C5E">
        <w:rPr>
          <w:rFonts w:ascii="Times New Roman" w:hAnsi="Times New Roman" w:cs="Times New Roman"/>
        </w:rPr>
        <w:t>There were also significant adverse social effects associated with a long period of the partial lockdown</w:t>
      </w:r>
      <w:r w:rsidR="00315E5D">
        <w:rPr>
          <w:rFonts w:ascii="Times New Roman" w:hAnsi="Times New Roman" w:cs="Times New Roman"/>
        </w:rPr>
        <w:t>, particularly in 2020,</w:t>
      </w:r>
      <w:r w:rsidRPr="006F3C5E">
        <w:rPr>
          <w:rFonts w:ascii="Times New Roman" w:hAnsi="Times New Roman" w:cs="Times New Roman"/>
        </w:rPr>
        <w:t xml:space="preserve"> including an increase in gender</w:t>
      </w:r>
      <w:r w:rsidR="00025CF5">
        <w:rPr>
          <w:rFonts w:ascii="Times New Roman" w:hAnsi="Times New Roman" w:cs="Times New Roman"/>
        </w:rPr>
        <w:t>-</w:t>
      </w:r>
      <w:r w:rsidRPr="006F3C5E">
        <w:rPr>
          <w:rFonts w:ascii="Times New Roman" w:hAnsi="Times New Roman" w:cs="Times New Roman"/>
        </w:rPr>
        <w:t>based violence and child abuse, increase in workload for care givers at home and teenage pregnancies due to closure of schools. The pandemic has also increased the disease burden for the health sector with government having to spend huge amount of resources to provide bed space and facilities for COVID-19 cases. [</w:t>
      </w:r>
      <w:r>
        <w:rPr>
          <w:rFonts w:ascii="Times New Roman" w:hAnsi="Times New Roman" w:cs="Times New Roman"/>
        </w:rPr>
        <w:t xml:space="preserve">Ref. </w:t>
      </w:r>
      <w:r w:rsidRPr="006F3C5E">
        <w:rPr>
          <w:rFonts w:ascii="Times New Roman" w:hAnsi="Times New Roman" w:cs="Times New Roman"/>
        </w:rPr>
        <w:t xml:space="preserve">Assessment of Socio-economic </w:t>
      </w:r>
      <w:r w:rsidR="00315E5D">
        <w:rPr>
          <w:rFonts w:ascii="Times New Roman" w:hAnsi="Times New Roman" w:cs="Times New Roman"/>
        </w:rPr>
        <w:t>I</w:t>
      </w:r>
      <w:r w:rsidRPr="006F3C5E">
        <w:rPr>
          <w:rFonts w:ascii="Times New Roman" w:hAnsi="Times New Roman" w:cs="Times New Roman"/>
        </w:rPr>
        <w:t>mpact study].</w:t>
      </w:r>
    </w:p>
    <w:p w14:paraId="70C7683D" w14:textId="705BF95D" w:rsidR="00554F23" w:rsidRPr="00BA2D3E" w:rsidRDefault="00554F23" w:rsidP="00554F23">
      <w:pPr>
        <w:pStyle w:val="ListParagraph"/>
        <w:spacing w:before="100" w:beforeAutospacing="1" w:after="100" w:afterAutospacing="1" w:line="240" w:lineRule="auto"/>
        <w:ind w:left="0"/>
        <w:jc w:val="both"/>
        <w:rPr>
          <w:rFonts w:ascii="Times New Roman" w:hAnsi="Times New Roman"/>
        </w:rPr>
      </w:pPr>
      <w:r w:rsidRPr="006F3C5E">
        <w:rPr>
          <w:rFonts w:ascii="Times New Roman" w:hAnsi="Times New Roman"/>
        </w:rPr>
        <w:t>At the time of writing these terms of reference</w:t>
      </w:r>
      <w:r>
        <w:rPr>
          <w:rFonts w:ascii="Times New Roman" w:hAnsi="Times New Roman"/>
        </w:rPr>
        <w:t>,</w:t>
      </w:r>
      <w:r w:rsidRPr="006F3C5E">
        <w:rPr>
          <w:rFonts w:ascii="Times New Roman" w:hAnsi="Times New Roman"/>
        </w:rPr>
        <w:t xml:space="preserve"> Malawi was experiencing a third wave of C</w:t>
      </w:r>
      <w:r w:rsidR="00841EF4">
        <w:rPr>
          <w:rFonts w:ascii="Times New Roman" w:hAnsi="Times New Roman"/>
        </w:rPr>
        <w:t>OVID-</w:t>
      </w:r>
      <w:r w:rsidRPr="006F3C5E">
        <w:rPr>
          <w:rFonts w:ascii="Times New Roman" w:hAnsi="Times New Roman"/>
        </w:rPr>
        <w:t>19 infections</w:t>
      </w:r>
      <w:r w:rsidR="00FD597F">
        <w:rPr>
          <w:rFonts w:ascii="Times New Roman" w:hAnsi="Times New Roman"/>
        </w:rPr>
        <w:t>,</w:t>
      </w:r>
      <w:r w:rsidRPr="006F3C5E">
        <w:rPr>
          <w:rFonts w:ascii="Times New Roman" w:hAnsi="Times New Roman"/>
        </w:rPr>
        <w:t xml:space="preserve"> which had seen </w:t>
      </w:r>
      <w:r w:rsidR="00315E5D">
        <w:rPr>
          <w:rFonts w:ascii="Times New Roman" w:hAnsi="Times New Roman"/>
        </w:rPr>
        <w:t xml:space="preserve">a </w:t>
      </w:r>
      <w:r w:rsidRPr="006F3C5E">
        <w:rPr>
          <w:rFonts w:ascii="Times New Roman" w:hAnsi="Times New Roman"/>
        </w:rPr>
        <w:t xml:space="preserve">rise </w:t>
      </w:r>
      <w:r w:rsidR="00FD597F">
        <w:rPr>
          <w:rFonts w:ascii="Times New Roman" w:hAnsi="Times New Roman"/>
        </w:rPr>
        <w:t xml:space="preserve">in the </w:t>
      </w:r>
      <w:r w:rsidRPr="006F3C5E">
        <w:rPr>
          <w:rFonts w:ascii="Times New Roman" w:hAnsi="Times New Roman"/>
        </w:rPr>
        <w:t xml:space="preserve">daily average infections from less than 10 cases in May to an average of over </w:t>
      </w:r>
      <w:r>
        <w:rPr>
          <w:rFonts w:ascii="Times New Roman" w:hAnsi="Times New Roman"/>
        </w:rPr>
        <w:t>5</w:t>
      </w:r>
      <w:r w:rsidRPr="006F3C5E">
        <w:rPr>
          <w:rFonts w:ascii="Times New Roman" w:hAnsi="Times New Roman"/>
        </w:rPr>
        <w:t>00 cases during the month of July 2021.  This prompted government to re-introduce stricter preventive measures such as a reduction of public gatherings from 100 to 50 people in closed places and reduction of public transport carrying capacity from 60% to 50% of existing capacity in addition to a requirement that people wear masks in all public spaces</w:t>
      </w:r>
      <w:r w:rsidRPr="00BA2D3E">
        <w:rPr>
          <w:rFonts w:ascii="Times New Roman" w:hAnsi="Times New Roman"/>
        </w:rPr>
        <w:t xml:space="preserve">. </w:t>
      </w:r>
      <w:r>
        <w:rPr>
          <w:rFonts w:ascii="Times New Roman" w:hAnsi="Times New Roman"/>
        </w:rPr>
        <w:t xml:space="preserve"> </w:t>
      </w:r>
      <w:r w:rsidR="00315E5D">
        <w:rPr>
          <w:rFonts w:ascii="Times New Roman" w:hAnsi="Times New Roman"/>
        </w:rPr>
        <w:t>Unlike the situation during the second wave, s</w:t>
      </w:r>
      <w:r>
        <w:rPr>
          <w:rFonts w:ascii="Times New Roman" w:hAnsi="Times New Roman"/>
        </w:rPr>
        <w:t xml:space="preserve">chools </w:t>
      </w:r>
      <w:r w:rsidR="00315E5D">
        <w:rPr>
          <w:rFonts w:ascii="Times New Roman" w:hAnsi="Times New Roman"/>
        </w:rPr>
        <w:t xml:space="preserve">have </w:t>
      </w:r>
      <w:r>
        <w:rPr>
          <w:rFonts w:ascii="Times New Roman" w:hAnsi="Times New Roman"/>
        </w:rPr>
        <w:t>remain</w:t>
      </w:r>
      <w:r w:rsidR="00315E5D">
        <w:rPr>
          <w:rFonts w:ascii="Times New Roman" w:hAnsi="Times New Roman"/>
        </w:rPr>
        <w:t>ed</w:t>
      </w:r>
      <w:r>
        <w:rPr>
          <w:rFonts w:ascii="Times New Roman" w:hAnsi="Times New Roman"/>
        </w:rPr>
        <w:t xml:space="preserve"> open.</w:t>
      </w:r>
    </w:p>
    <w:p w14:paraId="2CF6CCD2" w14:textId="77777777" w:rsidR="00554F23" w:rsidRPr="00BA2D3E" w:rsidRDefault="00554F23" w:rsidP="00554F23">
      <w:pPr>
        <w:pStyle w:val="ListParagraph"/>
        <w:spacing w:before="100" w:beforeAutospacing="1" w:after="100" w:afterAutospacing="1" w:line="240" w:lineRule="auto"/>
        <w:ind w:left="0"/>
        <w:jc w:val="both"/>
        <w:rPr>
          <w:rFonts w:ascii="Times New Roman" w:hAnsi="Times New Roman"/>
        </w:rPr>
      </w:pPr>
    </w:p>
    <w:p w14:paraId="131C540E" w14:textId="5944EB3B" w:rsidR="00554F23" w:rsidRPr="00BA2D3E" w:rsidRDefault="00554F23" w:rsidP="00554F23">
      <w:pPr>
        <w:pStyle w:val="ListParagraph"/>
        <w:spacing w:before="100" w:beforeAutospacing="1" w:after="100" w:afterAutospacing="1" w:line="240" w:lineRule="auto"/>
        <w:ind w:left="0"/>
        <w:jc w:val="both"/>
        <w:rPr>
          <w:rFonts w:ascii="Times New Roman" w:hAnsi="Times New Roman"/>
        </w:rPr>
      </w:pPr>
      <w:r w:rsidRPr="00BA2D3E">
        <w:rPr>
          <w:rFonts w:ascii="Times New Roman" w:hAnsi="Times New Roman"/>
        </w:rPr>
        <w:t>Existence of COVID</w:t>
      </w:r>
      <w:r w:rsidR="00CC27A9">
        <w:rPr>
          <w:rFonts w:ascii="Times New Roman" w:hAnsi="Times New Roman"/>
        </w:rPr>
        <w:t>-</w:t>
      </w:r>
      <w:r w:rsidRPr="00BA2D3E">
        <w:rPr>
          <w:rFonts w:ascii="Times New Roman" w:hAnsi="Times New Roman"/>
        </w:rPr>
        <w:t>19 vaccines has offered hopes for</w:t>
      </w:r>
      <w:r w:rsidR="00315E5D">
        <w:rPr>
          <w:rFonts w:ascii="Times New Roman" w:hAnsi="Times New Roman"/>
        </w:rPr>
        <w:t xml:space="preserve"> a decrease in infections and</w:t>
      </w:r>
      <w:r w:rsidRPr="00BA2D3E">
        <w:rPr>
          <w:rFonts w:ascii="Times New Roman" w:hAnsi="Times New Roman"/>
        </w:rPr>
        <w:t xml:space="preserve"> an end to mor</w:t>
      </w:r>
      <w:r>
        <w:rPr>
          <w:rFonts w:ascii="Times New Roman" w:hAnsi="Times New Roman"/>
        </w:rPr>
        <w:t>bi</w:t>
      </w:r>
      <w:r w:rsidRPr="00BA2D3E">
        <w:rPr>
          <w:rFonts w:ascii="Times New Roman" w:hAnsi="Times New Roman"/>
        </w:rPr>
        <w:t>dity associated with the COVID</w:t>
      </w:r>
      <w:r w:rsidR="00CC27A9">
        <w:rPr>
          <w:rFonts w:ascii="Times New Roman" w:hAnsi="Times New Roman"/>
        </w:rPr>
        <w:t>-19</w:t>
      </w:r>
      <w:r w:rsidRPr="00BA2D3E">
        <w:rPr>
          <w:rFonts w:ascii="Times New Roman" w:hAnsi="Times New Roman"/>
        </w:rPr>
        <w:t>.  However, availability of vaccines in the country has so far been very limited mainly due global supply chain issues. Malawi received about 500,000 doses of Astra Zeneca vaccines under the WHO Covax scheme</w:t>
      </w:r>
      <w:r w:rsidR="0084014C">
        <w:rPr>
          <w:rFonts w:ascii="Times New Roman" w:hAnsi="Times New Roman"/>
        </w:rPr>
        <w:t>,</w:t>
      </w:r>
      <w:r w:rsidRPr="00BA2D3E">
        <w:rPr>
          <w:rFonts w:ascii="Times New Roman" w:hAnsi="Times New Roman"/>
        </w:rPr>
        <w:t xml:space="preserve"> which r</w:t>
      </w:r>
      <w:r w:rsidR="0084014C">
        <w:rPr>
          <w:rFonts w:ascii="Times New Roman" w:hAnsi="Times New Roman"/>
        </w:rPr>
        <w:t>a</w:t>
      </w:r>
      <w:r w:rsidRPr="00BA2D3E">
        <w:rPr>
          <w:rFonts w:ascii="Times New Roman" w:hAnsi="Times New Roman"/>
        </w:rPr>
        <w:t xml:space="preserve">n out in June. Today about 385,000 people </w:t>
      </w:r>
      <w:r w:rsidR="0084014C">
        <w:rPr>
          <w:rFonts w:ascii="Times New Roman" w:hAnsi="Times New Roman"/>
        </w:rPr>
        <w:t xml:space="preserve">have </w:t>
      </w:r>
      <w:r w:rsidRPr="00BA2D3E">
        <w:rPr>
          <w:rFonts w:ascii="Times New Roman" w:hAnsi="Times New Roman"/>
        </w:rPr>
        <w:t xml:space="preserve">received one jab of the vaccine and only 43,165 have received </w:t>
      </w:r>
      <w:r w:rsidR="0084014C">
        <w:rPr>
          <w:rFonts w:ascii="Times New Roman" w:hAnsi="Times New Roman"/>
        </w:rPr>
        <w:t xml:space="preserve">both first and </w:t>
      </w:r>
      <w:r w:rsidRPr="00BA2D3E">
        <w:rPr>
          <w:rFonts w:ascii="Times New Roman" w:hAnsi="Times New Roman"/>
        </w:rPr>
        <w:t>second dose</w:t>
      </w:r>
      <w:r w:rsidR="0084014C">
        <w:rPr>
          <w:rFonts w:ascii="Times New Roman" w:hAnsi="Times New Roman"/>
        </w:rPr>
        <w:t>s</w:t>
      </w:r>
      <w:r w:rsidRPr="00BA2D3E">
        <w:rPr>
          <w:rFonts w:ascii="Times New Roman" w:hAnsi="Times New Roman"/>
        </w:rPr>
        <w:t xml:space="preserve">.  The country was expecting a supply of vaccines towards the end of July 2021.   </w:t>
      </w:r>
    </w:p>
    <w:p w14:paraId="40D166AA" w14:textId="0C8FD2A4" w:rsidR="00554F23" w:rsidRDefault="00554F23" w:rsidP="00554F23">
      <w:pPr>
        <w:spacing w:before="100" w:beforeAutospacing="1" w:after="100" w:afterAutospacing="1" w:line="240" w:lineRule="auto"/>
        <w:contextualSpacing/>
        <w:jc w:val="both"/>
        <w:rPr>
          <w:rFonts w:ascii="Times New Roman" w:hAnsi="Times New Roman"/>
        </w:rPr>
      </w:pPr>
      <w:r w:rsidRPr="006F3C5E">
        <w:rPr>
          <w:rFonts w:ascii="Times New Roman" w:hAnsi="Times New Roman"/>
        </w:rPr>
        <w:t>Malawi launched its Vision Statement: Malawi 2063 (MW2063) in January 2021</w:t>
      </w:r>
      <w:r w:rsidR="0084014C">
        <w:rPr>
          <w:rFonts w:ascii="Times New Roman" w:hAnsi="Times New Roman"/>
        </w:rPr>
        <w:t>,</w:t>
      </w:r>
      <w:r w:rsidRPr="006F3C5E">
        <w:rPr>
          <w:rFonts w:ascii="Times New Roman" w:hAnsi="Times New Roman"/>
        </w:rPr>
        <w:t xml:space="preserve"> which replaces the Malawi Vision 2020.  The new vision has re-assessed Malawi’s priorities with a focus on inclusive wealth creation and self-reliance. MW2063 is buil</w:t>
      </w:r>
      <w:r>
        <w:rPr>
          <w:rFonts w:ascii="Times New Roman" w:hAnsi="Times New Roman"/>
        </w:rPr>
        <w:t>t</w:t>
      </w:r>
      <w:r w:rsidRPr="006F3C5E">
        <w:rPr>
          <w:rFonts w:ascii="Times New Roman" w:hAnsi="Times New Roman"/>
        </w:rPr>
        <w:t xml:space="preserve"> on three pillars, namely:  </w:t>
      </w:r>
      <w:r w:rsidRPr="006F3C5E">
        <w:rPr>
          <w:rFonts w:ascii="Times New Roman" w:hAnsi="Times New Roman"/>
          <w:bCs/>
          <w:color w:val="000000"/>
          <w:lang w:eastAsia="ja-JP"/>
        </w:rPr>
        <w:t xml:space="preserve">agriculture productivity and commercialization; industrialization; and urbanization. </w:t>
      </w:r>
      <w:r w:rsidRPr="006F3C5E">
        <w:rPr>
          <w:rFonts w:ascii="Times New Roman" w:hAnsi="Times New Roman"/>
        </w:rPr>
        <w:t>The country is preparing an attendant 10-year implementation plan as a first step towards operationalizing the Vision.</w:t>
      </w:r>
    </w:p>
    <w:p w14:paraId="3C5C6FD5" w14:textId="77777777" w:rsidR="00554F23" w:rsidRPr="006F3C5E" w:rsidRDefault="00554F23" w:rsidP="00554F23">
      <w:pPr>
        <w:spacing w:before="100" w:beforeAutospacing="1" w:after="100" w:afterAutospacing="1" w:line="240" w:lineRule="auto"/>
        <w:jc w:val="both"/>
        <w:rPr>
          <w:rFonts w:ascii="Times New Roman" w:hAnsi="Times New Roman"/>
        </w:rPr>
      </w:pPr>
    </w:p>
    <w:p w14:paraId="413B23AF" w14:textId="64A209B8" w:rsidR="00554F23" w:rsidRPr="00B5597A" w:rsidRDefault="00554F23" w:rsidP="00B5597A">
      <w:pPr>
        <w:pStyle w:val="ListParagraph"/>
        <w:numPr>
          <w:ilvl w:val="0"/>
          <w:numId w:val="23"/>
        </w:numPr>
        <w:autoSpaceDE w:val="0"/>
        <w:autoSpaceDN w:val="0"/>
        <w:adjustRightInd w:val="0"/>
        <w:spacing w:before="100" w:beforeAutospacing="1" w:after="100" w:afterAutospacing="1" w:line="240" w:lineRule="auto"/>
        <w:jc w:val="both"/>
        <w:rPr>
          <w:rFonts w:ascii="Times New Roman" w:hAnsi="Times New Roman"/>
          <w:b/>
        </w:rPr>
      </w:pPr>
      <w:r w:rsidRPr="00B5597A">
        <w:rPr>
          <w:rFonts w:ascii="Times New Roman" w:hAnsi="Times New Roman"/>
          <w:b/>
        </w:rPr>
        <w:t xml:space="preserve">The UN and UNDP Response </w:t>
      </w:r>
    </w:p>
    <w:p w14:paraId="14D4BA3B" w14:textId="3A220BDC" w:rsidR="00554F23" w:rsidRDefault="00554F23" w:rsidP="00554F23">
      <w:pPr>
        <w:autoSpaceDE w:val="0"/>
        <w:autoSpaceDN w:val="0"/>
        <w:adjustRightInd w:val="0"/>
        <w:spacing w:before="100" w:beforeAutospacing="1" w:after="100" w:afterAutospacing="1" w:line="240" w:lineRule="auto"/>
        <w:jc w:val="both"/>
        <w:rPr>
          <w:rFonts w:ascii="Times New Roman" w:hAnsi="Times New Roman"/>
          <w:bCs/>
        </w:rPr>
      </w:pPr>
      <w:r w:rsidRPr="006F3C5E">
        <w:rPr>
          <w:rFonts w:ascii="Times New Roman" w:hAnsi="Times New Roman"/>
        </w:rPr>
        <w:t xml:space="preserve">The UN system has been supporting the Government </w:t>
      </w:r>
      <w:r>
        <w:rPr>
          <w:rFonts w:ascii="Times New Roman" w:hAnsi="Times New Roman"/>
        </w:rPr>
        <w:t xml:space="preserve">in the implementation of the MGDS III to achieve national development outcomes </w:t>
      </w:r>
      <w:r w:rsidR="002A5631">
        <w:rPr>
          <w:rFonts w:ascii="Times New Roman" w:hAnsi="Times New Roman"/>
        </w:rPr>
        <w:t xml:space="preserve">and the </w:t>
      </w:r>
      <w:r>
        <w:rPr>
          <w:rFonts w:ascii="Times New Roman" w:hAnsi="Times New Roman"/>
        </w:rPr>
        <w:t>SDGs</w:t>
      </w:r>
      <w:r w:rsidRPr="006F3C5E">
        <w:rPr>
          <w:rFonts w:ascii="Times New Roman" w:hAnsi="Times New Roman"/>
        </w:rPr>
        <w:t>.  The 2019-2023</w:t>
      </w:r>
      <w:r>
        <w:rPr>
          <w:rFonts w:ascii="Times New Roman" w:hAnsi="Times New Roman"/>
        </w:rPr>
        <w:t xml:space="preserve"> UN Sustainable Development Cooperation Framework (UNSDCF)</w:t>
      </w:r>
      <w:r w:rsidR="00315E5D">
        <w:rPr>
          <w:rFonts w:ascii="Times New Roman" w:hAnsi="Times New Roman"/>
        </w:rPr>
        <w:t>,</w:t>
      </w:r>
      <w:r>
        <w:rPr>
          <w:rFonts w:ascii="Times New Roman" w:hAnsi="Times New Roman"/>
        </w:rPr>
        <w:t xml:space="preserve"> in short UNCF</w:t>
      </w:r>
      <w:r w:rsidR="00315E5D">
        <w:rPr>
          <w:rFonts w:ascii="Times New Roman" w:hAnsi="Times New Roman"/>
        </w:rPr>
        <w:t>,</w:t>
      </w:r>
      <w:r>
        <w:rPr>
          <w:rFonts w:ascii="Times New Roman" w:hAnsi="Times New Roman"/>
        </w:rPr>
        <w:t xml:space="preserve"> </w:t>
      </w:r>
      <w:r w:rsidRPr="006F3C5E">
        <w:rPr>
          <w:rFonts w:ascii="Times New Roman" w:hAnsi="Times New Roman"/>
        </w:rPr>
        <w:t>is the main vehicle through which the UN system is supporting priority areas in the MGDS based on its mandate</w:t>
      </w:r>
      <w:r w:rsidR="00315E5D">
        <w:rPr>
          <w:rFonts w:ascii="Times New Roman" w:hAnsi="Times New Roman"/>
        </w:rPr>
        <w:t>s</w:t>
      </w:r>
      <w:r w:rsidRPr="006F3C5E">
        <w:rPr>
          <w:rFonts w:ascii="Times New Roman" w:hAnsi="Times New Roman"/>
        </w:rPr>
        <w:t xml:space="preserve"> and capacit</w:t>
      </w:r>
      <w:r w:rsidR="00315E5D">
        <w:rPr>
          <w:rFonts w:ascii="Times New Roman" w:hAnsi="Times New Roman"/>
        </w:rPr>
        <w:t>ies</w:t>
      </w:r>
      <w:r w:rsidRPr="006F3C5E">
        <w:rPr>
          <w:rFonts w:ascii="Times New Roman" w:hAnsi="Times New Roman"/>
        </w:rPr>
        <w:t>.</w:t>
      </w:r>
      <w:r>
        <w:rPr>
          <w:rFonts w:ascii="Times New Roman" w:hAnsi="Times New Roman"/>
        </w:rPr>
        <w:t xml:space="preserve"> </w:t>
      </w:r>
      <w:r w:rsidRPr="006F3C5E">
        <w:rPr>
          <w:rFonts w:ascii="Times New Roman" w:hAnsi="Times New Roman"/>
          <w:bCs/>
        </w:rPr>
        <w:t>The Malawi UN</w:t>
      </w:r>
      <w:r>
        <w:rPr>
          <w:rFonts w:ascii="Times New Roman" w:hAnsi="Times New Roman"/>
          <w:bCs/>
        </w:rPr>
        <w:t>C</w:t>
      </w:r>
      <w:r w:rsidRPr="006F3C5E">
        <w:rPr>
          <w:rFonts w:ascii="Times New Roman" w:hAnsi="Times New Roman"/>
          <w:bCs/>
        </w:rPr>
        <w:t xml:space="preserve">F is structured around three pillars, namely: </w:t>
      </w:r>
      <w:r w:rsidRPr="006F3C5E">
        <w:rPr>
          <w:rFonts w:ascii="Times New Roman" w:hAnsi="Times New Roman"/>
        </w:rPr>
        <w:t>Pillar 1 – Peace, Inclusion and Effective Institutions;</w:t>
      </w:r>
      <w:r w:rsidRPr="006F3C5E">
        <w:rPr>
          <w:rFonts w:ascii="Times New Roman" w:hAnsi="Times New Roman"/>
          <w:bCs/>
        </w:rPr>
        <w:t xml:space="preserve"> </w:t>
      </w:r>
      <w:r w:rsidRPr="006F3C5E">
        <w:rPr>
          <w:rFonts w:ascii="Times New Roman" w:hAnsi="Times New Roman"/>
        </w:rPr>
        <w:t>Pillar 2 – Population Management and Inclusive Human</w:t>
      </w:r>
      <w:r w:rsidRPr="006F3C5E">
        <w:rPr>
          <w:rFonts w:ascii="Times New Roman" w:hAnsi="Times New Roman"/>
          <w:bCs/>
        </w:rPr>
        <w:t xml:space="preserve"> </w:t>
      </w:r>
      <w:r w:rsidRPr="006F3C5E">
        <w:rPr>
          <w:rFonts w:ascii="Times New Roman" w:hAnsi="Times New Roman"/>
        </w:rPr>
        <w:t>Development</w:t>
      </w:r>
      <w:r w:rsidR="00CA5945">
        <w:rPr>
          <w:rFonts w:ascii="Times New Roman" w:hAnsi="Times New Roman"/>
        </w:rPr>
        <w:t>,</w:t>
      </w:r>
      <w:r w:rsidRPr="006F3C5E">
        <w:rPr>
          <w:rFonts w:ascii="Times New Roman" w:hAnsi="Times New Roman"/>
          <w:bCs/>
        </w:rPr>
        <w:t xml:space="preserve"> and </w:t>
      </w:r>
      <w:r w:rsidRPr="006F3C5E">
        <w:rPr>
          <w:rFonts w:ascii="Times New Roman" w:hAnsi="Times New Roman"/>
        </w:rPr>
        <w:t>Pillar 3 – Inclusive and Resilient Growth</w:t>
      </w:r>
      <w:r w:rsidR="007F6D5F">
        <w:rPr>
          <w:rFonts w:ascii="Times New Roman" w:hAnsi="Times New Roman"/>
        </w:rPr>
        <w:t>. The UNCF</w:t>
      </w:r>
      <w:r>
        <w:rPr>
          <w:rFonts w:ascii="Times New Roman" w:hAnsi="Times New Roman"/>
          <w:bCs/>
        </w:rPr>
        <w:t xml:space="preserve"> has a total of nine development outcomes. </w:t>
      </w:r>
    </w:p>
    <w:p w14:paraId="3FF9321D" w14:textId="74A82AB5" w:rsidR="00554F23" w:rsidRDefault="00554F23" w:rsidP="00554F23">
      <w:pPr>
        <w:autoSpaceDE w:val="0"/>
        <w:autoSpaceDN w:val="0"/>
        <w:adjustRightInd w:val="0"/>
        <w:spacing w:before="100" w:beforeAutospacing="1" w:after="100" w:afterAutospacing="1" w:line="240" w:lineRule="auto"/>
        <w:jc w:val="both"/>
        <w:rPr>
          <w:rFonts w:ascii="Times New Roman" w:hAnsi="Times New Roman"/>
          <w:bCs/>
        </w:rPr>
      </w:pPr>
      <w:r w:rsidRPr="006F3C5E">
        <w:rPr>
          <w:rFonts w:ascii="Times New Roman" w:hAnsi="Times New Roman"/>
          <w:bCs/>
        </w:rPr>
        <w:t>UN reforms</w:t>
      </w:r>
      <w:r>
        <w:rPr>
          <w:rFonts w:ascii="Times New Roman" w:hAnsi="Times New Roman"/>
          <w:bCs/>
        </w:rPr>
        <w:t xml:space="preserve"> require that</w:t>
      </w:r>
      <w:r w:rsidRPr="006F3C5E">
        <w:rPr>
          <w:rFonts w:ascii="Times New Roman" w:hAnsi="Times New Roman"/>
          <w:bCs/>
        </w:rPr>
        <w:t xml:space="preserve"> UN agenc</w:t>
      </w:r>
      <w:r>
        <w:rPr>
          <w:rFonts w:ascii="Times New Roman" w:hAnsi="Times New Roman"/>
          <w:bCs/>
        </w:rPr>
        <w:t>ies</w:t>
      </w:r>
      <w:r w:rsidRPr="006F3C5E">
        <w:rPr>
          <w:rFonts w:ascii="Times New Roman" w:hAnsi="Times New Roman"/>
          <w:bCs/>
        </w:rPr>
        <w:t xml:space="preserve"> adopt relevant UN</w:t>
      </w:r>
      <w:r>
        <w:rPr>
          <w:rFonts w:ascii="Times New Roman" w:hAnsi="Times New Roman"/>
          <w:bCs/>
        </w:rPr>
        <w:t xml:space="preserve">CF </w:t>
      </w:r>
      <w:r w:rsidRPr="006F3C5E">
        <w:rPr>
          <w:rFonts w:ascii="Times New Roman" w:hAnsi="Times New Roman"/>
          <w:bCs/>
        </w:rPr>
        <w:t>outcomes.</w:t>
      </w:r>
      <w:r>
        <w:rPr>
          <w:rFonts w:ascii="Times New Roman" w:hAnsi="Times New Roman"/>
          <w:bCs/>
        </w:rPr>
        <w:t xml:space="preserve">  In this regard, </w:t>
      </w:r>
      <w:r w:rsidRPr="006F3C5E">
        <w:rPr>
          <w:rFonts w:ascii="Times New Roman" w:hAnsi="Times New Roman"/>
          <w:bCs/>
        </w:rPr>
        <w:t xml:space="preserve">UNDP is contributing to </w:t>
      </w:r>
      <w:r>
        <w:rPr>
          <w:rFonts w:ascii="Times New Roman" w:hAnsi="Times New Roman"/>
          <w:bCs/>
        </w:rPr>
        <w:t xml:space="preserve">four UNCF </w:t>
      </w:r>
      <w:r w:rsidRPr="006F3C5E">
        <w:rPr>
          <w:rFonts w:ascii="Times New Roman" w:hAnsi="Times New Roman"/>
          <w:bCs/>
        </w:rPr>
        <w:t>outcomes</w:t>
      </w:r>
      <w:r w:rsidR="007F6D5F">
        <w:rPr>
          <w:rFonts w:ascii="Times New Roman" w:hAnsi="Times New Roman"/>
          <w:bCs/>
        </w:rPr>
        <w:t>,</w:t>
      </w:r>
      <w:r w:rsidRPr="006F3C5E">
        <w:rPr>
          <w:rFonts w:ascii="Times New Roman" w:hAnsi="Times New Roman"/>
          <w:bCs/>
        </w:rPr>
        <w:t xml:space="preserve"> which fall under pillars 1 and 3</w:t>
      </w:r>
      <w:r>
        <w:rPr>
          <w:rFonts w:ascii="Times New Roman" w:hAnsi="Times New Roman"/>
          <w:bCs/>
        </w:rPr>
        <w:t xml:space="preserve"> as follows: </w:t>
      </w:r>
    </w:p>
    <w:p w14:paraId="560463B7" w14:textId="77777777" w:rsidR="00554F23" w:rsidRPr="006F3C5E" w:rsidRDefault="00554F23" w:rsidP="001F165F">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rPr>
      </w:pPr>
      <w:r w:rsidRPr="00267476">
        <w:rPr>
          <w:rFonts w:ascii="Times New Roman" w:hAnsi="Times New Roman"/>
          <w:b/>
        </w:rPr>
        <w:t>Pillar I, Outcome 1</w:t>
      </w:r>
      <w:r>
        <w:rPr>
          <w:rFonts w:ascii="Times New Roman" w:hAnsi="Times New Roman"/>
          <w:bCs/>
        </w:rPr>
        <w:t xml:space="preserve">: </w:t>
      </w:r>
      <w:r w:rsidRPr="006F3C5E">
        <w:rPr>
          <w:rFonts w:ascii="Times New Roman" w:hAnsi="Times New Roman"/>
          <w:bCs/>
        </w:rPr>
        <w:t xml:space="preserve">  </w:t>
      </w:r>
      <w:r w:rsidRPr="006F3C5E">
        <w:rPr>
          <w:rFonts w:ascii="Times New Roman" w:hAnsi="Times New Roman"/>
        </w:rPr>
        <w:t>Rights holders in Malawi access more accountable</w:t>
      </w:r>
    </w:p>
    <w:p w14:paraId="017253E1" w14:textId="77777777" w:rsidR="00554F23" w:rsidRPr="006F3C5E" w:rsidRDefault="00554F23" w:rsidP="00554F23">
      <w:pPr>
        <w:pStyle w:val="ListParagraph"/>
        <w:autoSpaceDE w:val="0"/>
        <w:autoSpaceDN w:val="0"/>
        <w:adjustRightInd w:val="0"/>
        <w:spacing w:before="100" w:beforeAutospacing="1" w:after="100" w:afterAutospacing="1" w:line="240" w:lineRule="auto"/>
        <w:jc w:val="both"/>
        <w:rPr>
          <w:rFonts w:ascii="Times New Roman" w:hAnsi="Times New Roman"/>
        </w:rPr>
      </w:pPr>
      <w:r w:rsidRPr="006F3C5E">
        <w:rPr>
          <w:rFonts w:ascii="Times New Roman" w:hAnsi="Times New Roman"/>
        </w:rPr>
        <w:t>and effective institutions at the central and decentralised levels that use quality disaggregated</w:t>
      </w:r>
    </w:p>
    <w:p w14:paraId="1A087D89" w14:textId="77777777" w:rsidR="00554F23" w:rsidRPr="006F3C5E" w:rsidRDefault="00554F23" w:rsidP="00554F23">
      <w:pPr>
        <w:pStyle w:val="ListParagraph"/>
        <w:autoSpaceDE w:val="0"/>
        <w:autoSpaceDN w:val="0"/>
        <w:adjustRightInd w:val="0"/>
        <w:spacing w:before="100" w:beforeAutospacing="1" w:after="100" w:afterAutospacing="1" w:line="240" w:lineRule="auto"/>
        <w:jc w:val="both"/>
        <w:rPr>
          <w:rFonts w:ascii="Times New Roman" w:hAnsi="Times New Roman"/>
        </w:rPr>
      </w:pPr>
      <w:r w:rsidRPr="006F3C5E">
        <w:rPr>
          <w:rFonts w:ascii="Times New Roman" w:hAnsi="Times New Roman"/>
        </w:rPr>
        <w:t>data, offer integrated service delivery and promote civic engagement, respect for human</w:t>
      </w:r>
    </w:p>
    <w:p w14:paraId="52C4BD59" w14:textId="77777777" w:rsidR="00554F23" w:rsidRDefault="00554F23" w:rsidP="00554F23">
      <w:pPr>
        <w:pStyle w:val="ListParagraph"/>
        <w:spacing w:before="100" w:beforeAutospacing="1" w:after="100" w:afterAutospacing="1" w:line="240" w:lineRule="auto"/>
        <w:jc w:val="both"/>
        <w:rPr>
          <w:rFonts w:ascii="Times New Roman" w:hAnsi="Times New Roman"/>
        </w:rPr>
      </w:pPr>
      <w:r w:rsidRPr="006F3C5E">
        <w:rPr>
          <w:rFonts w:ascii="Times New Roman" w:hAnsi="Times New Roman"/>
        </w:rPr>
        <w:t>rights and rule of law.</w:t>
      </w:r>
    </w:p>
    <w:p w14:paraId="60A0D6BC" w14:textId="77777777" w:rsidR="00554F23" w:rsidRDefault="00554F23" w:rsidP="00554F23">
      <w:pPr>
        <w:pStyle w:val="ListParagraph"/>
        <w:spacing w:before="100" w:beforeAutospacing="1" w:after="100" w:afterAutospacing="1" w:line="240" w:lineRule="auto"/>
        <w:jc w:val="both"/>
        <w:rPr>
          <w:rFonts w:ascii="Times New Roman" w:hAnsi="Times New Roman"/>
        </w:rPr>
      </w:pPr>
    </w:p>
    <w:p w14:paraId="155AD2E6" w14:textId="727B6759" w:rsidR="00554F23" w:rsidRPr="00FD409C" w:rsidRDefault="00554F23" w:rsidP="001F165F">
      <w:pPr>
        <w:pStyle w:val="ListParagraph"/>
        <w:numPr>
          <w:ilvl w:val="0"/>
          <w:numId w:val="3"/>
        </w:numPr>
        <w:spacing w:before="100" w:beforeAutospacing="1" w:after="100" w:afterAutospacing="1" w:line="240" w:lineRule="auto"/>
        <w:jc w:val="both"/>
        <w:rPr>
          <w:rFonts w:ascii="Times New Roman" w:hAnsi="Times New Roman"/>
        </w:rPr>
      </w:pPr>
      <w:r w:rsidRPr="00267476">
        <w:rPr>
          <w:rFonts w:ascii="Times New Roman" w:hAnsi="Times New Roman"/>
          <w:b/>
          <w:bCs/>
        </w:rPr>
        <w:t>Pillar I, Outcome 3</w:t>
      </w:r>
      <w:r>
        <w:rPr>
          <w:rFonts w:ascii="Times New Roman" w:hAnsi="Times New Roman"/>
        </w:rPr>
        <w:t xml:space="preserve">: </w:t>
      </w:r>
      <w:r w:rsidRPr="006F3C5E">
        <w:rPr>
          <w:rFonts w:ascii="Times New Roman" w:hAnsi="Times New Roman"/>
          <w:bCs/>
        </w:rPr>
        <w:t>Malawi has strengthened institutional capacities for Sustaining peace, inclusive societies</w:t>
      </w:r>
      <w:r w:rsidR="007F6D5F">
        <w:rPr>
          <w:rFonts w:ascii="Times New Roman" w:hAnsi="Times New Roman"/>
          <w:bCs/>
        </w:rPr>
        <w:t>,</w:t>
      </w:r>
      <w:r w:rsidRPr="006F3C5E">
        <w:rPr>
          <w:rFonts w:ascii="Times New Roman" w:hAnsi="Times New Roman"/>
          <w:bCs/>
        </w:rPr>
        <w:t xml:space="preserve"> and participatory democracy</w:t>
      </w:r>
      <w:r>
        <w:rPr>
          <w:rFonts w:ascii="Times New Roman" w:hAnsi="Times New Roman"/>
          <w:bCs/>
        </w:rPr>
        <w:t>.</w:t>
      </w:r>
    </w:p>
    <w:p w14:paraId="58598AE9" w14:textId="77777777" w:rsidR="00554F23" w:rsidRPr="00FD409C" w:rsidRDefault="00554F23" w:rsidP="00554F23">
      <w:pPr>
        <w:pStyle w:val="ListParagraph"/>
        <w:spacing w:before="100" w:beforeAutospacing="1" w:after="100" w:afterAutospacing="1" w:line="240" w:lineRule="auto"/>
        <w:ind w:left="1080"/>
        <w:jc w:val="both"/>
        <w:rPr>
          <w:rFonts w:ascii="Times New Roman" w:hAnsi="Times New Roman"/>
        </w:rPr>
      </w:pPr>
    </w:p>
    <w:p w14:paraId="7E32DFD0" w14:textId="77777777" w:rsidR="00554F23" w:rsidRPr="006F3C5E" w:rsidRDefault="00554F23" w:rsidP="001F165F">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bCs/>
        </w:rPr>
      </w:pPr>
      <w:r w:rsidRPr="00267476">
        <w:rPr>
          <w:rFonts w:ascii="Times New Roman" w:hAnsi="Times New Roman"/>
          <w:b/>
        </w:rPr>
        <w:t>Pillar III, Outcome 7</w:t>
      </w:r>
      <w:r>
        <w:rPr>
          <w:rFonts w:ascii="Times New Roman" w:hAnsi="Times New Roman"/>
          <w:bCs/>
        </w:rPr>
        <w:t xml:space="preserve">: </w:t>
      </w:r>
      <w:r w:rsidRPr="006F3C5E">
        <w:rPr>
          <w:rFonts w:ascii="Times New Roman" w:hAnsi="Times New Roman"/>
          <w:bCs/>
        </w:rPr>
        <w:t>Households have increased food and nutrition</w:t>
      </w:r>
    </w:p>
    <w:p w14:paraId="00C1203C" w14:textId="77777777" w:rsidR="00554F23" w:rsidRDefault="00554F23" w:rsidP="00554F23">
      <w:pPr>
        <w:pStyle w:val="ListParagraph"/>
        <w:autoSpaceDE w:val="0"/>
        <w:autoSpaceDN w:val="0"/>
        <w:adjustRightInd w:val="0"/>
        <w:spacing w:before="100" w:beforeAutospacing="1" w:after="100" w:afterAutospacing="1" w:line="240" w:lineRule="auto"/>
        <w:jc w:val="both"/>
        <w:rPr>
          <w:rFonts w:ascii="Times New Roman" w:hAnsi="Times New Roman"/>
          <w:bCs/>
        </w:rPr>
      </w:pPr>
      <w:r w:rsidRPr="006F3C5E">
        <w:rPr>
          <w:rFonts w:ascii="Times New Roman" w:hAnsi="Times New Roman"/>
          <w:bCs/>
        </w:rPr>
        <w:t>security, equitable access to WASH and healthy ecosystems and resilient livelihoods.</w:t>
      </w:r>
    </w:p>
    <w:p w14:paraId="0BFE400B" w14:textId="77777777" w:rsidR="00554F23" w:rsidRPr="00FD409C" w:rsidRDefault="00554F23" w:rsidP="00554F23">
      <w:pPr>
        <w:pStyle w:val="ListParagraph"/>
        <w:autoSpaceDE w:val="0"/>
        <w:autoSpaceDN w:val="0"/>
        <w:adjustRightInd w:val="0"/>
        <w:spacing w:before="100" w:beforeAutospacing="1" w:after="100" w:afterAutospacing="1" w:line="240" w:lineRule="auto"/>
        <w:ind w:left="1080"/>
        <w:jc w:val="both"/>
        <w:rPr>
          <w:rFonts w:ascii="Times New Roman" w:hAnsi="Times New Roman"/>
        </w:rPr>
      </w:pPr>
    </w:p>
    <w:p w14:paraId="33EB99D9" w14:textId="77777777" w:rsidR="00554F23" w:rsidRPr="006F3C5E" w:rsidRDefault="00554F23" w:rsidP="001F165F">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rPr>
      </w:pPr>
      <w:r w:rsidRPr="00267476">
        <w:rPr>
          <w:rFonts w:ascii="Times New Roman" w:hAnsi="Times New Roman"/>
          <w:b/>
        </w:rPr>
        <w:t>Pillar III, Outcome 9</w:t>
      </w:r>
      <w:r w:rsidRPr="006F3C5E">
        <w:rPr>
          <w:rFonts w:ascii="Times New Roman" w:hAnsi="Times New Roman"/>
          <w:bCs/>
        </w:rPr>
        <w:t xml:space="preserve">: </w:t>
      </w:r>
      <w:r w:rsidRPr="006F3C5E">
        <w:rPr>
          <w:rFonts w:ascii="Times New Roman" w:hAnsi="Times New Roman"/>
        </w:rPr>
        <w:t>Malawi has strengthened economic diversification,</w:t>
      </w:r>
    </w:p>
    <w:p w14:paraId="7079F37B" w14:textId="3A3B8176" w:rsidR="00554F23" w:rsidRDefault="00554F23" w:rsidP="00554F23">
      <w:pPr>
        <w:pStyle w:val="ListParagraph"/>
        <w:autoSpaceDE w:val="0"/>
        <w:autoSpaceDN w:val="0"/>
        <w:adjustRightInd w:val="0"/>
        <w:spacing w:before="100" w:beforeAutospacing="1" w:after="100" w:afterAutospacing="1" w:line="240" w:lineRule="auto"/>
        <w:jc w:val="both"/>
        <w:rPr>
          <w:rFonts w:ascii="Times New Roman" w:hAnsi="Times New Roman"/>
        </w:rPr>
      </w:pPr>
      <w:r w:rsidRPr="006F3C5E">
        <w:rPr>
          <w:rFonts w:ascii="Times New Roman" w:hAnsi="Times New Roman"/>
        </w:rPr>
        <w:t>inclusive business, entrepreneurship</w:t>
      </w:r>
      <w:r w:rsidR="005E094F">
        <w:rPr>
          <w:rFonts w:ascii="Times New Roman" w:hAnsi="Times New Roman"/>
        </w:rPr>
        <w:t>,</w:t>
      </w:r>
      <w:r w:rsidRPr="006F3C5E">
        <w:rPr>
          <w:rFonts w:ascii="Times New Roman" w:hAnsi="Times New Roman"/>
        </w:rPr>
        <w:t xml:space="preserve"> and access to clean energy.</w:t>
      </w:r>
    </w:p>
    <w:p w14:paraId="117EAF7C" w14:textId="77777777" w:rsidR="00554F23" w:rsidRDefault="00554F23" w:rsidP="00554F23">
      <w:pPr>
        <w:pStyle w:val="ListParagraph"/>
        <w:autoSpaceDE w:val="0"/>
        <w:autoSpaceDN w:val="0"/>
        <w:adjustRightInd w:val="0"/>
        <w:spacing w:before="100" w:beforeAutospacing="1" w:after="100" w:afterAutospacing="1" w:line="240" w:lineRule="auto"/>
        <w:jc w:val="both"/>
        <w:rPr>
          <w:rFonts w:ascii="Times New Roman" w:hAnsi="Times New Roman"/>
        </w:rPr>
      </w:pPr>
    </w:p>
    <w:p w14:paraId="441ED23B" w14:textId="5AC63CBA" w:rsidR="00554F23" w:rsidRPr="00B5597A" w:rsidRDefault="00554F23" w:rsidP="00B5597A">
      <w:pPr>
        <w:pStyle w:val="ListParagraph"/>
        <w:numPr>
          <w:ilvl w:val="0"/>
          <w:numId w:val="23"/>
        </w:numPr>
        <w:autoSpaceDE w:val="0"/>
        <w:autoSpaceDN w:val="0"/>
        <w:adjustRightInd w:val="0"/>
        <w:spacing w:before="100" w:beforeAutospacing="1" w:after="100" w:afterAutospacing="1" w:line="240" w:lineRule="auto"/>
        <w:jc w:val="both"/>
        <w:rPr>
          <w:rFonts w:ascii="Times New Roman" w:hAnsi="Times New Roman"/>
          <w:b/>
          <w:bCs/>
        </w:rPr>
      </w:pPr>
      <w:r w:rsidRPr="00B5597A">
        <w:rPr>
          <w:rFonts w:ascii="Times New Roman" w:hAnsi="Times New Roman"/>
          <w:b/>
          <w:bCs/>
        </w:rPr>
        <w:t>UNDP Country Programme (CP)</w:t>
      </w:r>
    </w:p>
    <w:p w14:paraId="6D740563" w14:textId="1BFAF1A8" w:rsidR="00554F23" w:rsidRPr="00221838" w:rsidRDefault="00B21C2A" w:rsidP="00554F23">
      <w:pPr>
        <w:autoSpaceDE w:val="0"/>
        <w:autoSpaceDN w:val="0"/>
        <w:adjustRightInd w:val="0"/>
        <w:spacing w:before="100" w:beforeAutospacing="1" w:after="100" w:afterAutospacing="1" w:line="240" w:lineRule="auto"/>
        <w:jc w:val="both"/>
        <w:rPr>
          <w:rFonts w:ascii="Times New Roman" w:hAnsi="Times New Roman"/>
          <w:b/>
        </w:rPr>
      </w:pPr>
      <w:r>
        <w:rPr>
          <w:rFonts w:ascii="Times New Roman" w:hAnsi="Times New Roman"/>
          <w:b/>
        </w:rPr>
        <w:t xml:space="preserve">3.1 </w:t>
      </w:r>
      <w:r w:rsidR="00554F23" w:rsidRPr="00221838">
        <w:rPr>
          <w:rFonts w:ascii="Times New Roman" w:hAnsi="Times New Roman"/>
          <w:b/>
        </w:rPr>
        <w:t>UNDP Country Programme Document and Projects</w:t>
      </w:r>
    </w:p>
    <w:p w14:paraId="16FF8CA5" w14:textId="785CA671" w:rsidR="00554F23" w:rsidRDefault="00554F23" w:rsidP="00554F23">
      <w:pPr>
        <w:autoSpaceDE w:val="0"/>
        <w:autoSpaceDN w:val="0"/>
        <w:adjustRightInd w:val="0"/>
        <w:spacing w:before="100" w:beforeAutospacing="1" w:after="100" w:afterAutospacing="1" w:line="240" w:lineRule="auto"/>
        <w:jc w:val="both"/>
        <w:rPr>
          <w:rFonts w:ascii="Times New Roman" w:hAnsi="Times New Roman"/>
          <w:bCs/>
        </w:rPr>
      </w:pPr>
      <w:r w:rsidRPr="002A148C">
        <w:rPr>
          <w:rFonts w:ascii="Times New Roman" w:hAnsi="Times New Roman"/>
          <w:bCs/>
        </w:rPr>
        <w:t>As expected, to operationalize the selected UNCF outcomes, UNDP developed a Country Programme</w:t>
      </w:r>
      <w:r>
        <w:rPr>
          <w:rFonts w:ascii="Times New Roman" w:hAnsi="Times New Roman"/>
          <w:bCs/>
        </w:rPr>
        <w:t xml:space="preserve"> </w:t>
      </w:r>
      <w:r w:rsidRPr="002A148C">
        <w:rPr>
          <w:rFonts w:ascii="Times New Roman" w:hAnsi="Times New Roman"/>
          <w:bCs/>
        </w:rPr>
        <w:t>Document</w:t>
      </w:r>
      <w:r>
        <w:rPr>
          <w:rFonts w:ascii="Times New Roman" w:hAnsi="Times New Roman"/>
          <w:bCs/>
        </w:rPr>
        <w:t xml:space="preserve"> (CPD)</w:t>
      </w:r>
      <w:r w:rsidRPr="002A148C">
        <w:rPr>
          <w:rFonts w:ascii="Times New Roman" w:hAnsi="Times New Roman"/>
          <w:bCs/>
        </w:rPr>
        <w:t xml:space="preserve"> which elaborate</w:t>
      </w:r>
      <w:r>
        <w:rPr>
          <w:rFonts w:ascii="Times New Roman" w:hAnsi="Times New Roman"/>
          <w:bCs/>
        </w:rPr>
        <w:t>s</w:t>
      </w:r>
      <w:r w:rsidRPr="002A148C">
        <w:rPr>
          <w:rFonts w:ascii="Times New Roman" w:hAnsi="Times New Roman"/>
          <w:bCs/>
        </w:rPr>
        <w:t xml:space="preserve"> outcome</w:t>
      </w:r>
      <w:r w:rsidR="00BD2D30">
        <w:rPr>
          <w:rFonts w:ascii="Times New Roman" w:hAnsi="Times New Roman"/>
          <w:bCs/>
        </w:rPr>
        <w:t xml:space="preserve"> and </w:t>
      </w:r>
      <w:r w:rsidRPr="002A148C">
        <w:rPr>
          <w:rFonts w:ascii="Times New Roman" w:hAnsi="Times New Roman"/>
          <w:bCs/>
        </w:rPr>
        <w:t>output indicators, implementation arrangements and resources requirements</w:t>
      </w:r>
      <w:r>
        <w:rPr>
          <w:rFonts w:ascii="Times New Roman" w:hAnsi="Times New Roman"/>
          <w:bCs/>
        </w:rPr>
        <w:t>,</w:t>
      </w:r>
      <w:r w:rsidRPr="002A148C">
        <w:rPr>
          <w:rFonts w:ascii="Times New Roman" w:hAnsi="Times New Roman"/>
          <w:bCs/>
        </w:rPr>
        <w:t xml:space="preserve"> among other elements.</w:t>
      </w:r>
      <w:r>
        <w:rPr>
          <w:rFonts w:ascii="Times New Roman" w:hAnsi="Times New Roman"/>
          <w:bCs/>
        </w:rPr>
        <w:t xml:space="preserve"> </w:t>
      </w:r>
      <w:r w:rsidRPr="006F3C5E">
        <w:rPr>
          <w:rFonts w:ascii="Times New Roman" w:hAnsi="Times New Roman"/>
          <w:bCs/>
        </w:rPr>
        <w:t xml:space="preserve">Annex </w:t>
      </w:r>
      <w:r w:rsidR="007808EB">
        <w:rPr>
          <w:rFonts w:ascii="Times New Roman" w:hAnsi="Times New Roman"/>
          <w:bCs/>
        </w:rPr>
        <w:t>1</w:t>
      </w:r>
      <w:r w:rsidRPr="006F3C5E">
        <w:rPr>
          <w:rFonts w:ascii="Times New Roman" w:hAnsi="Times New Roman"/>
          <w:bCs/>
        </w:rPr>
        <w:t xml:space="preserve"> pr</w:t>
      </w:r>
      <w:r w:rsidR="0096451B">
        <w:rPr>
          <w:rFonts w:ascii="Times New Roman" w:hAnsi="Times New Roman"/>
          <w:bCs/>
        </w:rPr>
        <w:t>esent</w:t>
      </w:r>
      <w:r w:rsidRPr="006F3C5E">
        <w:rPr>
          <w:rFonts w:ascii="Times New Roman" w:hAnsi="Times New Roman"/>
          <w:bCs/>
        </w:rPr>
        <w:t>s a results matrix of the CP.</w:t>
      </w:r>
      <w:r>
        <w:rPr>
          <w:rFonts w:ascii="Times New Roman" w:hAnsi="Times New Roman"/>
          <w:bCs/>
        </w:rPr>
        <w:t xml:space="preserve"> </w:t>
      </w:r>
    </w:p>
    <w:p w14:paraId="64C35C26" w14:textId="37E48A68" w:rsidR="00554F23" w:rsidRPr="00B952C7" w:rsidRDefault="00554F23" w:rsidP="00554F23">
      <w:pPr>
        <w:autoSpaceDE w:val="0"/>
        <w:autoSpaceDN w:val="0"/>
        <w:adjustRightInd w:val="0"/>
        <w:spacing w:before="100" w:beforeAutospacing="1" w:after="100" w:afterAutospacing="1" w:line="240" w:lineRule="auto"/>
        <w:jc w:val="both"/>
        <w:rPr>
          <w:rFonts w:ascii="Times New Roman" w:hAnsi="Times New Roman" w:cs="Times New Roman"/>
          <w:bCs/>
        </w:rPr>
      </w:pPr>
      <w:r w:rsidRPr="002A148C">
        <w:rPr>
          <w:rFonts w:ascii="Times New Roman" w:hAnsi="Times New Roman"/>
        </w:rPr>
        <w:t xml:space="preserve">Eighteen </w:t>
      </w:r>
      <w:r>
        <w:rPr>
          <w:rFonts w:ascii="Times New Roman" w:hAnsi="Times New Roman"/>
        </w:rPr>
        <w:t xml:space="preserve">development projects </w:t>
      </w:r>
      <w:r w:rsidRPr="002A148C">
        <w:rPr>
          <w:rFonts w:ascii="Times New Roman" w:hAnsi="Times New Roman"/>
        </w:rPr>
        <w:t>are contributing to the operationalization of the CP.  Five of the projects are carried from the previous cycle</w:t>
      </w:r>
      <w:r w:rsidRPr="00B952C7">
        <w:rPr>
          <w:rFonts w:ascii="Times New Roman" w:hAnsi="Times New Roman" w:cs="Times New Roman"/>
        </w:rPr>
        <w:t xml:space="preserve">. </w:t>
      </w:r>
    </w:p>
    <w:p w14:paraId="35B2FF36" w14:textId="52307A91" w:rsidR="00554F23" w:rsidRPr="00B952C7" w:rsidRDefault="00B21C2A" w:rsidP="0096451B">
      <w:pPr>
        <w:autoSpaceDE w:val="0"/>
        <w:autoSpaceDN w:val="0"/>
        <w:adjustRightInd w:val="0"/>
        <w:spacing w:before="100" w:beforeAutospacing="1" w:after="100" w:afterAutospacing="1" w:line="240" w:lineRule="auto"/>
        <w:jc w:val="both"/>
        <w:rPr>
          <w:rFonts w:ascii="Times New Roman" w:hAnsi="Times New Roman" w:cs="Times New Roman"/>
          <w:b/>
        </w:rPr>
      </w:pPr>
      <w:r w:rsidRPr="00B952C7">
        <w:rPr>
          <w:rFonts w:ascii="Times New Roman" w:hAnsi="Times New Roman" w:cs="Times New Roman"/>
          <w:b/>
        </w:rPr>
        <w:t xml:space="preserve">3.2 </w:t>
      </w:r>
      <w:r w:rsidR="00554F23" w:rsidRPr="00B952C7">
        <w:rPr>
          <w:rFonts w:ascii="Times New Roman" w:hAnsi="Times New Roman" w:cs="Times New Roman"/>
          <w:b/>
        </w:rPr>
        <w:t>Implementation of the 2019-2023 Country Programme</w:t>
      </w:r>
    </w:p>
    <w:p w14:paraId="7BA375CD" w14:textId="334C999E" w:rsidR="00B952C7" w:rsidRPr="0096451B" w:rsidRDefault="00BD44F2" w:rsidP="0096451B">
      <w:pPr>
        <w:spacing w:before="100" w:beforeAutospacing="1" w:after="100" w:afterAutospacing="1" w:line="240" w:lineRule="auto"/>
        <w:jc w:val="both"/>
        <w:rPr>
          <w:rFonts w:ascii="Times New Roman" w:hAnsi="Times New Roman" w:cs="Times New Roman"/>
          <w:color w:val="212529"/>
          <w:shd w:val="clear" w:color="auto" w:fill="FFFFFF"/>
        </w:rPr>
      </w:pPr>
      <w:r w:rsidRPr="0096451B">
        <w:rPr>
          <w:rFonts w:ascii="Times New Roman" w:hAnsi="Times New Roman" w:cs="Times New Roman"/>
        </w:rPr>
        <w:t>The principal objective of the programme is to contribute to reduction of poverty, inequality and vulnerability to shocks. Implementation of the programme has proceeded through t</w:t>
      </w:r>
      <w:r w:rsidR="009D55D0">
        <w:rPr>
          <w:rFonts w:ascii="Times New Roman" w:hAnsi="Times New Roman" w:cs="Times New Roman"/>
        </w:rPr>
        <w:t>hree</w:t>
      </w:r>
      <w:r w:rsidRPr="0096451B">
        <w:rPr>
          <w:rFonts w:ascii="Times New Roman" w:hAnsi="Times New Roman" w:cs="Times New Roman"/>
        </w:rPr>
        <w:t xml:space="preserve"> main pathways. The first strategy comprise</w:t>
      </w:r>
      <w:r w:rsidR="0096451B" w:rsidRPr="0096451B">
        <w:rPr>
          <w:rFonts w:ascii="Times New Roman" w:hAnsi="Times New Roman" w:cs="Times New Roman"/>
        </w:rPr>
        <w:t>s</w:t>
      </w:r>
      <w:r w:rsidRPr="0096451B">
        <w:rPr>
          <w:rFonts w:ascii="Times New Roman" w:hAnsi="Times New Roman" w:cs="Times New Roman"/>
        </w:rPr>
        <w:t xml:space="preserve"> interventions</w:t>
      </w:r>
      <w:r w:rsidR="00317B90" w:rsidRPr="0096451B">
        <w:rPr>
          <w:rFonts w:ascii="Times New Roman" w:hAnsi="Times New Roman" w:cs="Times New Roman"/>
        </w:rPr>
        <w:t xml:space="preserve"> </w:t>
      </w:r>
      <w:r w:rsidR="0096451B" w:rsidRPr="0096451B">
        <w:rPr>
          <w:rFonts w:ascii="Times New Roman" w:hAnsi="Times New Roman" w:cs="Times New Roman"/>
        </w:rPr>
        <w:t xml:space="preserve">aimed </w:t>
      </w:r>
      <w:r w:rsidR="009D55D0">
        <w:rPr>
          <w:rFonts w:ascii="Times New Roman" w:hAnsi="Times New Roman" w:cs="Times New Roman"/>
        </w:rPr>
        <w:t xml:space="preserve">at </w:t>
      </w:r>
      <w:r w:rsidR="00B856E8" w:rsidRPr="0096451B">
        <w:rPr>
          <w:rFonts w:ascii="Times New Roman" w:hAnsi="Times New Roman" w:cs="Times New Roman"/>
        </w:rPr>
        <w:t xml:space="preserve">inclusive sustainable growth by </w:t>
      </w:r>
      <w:r w:rsidR="00317B90" w:rsidRPr="0096451B">
        <w:rPr>
          <w:rFonts w:ascii="Times New Roman" w:eastAsiaTheme="minorEastAsia" w:hAnsi="Times New Roman" w:cs="Times New Roman"/>
          <w:lang w:eastAsia="en-ZA"/>
        </w:rPr>
        <w:t xml:space="preserve">enhancing economic innovation, inclusive business, job creation, </w:t>
      </w:r>
      <w:r w:rsidR="0096451B" w:rsidRPr="0096451B">
        <w:rPr>
          <w:rFonts w:ascii="Times New Roman" w:eastAsiaTheme="minorEastAsia" w:hAnsi="Times New Roman" w:cs="Times New Roman"/>
          <w:lang w:eastAsia="en-ZA"/>
        </w:rPr>
        <w:t xml:space="preserve">entrepreneurship </w:t>
      </w:r>
      <w:r w:rsidR="00317B90" w:rsidRPr="0096451B">
        <w:rPr>
          <w:rFonts w:ascii="Times New Roman" w:eastAsiaTheme="minorEastAsia" w:hAnsi="Times New Roman" w:cs="Times New Roman"/>
          <w:lang w:eastAsia="en-ZA"/>
        </w:rPr>
        <w:t>and</w:t>
      </w:r>
      <w:r w:rsidR="009D55D0">
        <w:rPr>
          <w:rFonts w:ascii="Times New Roman" w:eastAsiaTheme="minorEastAsia" w:hAnsi="Times New Roman" w:cs="Times New Roman"/>
          <w:lang w:eastAsia="en-ZA"/>
        </w:rPr>
        <w:t xml:space="preserve"> access to</w:t>
      </w:r>
      <w:r w:rsidR="00317B90" w:rsidRPr="0096451B">
        <w:rPr>
          <w:rFonts w:ascii="Times New Roman" w:eastAsiaTheme="minorEastAsia" w:hAnsi="Times New Roman" w:cs="Times New Roman"/>
          <w:lang w:eastAsia="en-ZA"/>
        </w:rPr>
        <w:t xml:space="preserve"> renewable energy</w:t>
      </w:r>
      <w:r w:rsidRPr="0096451B">
        <w:rPr>
          <w:rFonts w:ascii="Times New Roman" w:hAnsi="Times New Roman" w:cs="Times New Roman"/>
        </w:rPr>
        <w:t xml:space="preserve">.  Notable achievements in the area of </w:t>
      </w:r>
      <w:r w:rsidR="004A2FEB">
        <w:rPr>
          <w:rFonts w:ascii="Times New Roman" w:hAnsi="Times New Roman" w:cs="Times New Roman"/>
        </w:rPr>
        <w:t xml:space="preserve">inclusive </w:t>
      </w:r>
      <w:r w:rsidRPr="0096451B">
        <w:rPr>
          <w:rFonts w:ascii="Times New Roman" w:hAnsi="Times New Roman" w:cs="Times New Roman"/>
        </w:rPr>
        <w:t xml:space="preserve">sustainable growth since 2019 are outlined below. </w:t>
      </w:r>
    </w:p>
    <w:p w14:paraId="140BF228" w14:textId="77777777" w:rsidR="00B952C7" w:rsidRPr="0096451B" w:rsidRDefault="00B952C7" w:rsidP="0096451B">
      <w:pPr>
        <w:spacing w:line="240" w:lineRule="auto"/>
        <w:jc w:val="both"/>
        <w:rPr>
          <w:rFonts w:ascii="Times New Roman" w:hAnsi="Times New Roman" w:cs="Times New Roman"/>
        </w:rPr>
      </w:pPr>
      <w:r w:rsidRPr="0096451B">
        <w:rPr>
          <w:rFonts w:ascii="Times New Roman" w:hAnsi="Times New Roman" w:cs="Times New Roman"/>
        </w:rPr>
        <w:t xml:space="preserve">UNDP has been supporting growth of the private sector and entrepreneurship through a suit of instruments. The Growth Accelerator (GA), the very first Business Acceleration programme in Malawi, is injecting risk capital into start-up companies led by young Malawian entrepreneurs with supplementary business acceleration technical support. Since 2019, the entrepreneurs supported have created more than 100 jobs, have developed more than 15 new products on the domestic market and have also had an average increase of about 30% in revenue. About 50 entrepreneurs have received support from the GA. The GA is pushing small enterprises on a growth trajectory in readiness for more risk capital and growth. The Malawi Innovation Challenge Fund (MICF), a matching grant facility for the private sector providing risk capital that absorbs commercial risks in triggering innovation, speeding up new business models and/or technologies that have high social impact. </w:t>
      </w:r>
    </w:p>
    <w:p w14:paraId="48EB30E8" w14:textId="7692406C" w:rsidR="00B952C7" w:rsidRDefault="00B952C7" w:rsidP="009715FD">
      <w:pPr>
        <w:jc w:val="both"/>
        <w:rPr>
          <w:rFonts w:ascii="Times New Roman" w:hAnsi="Times New Roman" w:cs="Times New Roman"/>
        </w:rPr>
      </w:pPr>
      <w:r w:rsidRPr="0096451B">
        <w:rPr>
          <w:rFonts w:ascii="Times New Roman" w:hAnsi="Times New Roman" w:cs="Times New Roman"/>
        </w:rPr>
        <w:t xml:space="preserve">Since 2014, the fund has invested in over 50 companies having appetite for risk, import substitution and innovation and has created over 1,500 full-time jobs in new manufacturing facilities, improved the livelihoods of over 48,500 low-income people, leveraged more than 6.5 Million USD in external finance and mobilized more than 10.9 Million USD in private sector contributions. As a response to the COVID19 pandemic, the GA and MICF respectively launched specific challenge windows to cushion the private sector from effects of the pandemic. Through these special windows, the GA is supporting 28 entrepreneurs while the MICF is supporting 14 companies. </w:t>
      </w:r>
    </w:p>
    <w:p w14:paraId="19F72255" w14:textId="77777777" w:rsidR="009D55D0" w:rsidRPr="0096451B" w:rsidRDefault="009D55D0" w:rsidP="009D55D0">
      <w:pPr>
        <w:spacing w:before="100" w:beforeAutospacing="1" w:after="100" w:afterAutospacing="1" w:line="240" w:lineRule="auto"/>
        <w:jc w:val="both"/>
        <w:rPr>
          <w:rFonts w:ascii="Times New Roman" w:hAnsi="Times New Roman" w:cs="Times New Roman"/>
        </w:rPr>
      </w:pPr>
      <w:r w:rsidRPr="0096451B">
        <w:rPr>
          <w:rFonts w:ascii="Times New Roman" w:hAnsi="Times New Roman" w:cs="Times New Roman"/>
        </w:rPr>
        <w:t>UNDP assistance has contributed to an increase of national cumulative installed generation capacity for rural population through mini grids from 379 kW in 2019 to 385 kW in 2020.  Continuing this effort, the country will install greenfield mini grids at two sites of the following sites: Manoro in Mzimba, Mwansambi in Ntcheu or Chisi in Zomba district.   This support will directly impact on the proportion of households benefitting from clean, affordable, and sustainable energy.</w:t>
      </w:r>
    </w:p>
    <w:p w14:paraId="01C022CE" w14:textId="25991CE6" w:rsidR="00B952C7" w:rsidRPr="009D55D0" w:rsidRDefault="009D55D0" w:rsidP="009D55D0">
      <w:pPr>
        <w:jc w:val="both"/>
        <w:rPr>
          <w:rFonts w:ascii="Times New Roman" w:hAnsi="Times New Roman" w:cs="Times New Roman"/>
          <w:lang w:val="en-MW"/>
        </w:rPr>
      </w:pPr>
      <w:r>
        <w:rPr>
          <w:rFonts w:ascii="Times New Roman" w:hAnsi="Times New Roman" w:cs="Times New Roman"/>
        </w:rPr>
        <w:t xml:space="preserve">The second pathway encompasses interventions towards </w:t>
      </w:r>
      <w:r w:rsidRPr="008D7D00">
        <w:rPr>
          <w:rFonts w:eastAsiaTheme="minorEastAsia"/>
          <w:lang w:eastAsia="en-ZA"/>
        </w:rPr>
        <w:t xml:space="preserve">scaling up climate adaptation and </w:t>
      </w:r>
      <w:r w:rsidRPr="00E70596">
        <w:t>resilience</w:t>
      </w:r>
      <w:r w:rsidRPr="008D7D00">
        <w:rPr>
          <w:rFonts w:eastAsiaTheme="minorEastAsia"/>
          <w:lang w:eastAsia="en-ZA"/>
        </w:rPr>
        <w:t xml:space="preserve"> to shocks</w:t>
      </w:r>
      <w:r>
        <w:rPr>
          <w:rFonts w:eastAsiaTheme="minorEastAsia"/>
          <w:lang w:eastAsia="en-ZA"/>
        </w:rPr>
        <w:t xml:space="preserve"> for vulnerable communities.</w:t>
      </w:r>
      <w:r>
        <w:rPr>
          <w:rFonts w:ascii="Times New Roman" w:hAnsi="Times New Roman" w:cs="Times New Roman"/>
        </w:rPr>
        <w:t xml:space="preserve"> </w:t>
      </w:r>
      <w:r w:rsidR="00B952C7" w:rsidRPr="0096451B">
        <w:rPr>
          <w:rFonts w:ascii="Times New Roman" w:hAnsi="Times New Roman" w:cs="Times New Roman"/>
          <w:color w:val="212529"/>
          <w:shd w:val="clear" w:color="auto" w:fill="FFFFFF"/>
        </w:rPr>
        <w:t>Following a devastating cyclone, which resulted in loss of lives and extensive damage to properties, UNDP supported recovery initiatives that included construction of 430 houses for flood victims using more sustainable and more environmentally friendly materials than before.</w:t>
      </w:r>
      <w:r w:rsidR="00B952C7" w:rsidRPr="0096451B">
        <w:rPr>
          <w:rFonts w:ascii="Times New Roman" w:hAnsi="Times New Roman" w:cs="Times New Roman"/>
        </w:rPr>
        <w:t xml:space="preserve"> UNDP also provided essential disaster risk reduction and early recovery assistance that enabled the completion of five multi-purpose flood evacuation centres, each able to accommodate upwards of 300 people in flood zones.</w:t>
      </w:r>
    </w:p>
    <w:p w14:paraId="0C3D739D" w14:textId="05E35362" w:rsidR="00BC0B7B" w:rsidRPr="0096451B" w:rsidRDefault="009715FD" w:rsidP="00175D42">
      <w:pPr>
        <w:widowControl w:val="0"/>
        <w:shd w:val="clear" w:color="auto" w:fill="FFFFFF"/>
        <w:tabs>
          <w:tab w:val="left" w:pos="630"/>
          <w:tab w:val="left" w:pos="8550"/>
        </w:tabs>
        <w:adjustRightInd w:val="0"/>
        <w:spacing w:before="120" w:after="120" w:line="240" w:lineRule="auto"/>
        <w:ind w:right="4"/>
        <w:jc w:val="both"/>
        <w:textAlignment w:val="baseline"/>
        <w:rPr>
          <w:rFonts w:ascii="Times New Roman" w:hAnsi="Times New Roman" w:cs="Times New Roman"/>
        </w:rPr>
      </w:pPr>
      <w:r w:rsidRPr="0096451B">
        <w:rPr>
          <w:rFonts w:ascii="Times New Roman" w:hAnsi="Times New Roman" w:cs="Times New Roman"/>
        </w:rPr>
        <w:t xml:space="preserve">The </w:t>
      </w:r>
      <w:r w:rsidR="009D55D0">
        <w:rPr>
          <w:rFonts w:ascii="Times New Roman" w:hAnsi="Times New Roman" w:cs="Times New Roman"/>
        </w:rPr>
        <w:t>third</w:t>
      </w:r>
      <w:r w:rsidRPr="0096451B">
        <w:rPr>
          <w:rFonts w:ascii="Times New Roman" w:hAnsi="Times New Roman" w:cs="Times New Roman"/>
        </w:rPr>
        <w:t xml:space="preserve"> pathway of the country programme focuses</w:t>
      </w:r>
      <w:r w:rsidR="0096451B">
        <w:rPr>
          <w:rFonts w:ascii="Times New Roman" w:hAnsi="Times New Roman" w:cs="Times New Roman"/>
        </w:rPr>
        <w:t xml:space="preserve"> on</w:t>
      </w:r>
      <w:r w:rsidRPr="0096451B">
        <w:rPr>
          <w:rFonts w:ascii="Times New Roman" w:hAnsi="Times New Roman" w:cs="Times New Roman"/>
        </w:rPr>
        <w:t xml:space="preserve"> strengthening governance and human rights institutions for development effectiveness, transparency and accountability, improved service provision and civic participation. Interventions include </w:t>
      </w:r>
      <w:r w:rsidRPr="0096451B">
        <w:rPr>
          <w:rFonts w:ascii="Times New Roman" w:eastAsiaTheme="minorEastAsia" w:hAnsi="Times New Roman" w:cs="Times New Roman"/>
          <w:lang w:eastAsia="en-ZA"/>
        </w:rPr>
        <w:t>promoting civic engagement, respect for human rights, rule of law, peace and democracy and support to n</w:t>
      </w:r>
      <w:r w:rsidRPr="0096451B">
        <w:rPr>
          <w:rFonts w:ascii="Times New Roman" w:hAnsi="Times New Roman" w:cs="Times New Roman"/>
        </w:rPr>
        <w:t xml:space="preserve">ational and local development planning, coordination and monitoring capacities processes with special attention given to localization of the Sustainable Development Goals (SDGs).   </w:t>
      </w:r>
      <w:r w:rsidR="00BC0B7B" w:rsidRPr="0096451B">
        <w:rPr>
          <w:rFonts w:ascii="Times New Roman" w:eastAsiaTheme="minorEastAsia" w:hAnsi="Times New Roman" w:cs="Times New Roman"/>
          <w:lang w:eastAsia="en-ZA"/>
        </w:rPr>
        <w:t>Some of the key achievements in the area of responsive institutions and civic engagement are outlined below</w:t>
      </w:r>
    </w:p>
    <w:p w14:paraId="1F109562" w14:textId="10E5EEA2" w:rsidR="00554F23" w:rsidRPr="0096451B" w:rsidRDefault="00554F23" w:rsidP="009715FD">
      <w:pPr>
        <w:spacing w:before="100" w:beforeAutospacing="1" w:after="100" w:afterAutospacing="1" w:line="240" w:lineRule="auto"/>
        <w:jc w:val="both"/>
        <w:rPr>
          <w:rFonts w:ascii="Times New Roman" w:hAnsi="Times New Roman" w:cs="Times New Roman"/>
        </w:rPr>
      </w:pPr>
      <w:r w:rsidRPr="0096451B">
        <w:rPr>
          <w:rFonts w:ascii="Times New Roman" w:hAnsi="Times New Roman" w:cs="Times New Roman"/>
          <w:bCs/>
        </w:rPr>
        <w:t>Having suc</w:t>
      </w:r>
      <w:r w:rsidR="005F6BDB" w:rsidRPr="0096451B">
        <w:rPr>
          <w:rFonts w:ascii="Times New Roman" w:hAnsi="Times New Roman" w:cs="Times New Roman"/>
          <w:bCs/>
        </w:rPr>
        <w:t>c</w:t>
      </w:r>
      <w:r w:rsidRPr="0096451B">
        <w:rPr>
          <w:rFonts w:ascii="Times New Roman" w:hAnsi="Times New Roman" w:cs="Times New Roman"/>
          <w:bCs/>
        </w:rPr>
        <w:t xml:space="preserve">essfully established a national registration and national identification </w:t>
      </w:r>
      <w:r w:rsidR="00F20AB3" w:rsidRPr="0096451B">
        <w:rPr>
          <w:rFonts w:ascii="Times New Roman" w:hAnsi="Times New Roman" w:cs="Times New Roman"/>
          <w:bCs/>
        </w:rPr>
        <w:t>system</w:t>
      </w:r>
      <w:r w:rsidRPr="0096451B">
        <w:rPr>
          <w:rFonts w:ascii="Times New Roman" w:hAnsi="Times New Roman" w:cs="Times New Roman"/>
          <w:bCs/>
        </w:rPr>
        <w:t xml:space="preserve">, UNDP has supported the use of </w:t>
      </w:r>
      <w:r w:rsidRPr="0096451B">
        <w:rPr>
          <w:rFonts w:ascii="Times New Roman" w:hAnsi="Times New Roman" w:cs="Times New Roman"/>
          <w:color w:val="212529"/>
          <w:shd w:val="clear" w:color="auto" w:fill="FFFFFF"/>
        </w:rPr>
        <w:t xml:space="preserve">the National ID ecosystem as a primary source of identification for the delivery of services to enhance accountability and effectiveness in over 10 institutions in the private and public sector. </w:t>
      </w:r>
      <w:r w:rsidRPr="0096451B">
        <w:rPr>
          <w:rFonts w:ascii="Times New Roman" w:hAnsi="Times New Roman" w:cs="Times New Roman"/>
          <w:bCs/>
        </w:rPr>
        <w:t xml:space="preserve">This has resulted </w:t>
      </w:r>
      <w:r w:rsidR="00A55338" w:rsidRPr="0096451B">
        <w:rPr>
          <w:rFonts w:ascii="Times New Roman" w:hAnsi="Times New Roman" w:cs="Times New Roman"/>
          <w:bCs/>
        </w:rPr>
        <w:t xml:space="preserve">to </w:t>
      </w:r>
      <w:r w:rsidRPr="0096451B">
        <w:rPr>
          <w:rFonts w:ascii="Times New Roman" w:hAnsi="Times New Roman" w:cs="Times New Roman"/>
          <w:bCs/>
        </w:rPr>
        <w:t>great efficiencies in provision of services and improvement in risk management.  For instance,</w:t>
      </w:r>
      <w:r w:rsidRPr="0096451B">
        <w:rPr>
          <w:rFonts w:ascii="Times New Roman" w:hAnsi="Times New Roman" w:cs="Times New Roman"/>
        </w:rPr>
        <w:t xml:space="preserve"> the use of national ID cards</w:t>
      </w:r>
      <w:r w:rsidR="00F20AB3" w:rsidRPr="0096451B">
        <w:rPr>
          <w:rFonts w:ascii="Times New Roman" w:hAnsi="Times New Roman" w:cs="Times New Roman"/>
        </w:rPr>
        <w:t xml:space="preserve"> ensured</w:t>
      </w:r>
      <w:r w:rsidRPr="0096451B">
        <w:rPr>
          <w:rFonts w:ascii="Times New Roman" w:hAnsi="Times New Roman" w:cs="Times New Roman"/>
        </w:rPr>
        <w:t xml:space="preserve"> the credibility of the voters’ roll during the Fresh Presidential Elections (FPEs) </w:t>
      </w:r>
      <w:r w:rsidR="00F20AB3" w:rsidRPr="0096451B">
        <w:rPr>
          <w:rFonts w:ascii="Times New Roman" w:hAnsi="Times New Roman" w:cs="Times New Roman"/>
        </w:rPr>
        <w:t xml:space="preserve">which was held in 2020 </w:t>
      </w:r>
      <w:r w:rsidRPr="0096451B">
        <w:rPr>
          <w:rFonts w:ascii="Times New Roman" w:hAnsi="Times New Roman" w:cs="Times New Roman"/>
        </w:rPr>
        <w:t>and clean-up of pensioners records leading to savings of $400,000 monthly</w:t>
      </w:r>
      <w:r w:rsidR="00412214" w:rsidRPr="0096451B">
        <w:rPr>
          <w:rFonts w:ascii="Times New Roman" w:hAnsi="Times New Roman" w:cs="Times New Roman"/>
        </w:rPr>
        <w:t xml:space="preserve"> [Source: Accountant General, Ministry of Finance, 2020]</w:t>
      </w:r>
      <w:r w:rsidRPr="0096451B">
        <w:rPr>
          <w:rFonts w:ascii="Times New Roman" w:hAnsi="Times New Roman" w:cs="Times New Roman"/>
        </w:rPr>
        <w:t>.</w:t>
      </w:r>
    </w:p>
    <w:p w14:paraId="3544A6C7" w14:textId="46D4FFDA" w:rsidR="00131E62" w:rsidRPr="00B952C7" w:rsidRDefault="004C179C" w:rsidP="009715FD">
      <w:pPr>
        <w:jc w:val="both"/>
        <w:rPr>
          <w:rFonts w:ascii="Times New Roman" w:hAnsi="Times New Roman" w:cs="Times New Roman"/>
          <w:color w:val="000000"/>
        </w:rPr>
      </w:pPr>
      <w:r w:rsidRPr="0096451B">
        <w:rPr>
          <w:rFonts w:ascii="Times New Roman" w:hAnsi="Times New Roman" w:cs="Times New Roman"/>
          <w:lang w:val="en-GB"/>
        </w:rPr>
        <w:t>UNDP has supported the installation of an Electronic Health Information Network (eHIN) - an innovative,  easy to use mobile phone and web based application aimed at managing</w:t>
      </w:r>
      <w:r w:rsidRPr="00B952C7">
        <w:rPr>
          <w:rFonts w:ascii="Times New Roman" w:hAnsi="Times New Roman" w:cs="Times New Roman"/>
          <w:lang w:val="en-GB"/>
        </w:rPr>
        <w:t xml:space="preserve"> and tracking all health commodities at all tiers of health supply chain.  eHIN was introduced as a response to Minisrty of Healths decision to have a system that would help in generation, transmission, collation, analysis and presentation of logistics data. So far the system is deployed in 3 districts, namely: Blantyre, Rumphi and Ntchisi.  The platform has provided</w:t>
      </w:r>
      <w:r w:rsidRPr="00B952C7">
        <w:rPr>
          <w:rFonts w:ascii="Times New Roman" w:hAnsi="Times New Roman" w:cs="Times New Roman"/>
          <w:color w:val="212529"/>
          <w:shd w:val="clear" w:color="auto" w:fill="FFFFFF"/>
        </w:rPr>
        <w:t xml:space="preserve"> visibility for all transactions done across the last mile up to Central Medical Store. Over 90,000 transactions have currently been registered for stock counts; issuing, receipting and discards. The capacity of health workers to effectively deliver health services has also been enhanced.  Over 668 health workers handling health commodities across the supply chain system were trained on the eHIN system in the 3 districts.</w:t>
      </w:r>
      <w:r w:rsidRPr="00B952C7">
        <w:rPr>
          <w:rFonts w:ascii="Times New Roman" w:hAnsi="Times New Roman" w:cs="Times New Roman"/>
        </w:rPr>
        <w:t xml:space="preserve">  </w:t>
      </w:r>
      <w:r w:rsidRPr="00B952C7">
        <w:rPr>
          <w:rFonts w:ascii="Times New Roman" w:hAnsi="Times New Roman" w:cs="Times New Roman"/>
          <w:lang w:val="en-GB"/>
        </w:rPr>
        <w:t>The application is</w:t>
      </w:r>
      <w:r w:rsidR="0096451B">
        <w:rPr>
          <w:rFonts w:ascii="Times New Roman" w:hAnsi="Times New Roman" w:cs="Times New Roman"/>
          <w:lang w:val="en-GB"/>
        </w:rPr>
        <w:t xml:space="preserve"> resulting in</w:t>
      </w:r>
      <w:r w:rsidRPr="00B952C7">
        <w:rPr>
          <w:rFonts w:ascii="Times New Roman" w:hAnsi="Times New Roman" w:cs="Times New Roman"/>
          <w:lang w:val="en-GB"/>
        </w:rPr>
        <w:t xml:space="preserve"> improv</w:t>
      </w:r>
      <w:r w:rsidR="0096451B">
        <w:rPr>
          <w:rFonts w:ascii="Times New Roman" w:hAnsi="Times New Roman" w:cs="Times New Roman"/>
          <w:lang w:val="en-GB"/>
        </w:rPr>
        <w:t>ed</w:t>
      </w:r>
      <w:r w:rsidRPr="00B952C7">
        <w:rPr>
          <w:rFonts w:ascii="Times New Roman" w:hAnsi="Times New Roman" w:cs="Times New Roman"/>
          <w:lang w:val="en-GB"/>
        </w:rPr>
        <w:t xml:space="preserve"> transparency and accountability </w:t>
      </w:r>
      <w:r w:rsidR="001E38BC">
        <w:rPr>
          <w:rFonts w:ascii="Times New Roman" w:hAnsi="Times New Roman" w:cs="Times New Roman"/>
          <w:lang w:val="en-GB"/>
        </w:rPr>
        <w:t>in the</w:t>
      </w:r>
      <w:r w:rsidRPr="00B952C7">
        <w:rPr>
          <w:rFonts w:ascii="Times New Roman" w:hAnsi="Times New Roman" w:cs="Times New Roman"/>
          <w:lang w:val="en-GB"/>
        </w:rPr>
        <w:t xml:space="preserve"> manag</w:t>
      </w:r>
      <w:r w:rsidR="001E38BC">
        <w:rPr>
          <w:rFonts w:ascii="Times New Roman" w:hAnsi="Times New Roman" w:cs="Times New Roman"/>
          <w:lang w:val="en-GB"/>
        </w:rPr>
        <w:t>ement of</w:t>
      </w:r>
      <w:r w:rsidRPr="00B952C7">
        <w:rPr>
          <w:rFonts w:ascii="Times New Roman" w:hAnsi="Times New Roman" w:cs="Times New Roman"/>
          <w:lang w:val="en-GB"/>
        </w:rPr>
        <w:t xml:space="preserve"> health commodities.</w:t>
      </w:r>
    </w:p>
    <w:p w14:paraId="242F353A" w14:textId="7426A7A1" w:rsidR="00491E58" w:rsidRDefault="00491E58" w:rsidP="009715FD">
      <w:pPr>
        <w:spacing w:after="0" w:line="240" w:lineRule="auto"/>
        <w:jc w:val="both"/>
        <w:rPr>
          <w:rFonts w:ascii="Times New Roman" w:hAnsi="Times New Roman"/>
        </w:rPr>
      </w:pPr>
      <w:r w:rsidRPr="00B952C7">
        <w:rPr>
          <w:rFonts w:ascii="Times New Roman" w:hAnsi="Times New Roman" w:cs="Times New Roman"/>
        </w:rPr>
        <w:t>UNDP has piloted digitalization of village physical and socio-</w:t>
      </w:r>
      <w:r>
        <w:rPr>
          <w:rFonts w:ascii="Times New Roman" w:hAnsi="Times New Roman"/>
        </w:rPr>
        <w:t>economic information to enhance evidence based planning and decision making</w:t>
      </w:r>
      <w:r w:rsidRPr="0005472E">
        <w:rPr>
          <w:rFonts w:ascii="Times New Roman" w:hAnsi="Times New Roman"/>
        </w:rPr>
        <w:t>. Th</w:t>
      </w:r>
      <w:r>
        <w:rPr>
          <w:rFonts w:ascii="Times New Roman" w:hAnsi="Times New Roman"/>
        </w:rPr>
        <w:t>e system</w:t>
      </w:r>
      <w:r w:rsidRPr="0005472E">
        <w:rPr>
          <w:rFonts w:ascii="Times New Roman" w:hAnsi="Times New Roman"/>
        </w:rPr>
        <w:t xml:space="preserve"> </w:t>
      </w:r>
      <w:r>
        <w:rPr>
          <w:rFonts w:ascii="Times New Roman" w:hAnsi="Times New Roman"/>
        </w:rPr>
        <w:t>provid</w:t>
      </w:r>
      <w:r w:rsidRPr="0005472E">
        <w:rPr>
          <w:rFonts w:ascii="Times New Roman" w:hAnsi="Times New Roman"/>
        </w:rPr>
        <w:t>es an entry point for transformation o</w:t>
      </w:r>
      <w:r>
        <w:rPr>
          <w:rFonts w:ascii="Times New Roman" w:hAnsi="Times New Roman"/>
        </w:rPr>
        <w:t>f</w:t>
      </w:r>
      <w:r w:rsidRPr="0005472E">
        <w:rPr>
          <w:rFonts w:ascii="Times New Roman" w:hAnsi="Times New Roman"/>
        </w:rPr>
        <w:t xml:space="preserve"> </w:t>
      </w:r>
      <w:r>
        <w:rPr>
          <w:rFonts w:ascii="Times New Roman" w:hAnsi="Times New Roman"/>
        </w:rPr>
        <w:t xml:space="preserve">village and </w:t>
      </w:r>
      <w:r w:rsidRPr="0005472E">
        <w:rPr>
          <w:rFonts w:ascii="Times New Roman" w:hAnsi="Times New Roman"/>
        </w:rPr>
        <w:t>district planning process</w:t>
      </w:r>
      <w:r>
        <w:rPr>
          <w:rFonts w:ascii="Times New Roman" w:hAnsi="Times New Roman"/>
        </w:rPr>
        <w:t>es</w:t>
      </w:r>
      <w:r w:rsidRPr="0005472E">
        <w:rPr>
          <w:rFonts w:ascii="Times New Roman" w:hAnsi="Times New Roman"/>
        </w:rPr>
        <w:t xml:space="preserve"> </w:t>
      </w:r>
      <w:r>
        <w:rPr>
          <w:rFonts w:ascii="Times New Roman" w:hAnsi="Times New Roman"/>
        </w:rPr>
        <w:t xml:space="preserve">by enhancing </w:t>
      </w:r>
      <w:r w:rsidRPr="0005472E">
        <w:rPr>
          <w:rFonts w:ascii="Times New Roman" w:hAnsi="Times New Roman"/>
        </w:rPr>
        <w:t xml:space="preserve">data collection and analysis, monitoring </w:t>
      </w:r>
      <w:r>
        <w:rPr>
          <w:rFonts w:ascii="Times New Roman" w:hAnsi="Times New Roman"/>
        </w:rPr>
        <w:t xml:space="preserve">and </w:t>
      </w:r>
      <w:r w:rsidRPr="0005472E">
        <w:rPr>
          <w:rFonts w:ascii="Times New Roman" w:hAnsi="Times New Roman"/>
        </w:rPr>
        <w:t>coordina</w:t>
      </w:r>
      <w:r>
        <w:rPr>
          <w:rFonts w:ascii="Times New Roman" w:hAnsi="Times New Roman"/>
        </w:rPr>
        <w:t xml:space="preserve">ted service delivery and </w:t>
      </w:r>
      <w:r w:rsidRPr="00B5597A">
        <w:rPr>
          <w:rFonts w:ascii="Times New Roman" w:hAnsi="Times New Roman"/>
        </w:rPr>
        <w:t xml:space="preserve">achievement of the SDGs. </w:t>
      </w:r>
      <w:r>
        <w:rPr>
          <w:rFonts w:ascii="Times New Roman" w:hAnsi="Times New Roman"/>
        </w:rPr>
        <w:t>Building on the information system,</w:t>
      </w:r>
      <w:r w:rsidRPr="00B5597A">
        <w:rPr>
          <w:rFonts w:ascii="Times New Roman" w:hAnsi="Times New Roman"/>
        </w:rPr>
        <w:t xml:space="preserve"> UNDP is supporting the development of an </w:t>
      </w:r>
      <w:r>
        <w:rPr>
          <w:rFonts w:ascii="Times New Roman" w:hAnsi="Times New Roman"/>
        </w:rPr>
        <w:t>i</w:t>
      </w:r>
      <w:r w:rsidRPr="00B5597A">
        <w:rPr>
          <w:rFonts w:ascii="Times New Roman" w:hAnsi="Times New Roman"/>
        </w:rPr>
        <w:t xml:space="preserve">ntegrated </w:t>
      </w:r>
      <w:r>
        <w:rPr>
          <w:rFonts w:ascii="Times New Roman" w:hAnsi="Times New Roman"/>
        </w:rPr>
        <w:t>s</w:t>
      </w:r>
      <w:r w:rsidRPr="00B5597A">
        <w:rPr>
          <w:rFonts w:ascii="Times New Roman" w:hAnsi="Times New Roman"/>
        </w:rPr>
        <w:t xml:space="preserve">ervice </w:t>
      </w:r>
      <w:r>
        <w:rPr>
          <w:rFonts w:ascii="Times New Roman" w:hAnsi="Times New Roman"/>
        </w:rPr>
        <w:t>c</w:t>
      </w:r>
      <w:r w:rsidRPr="00B5597A">
        <w:rPr>
          <w:rFonts w:ascii="Times New Roman" w:hAnsi="Times New Roman"/>
        </w:rPr>
        <w:t xml:space="preserve">oordination </w:t>
      </w:r>
      <w:r>
        <w:rPr>
          <w:rFonts w:ascii="Times New Roman" w:hAnsi="Times New Roman"/>
        </w:rPr>
        <w:t>p</w:t>
      </w:r>
      <w:r w:rsidRPr="00B5597A">
        <w:rPr>
          <w:rFonts w:ascii="Times New Roman" w:hAnsi="Times New Roman"/>
        </w:rPr>
        <w:t>latfor</w:t>
      </w:r>
      <w:r w:rsidRPr="006F013D">
        <w:rPr>
          <w:rFonts w:ascii="Times New Roman" w:hAnsi="Times New Roman"/>
        </w:rPr>
        <w:t>m</w:t>
      </w:r>
      <w:r>
        <w:rPr>
          <w:rFonts w:ascii="Times New Roman" w:hAnsi="Times New Roman"/>
        </w:rPr>
        <w:t xml:space="preserve"> at the district level.</w:t>
      </w:r>
      <w:r w:rsidRPr="0005472E">
        <w:rPr>
          <w:rFonts w:ascii="Times New Roman" w:hAnsi="Times New Roman"/>
        </w:rPr>
        <w:t xml:space="preserve">  </w:t>
      </w:r>
      <w:r w:rsidR="001E38BC">
        <w:rPr>
          <w:rFonts w:ascii="Times New Roman" w:hAnsi="Times New Roman"/>
        </w:rPr>
        <w:t>The</w:t>
      </w:r>
      <w:r w:rsidRPr="0005472E">
        <w:rPr>
          <w:rFonts w:ascii="Times New Roman" w:hAnsi="Times New Roman"/>
        </w:rPr>
        <w:t xml:space="preserve"> platform </w:t>
      </w:r>
      <w:r w:rsidR="001E38BC">
        <w:rPr>
          <w:rFonts w:ascii="Times New Roman" w:hAnsi="Times New Roman"/>
        </w:rPr>
        <w:t>does</w:t>
      </w:r>
      <w:r w:rsidRPr="0005472E">
        <w:rPr>
          <w:rFonts w:ascii="Times New Roman" w:hAnsi="Times New Roman"/>
        </w:rPr>
        <w:t xml:space="preserve"> not only enable efficient coordination of services but </w:t>
      </w:r>
      <w:r w:rsidR="001E38BC">
        <w:rPr>
          <w:rFonts w:ascii="Times New Roman" w:hAnsi="Times New Roman"/>
        </w:rPr>
        <w:t xml:space="preserve">also </w:t>
      </w:r>
      <w:r w:rsidRPr="0005472E">
        <w:rPr>
          <w:rFonts w:ascii="Times New Roman" w:hAnsi="Times New Roman"/>
        </w:rPr>
        <w:t xml:space="preserve">has the potential for translating into </w:t>
      </w:r>
      <w:r w:rsidR="001E38BC">
        <w:rPr>
          <w:rFonts w:ascii="Times New Roman" w:hAnsi="Times New Roman"/>
        </w:rPr>
        <w:t xml:space="preserve">a vehicle for </w:t>
      </w:r>
      <w:r w:rsidRPr="0005472E">
        <w:rPr>
          <w:rFonts w:ascii="Times New Roman" w:hAnsi="Times New Roman"/>
        </w:rPr>
        <w:t xml:space="preserve">donor basket funding </w:t>
      </w:r>
      <w:r w:rsidR="001E38BC">
        <w:rPr>
          <w:rFonts w:ascii="Times New Roman" w:hAnsi="Times New Roman"/>
        </w:rPr>
        <w:t>of initiatives at the district level</w:t>
      </w:r>
      <w:r w:rsidRPr="0005472E">
        <w:rPr>
          <w:rFonts w:ascii="Times New Roman" w:hAnsi="Times New Roman"/>
        </w:rPr>
        <w:t>.</w:t>
      </w:r>
    </w:p>
    <w:p w14:paraId="076C16F6" w14:textId="163D43BC" w:rsidR="00554F23" w:rsidRDefault="00554F23" w:rsidP="009715FD">
      <w:pPr>
        <w:spacing w:before="100" w:beforeAutospacing="1" w:after="100" w:afterAutospacing="1" w:line="240" w:lineRule="auto"/>
        <w:jc w:val="both"/>
        <w:rPr>
          <w:rFonts w:ascii="Times New Roman" w:hAnsi="Times New Roman"/>
        </w:rPr>
      </w:pPr>
      <w:r w:rsidRPr="006F3C5E">
        <w:rPr>
          <w:rFonts w:ascii="Times New Roman" w:hAnsi="Times New Roman"/>
          <w:color w:val="212529"/>
          <w:shd w:val="clear" w:color="auto" w:fill="FFFFFF"/>
        </w:rPr>
        <w:t xml:space="preserve">In the area of </w:t>
      </w:r>
      <w:r w:rsidR="001E38BC">
        <w:rPr>
          <w:rFonts w:ascii="Times New Roman" w:hAnsi="Times New Roman"/>
          <w:color w:val="212529"/>
          <w:shd w:val="clear" w:color="auto" w:fill="FFFFFF"/>
        </w:rPr>
        <w:t xml:space="preserve">rule of law, UNDP has supported </w:t>
      </w:r>
      <w:r w:rsidRPr="006F3C5E">
        <w:rPr>
          <w:rFonts w:ascii="Times New Roman" w:hAnsi="Times New Roman"/>
          <w:color w:val="212529"/>
          <w:shd w:val="clear" w:color="auto" w:fill="FFFFFF"/>
        </w:rPr>
        <w:t>access to justice by the poor and marginalized people in conflict with the law</w:t>
      </w:r>
      <w:r w:rsidR="00E20304">
        <w:rPr>
          <w:rFonts w:ascii="Times New Roman" w:hAnsi="Times New Roman"/>
          <w:color w:val="212529"/>
          <w:shd w:val="clear" w:color="auto" w:fill="FFFFFF"/>
        </w:rPr>
        <w:t>. Between 2019 and 2020,</w:t>
      </w:r>
      <w:r w:rsidRPr="006F3C5E">
        <w:rPr>
          <w:rFonts w:ascii="Times New Roman" w:hAnsi="Times New Roman"/>
          <w:color w:val="212529"/>
          <w:shd w:val="clear" w:color="auto" w:fill="FFFFFF"/>
        </w:rPr>
        <w:t xml:space="preserve"> UNDP</w:t>
      </w:r>
      <w:r w:rsidR="00F20AB3">
        <w:rPr>
          <w:rFonts w:ascii="Times New Roman" w:hAnsi="Times New Roman"/>
          <w:color w:val="212529"/>
          <w:shd w:val="clear" w:color="auto" w:fill="FFFFFF"/>
        </w:rPr>
        <w:t xml:space="preserve">’s assistance </w:t>
      </w:r>
      <w:r w:rsidRPr="006F3C5E">
        <w:rPr>
          <w:rFonts w:ascii="Times New Roman" w:hAnsi="Times New Roman"/>
          <w:color w:val="212529"/>
          <w:shd w:val="clear" w:color="auto" w:fill="FFFFFF"/>
        </w:rPr>
        <w:t>augmented the capacity of the Paralegal Advisory Service Institute (PASI)</w:t>
      </w:r>
      <w:r w:rsidR="00F20AB3">
        <w:rPr>
          <w:rFonts w:ascii="Times New Roman" w:hAnsi="Times New Roman"/>
          <w:color w:val="212529"/>
          <w:shd w:val="clear" w:color="auto" w:fill="FFFFFF"/>
        </w:rPr>
        <w:t xml:space="preserve">, a non-state actor, </w:t>
      </w:r>
      <w:r w:rsidRPr="006F3C5E">
        <w:rPr>
          <w:rFonts w:ascii="Times New Roman" w:hAnsi="Times New Roman"/>
          <w:color w:val="212529"/>
          <w:shd w:val="clear" w:color="auto" w:fill="FFFFFF"/>
        </w:rPr>
        <w:t xml:space="preserve">to facilitate the release of </w:t>
      </w:r>
      <w:r w:rsidR="001B525D">
        <w:rPr>
          <w:rFonts w:ascii="Times New Roman" w:hAnsi="Times New Roman"/>
          <w:color w:val="212529"/>
          <w:shd w:val="clear" w:color="auto" w:fill="FFFFFF"/>
        </w:rPr>
        <w:t>a total of 64,762</w:t>
      </w:r>
      <w:r w:rsidRPr="006F3C5E">
        <w:rPr>
          <w:rFonts w:ascii="Times New Roman" w:hAnsi="Times New Roman"/>
          <w:color w:val="212529"/>
          <w:shd w:val="clear" w:color="auto" w:fill="FFFFFF"/>
        </w:rPr>
        <w:t xml:space="preserve"> </w:t>
      </w:r>
      <w:r w:rsidR="00E20304">
        <w:rPr>
          <w:rFonts w:ascii="Times New Roman" w:hAnsi="Times New Roman"/>
          <w:color w:val="212529"/>
          <w:shd w:val="clear" w:color="auto" w:fill="FFFFFF"/>
        </w:rPr>
        <w:t xml:space="preserve">poor and marginalized </w:t>
      </w:r>
      <w:r w:rsidRPr="006F3C5E">
        <w:rPr>
          <w:rFonts w:ascii="Times New Roman" w:hAnsi="Times New Roman"/>
          <w:color w:val="212529"/>
          <w:shd w:val="clear" w:color="auto" w:fill="FFFFFF"/>
        </w:rPr>
        <w:t>detainees</w:t>
      </w:r>
      <w:r w:rsidR="00E20304">
        <w:rPr>
          <w:rFonts w:ascii="Times New Roman" w:hAnsi="Times New Roman"/>
          <w:color w:val="212529"/>
          <w:shd w:val="clear" w:color="auto" w:fill="FFFFFF"/>
        </w:rPr>
        <w:t xml:space="preserve">. </w:t>
      </w:r>
      <w:r w:rsidRPr="006F3C5E">
        <w:rPr>
          <w:rFonts w:ascii="Times New Roman" w:hAnsi="Times New Roman"/>
          <w:color w:val="212529"/>
          <w:shd w:val="clear" w:color="auto" w:fill="FFFFFF"/>
        </w:rPr>
        <w:t xml:space="preserve"> With paralegal officers' availability in places of detention, a total of </w:t>
      </w:r>
      <w:r w:rsidR="001B525D">
        <w:rPr>
          <w:rFonts w:ascii="Times New Roman" w:hAnsi="Times New Roman"/>
          <w:color w:val="212529"/>
          <w:shd w:val="clear" w:color="auto" w:fill="FFFFFF"/>
        </w:rPr>
        <w:t>277</w:t>
      </w:r>
      <w:r w:rsidRPr="006F3C5E">
        <w:rPr>
          <w:rFonts w:ascii="Times New Roman" w:hAnsi="Times New Roman"/>
          <w:color w:val="212529"/>
          <w:shd w:val="clear" w:color="auto" w:fill="FFFFFF"/>
        </w:rPr>
        <w:t>,</w:t>
      </w:r>
      <w:r w:rsidR="001B525D">
        <w:rPr>
          <w:rFonts w:ascii="Times New Roman" w:hAnsi="Times New Roman"/>
          <w:color w:val="212529"/>
          <w:shd w:val="clear" w:color="auto" w:fill="FFFFFF"/>
        </w:rPr>
        <w:t>732</w:t>
      </w:r>
      <w:r w:rsidRPr="006F3C5E">
        <w:rPr>
          <w:rFonts w:ascii="Times New Roman" w:hAnsi="Times New Roman"/>
          <w:color w:val="212529"/>
          <w:shd w:val="clear" w:color="auto" w:fill="FFFFFF"/>
        </w:rPr>
        <w:t xml:space="preserve"> people (witness/sureties, accused persons, guardians, prisoners) were empowered with legal advice and assistance</w:t>
      </w:r>
      <w:r w:rsidR="00E20304">
        <w:rPr>
          <w:rFonts w:ascii="Times New Roman" w:hAnsi="Times New Roman"/>
          <w:color w:val="212529"/>
          <w:shd w:val="clear" w:color="auto" w:fill="FFFFFF"/>
        </w:rPr>
        <w:t>.</w:t>
      </w:r>
      <w:r w:rsidR="00412214">
        <w:rPr>
          <w:rFonts w:ascii="Times New Roman" w:hAnsi="Times New Roman"/>
          <w:color w:val="212529"/>
          <w:shd w:val="clear" w:color="auto" w:fill="FFFFFF"/>
        </w:rPr>
        <w:t xml:space="preserve"> [</w:t>
      </w:r>
      <w:r w:rsidR="00412214" w:rsidRPr="0061017C">
        <w:rPr>
          <w:rFonts w:ascii="Times New Roman" w:hAnsi="Times New Roman"/>
          <w:b/>
          <w:bCs/>
          <w:color w:val="212529"/>
          <w:shd w:val="clear" w:color="auto" w:fill="FFFFFF"/>
        </w:rPr>
        <w:t>Source:</w:t>
      </w:r>
      <w:r w:rsidR="00412214">
        <w:rPr>
          <w:rFonts w:ascii="Times New Roman" w:hAnsi="Times New Roman"/>
          <w:color w:val="212529"/>
          <w:shd w:val="clear" w:color="auto" w:fill="FFFFFF"/>
        </w:rPr>
        <w:t xml:space="preserve"> Paralegal Advisory Service Institute, </w:t>
      </w:r>
      <w:r w:rsidR="001B525D">
        <w:rPr>
          <w:rFonts w:ascii="Times New Roman" w:hAnsi="Times New Roman"/>
          <w:color w:val="212529"/>
          <w:shd w:val="clear" w:color="auto" w:fill="FFFFFF"/>
        </w:rPr>
        <w:t xml:space="preserve">2019 and 2020 </w:t>
      </w:r>
      <w:r w:rsidR="00412214">
        <w:rPr>
          <w:rFonts w:ascii="Times New Roman" w:hAnsi="Times New Roman"/>
          <w:color w:val="212529"/>
          <w:shd w:val="clear" w:color="auto" w:fill="FFFFFF"/>
        </w:rPr>
        <w:t xml:space="preserve">Annual </w:t>
      </w:r>
      <w:r w:rsidR="00412214" w:rsidRPr="0061017C">
        <w:rPr>
          <w:rFonts w:ascii="Times New Roman" w:hAnsi="Times New Roman" w:cs="Times New Roman"/>
          <w:color w:val="212529"/>
          <w:shd w:val="clear" w:color="auto" w:fill="FFFFFF"/>
        </w:rPr>
        <w:t>Report</w:t>
      </w:r>
      <w:r w:rsidR="001B525D" w:rsidRPr="0061017C">
        <w:rPr>
          <w:rFonts w:ascii="Times New Roman" w:hAnsi="Times New Roman" w:cs="Times New Roman"/>
          <w:color w:val="212529"/>
          <w:shd w:val="clear" w:color="auto" w:fill="FFFFFF"/>
        </w:rPr>
        <w:t>s</w:t>
      </w:r>
      <w:r w:rsidR="00412214" w:rsidRPr="0061017C">
        <w:rPr>
          <w:rFonts w:ascii="Times New Roman" w:hAnsi="Times New Roman" w:cs="Times New Roman"/>
          <w:color w:val="212529"/>
          <w:shd w:val="clear" w:color="auto" w:fill="FFFFFF"/>
        </w:rPr>
        <w:t>].</w:t>
      </w:r>
    </w:p>
    <w:p w14:paraId="3B38F6D9" w14:textId="30D05FFF" w:rsidR="00B13A7A" w:rsidRPr="004B00B9" w:rsidRDefault="00B13A7A" w:rsidP="009715FD">
      <w:pPr>
        <w:autoSpaceDE w:val="0"/>
        <w:autoSpaceDN w:val="0"/>
        <w:adjustRightInd w:val="0"/>
        <w:spacing w:before="100" w:beforeAutospacing="1" w:after="100" w:afterAutospacing="1" w:line="240" w:lineRule="auto"/>
        <w:jc w:val="both"/>
        <w:rPr>
          <w:rFonts w:ascii="Times New Roman" w:hAnsi="Times New Roman" w:cs="Times New Roman"/>
        </w:rPr>
      </w:pPr>
      <w:r w:rsidRPr="004B00B9">
        <w:rPr>
          <w:rFonts w:ascii="Times New Roman" w:eastAsia="Proxima Nova" w:hAnsi="Times New Roman"/>
          <w:sz w:val="24"/>
        </w:rPr>
        <w:t>In the wake of t</w:t>
      </w:r>
      <w:r w:rsidR="000A3CEE" w:rsidRPr="004B00B9">
        <w:rPr>
          <w:rFonts w:ascii="Times New Roman" w:eastAsia="Proxima Nova" w:hAnsi="Times New Roman"/>
          <w:sz w:val="24"/>
        </w:rPr>
        <w:t>h</w:t>
      </w:r>
      <w:r w:rsidRPr="004B00B9">
        <w:rPr>
          <w:rFonts w:ascii="Times New Roman" w:eastAsia="Proxima Nova" w:hAnsi="Times New Roman"/>
          <w:sz w:val="24"/>
        </w:rPr>
        <w:t>e COVID</w:t>
      </w:r>
      <w:r w:rsidR="004B00B9">
        <w:rPr>
          <w:rFonts w:ascii="Times New Roman" w:eastAsia="Proxima Nova" w:hAnsi="Times New Roman"/>
          <w:sz w:val="24"/>
        </w:rPr>
        <w:t xml:space="preserve"> </w:t>
      </w:r>
      <w:r w:rsidRPr="004B00B9">
        <w:rPr>
          <w:rFonts w:ascii="Times New Roman" w:eastAsia="Proxima Nova" w:hAnsi="Times New Roman"/>
          <w:sz w:val="24"/>
        </w:rPr>
        <w:t xml:space="preserve">19 pandemic, UNDP has </w:t>
      </w:r>
      <w:r w:rsidR="000A3CEE" w:rsidRPr="004B00B9">
        <w:rPr>
          <w:rFonts w:ascii="Times New Roman" w:eastAsia="Proxima Nova" w:hAnsi="Times New Roman"/>
          <w:sz w:val="24"/>
        </w:rPr>
        <w:t>r</w:t>
      </w:r>
      <w:r w:rsidRPr="004B00B9">
        <w:rPr>
          <w:rFonts w:ascii="Times New Roman" w:eastAsia="Proxima Nova" w:hAnsi="Times New Roman"/>
          <w:sz w:val="24"/>
        </w:rPr>
        <w:t xml:space="preserve">endered assistance to public universities to venture into production of personal protective equipment, face masks and shields and sanitizers.  Apart from enhancing the supply of PPEs in targeted communities, engagement of universities </w:t>
      </w:r>
      <w:r w:rsidR="002C0922" w:rsidRPr="004B00B9">
        <w:rPr>
          <w:rFonts w:ascii="Times New Roman" w:eastAsia="Proxima Nova" w:hAnsi="Times New Roman"/>
          <w:sz w:val="24"/>
        </w:rPr>
        <w:t xml:space="preserve">allowed them to explore innovative ways of producing PPEs.  </w:t>
      </w:r>
    </w:p>
    <w:p w14:paraId="0420355D" w14:textId="745AA50C" w:rsidR="00FE6A4D" w:rsidRPr="004B00B9" w:rsidRDefault="003E68CF" w:rsidP="009715FD">
      <w:pPr>
        <w:spacing w:after="0" w:line="240" w:lineRule="auto"/>
        <w:jc w:val="both"/>
        <w:rPr>
          <w:rFonts w:ascii="Times New Roman" w:hAnsi="Times New Roman" w:cs="Times New Roman"/>
          <w:lang w:val="en-GB"/>
        </w:rPr>
      </w:pPr>
      <w:r w:rsidRPr="004B00B9">
        <w:rPr>
          <w:rFonts w:ascii="Times New Roman" w:hAnsi="Times New Roman" w:cs="Times New Roman"/>
        </w:rPr>
        <w:t xml:space="preserve">Right from early days, </w:t>
      </w:r>
      <w:r w:rsidR="00F16425" w:rsidRPr="004B00B9">
        <w:rPr>
          <w:rFonts w:ascii="Times New Roman" w:hAnsi="Times New Roman" w:cs="Times New Roman"/>
          <w:lang w:val="en-GB"/>
        </w:rPr>
        <w:t xml:space="preserve">UNDP </w:t>
      </w:r>
      <w:r w:rsidRPr="004B00B9">
        <w:rPr>
          <w:rFonts w:ascii="Times New Roman" w:hAnsi="Times New Roman" w:cs="Times New Roman"/>
          <w:lang w:val="en-GB"/>
        </w:rPr>
        <w:t xml:space="preserve">provided assistance to bring awareness of the </w:t>
      </w:r>
      <w:r w:rsidR="00F16425" w:rsidRPr="004B00B9">
        <w:rPr>
          <w:rFonts w:ascii="Times New Roman" w:hAnsi="Times New Roman" w:cs="Times New Roman"/>
          <w:lang w:val="en-GB"/>
        </w:rPr>
        <w:t xml:space="preserve">Covid 19 </w:t>
      </w:r>
      <w:r w:rsidRPr="004B00B9">
        <w:rPr>
          <w:rFonts w:ascii="Times New Roman" w:hAnsi="Times New Roman" w:cs="Times New Roman"/>
          <w:lang w:val="en-GB"/>
        </w:rPr>
        <w:t xml:space="preserve">pandemic to </w:t>
      </w:r>
      <w:r w:rsidR="00F16425" w:rsidRPr="004B00B9">
        <w:rPr>
          <w:rFonts w:ascii="Times New Roman" w:hAnsi="Times New Roman" w:cs="Times New Roman"/>
          <w:lang w:val="en-GB"/>
        </w:rPr>
        <w:t xml:space="preserve">many sections of the Malawi </w:t>
      </w:r>
      <w:r w:rsidRPr="004B00B9">
        <w:rPr>
          <w:rFonts w:ascii="Times New Roman" w:hAnsi="Times New Roman" w:cs="Times New Roman"/>
          <w:lang w:val="en-GB"/>
        </w:rPr>
        <w:t>citizenry</w:t>
      </w:r>
      <w:r w:rsidR="00F16425" w:rsidRPr="004B00B9">
        <w:rPr>
          <w:rFonts w:ascii="Times New Roman" w:hAnsi="Times New Roman" w:cs="Times New Roman"/>
          <w:lang w:val="en-GB"/>
        </w:rPr>
        <w:t xml:space="preserve">.  Different channels were used to reach the population at large and to specific groups such as persons with disabilities with Covid 19 messages. Among them UNDP supported the production of more than 4000 braille materials on Covid 19 awareness and prevention.  </w:t>
      </w:r>
      <w:r w:rsidR="004B00B9" w:rsidRPr="004B00B9">
        <w:rPr>
          <w:rFonts w:ascii="Times New Roman" w:hAnsi="Times New Roman" w:cs="Times New Roman"/>
          <w:lang w:val="en-GB"/>
        </w:rPr>
        <w:t xml:space="preserve">In other interventions, in 2020, </w:t>
      </w:r>
      <w:r w:rsidR="00F16425" w:rsidRPr="004B00B9">
        <w:rPr>
          <w:rFonts w:ascii="Times New Roman" w:hAnsi="Times New Roman" w:cs="Times New Roman"/>
          <w:lang w:val="en-GB"/>
        </w:rPr>
        <w:t>UNDP support</w:t>
      </w:r>
      <w:r w:rsidR="004B00B9" w:rsidRPr="004B00B9">
        <w:rPr>
          <w:rFonts w:ascii="Times New Roman" w:hAnsi="Times New Roman" w:cs="Times New Roman"/>
          <w:lang w:val="en-GB"/>
        </w:rPr>
        <w:t>ed</w:t>
      </w:r>
      <w:r w:rsidR="00F16425" w:rsidRPr="004B00B9">
        <w:rPr>
          <w:rFonts w:ascii="Times New Roman" w:hAnsi="Times New Roman" w:cs="Times New Roman"/>
          <w:lang w:val="en-GB"/>
        </w:rPr>
        <w:t xml:space="preserve"> the Malawi Electoral Commission </w:t>
      </w:r>
      <w:r w:rsidR="004B00B9" w:rsidRPr="004B00B9">
        <w:rPr>
          <w:rFonts w:ascii="Times New Roman" w:hAnsi="Times New Roman" w:cs="Times New Roman"/>
          <w:lang w:val="en-GB"/>
        </w:rPr>
        <w:t xml:space="preserve">to </w:t>
      </w:r>
      <w:r w:rsidR="00F16425" w:rsidRPr="004B00B9">
        <w:rPr>
          <w:rFonts w:ascii="Times New Roman" w:hAnsi="Times New Roman" w:cs="Times New Roman"/>
          <w:lang w:val="en-GB"/>
        </w:rPr>
        <w:t xml:space="preserve">provide Covid 19 prevention materials in all polling stations enabling fresh presidential elections to proceed with minimum concerns of contracting the virus.  UNDP boosted the ICT infrastructure for Government Departments and key governance institutions </w:t>
      </w:r>
      <w:r w:rsidR="004B00B9" w:rsidRPr="004B00B9">
        <w:rPr>
          <w:rFonts w:ascii="Times New Roman" w:hAnsi="Times New Roman" w:cs="Times New Roman"/>
          <w:lang w:val="en-GB"/>
        </w:rPr>
        <w:t xml:space="preserve">including Malawi Parliament </w:t>
      </w:r>
      <w:r w:rsidR="00F16425" w:rsidRPr="004B00B9">
        <w:rPr>
          <w:rFonts w:ascii="Times New Roman" w:hAnsi="Times New Roman" w:cs="Times New Roman"/>
          <w:lang w:val="en-GB"/>
        </w:rPr>
        <w:t>to ensure that critical service delivery is not interrupted during the pandemic.  The support included over 186 laptops, 35 Zoom licenses, 186 MIFIs and data bundles. UNDP supported advocacy and paralegal services resulting in release of 782 detainees in an effort to promote access to justice by the poor and reduce congestion in Malawi prisons and hence risk of contracting the virus.</w:t>
      </w:r>
    </w:p>
    <w:p w14:paraId="4D84EE30" w14:textId="547AB6F8" w:rsidR="00F16425" w:rsidRPr="00FE6A4D" w:rsidRDefault="00F16425" w:rsidP="004B00B9">
      <w:pPr>
        <w:spacing w:after="0" w:line="240" w:lineRule="auto"/>
        <w:jc w:val="both"/>
        <w:rPr>
          <w:rFonts w:ascii="Times New Roman" w:hAnsi="Times New Roman" w:cs="Times New Roman"/>
          <w:highlight w:val="green"/>
        </w:rPr>
      </w:pPr>
      <w:r w:rsidRPr="00F16425">
        <w:rPr>
          <w:rFonts w:ascii="Times New Roman" w:hAnsi="Times New Roman" w:cs="Times New Roman"/>
          <w:highlight w:val="green"/>
          <w:lang w:val="en-GB"/>
        </w:rPr>
        <w:t xml:space="preserve"> </w:t>
      </w:r>
    </w:p>
    <w:p w14:paraId="648F64C6" w14:textId="36DC450B" w:rsidR="00554F23" w:rsidRDefault="00554F23" w:rsidP="009715FD">
      <w:pPr>
        <w:spacing w:before="100" w:beforeAutospacing="1" w:after="100" w:afterAutospacing="1" w:line="240" w:lineRule="auto"/>
        <w:jc w:val="both"/>
        <w:rPr>
          <w:rFonts w:ascii="Times New Roman" w:hAnsi="Times New Roman"/>
        </w:rPr>
      </w:pPr>
      <w:r w:rsidRPr="006F3C5E">
        <w:rPr>
          <w:rFonts w:ascii="Times New Roman" w:hAnsi="Times New Roman"/>
        </w:rPr>
        <w:t>During the period, the CO has sought to promote efforts towards youth empowerment and innovation.  The country joined several countries in implementation of a project on accelerator lab whose primary goal is to enhance country office capacity for introducing and promoting innovative concepts, systems</w:t>
      </w:r>
      <w:r w:rsidR="00D15616">
        <w:rPr>
          <w:rFonts w:ascii="Times New Roman" w:hAnsi="Times New Roman"/>
        </w:rPr>
        <w:t>,</w:t>
      </w:r>
      <w:r w:rsidRPr="006F3C5E">
        <w:rPr>
          <w:rFonts w:ascii="Times New Roman" w:hAnsi="Times New Roman"/>
        </w:rPr>
        <w:t xml:space="preserve"> and projects. Youth development and innovation are adopted as cross-</w:t>
      </w:r>
      <w:r w:rsidR="00D15616">
        <w:rPr>
          <w:rFonts w:ascii="Times New Roman" w:hAnsi="Times New Roman"/>
        </w:rPr>
        <w:t xml:space="preserve">cutting </w:t>
      </w:r>
      <w:r w:rsidRPr="006F3C5E">
        <w:rPr>
          <w:rFonts w:ascii="Times New Roman" w:hAnsi="Times New Roman"/>
        </w:rPr>
        <w:t>issues in programming in addition to gender equality and women empowerment and human rights.</w:t>
      </w:r>
    </w:p>
    <w:p w14:paraId="42341EAA" w14:textId="1B443FB7" w:rsidR="001E38BC" w:rsidRDefault="001E38BC" w:rsidP="001E38BC">
      <w:pPr>
        <w:autoSpaceDE w:val="0"/>
        <w:autoSpaceDN w:val="0"/>
        <w:adjustRightInd w:val="0"/>
        <w:spacing w:before="100" w:beforeAutospacing="1" w:after="100" w:afterAutospacing="1" w:line="240" w:lineRule="auto"/>
        <w:jc w:val="both"/>
        <w:rPr>
          <w:rFonts w:ascii="Times New Roman" w:eastAsia="Proxima Nova" w:hAnsi="Times New Roman"/>
          <w:sz w:val="24"/>
        </w:rPr>
      </w:pPr>
      <w:r w:rsidRPr="006F3C5E">
        <w:rPr>
          <w:rFonts w:ascii="Times New Roman" w:hAnsi="Times New Roman"/>
        </w:rPr>
        <w:t xml:space="preserve">Malawi is among few UNDP COs which are pioneering application </w:t>
      </w:r>
      <w:r>
        <w:rPr>
          <w:rFonts w:ascii="Times New Roman" w:hAnsi="Times New Roman"/>
        </w:rPr>
        <w:t xml:space="preserve">of </w:t>
      </w:r>
      <w:r w:rsidRPr="006F3C5E">
        <w:rPr>
          <w:rFonts w:ascii="Times New Roman" w:hAnsi="Times New Roman"/>
        </w:rPr>
        <w:t xml:space="preserve">a sense-making approach to planning and managing programme portfolios.  </w:t>
      </w:r>
      <w:r w:rsidRPr="006F3C5E">
        <w:rPr>
          <w:rFonts w:ascii="Times New Roman" w:eastAsia="Proxima Nova" w:hAnsi="Times New Roman"/>
          <w:sz w:val="24"/>
        </w:rPr>
        <w:t xml:space="preserve">Sensemaking is a process through which human beings generate insights, induce learning, and create meaning from experience. UNDP Malawi adopted the sense-making protocol with a double-edged intent.  First, the intent was to articulate a coherent governance portfolio and accelerate it to bring about the three identified governance outcomes in Malawi – </w:t>
      </w:r>
      <w:r w:rsidR="00A96581">
        <w:rPr>
          <w:rFonts w:ascii="Times New Roman" w:eastAsia="Proxima Nova" w:hAnsi="Times New Roman"/>
          <w:sz w:val="24"/>
        </w:rPr>
        <w:t>a</w:t>
      </w:r>
      <w:r w:rsidRPr="006F3C5E">
        <w:rPr>
          <w:rFonts w:ascii="Times New Roman" w:eastAsia="Proxima Nova" w:hAnsi="Times New Roman"/>
          <w:sz w:val="24"/>
        </w:rPr>
        <w:t xml:space="preserve">ccountable </w:t>
      </w:r>
      <w:r w:rsidR="00A96581">
        <w:rPr>
          <w:rFonts w:ascii="Times New Roman" w:eastAsia="Proxima Nova" w:hAnsi="Times New Roman"/>
          <w:sz w:val="24"/>
        </w:rPr>
        <w:t>i</w:t>
      </w:r>
      <w:r w:rsidRPr="006F3C5E">
        <w:rPr>
          <w:rFonts w:ascii="Times New Roman" w:eastAsia="Proxima Nova" w:hAnsi="Times New Roman"/>
          <w:sz w:val="24"/>
        </w:rPr>
        <w:t xml:space="preserve">nstitutions, </w:t>
      </w:r>
      <w:r w:rsidR="00A96581">
        <w:rPr>
          <w:rFonts w:ascii="Times New Roman" w:eastAsia="Proxima Nova" w:hAnsi="Times New Roman"/>
          <w:sz w:val="24"/>
        </w:rPr>
        <w:t>e</w:t>
      </w:r>
      <w:r w:rsidRPr="006F3C5E">
        <w:rPr>
          <w:rFonts w:ascii="Times New Roman" w:eastAsia="Proxima Nova" w:hAnsi="Times New Roman"/>
          <w:sz w:val="24"/>
        </w:rPr>
        <w:t xml:space="preserve">ngaged </w:t>
      </w:r>
      <w:r w:rsidR="00A96581">
        <w:rPr>
          <w:rFonts w:ascii="Times New Roman" w:eastAsia="Proxima Nova" w:hAnsi="Times New Roman"/>
          <w:sz w:val="24"/>
        </w:rPr>
        <w:t>c</w:t>
      </w:r>
      <w:r w:rsidRPr="006F3C5E">
        <w:rPr>
          <w:rFonts w:ascii="Times New Roman" w:eastAsia="Proxima Nova" w:hAnsi="Times New Roman"/>
          <w:sz w:val="24"/>
        </w:rPr>
        <w:t xml:space="preserve">ivil </w:t>
      </w:r>
      <w:r w:rsidR="00A96581">
        <w:rPr>
          <w:rFonts w:ascii="Times New Roman" w:eastAsia="Proxima Nova" w:hAnsi="Times New Roman"/>
          <w:sz w:val="24"/>
        </w:rPr>
        <w:t>s</w:t>
      </w:r>
      <w:r w:rsidRPr="006F3C5E">
        <w:rPr>
          <w:rFonts w:ascii="Times New Roman" w:eastAsia="Proxima Nova" w:hAnsi="Times New Roman"/>
          <w:sz w:val="24"/>
        </w:rPr>
        <w:t xml:space="preserve">ociety, and </w:t>
      </w:r>
      <w:r w:rsidR="00A96581">
        <w:rPr>
          <w:rFonts w:ascii="Times New Roman" w:eastAsia="Proxima Nova" w:hAnsi="Times New Roman"/>
          <w:sz w:val="24"/>
        </w:rPr>
        <w:t>e</w:t>
      </w:r>
      <w:r w:rsidRPr="006F3C5E">
        <w:rPr>
          <w:rFonts w:ascii="Times New Roman" w:eastAsia="Proxima Nova" w:hAnsi="Times New Roman"/>
          <w:sz w:val="24"/>
        </w:rPr>
        <w:t xml:space="preserve">ffective </w:t>
      </w:r>
      <w:r w:rsidR="00A96581">
        <w:rPr>
          <w:rFonts w:ascii="Times New Roman" w:eastAsia="Proxima Nova" w:hAnsi="Times New Roman"/>
          <w:sz w:val="24"/>
        </w:rPr>
        <w:t>s</w:t>
      </w:r>
      <w:r w:rsidRPr="006F3C5E">
        <w:rPr>
          <w:rFonts w:ascii="Times New Roman" w:eastAsia="Proxima Nova" w:hAnsi="Times New Roman"/>
          <w:sz w:val="24"/>
        </w:rPr>
        <w:t xml:space="preserve">ervice </w:t>
      </w:r>
      <w:r w:rsidR="00A96581">
        <w:rPr>
          <w:rFonts w:ascii="Times New Roman" w:eastAsia="Proxima Nova" w:hAnsi="Times New Roman"/>
          <w:sz w:val="24"/>
        </w:rPr>
        <w:t>d</w:t>
      </w:r>
      <w:r w:rsidRPr="006F3C5E">
        <w:rPr>
          <w:rFonts w:ascii="Times New Roman" w:eastAsia="Proxima Nova" w:hAnsi="Times New Roman"/>
          <w:sz w:val="24"/>
        </w:rPr>
        <w:t xml:space="preserve">elivery. </w:t>
      </w:r>
      <w:r>
        <w:rPr>
          <w:rFonts w:ascii="Times New Roman" w:eastAsia="Proxima Nova" w:hAnsi="Times New Roman"/>
          <w:sz w:val="24"/>
        </w:rPr>
        <w:t xml:space="preserve"> The process is at an advanced stage culminating into several polic</w:t>
      </w:r>
      <w:r w:rsidR="00A96581">
        <w:rPr>
          <w:rFonts w:ascii="Times New Roman" w:eastAsia="Proxima Nova" w:hAnsi="Times New Roman"/>
          <w:sz w:val="24"/>
        </w:rPr>
        <w:t xml:space="preserve">y options </w:t>
      </w:r>
      <w:r>
        <w:rPr>
          <w:rFonts w:ascii="Times New Roman" w:eastAsia="Proxima Nova" w:hAnsi="Times New Roman"/>
          <w:sz w:val="24"/>
        </w:rPr>
        <w:t xml:space="preserve">which </w:t>
      </w:r>
      <w:r w:rsidR="00A96581">
        <w:rPr>
          <w:rFonts w:ascii="Times New Roman" w:eastAsia="Proxima Nova" w:hAnsi="Times New Roman"/>
          <w:sz w:val="24"/>
        </w:rPr>
        <w:t xml:space="preserve">will </w:t>
      </w:r>
      <w:r>
        <w:rPr>
          <w:rFonts w:ascii="Times New Roman" w:eastAsia="Proxima Nova" w:hAnsi="Times New Roman"/>
          <w:sz w:val="24"/>
        </w:rPr>
        <w:t xml:space="preserve">guide </w:t>
      </w:r>
      <w:r w:rsidR="00A96581">
        <w:rPr>
          <w:rFonts w:ascii="Times New Roman" w:eastAsia="Proxima Nova" w:hAnsi="Times New Roman"/>
          <w:sz w:val="24"/>
        </w:rPr>
        <w:t xml:space="preserve">the CO </w:t>
      </w:r>
      <w:r>
        <w:rPr>
          <w:rFonts w:ascii="Times New Roman" w:eastAsia="Proxima Nova" w:hAnsi="Times New Roman"/>
          <w:sz w:val="24"/>
        </w:rPr>
        <w:t>in its interventions to achieve identified governance effects.</w:t>
      </w:r>
    </w:p>
    <w:p w14:paraId="6C19E442" w14:textId="4660A618" w:rsidR="00554F23" w:rsidRPr="006F3C5E" w:rsidRDefault="00554F23" w:rsidP="009715FD">
      <w:pPr>
        <w:spacing w:before="100" w:beforeAutospacing="1" w:after="100" w:afterAutospacing="1" w:line="240" w:lineRule="auto"/>
        <w:jc w:val="both"/>
        <w:rPr>
          <w:rFonts w:ascii="Times New Roman" w:hAnsi="Times New Roman"/>
        </w:rPr>
      </w:pPr>
      <w:r w:rsidRPr="006F3C5E">
        <w:rPr>
          <w:rFonts w:ascii="Times New Roman" w:hAnsi="Times New Roman"/>
        </w:rPr>
        <w:t>In 2019 and 2020</w:t>
      </w:r>
      <w:r w:rsidR="00911E41">
        <w:rPr>
          <w:rFonts w:ascii="Times New Roman" w:hAnsi="Times New Roman"/>
        </w:rPr>
        <w:t>,</w:t>
      </w:r>
      <w:r w:rsidRPr="006F3C5E">
        <w:rPr>
          <w:rFonts w:ascii="Times New Roman" w:hAnsi="Times New Roman"/>
        </w:rPr>
        <w:t xml:space="preserve"> UNDP </w:t>
      </w:r>
      <w:r>
        <w:rPr>
          <w:rFonts w:ascii="Times New Roman" w:hAnsi="Times New Roman"/>
        </w:rPr>
        <w:t xml:space="preserve">programme </w:t>
      </w:r>
      <w:r w:rsidRPr="006F3C5E">
        <w:rPr>
          <w:rFonts w:ascii="Times New Roman" w:hAnsi="Times New Roman"/>
        </w:rPr>
        <w:t xml:space="preserve">expenditures totaled </w:t>
      </w:r>
      <w:r w:rsidRPr="00C40DFD">
        <w:rPr>
          <w:rFonts w:ascii="Times New Roman" w:hAnsi="Times New Roman"/>
        </w:rPr>
        <w:t xml:space="preserve">$ 43,544,121 and </w:t>
      </w:r>
      <w:r>
        <w:rPr>
          <w:rFonts w:ascii="Times New Roman" w:hAnsi="Times New Roman"/>
        </w:rPr>
        <w:t>$ 42,598, 175, respectively</w:t>
      </w:r>
      <w:r w:rsidRPr="006F3C5E">
        <w:rPr>
          <w:rFonts w:ascii="Times New Roman" w:hAnsi="Times New Roman"/>
        </w:rPr>
        <w:t xml:space="preserve">.  About </w:t>
      </w:r>
      <w:r w:rsidR="00F51149">
        <w:rPr>
          <w:rFonts w:ascii="Times New Roman" w:hAnsi="Times New Roman"/>
        </w:rPr>
        <w:t>45</w:t>
      </w:r>
      <w:r w:rsidRPr="006F3C5E">
        <w:rPr>
          <w:rFonts w:ascii="Times New Roman" w:hAnsi="Times New Roman"/>
        </w:rPr>
        <w:t xml:space="preserve"> % of expenditures were in democratic governance (addressing decentralization, elections and</w:t>
      </w:r>
      <w:r>
        <w:rPr>
          <w:rFonts w:ascii="Times New Roman" w:hAnsi="Times New Roman"/>
        </w:rPr>
        <w:t xml:space="preserve"> national registration and identification systems,</w:t>
      </w:r>
      <w:r w:rsidRPr="006F3C5E">
        <w:rPr>
          <w:rFonts w:ascii="Times New Roman" w:hAnsi="Times New Roman"/>
        </w:rPr>
        <w:t xml:space="preserve"> human rights and public </w:t>
      </w:r>
      <w:r w:rsidR="00E01744">
        <w:rPr>
          <w:rFonts w:ascii="Times New Roman" w:hAnsi="Times New Roman"/>
        </w:rPr>
        <w:t>sector</w:t>
      </w:r>
      <w:r w:rsidRPr="006F3C5E">
        <w:rPr>
          <w:rFonts w:ascii="Times New Roman" w:hAnsi="Times New Roman"/>
        </w:rPr>
        <w:t xml:space="preserve"> reform</w:t>
      </w:r>
      <w:r w:rsidR="00E01744">
        <w:rPr>
          <w:rFonts w:ascii="Times New Roman" w:hAnsi="Times New Roman"/>
        </w:rPr>
        <w:t>s</w:t>
      </w:r>
      <w:r w:rsidRPr="006F3C5E">
        <w:rPr>
          <w:rFonts w:ascii="Times New Roman" w:hAnsi="Times New Roman"/>
        </w:rPr>
        <w:t>)</w:t>
      </w:r>
      <w:r w:rsidR="00F51149">
        <w:rPr>
          <w:rFonts w:ascii="Times New Roman" w:hAnsi="Times New Roman"/>
        </w:rPr>
        <w:t xml:space="preserve"> and 57%</w:t>
      </w:r>
      <w:r w:rsidRPr="006F3C5E">
        <w:rPr>
          <w:rFonts w:ascii="Times New Roman" w:hAnsi="Times New Roman"/>
        </w:rPr>
        <w:t xml:space="preserve">  was in </w:t>
      </w:r>
      <w:r w:rsidR="00F51149">
        <w:rPr>
          <w:rFonts w:ascii="Times New Roman" w:hAnsi="Times New Roman"/>
        </w:rPr>
        <w:t xml:space="preserve">resilience and sustainable growth ( entrepreneurship, </w:t>
      </w:r>
      <w:r w:rsidR="00E01744">
        <w:rPr>
          <w:rFonts w:ascii="Times New Roman" w:hAnsi="Times New Roman"/>
        </w:rPr>
        <w:t xml:space="preserve">innovative business models, </w:t>
      </w:r>
      <w:r w:rsidR="00F51149">
        <w:rPr>
          <w:rFonts w:ascii="Times New Roman" w:hAnsi="Times New Roman"/>
        </w:rPr>
        <w:t xml:space="preserve">job creation, climate change resilience and adaptation and access to </w:t>
      </w:r>
      <w:r>
        <w:rPr>
          <w:rFonts w:ascii="Times New Roman" w:hAnsi="Times New Roman"/>
        </w:rPr>
        <w:t xml:space="preserve">renewable </w:t>
      </w:r>
      <w:r w:rsidRPr="006F3C5E">
        <w:rPr>
          <w:rFonts w:ascii="Times New Roman" w:hAnsi="Times New Roman"/>
        </w:rPr>
        <w:t>energy</w:t>
      </w:r>
      <w:r w:rsidR="00F51149">
        <w:rPr>
          <w:rFonts w:ascii="Times New Roman" w:hAnsi="Times New Roman"/>
        </w:rPr>
        <w:t>)</w:t>
      </w:r>
      <w:r w:rsidRPr="006F3C5E">
        <w:rPr>
          <w:rFonts w:ascii="Times New Roman" w:hAnsi="Times New Roman"/>
        </w:rPr>
        <w:t xml:space="preserve">.   </w:t>
      </w:r>
    </w:p>
    <w:p w14:paraId="38569A22" w14:textId="13F4253E" w:rsidR="00554F23" w:rsidRPr="006F3C5E" w:rsidRDefault="00554F23" w:rsidP="009715FD">
      <w:pPr>
        <w:spacing w:before="100" w:beforeAutospacing="1" w:after="100" w:afterAutospacing="1" w:line="240" w:lineRule="auto"/>
        <w:jc w:val="both"/>
        <w:rPr>
          <w:rFonts w:ascii="Times New Roman" w:hAnsi="Times New Roman"/>
        </w:rPr>
      </w:pPr>
      <w:r w:rsidRPr="006F3C5E">
        <w:rPr>
          <w:rFonts w:ascii="Times New Roman" w:hAnsi="Times New Roman"/>
        </w:rPr>
        <w:t>The operating environment during the first two years of implementation of the country was beset by three major challenges.  In March 2019</w:t>
      </w:r>
      <w:r w:rsidR="00911E41">
        <w:rPr>
          <w:rFonts w:ascii="Times New Roman" w:hAnsi="Times New Roman"/>
        </w:rPr>
        <w:t>,</w:t>
      </w:r>
      <w:r w:rsidRPr="006F3C5E">
        <w:rPr>
          <w:rFonts w:ascii="Times New Roman" w:hAnsi="Times New Roman"/>
        </w:rPr>
        <w:t xml:space="preserve"> Malawi was hit by Cyclone Idai whose impact was modest on GDP (0.13%) but significant and highest in districts with the poorest populations.  The country experienced protracted political tension in the aftermath of the May 2019 general elections.  The opposition contested presidential elections results in court</w:t>
      </w:r>
      <w:r w:rsidR="00AE66E6">
        <w:rPr>
          <w:rFonts w:ascii="Times New Roman" w:hAnsi="Times New Roman"/>
        </w:rPr>
        <w:t>,</w:t>
      </w:r>
      <w:r w:rsidRPr="006F3C5E">
        <w:rPr>
          <w:rFonts w:ascii="Times New Roman" w:hAnsi="Times New Roman"/>
        </w:rPr>
        <w:t xml:space="preserve"> which </w:t>
      </w:r>
      <w:r w:rsidR="00AE66E6">
        <w:rPr>
          <w:rFonts w:ascii="Times New Roman" w:hAnsi="Times New Roman"/>
        </w:rPr>
        <w:t xml:space="preserve">was </w:t>
      </w:r>
      <w:r w:rsidRPr="006F3C5E">
        <w:rPr>
          <w:rFonts w:ascii="Times New Roman" w:hAnsi="Times New Roman"/>
        </w:rPr>
        <w:t>accompanied by widespread protests demanding electoral chair’s resignation resulting in considerable property damage and economic disruption.</w:t>
      </w:r>
    </w:p>
    <w:p w14:paraId="6D63E264" w14:textId="09E62CE1" w:rsidR="00554F23" w:rsidRPr="006F3C5E" w:rsidRDefault="00554F23" w:rsidP="00554F23">
      <w:pPr>
        <w:spacing w:before="100" w:beforeAutospacing="1" w:after="100" w:afterAutospacing="1" w:line="240" w:lineRule="auto"/>
        <w:jc w:val="both"/>
        <w:rPr>
          <w:rFonts w:ascii="Times New Roman" w:hAnsi="Times New Roman"/>
        </w:rPr>
      </w:pPr>
      <w:r w:rsidRPr="006F3C5E">
        <w:rPr>
          <w:rFonts w:ascii="Times New Roman" w:hAnsi="Times New Roman"/>
        </w:rPr>
        <w:t>Implementation of the country programme had been negatively affec</w:t>
      </w:r>
      <w:r>
        <w:rPr>
          <w:rFonts w:ascii="Times New Roman" w:hAnsi="Times New Roman"/>
        </w:rPr>
        <w:t>t</w:t>
      </w:r>
      <w:r w:rsidRPr="006F3C5E">
        <w:rPr>
          <w:rFonts w:ascii="Times New Roman" w:hAnsi="Times New Roman"/>
        </w:rPr>
        <w:t>ed by the C</w:t>
      </w:r>
      <w:r w:rsidR="002142D6">
        <w:rPr>
          <w:rFonts w:ascii="Times New Roman" w:hAnsi="Times New Roman"/>
        </w:rPr>
        <w:t>OVID-</w:t>
      </w:r>
      <w:r w:rsidRPr="006F3C5E">
        <w:rPr>
          <w:rFonts w:ascii="Times New Roman" w:hAnsi="Times New Roman"/>
        </w:rPr>
        <w:t>19 pandemic particularly from March 2020 when government imposed a partial lockdown</w:t>
      </w:r>
      <w:r w:rsidR="002142D6">
        <w:rPr>
          <w:rFonts w:ascii="Times New Roman" w:hAnsi="Times New Roman"/>
        </w:rPr>
        <w:t>,</w:t>
      </w:r>
      <w:r w:rsidRPr="006F3C5E">
        <w:rPr>
          <w:rFonts w:ascii="Times New Roman" w:hAnsi="Times New Roman"/>
        </w:rPr>
        <w:t xml:space="preserve"> which restricted travel and official gatherings.  As a result of the preventive measures, some important meetings were delayed or not conducted at all</w:t>
      </w:r>
      <w:r w:rsidR="002142D6">
        <w:rPr>
          <w:rFonts w:ascii="Times New Roman" w:hAnsi="Times New Roman"/>
        </w:rPr>
        <w:t>,</w:t>
      </w:r>
      <w:r w:rsidRPr="006F3C5E">
        <w:rPr>
          <w:rFonts w:ascii="Times New Roman" w:hAnsi="Times New Roman"/>
        </w:rPr>
        <w:t xml:space="preserve"> and project monitoring missions were limited.  Some activities such as the roll out of mass child registration were suspended. Projects were compelled to divert resources to procure personal preventive equipment </w:t>
      </w:r>
      <w:r w:rsidR="009A7968">
        <w:rPr>
          <w:rFonts w:ascii="Times New Roman" w:hAnsi="Times New Roman"/>
        </w:rPr>
        <w:t xml:space="preserve">to </w:t>
      </w:r>
      <w:r w:rsidRPr="006F3C5E">
        <w:rPr>
          <w:rFonts w:ascii="Times New Roman" w:hAnsi="Times New Roman"/>
        </w:rPr>
        <w:t xml:space="preserve">reduce transmission of the corona virus where activities were allowed to take place.  </w:t>
      </w:r>
    </w:p>
    <w:p w14:paraId="2BF10094" w14:textId="43C3BB75" w:rsidR="00554F23" w:rsidRPr="006F3C5E" w:rsidRDefault="00554F23" w:rsidP="00554F23">
      <w:pPr>
        <w:pStyle w:val="ListParagraph"/>
        <w:spacing w:before="100" w:beforeAutospacing="1" w:after="100" w:afterAutospacing="1" w:line="240" w:lineRule="auto"/>
        <w:ind w:left="0"/>
        <w:jc w:val="both"/>
        <w:rPr>
          <w:rFonts w:ascii="Times New Roman" w:hAnsi="Times New Roman"/>
        </w:rPr>
      </w:pPr>
      <w:r w:rsidRPr="006F3C5E">
        <w:rPr>
          <w:rFonts w:ascii="Times New Roman" w:hAnsi="Times New Roman"/>
        </w:rPr>
        <w:t>C</w:t>
      </w:r>
      <w:r w:rsidR="009A7968">
        <w:rPr>
          <w:rFonts w:ascii="Times New Roman" w:hAnsi="Times New Roman"/>
        </w:rPr>
        <w:t>OVID-</w:t>
      </w:r>
      <w:r w:rsidRPr="006F3C5E">
        <w:rPr>
          <w:rFonts w:ascii="Times New Roman" w:hAnsi="Times New Roman"/>
        </w:rPr>
        <w:t>19 has directly affected the amount of resources available to implement the country programme</w:t>
      </w:r>
      <w:r w:rsidR="009A7968">
        <w:rPr>
          <w:rFonts w:ascii="Times New Roman" w:hAnsi="Times New Roman"/>
        </w:rPr>
        <w:t>,</w:t>
      </w:r>
      <w:r w:rsidRPr="006F3C5E">
        <w:rPr>
          <w:rFonts w:ascii="Times New Roman" w:hAnsi="Times New Roman"/>
        </w:rPr>
        <w:t xml:space="preserve"> as </w:t>
      </w:r>
      <w:r w:rsidR="00574420">
        <w:rPr>
          <w:rFonts w:ascii="Times New Roman" w:hAnsi="Times New Roman"/>
        </w:rPr>
        <w:t>donor contributions were reprogrammed due to th</w:t>
      </w:r>
      <w:r w:rsidRPr="006F3C5E">
        <w:rPr>
          <w:rFonts w:ascii="Times New Roman" w:hAnsi="Times New Roman"/>
        </w:rPr>
        <w:t>e C</w:t>
      </w:r>
      <w:r w:rsidR="00B15014">
        <w:rPr>
          <w:rFonts w:ascii="Times New Roman" w:hAnsi="Times New Roman"/>
        </w:rPr>
        <w:t>OVID-</w:t>
      </w:r>
      <w:r w:rsidRPr="006F3C5E">
        <w:rPr>
          <w:rFonts w:ascii="Times New Roman" w:hAnsi="Times New Roman"/>
        </w:rPr>
        <w:t>19</w:t>
      </w:r>
      <w:r w:rsidR="00574420">
        <w:rPr>
          <w:rFonts w:ascii="Times New Roman" w:hAnsi="Times New Roman"/>
        </w:rPr>
        <w:t xml:space="preserve"> pandemic</w:t>
      </w:r>
      <w:r w:rsidRPr="006F3C5E">
        <w:rPr>
          <w:rFonts w:ascii="Times New Roman" w:hAnsi="Times New Roman"/>
        </w:rPr>
        <w:t xml:space="preserve">.  </w:t>
      </w:r>
      <w:r w:rsidR="00574420">
        <w:rPr>
          <w:rFonts w:ascii="Times New Roman" w:hAnsi="Times New Roman"/>
        </w:rPr>
        <w:t>In addition, s</w:t>
      </w:r>
      <w:r>
        <w:rPr>
          <w:rFonts w:ascii="Times New Roman" w:hAnsi="Times New Roman"/>
        </w:rPr>
        <w:t xml:space="preserve">everal partners have indicated that they would not be making </w:t>
      </w:r>
      <w:r w:rsidR="004923FE">
        <w:rPr>
          <w:rFonts w:ascii="Times New Roman" w:hAnsi="Times New Roman"/>
        </w:rPr>
        <w:t xml:space="preserve">new </w:t>
      </w:r>
      <w:r>
        <w:rPr>
          <w:rFonts w:ascii="Times New Roman" w:hAnsi="Times New Roman"/>
        </w:rPr>
        <w:t>c</w:t>
      </w:r>
      <w:r w:rsidRPr="006F3C5E">
        <w:rPr>
          <w:rFonts w:ascii="Times New Roman" w:hAnsi="Times New Roman"/>
        </w:rPr>
        <w:t>ommitments</w:t>
      </w:r>
      <w:r>
        <w:rPr>
          <w:rFonts w:ascii="Times New Roman" w:hAnsi="Times New Roman"/>
        </w:rPr>
        <w:t xml:space="preserve"> </w:t>
      </w:r>
      <w:r w:rsidRPr="006F3C5E">
        <w:rPr>
          <w:rFonts w:ascii="Times New Roman" w:hAnsi="Times New Roman"/>
        </w:rPr>
        <w:t xml:space="preserve">to support Malawi programmes including UNDP’s programmes in the short to medium term. </w:t>
      </w:r>
    </w:p>
    <w:p w14:paraId="57AFF71F" w14:textId="77777777" w:rsidR="00554F23" w:rsidRDefault="00554F23" w:rsidP="00554F23">
      <w:pPr>
        <w:pStyle w:val="ListParagraph"/>
        <w:spacing w:before="100" w:beforeAutospacing="1" w:after="100" w:afterAutospacing="1" w:line="240" w:lineRule="auto"/>
        <w:ind w:left="0"/>
        <w:jc w:val="both"/>
        <w:rPr>
          <w:rFonts w:ascii="Times New Roman" w:hAnsi="Times New Roman"/>
        </w:rPr>
      </w:pPr>
    </w:p>
    <w:p w14:paraId="1C1708D2" w14:textId="04E3C3AC" w:rsidR="00554F23" w:rsidRDefault="00554F23" w:rsidP="00554F23">
      <w:pPr>
        <w:pStyle w:val="ListParagraph"/>
        <w:spacing w:before="100" w:beforeAutospacing="1" w:after="100" w:afterAutospacing="1" w:line="240" w:lineRule="auto"/>
        <w:ind w:left="0"/>
        <w:jc w:val="both"/>
        <w:rPr>
          <w:rFonts w:ascii="Times New Roman" w:hAnsi="Times New Roman"/>
        </w:rPr>
      </w:pPr>
      <w:r w:rsidRPr="006F3C5E">
        <w:rPr>
          <w:rFonts w:ascii="Times New Roman" w:hAnsi="Times New Roman"/>
        </w:rPr>
        <w:t xml:space="preserve">The development context during the past two and half years of the CP and launch of </w:t>
      </w:r>
      <w:r w:rsidRPr="006F3C5E">
        <w:rPr>
          <w:rFonts w:ascii="Times New Roman" w:hAnsi="Times New Roman"/>
          <w:b/>
          <w:bCs/>
        </w:rPr>
        <w:t>Malawi 2063</w:t>
      </w:r>
      <w:r w:rsidRPr="006F3C5E">
        <w:rPr>
          <w:rFonts w:ascii="Times New Roman" w:hAnsi="Times New Roman"/>
        </w:rPr>
        <w:t xml:space="preserve"> make it necessary for UNDP to evaluate its country programme to assess its relevance, focus and effectiveness of its strategies, among other areas.</w:t>
      </w:r>
    </w:p>
    <w:p w14:paraId="30D662CB" w14:textId="2B98E043" w:rsidR="00554F23" w:rsidRDefault="00554F23" w:rsidP="00554F23">
      <w:pPr>
        <w:pStyle w:val="ListParagraph"/>
        <w:spacing w:before="100" w:beforeAutospacing="1" w:after="100" w:afterAutospacing="1" w:line="240" w:lineRule="auto"/>
        <w:ind w:left="0"/>
        <w:jc w:val="both"/>
        <w:rPr>
          <w:rFonts w:ascii="Times New Roman" w:hAnsi="Times New Roman"/>
        </w:rPr>
      </w:pPr>
    </w:p>
    <w:p w14:paraId="0D5190AB" w14:textId="07448E8B" w:rsidR="00554F23" w:rsidRPr="00B5597A" w:rsidRDefault="00554F23" w:rsidP="00B5597A">
      <w:pPr>
        <w:pStyle w:val="ListParagraph"/>
        <w:numPr>
          <w:ilvl w:val="0"/>
          <w:numId w:val="23"/>
        </w:numPr>
        <w:spacing w:before="100" w:beforeAutospacing="1" w:after="100" w:afterAutospacing="1" w:line="240" w:lineRule="auto"/>
        <w:jc w:val="both"/>
        <w:rPr>
          <w:rFonts w:ascii="Times New Roman" w:hAnsi="Times New Roman"/>
          <w:b/>
          <w:bCs/>
        </w:rPr>
      </w:pPr>
      <w:r w:rsidRPr="00B5597A">
        <w:rPr>
          <w:rFonts w:ascii="Times New Roman" w:hAnsi="Times New Roman"/>
          <w:b/>
          <w:bCs/>
        </w:rPr>
        <w:t>Purpose, Scope and Objectives of the Evaluation</w:t>
      </w:r>
    </w:p>
    <w:p w14:paraId="437FC47B" w14:textId="6C5CE745" w:rsidR="00554F23" w:rsidRPr="00554F23" w:rsidRDefault="00B21C2A" w:rsidP="00554F23">
      <w:pPr>
        <w:spacing w:before="100" w:beforeAutospacing="1" w:after="100" w:afterAutospacing="1" w:line="240" w:lineRule="auto"/>
        <w:jc w:val="both"/>
        <w:rPr>
          <w:rFonts w:ascii="Times New Roman" w:hAnsi="Times New Roman"/>
          <w:b/>
        </w:rPr>
      </w:pPr>
      <w:r>
        <w:rPr>
          <w:rFonts w:ascii="Times New Roman" w:hAnsi="Times New Roman"/>
          <w:b/>
        </w:rPr>
        <w:t xml:space="preserve">4.1 </w:t>
      </w:r>
      <w:r w:rsidR="00554F23" w:rsidRPr="00554F23">
        <w:rPr>
          <w:rFonts w:ascii="Times New Roman" w:hAnsi="Times New Roman"/>
          <w:b/>
        </w:rPr>
        <w:t>Purpose of the evaluation</w:t>
      </w:r>
    </w:p>
    <w:p w14:paraId="17A17508" w14:textId="3DE0A61A" w:rsidR="00554F23" w:rsidRDefault="00554F23" w:rsidP="00554F23">
      <w:pPr>
        <w:spacing w:before="100" w:beforeAutospacing="1" w:after="100" w:afterAutospacing="1" w:line="240" w:lineRule="auto"/>
        <w:jc w:val="both"/>
        <w:rPr>
          <w:rFonts w:ascii="Times New Roman" w:hAnsi="Times New Roman"/>
        </w:rPr>
      </w:pPr>
      <w:r w:rsidRPr="006F3C5E">
        <w:rPr>
          <w:rFonts w:ascii="Times New Roman" w:hAnsi="Times New Roman"/>
        </w:rPr>
        <w:t>The evaluation is being conducted to assess progress towards achieving CP outcomes.   The evaluation will capture evaluative evidence o</w:t>
      </w:r>
      <w:r w:rsidR="004923FE">
        <w:rPr>
          <w:rFonts w:ascii="Times New Roman" w:hAnsi="Times New Roman"/>
        </w:rPr>
        <w:t>n</w:t>
      </w:r>
      <w:r w:rsidRPr="006F3C5E">
        <w:rPr>
          <w:rFonts w:ascii="Times New Roman" w:hAnsi="Times New Roman"/>
        </w:rPr>
        <w:t xml:space="preserve"> the relevance, effectiveness, efficiency</w:t>
      </w:r>
      <w:r w:rsidR="008C3E42">
        <w:rPr>
          <w:rFonts w:ascii="Times New Roman" w:hAnsi="Times New Roman"/>
        </w:rPr>
        <w:t>,</w:t>
      </w:r>
      <w:r w:rsidRPr="006F3C5E">
        <w:rPr>
          <w:rFonts w:ascii="Times New Roman" w:hAnsi="Times New Roman"/>
        </w:rPr>
        <w:t xml:space="preserve"> and sustainability of current programm</w:t>
      </w:r>
      <w:r w:rsidR="00FB0802">
        <w:rPr>
          <w:rFonts w:ascii="Times New Roman" w:hAnsi="Times New Roman"/>
        </w:rPr>
        <w:t>e</w:t>
      </w:r>
      <w:r w:rsidRPr="006F3C5E">
        <w:rPr>
          <w:rFonts w:ascii="Times New Roman" w:hAnsi="Times New Roman"/>
        </w:rPr>
        <w:t xml:space="preserve">, which can be used to strengthen </w:t>
      </w:r>
      <w:r w:rsidR="004923FE">
        <w:rPr>
          <w:rFonts w:ascii="Times New Roman" w:hAnsi="Times New Roman"/>
        </w:rPr>
        <w:t>it</w:t>
      </w:r>
      <w:r w:rsidRPr="006F3C5E">
        <w:rPr>
          <w:rFonts w:ascii="Times New Roman" w:hAnsi="Times New Roman"/>
        </w:rPr>
        <w:t xml:space="preserve"> going forward and to set the stage for new initiatives. The evaluation serves an important accountability function, providing stakeholders and partners with an impartial assessment of the results. The evaluation will provide an opportunity for UNDP to engage key stakeholders to discuss achievements, lessons learned</w:t>
      </w:r>
      <w:r w:rsidR="00FB0802">
        <w:rPr>
          <w:rFonts w:ascii="Times New Roman" w:hAnsi="Times New Roman"/>
        </w:rPr>
        <w:t>,</w:t>
      </w:r>
      <w:r w:rsidRPr="006F3C5E">
        <w:rPr>
          <w:rFonts w:ascii="Times New Roman" w:hAnsi="Times New Roman"/>
        </w:rPr>
        <w:t xml:space="preserve"> and adjustments required in response to an evolving development landscape including the impact of the C</w:t>
      </w:r>
      <w:r w:rsidR="00FB0802">
        <w:rPr>
          <w:rFonts w:ascii="Times New Roman" w:hAnsi="Times New Roman"/>
        </w:rPr>
        <w:t>OVID</w:t>
      </w:r>
      <w:r w:rsidRPr="006F3C5E">
        <w:rPr>
          <w:rFonts w:ascii="Times New Roman" w:hAnsi="Times New Roman"/>
        </w:rPr>
        <w:t xml:space="preserve">-19 pandemic and changing national priorities. </w:t>
      </w:r>
    </w:p>
    <w:p w14:paraId="28137F49" w14:textId="5C7CCBBE" w:rsidR="00554F23" w:rsidRPr="00B5597A" w:rsidRDefault="00B21C2A" w:rsidP="00554F23">
      <w:pPr>
        <w:spacing w:before="100" w:beforeAutospacing="1" w:after="100" w:afterAutospacing="1" w:line="240" w:lineRule="auto"/>
        <w:jc w:val="both"/>
        <w:rPr>
          <w:rStyle w:val="SubtleEmphasis1"/>
          <w:rFonts w:ascii="Times New Roman" w:hAnsi="Times New Roman"/>
          <w:b/>
          <w:i w:val="0"/>
          <w:iCs w:val="0"/>
          <w:color w:val="auto"/>
        </w:rPr>
      </w:pPr>
      <w:r>
        <w:rPr>
          <w:rStyle w:val="SubtleEmphasis1"/>
          <w:rFonts w:ascii="Times New Roman" w:hAnsi="Times New Roman"/>
          <w:b/>
          <w:i w:val="0"/>
          <w:iCs w:val="0"/>
          <w:color w:val="auto"/>
        </w:rPr>
        <w:t xml:space="preserve">4.2 </w:t>
      </w:r>
      <w:r w:rsidR="00554F23" w:rsidRPr="00B5597A">
        <w:rPr>
          <w:rStyle w:val="SubtleEmphasis1"/>
          <w:rFonts w:ascii="Times New Roman" w:hAnsi="Times New Roman"/>
          <w:b/>
          <w:i w:val="0"/>
          <w:iCs w:val="0"/>
          <w:color w:val="auto"/>
        </w:rPr>
        <w:t xml:space="preserve">Evaluation Scope </w:t>
      </w:r>
    </w:p>
    <w:p w14:paraId="0F06E306" w14:textId="41ED30E0" w:rsidR="00554F23" w:rsidRPr="006F3C5E" w:rsidRDefault="00554F23" w:rsidP="00554F23">
      <w:pPr>
        <w:spacing w:before="100" w:beforeAutospacing="1" w:after="100" w:afterAutospacing="1" w:line="240" w:lineRule="auto"/>
        <w:jc w:val="both"/>
        <w:rPr>
          <w:rFonts w:ascii="Times New Roman" w:hAnsi="Times New Roman"/>
          <w:bCs/>
        </w:rPr>
      </w:pPr>
      <w:r w:rsidRPr="006F3C5E">
        <w:rPr>
          <w:rFonts w:ascii="Times New Roman" w:hAnsi="Times New Roman"/>
          <w:bCs/>
        </w:rPr>
        <w:t xml:space="preserve">The mid-term evaluation will be conducted between </w:t>
      </w:r>
      <w:r w:rsidR="00CF69A3">
        <w:rPr>
          <w:rFonts w:ascii="Times New Roman" w:hAnsi="Times New Roman"/>
          <w:bCs/>
        </w:rPr>
        <w:t>18 October, 2021</w:t>
      </w:r>
      <w:r w:rsidRPr="006F3C5E">
        <w:rPr>
          <w:rFonts w:ascii="Times New Roman" w:hAnsi="Times New Roman"/>
          <w:bCs/>
        </w:rPr>
        <w:t xml:space="preserve"> and </w:t>
      </w:r>
      <w:r w:rsidR="00573218">
        <w:rPr>
          <w:rFonts w:ascii="Times New Roman" w:hAnsi="Times New Roman"/>
          <w:bCs/>
        </w:rPr>
        <w:t>March</w:t>
      </w:r>
      <w:r w:rsidR="004923FE">
        <w:rPr>
          <w:rFonts w:ascii="Times New Roman" w:hAnsi="Times New Roman"/>
          <w:bCs/>
        </w:rPr>
        <w:t xml:space="preserve">, </w:t>
      </w:r>
      <w:r w:rsidRPr="006F3C5E">
        <w:rPr>
          <w:rFonts w:ascii="Times New Roman" w:hAnsi="Times New Roman"/>
          <w:bCs/>
        </w:rPr>
        <w:t>202</w:t>
      </w:r>
      <w:r w:rsidR="00CF69A3">
        <w:rPr>
          <w:rFonts w:ascii="Times New Roman" w:hAnsi="Times New Roman"/>
          <w:bCs/>
        </w:rPr>
        <w:t>2</w:t>
      </w:r>
      <w:r w:rsidRPr="006F3C5E">
        <w:rPr>
          <w:rFonts w:ascii="Times New Roman" w:hAnsi="Times New Roman"/>
          <w:bCs/>
        </w:rPr>
        <w:t xml:space="preserve">, with a view to compiling what the programme has achieved so far while reviewing its strategic direction in view of the impact of </w:t>
      </w:r>
      <w:r w:rsidR="00FB0802">
        <w:rPr>
          <w:rFonts w:ascii="Times New Roman" w:hAnsi="Times New Roman"/>
          <w:bCs/>
        </w:rPr>
        <w:t xml:space="preserve">the </w:t>
      </w:r>
      <w:r w:rsidRPr="006F3C5E">
        <w:rPr>
          <w:rFonts w:ascii="Times New Roman" w:hAnsi="Times New Roman"/>
          <w:bCs/>
        </w:rPr>
        <w:t>C</w:t>
      </w:r>
      <w:r w:rsidR="00FB0802">
        <w:rPr>
          <w:rFonts w:ascii="Times New Roman" w:hAnsi="Times New Roman"/>
          <w:bCs/>
        </w:rPr>
        <w:t>OVID-</w:t>
      </w:r>
      <w:r w:rsidRPr="006F3C5E">
        <w:rPr>
          <w:rFonts w:ascii="Times New Roman" w:hAnsi="Times New Roman"/>
          <w:bCs/>
        </w:rPr>
        <w:t>19 pandemic and other emerging priorities for the country.   The evaluation will cover the period January 2019 to June 2021 and will specifically assess:</w:t>
      </w:r>
    </w:p>
    <w:p w14:paraId="164005F2" w14:textId="3EC90DD7" w:rsidR="00554F23" w:rsidRPr="006F3C5E" w:rsidRDefault="00554F23" w:rsidP="00554F23">
      <w:pPr>
        <w:spacing w:before="100" w:beforeAutospacing="1" w:after="100" w:afterAutospacing="1" w:line="240" w:lineRule="auto"/>
        <w:jc w:val="both"/>
        <w:rPr>
          <w:rFonts w:ascii="Times New Roman" w:hAnsi="Times New Roman"/>
          <w:bCs/>
        </w:rPr>
      </w:pPr>
      <w:r w:rsidRPr="006F3C5E">
        <w:rPr>
          <w:rFonts w:ascii="Times New Roman" w:hAnsi="Times New Roman"/>
          <w:bCs/>
        </w:rPr>
        <w:t>The relevance and strategic positioning of UNDP CO support to national development agenda</w:t>
      </w:r>
      <w:r w:rsidR="00A84B09">
        <w:rPr>
          <w:rFonts w:ascii="Times New Roman" w:hAnsi="Times New Roman"/>
          <w:bCs/>
        </w:rPr>
        <w:t>, which has been articulated in the Malawi 2063 along with its first 10-year implementation plan</w:t>
      </w:r>
      <w:r w:rsidRPr="006F3C5E">
        <w:rPr>
          <w:rFonts w:ascii="Times New Roman" w:hAnsi="Times New Roman"/>
          <w:bCs/>
        </w:rPr>
        <w:t xml:space="preserve">. </w:t>
      </w:r>
    </w:p>
    <w:p w14:paraId="1647F4AD" w14:textId="77777777" w:rsidR="00C82A83" w:rsidRPr="00C82A83" w:rsidRDefault="00554F23" w:rsidP="00175D42">
      <w:pPr>
        <w:pStyle w:val="ListParagraph"/>
        <w:numPr>
          <w:ilvl w:val="0"/>
          <w:numId w:val="9"/>
        </w:numPr>
        <w:tabs>
          <w:tab w:val="left" w:pos="8550"/>
        </w:tabs>
        <w:spacing w:before="100" w:beforeAutospacing="1" w:after="100" w:afterAutospacing="1" w:line="240" w:lineRule="auto"/>
        <w:ind w:right="4"/>
        <w:jc w:val="both"/>
        <w:rPr>
          <w:rFonts w:ascii="Times New Roman" w:hAnsi="Times New Roman"/>
          <w:b/>
          <w:bCs/>
        </w:rPr>
      </w:pPr>
      <w:r w:rsidRPr="006F3C5E">
        <w:rPr>
          <w:rFonts w:ascii="Times New Roman" w:hAnsi="Times New Roman"/>
          <w:bCs/>
        </w:rPr>
        <w:t xml:space="preserve">The progress made towards achieving the CP outcomes </w:t>
      </w:r>
      <w:r w:rsidR="004923FE">
        <w:rPr>
          <w:rFonts w:ascii="Times New Roman" w:hAnsi="Times New Roman"/>
          <w:bCs/>
        </w:rPr>
        <w:t xml:space="preserve">and outputs </w:t>
      </w:r>
      <w:r w:rsidRPr="006F3C5E">
        <w:rPr>
          <w:rFonts w:ascii="Times New Roman" w:hAnsi="Times New Roman"/>
          <w:bCs/>
        </w:rPr>
        <w:t>through specific projects and advisory services including contributing factors and constraints.</w:t>
      </w:r>
    </w:p>
    <w:p w14:paraId="61824393" w14:textId="35FE12AB" w:rsidR="00C82A83" w:rsidRPr="00B5597A" w:rsidRDefault="00C82A83" w:rsidP="00C82A83">
      <w:pPr>
        <w:pStyle w:val="CommentText"/>
        <w:numPr>
          <w:ilvl w:val="0"/>
          <w:numId w:val="9"/>
        </w:numPr>
        <w:spacing w:before="100" w:beforeAutospacing="1" w:after="100" w:afterAutospacing="1"/>
        <w:jc w:val="both"/>
        <w:rPr>
          <w:rFonts w:ascii="Times New Roman" w:hAnsi="Times New Roman" w:cs="Times New Roman"/>
          <w:sz w:val="22"/>
          <w:szCs w:val="22"/>
        </w:rPr>
      </w:pPr>
      <w:r>
        <w:rPr>
          <w:rFonts w:ascii="Times New Roman" w:hAnsi="Times New Roman" w:cs="Times New Roman"/>
          <w:sz w:val="22"/>
          <w:szCs w:val="22"/>
        </w:rPr>
        <w:t>T</w:t>
      </w:r>
      <w:r w:rsidRPr="00B5597A">
        <w:rPr>
          <w:rFonts w:ascii="Times New Roman" w:hAnsi="Times New Roman" w:cs="Times New Roman"/>
          <w:sz w:val="22"/>
          <w:szCs w:val="22"/>
        </w:rPr>
        <w:t>he relevance, effectiveness, efficiency</w:t>
      </w:r>
      <w:r w:rsidR="00FB04F9">
        <w:rPr>
          <w:rFonts w:ascii="Times New Roman" w:hAnsi="Times New Roman" w:cs="Times New Roman"/>
          <w:sz w:val="22"/>
          <w:szCs w:val="22"/>
        </w:rPr>
        <w:t>, coherence</w:t>
      </w:r>
      <w:r w:rsidRPr="00B5597A">
        <w:rPr>
          <w:rFonts w:ascii="Times New Roman" w:hAnsi="Times New Roman" w:cs="Times New Roman"/>
          <w:sz w:val="22"/>
          <w:szCs w:val="22"/>
        </w:rPr>
        <w:t xml:space="preserve"> and sustainability of the Country Programme.</w:t>
      </w:r>
    </w:p>
    <w:p w14:paraId="2C4DD291" w14:textId="719642F8" w:rsidR="00554F23" w:rsidRPr="00C82A83" w:rsidRDefault="00554F23" w:rsidP="00C82A83">
      <w:pPr>
        <w:pStyle w:val="ListParagraph"/>
        <w:numPr>
          <w:ilvl w:val="0"/>
          <w:numId w:val="9"/>
        </w:numPr>
        <w:tabs>
          <w:tab w:val="left" w:pos="8550"/>
        </w:tabs>
        <w:spacing w:before="100" w:beforeAutospacing="1" w:after="100" w:afterAutospacing="1" w:line="240" w:lineRule="auto"/>
        <w:ind w:right="4"/>
        <w:jc w:val="both"/>
        <w:rPr>
          <w:rFonts w:ascii="Times New Roman" w:hAnsi="Times New Roman"/>
          <w:b/>
          <w:bCs/>
        </w:rPr>
      </w:pPr>
      <w:r w:rsidRPr="00C82A83">
        <w:rPr>
          <w:rFonts w:ascii="Times New Roman" w:hAnsi="Times New Roman"/>
          <w:bCs/>
        </w:rPr>
        <w:t>The extent to which cross-cutting issues including gender equality, youth development, innovation and human rights were considered.</w:t>
      </w:r>
    </w:p>
    <w:p w14:paraId="4093CB2F" w14:textId="77777777" w:rsidR="00554F23" w:rsidRPr="00B5597A" w:rsidRDefault="00554F23" w:rsidP="00175D42">
      <w:pPr>
        <w:pStyle w:val="ListParagraph"/>
        <w:numPr>
          <w:ilvl w:val="0"/>
          <w:numId w:val="9"/>
        </w:numPr>
        <w:tabs>
          <w:tab w:val="left" w:pos="8550"/>
        </w:tabs>
        <w:spacing w:before="100" w:beforeAutospacing="1" w:after="100" w:afterAutospacing="1" w:line="240" w:lineRule="auto"/>
        <w:ind w:right="4"/>
        <w:jc w:val="both"/>
        <w:rPr>
          <w:rFonts w:ascii="Times New Roman" w:hAnsi="Times New Roman" w:cs="Times New Roman"/>
          <w:b/>
          <w:bCs/>
        </w:rPr>
      </w:pPr>
      <w:r w:rsidRPr="006F3C5E">
        <w:rPr>
          <w:rFonts w:ascii="Times New Roman" w:hAnsi="Times New Roman"/>
          <w:bCs/>
        </w:rPr>
        <w:t xml:space="preserve">The lessons learnt from the experience with the design and implementation of </w:t>
      </w:r>
      <w:r w:rsidRPr="00B5597A">
        <w:rPr>
          <w:rFonts w:ascii="Times New Roman" w:hAnsi="Times New Roman" w:cs="Times New Roman"/>
          <w:bCs/>
        </w:rPr>
        <w:t xml:space="preserve">programmes. </w:t>
      </w:r>
    </w:p>
    <w:p w14:paraId="00E6A0FF" w14:textId="4F9425A3"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bCs/>
        </w:rPr>
        <w:t>The evaluation will take into account the findings of independent project evaluations and reviews conducted since January 2019.</w:t>
      </w:r>
      <w:r w:rsidRPr="00B5597A">
        <w:rPr>
          <w:rFonts w:ascii="Times New Roman" w:hAnsi="Times New Roman" w:cs="Times New Roman"/>
        </w:rPr>
        <w:t xml:space="preserve">  The evaluation will also </w:t>
      </w:r>
      <w:r w:rsidR="00AA2341" w:rsidRPr="00B5597A">
        <w:rPr>
          <w:rFonts w:ascii="Times New Roman" w:hAnsi="Times New Roman" w:cs="Times New Roman"/>
        </w:rPr>
        <w:t>consider</w:t>
      </w:r>
      <w:r w:rsidRPr="00B5597A">
        <w:rPr>
          <w:rFonts w:ascii="Times New Roman" w:hAnsi="Times New Roman" w:cs="Times New Roman"/>
        </w:rPr>
        <w:t xml:space="preserve"> the findings of the C</w:t>
      </w:r>
      <w:r w:rsidR="00AA2341" w:rsidRPr="00B5597A">
        <w:rPr>
          <w:rFonts w:ascii="Times New Roman" w:hAnsi="Times New Roman" w:cs="Times New Roman"/>
        </w:rPr>
        <w:t>OVID-</w:t>
      </w:r>
      <w:r w:rsidRPr="00B5597A">
        <w:rPr>
          <w:rFonts w:ascii="Times New Roman" w:hAnsi="Times New Roman" w:cs="Times New Roman"/>
        </w:rPr>
        <w:t xml:space="preserve">19 pandemic socio-economic impact study and </w:t>
      </w:r>
      <w:r w:rsidR="004923FE">
        <w:rPr>
          <w:rFonts w:ascii="Times New Roman" w:hAnsi="Times New Roman" w:cs="Times New Roman"/>
        </w:rPr>
        <w:t>the UN Country Assessment report, 2020</w:t>
      </w:r>
      <w:r w:rsidRPr="00B5597A">
        <w:rPr>
          <w:rFonts w:ascii="Times New Roman" w:hAnsi="Times New Roman" w:cs="Times New Roman"/>
        </w:rPr>
        <w:t>.</w:t>
      </w:r>
    </w:p>
    <w:p w14:paraId="2ABAFEBA" w14:textId="3B37B8F4" w:rsidR="00554F23" w:rsidRPr="00B5597A" w:rsidRDefault="00B21C2A" w:rsidP="00554F23">
      <w:pPr>
        <w:spacing w:before="100" w:beforeAutospacing="1" w:after="100" w:afterAutospacing="1" w:line="240" w:lineRule="auto"/>
        <w:jc w:val="both"/>
        <w:rPr>
          <w:rFonts w:ascii="Times New Roman" w:hAnsi="Times New Roman" w:cs="Times New Roman"/>
          <w:b/>
        </w:rPr>
      </w:pPr>
      <w:r>
        <w:rPr>
          <w:rFonts w:ascii="Times New Roman" w:hAnsi="Times New Roman" w:cs="Times New Roman"/>
          <w:b/>
        </w:rPr>
        <w:t xml:space="preserve">4.3 </w:t>
      </w:r>
      <w:r w:rsidR="00554F23" w:rsidRPr="00B5597A">
        <w:rPr>
          <w:rFonts w:ascii="Times New Roman" w:hAnsi="Times New Roman" w:cs="Times New Roman"/>
          <w:b/>
        </w:rPr>
        <w:t>Evaluation Objectives</w:t>
      </w:r>
    </w:p>
    <w:p w14:paraId="62CADFDD" w14:textId="77777777"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 xml:space="preserve">The objectives of the mid-term evaluation are to: </w:t>
      </w:r>
    </w:p>
    <w:p w14:paraId="1BFB12C4" w14:textId="7777777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 xml:space="preserve">Assess progress towards achieving outcomes and outputs in the Country Programme Document; </w:t>
      </w:r>
    </w:p>
    <w:p w14:paraId="7DF3496F" w14:textId="7777777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 xml:space="preserve">Review of factors which positively and negatively influenced the achievement of results; </w:t>
      </w:r>
    </w:p>
    <w:p w14:paraId="79553024" w14:textId="0F1D221C" w:rsidR="00554F23" w:rsidRPr="00B5597A" w:rsidRDefault="00554F23" w:rsidP="001F165F">
      <w:pPr>
        <w:pStyle w:val="ListParagraph"/>
        <w:numPr>
          <w:ilvl w:val="0"/>
          <w:numId w:val="4"/>
        </w:numPr>
        <w:spacing w:before="100" w:beforeAutospacing="1" w:after="100" w:afterAutospacing="1" w:line="240" w:lineRule="auto"/>
        <w:jc w:val="both"/>
        <w:rPr>
          <w:rFonts w:ascii="Times New Roman" w:hAnsi="Times New Roman" w:cs="Times New Roman"/>
          <w:lang w:eastAsia="en-GB"/>
        </w:rPr>
      </w:pPr>
      <w:r w:rsidRPr="00B5597A">
        <w:rPr>
          <w:rFonts w:ascii="Times New Roman" w:hAnsi="Times New Roman" w:cs="Times New Roman"/>
          <w:lang w:eastAsia="en-GB"/>
        </w:rPr>
        <w:t>Examine the strategic positioning and relevance of UNDP in the sectors covered by the CP – the strengths, weaknesses, and gaps - especially with regard to the appropriateness of their partnership strategy (including choice of beneficiaries), their Theory of Change (ToC), and any need for mid-course adjustments to meet the outcomes;</w:t>
      </w:r>
    </w:p>
    <w:p w14:paraId="5424C8FE" w14:textId="6BB239BA"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Analyse and advise on the positioning and focus during the remaining period of the CP taking into account current Malawi’s development context, emerging national priorities and UNDP’s new direction;</w:t>
      </w:r>
    </w:p>
    <w:p w14:paraId="223F921D" w14:textId="7777777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Assess the sustainability of results being achieved during the implementation of the Country Programme;</w:t>
      </w:r>
    </w:p>
    <w:p w14:paraId="7BD53434" w14:textId="7777777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Assess the internal coherence of the programme and the extent to which portfolio management was practiced;</w:t>
      </w:r>
    </w:p>
    <w:p w14:paraId="3D40AEA5" w14:textId="7777777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Assess the extent to which gender was mainstreamed in the design, implementation, monitoring and reporting of the country programme;</w:t>
      </w:r>
    </w:p>
    <w:p w14:paraId="7578BE3D" w14:textId="34797927" w:rsidR="00554F23" w:rsidRPr="00B5597A" w:rsidRDefault="00554F23"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Assess the extent to which youth development and innovation are being applied in planning, implementation and reporting processes;</w:t>
      </w:r>
    </w:p>
    <w:p w14:paraId="33298A63" w14:textId="45FF57CF" w:rsidR="00B41012" w:rsidRPr="00B5597A" w:rsidRDefault="00B41012" w:rsidP="001F165F">
      <w:pPr>
        <w:pStyle w:val="CommentText"/>
        <w:numPr>
          <w:ilvl w:val="0"/>
          <w:numId w:val="4"/>
        </w:numPr>
        <w:spacing w:before="100" w:beforeAutospacing="1" w:after="100" w:afterAutospacing="1"/>
        <w:jc w:val="both"/>
        <w:rPr>
          <w:rFonts w:ascii="Times New Roman" w:hAnsi="Times New Roman" w:cs="Times New Roman"/>
          <w:sz w:val="22"/>
          <w:szCs w:val="22"/>
        </w:rPr>
      </w:pPr>
      <w:r w:rsidRPr="00B5597A">
        <w:rPr>
          <w:rFonts w:ascii="Times New Roman" w:hAnsi="Times New Roman" w:cs="Times New Roman"/>
          <w:sz w:val="22"/>
          <w:szCs w:val="22"/>
        </w:rPr>
        <w:t xml:space="preserve">Assess and analyze the </w:t>
      </w:r>
      <w:r w:rsidR="00D90F2D" w:rsidRPr="00B5597A">
        <w:rPr>
          <w:rFonts w:ascii="Times New Roman" w:hAnsi="Times New Roman" w:cs="Times New Roman"/>
          <w:sz w:val="22"/>
          <w:szCs w:val="22"/>
        </w:rPr>
        <w:t>relevance, effectiveness, efficiency and sustainability of the Country Programme</w:t>
      </w:r>
      <w:r w:rsidR="00ED28EB" w:rsidRPr="00B5597A">
        <w:rPr>
          <w:rFonts w:ascii="Times New Roman" w:hAnsi="Times New Roman" w:cs="Times New Roman"/>
          <w:sz w:val="22"/>
          <w:szCs w:val="22"/>
        </w:rPr>
        <w:t xml:space="preserve"> and its contribution to development results</w:t>
      </w:r>
      <w:r w:rsidR="005F782D" w:rsidRPr="00B5597A">
        <w:rPr>
          <w:rFonts w:ascii="Times New Roman" w:hAnsi="Times New Roman" w:cs="Times New Roman"/>
          <w:sz w:val="22"/>
          <w:szCs w:val="22"/>
        </w:rPr>
        <w:t>.</w:t>
      </w:r>
    </w:p>
    <w:p w14:paraId="3427233F" w14:textId="77777777" w:rsidR="00554F23" w:rsidRPr="00B5597A" w:rsidRDefault="00554F23" w:rsidP="001F165F">
      <w:pPr>
        <w:pStyle w:val="ListParagraph"/>
        <w:numPr>
          <w:ilvl w:val="0"/>
          <w:numId w:val="4"/>
        </w:numPr>
        <w:spacing w:before="100" w:beforeAutospacing="1" w:after="100" w:afterAutospacing="1" w:line="240" w:lineRule="auto"/>
        <w:jc w:val="both"/>
        <w:rPr>
          <w:rFonts w:ascii="Times New Roman" w:hAnsi="Times New Roman" w:cs="Times New Roman"/>
          <w:lang w:eastAsia="en-GB"/>
        </w:rPr>
      </w:pPr>
      <w:r w:rsidRPr="00B5597A">
        <w:rPr>
          <w:rFonts w:ascii="Times New Roman" w:hAnsi="Times New Roman" w:cs="Times New Roman"/>
          <w:lang w:eastAsia="en-GB"/>
        </w:rPr>
        <w:t>Distil lessons learnt and provide recommendation for future programming, including to inform higher level evaluations and future decision-making and planning for the remainder of the programme cycle.</w:t>
      </w:r>
    </w:p>
    <w:p w14:paraId="5C7FEFBE" w14:textId="77777777" w:rsidR="00554F23" w:rsidRPr="00B5597A" w:rsidRDefault="00554F23" w:rsidP="00554F23">
      <w:pPr>
        <w:pStyle w:val="ListParagraph"/>
        <w:spacing w:before="100" w:beforeAutospacing="1" w:after="100" w:afterAutospacing="1" w:line="240" w:lineRule="auto"/>
        <w:ind w:left="540"/>
        <w:jc w:val="both"/>
        <w:rPr>
          <w:rFonts w:ascii="Times New Roman" w:hAnsi="Times New Roman" w:cs="Times New Roman"/>
          <w:lang w:eastAsia="en-GB"/>
        </w:rPr>
      </w:pPr>
    </w:p>
    <w:p w14:paraId="331D2D48" w14:textId="3C0FB3FC" w:rsidR="00554F23" w:rsidRPr="00B5597A" w:rsidRDefault="00554F23" w:rsidP="00B5597A">
      <w:pPr>
        <w:pStyle w:val="CommentText"/>
        <w:numPr>
          <w:ilvl w:val="0"/>
          <w:numId w:val="3"/>
        </w:numPr>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Evaluation Criteria and Questions</w:t>
      </w:r>
    </w:p>
    <w:p w14:paraId="015EF428"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
          <w:bCs/>
          <w:sz w:val="22"/>
          <w:szCs w:val="22"/>
        </w:rPr>
        <w:t xml:space="preserve"> </w:t>
      </w:r>
      <w:r w:rsidRPr="00B5597A">
        <w:rPr>
          <w:rFonts w:ascii="Times New Roman" w:hAnsi="Times New Roman" w:cs="Times New Roman"/>
          <w:bCs/>
          <w:sz w:val="22"/>
          <w:szCs w:val="22"/>
        </w:rPr>
        <w:t>The evaluation seeks to answer the following questions, focused around the evaluation criteria of relevance, effectiveness, efficiency and sustainability:</w:t>
      </w:r>
    </w:p>
    <w:p w14:paraId="32C96392"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
          <w:bCs/>
          <w:sz w:val="22"/>
          <w:szCs w:val="22"/>
        </w:rPr>
        <w:t>Relevance</w:t>
      </w:r>
      <w:r w:rsidRPr="00B5597A">
        <w:rPr>
          <w:rFonts w:ascii="Times New Roman" w:hAnsi="Times New Roman" w:cs="Times New Roman"/>
          <w:bCs/>
          <w:sz w:val="22"/>
          <w:szCs w:val="22"/>
        </w:rPr>
        <w:t>: The extent to which the programme design and implementation were suited to national priorities and realities and UN commitments:</w:t>
      </w:r>
    </w:p>
    <w:p w14:paraId="72FDA4FD"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Are the intended outputs and outcomes aligned with the key development strategies of the country? Are they consistent with human development needs of the country and the intended beneficiaries? </w:t>
      </w:r>
    </w:p>
    <w:p w14:paraId="07AF7829"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Do the outputs and outcome address the specific development challenges of the country and the intended beneficiaries? Were there any unintended consequences (positive or negative) that have implications to the human development goals of the country?</w:t>
      </w:r>
    </w:p>
    <w:p w14:paraId="71A16A86"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To what extent has UNDP Malawi selected method of delivery been appropriate to the development context of the country?</w:t>
      </w:r>
    </w:p>
    <w:p w14:paraId="58808845"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Has UNDP Malawi been influential in Country debates on CPD-related initiatives and has it influenced policies on any of the thematic areas?</w:t>
      </w:r>
    </w:p>
    <w:p w14:paraId="55F8A6FE"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How effectively has the CP been structured? How has the surrounding structure in which the CP operates affected its delivery?</w:t>
      </w:r>
    </w:p>
    <w:p w14:paraId="3F2B35A4"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To what extent did the CP incorporate the UNSDF principles?</w:t>
      </w:r>
    </w:p>
    <w:p w14:paraId="77B5A679" w14:textId="77777777" w:rsidR="00554F23" w:rsidRPr="00B5597A" w:rsidRDefault="00554F23" w:rsidP="001F165F">
      <w:pPr>
        <w:pStyle w:val="CommentText"/>
        <w:numPr>
          <w:ilvl w:val="0"/>
          <w:numId w:val="6"/>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To what extent has UNDP applied the integrator role in the delivery of SDGs?</w:t>
      </w:r>
    </w:p>
    <w:p w14:paraId="0EC05E41"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
          <w:bCs/>
          <w:sz w:val="22"/>
          <w:szCs w:val="22"/>
        </w:rPr>
        <w:t>Effectiveness</w:t>
      </w:r>
      <w:r w:rsidRPr="00B5597A">
        <w:rPr>
          <w:rFonts w:ascii="Times New Roman" w:hAnsi="Times New Roman" w:cs="Times New Roman"/>
          <w:bCs/>
          <w:sz w:val="22"/>
          <w:szCs w:val="22"/>
        </w:rPr>
        <w:t>: the extent to which the CP is achieving its intended outcomes and outputs.</w:t>
      </w:r>
    </w:p>
    <w:p w14:paraId="04ECA57B" w14:textId="77777777" w:rsidR="00554F23" w:rsidRPr="00B5597A" w:rsidRDefault="00554F23" w:rsidP="001F165F">
      <w:pPr>
        <w:pStyle w:val="ListParagraph"/>
        <w:numPr>
          <w:ilvl w:val="0"/>
          <w:numId w:val="5"/>
        </w:numPr>
        <w:spacing w:before="100" w:beforeAutospacing="1" w:after="100" w:afterAutospacing="1" w:line="240" w:lineRule="auto"/>
        <w:jc w:val="both"/>
        <w:rPr>
          <w:rFonts w:ascii="Times New Roman" w:hAnsi="Times New Roman" w:cs="Times New Roman"/>
          <w:bCs/>
          <w:lang w:eastAsia="en-GB"/>
        </w:rPr>
      </w:pPr>
      <w:r w:rsidRPr="00B5597A">
        <w:rPr>
          <w:rFonts w:ascii="Times New Roman" w:hAnsi="Times New Roman" w:cs="Times New Roman"/>
          <w:bCs/>
          <w:lang w:eastAsia="en-GB"/>
        </w:rPr>
        <w:t xml:space="preserve">Are the stated outputs being achieved? Are they contributing to the stated outcomes? </w:t>
      </w:r>
    </w:p>
    <w:p w14:paraId="05950633" w14:textId="77777777" w:rsidR="00554F23" w:rsidRPr="00B5597A" w:rsidRDefault="00554F23" w:rsidP="001F165F">
      <w:pPr>
        <w:pStyle w:val="ListParagraph"/>
        <w:numPr>
          <w:ilvl w:val="0"/>
          <w:numId w:val="5"/>
        </w:numPr>
        <w:spacing w:before="100" w:beforeAutospacing="1" w:after="100" w:afterAutospacing="1" w:line="240" w:lineRule="auto"/>
        <w:jc w:val="both"/>
        <w:rPr>
          <w:rFonts w:ascii="Times New Roman" w:hAnsi="Times New Roman" w:cs="Times New Roman"/>
          <w:bCs/>
          <w:lang w:eastAsia="en-GB"/>
        </w:rPr>
      </w:pPr>
      <w:r w:rsidRPr="00B5597A">
        <w:rPr>
          <w:rFonts w:ascii="Times New Roman" w:hAnsi="Times New Roman" w:cs="Times New Roman"/>
          <w:bCs/>
          <w:lang w:eastAsia="en-GB"/>
        </w:rPr>
        <w:t>What level of progress towards outcomes has been made as measured by the outcome indicators presented in the results framework. What evidence is there that UNDP support is contributing towards an improvement in the country’s capacity, including institutional strengthening in the thematic areas of the CP?</w:t>
      </w:r>
    </w:p>
    <w:p w14:paraId="411B93F1" w14:textId="77777777" w:rsidR="00554F23" w:rsidRPr="00B5597A" w:rsidRDefault="00554F23" w:rsidP="001F165F">
      <w:pPr>
        <w:pStyle w:val="ListParagraph"/>
        <w:numPr>
          <w:ilvl w:val="0"/>
          <w:numId w:val="5"/>
        </w:numPr>
        <w:spacing w:before="100" w:beforeAutospacing="1" w:after="100" w:afterAutospacing="1" w:line="240" w:lineRule="auto"/>
        <w:jc w:val="both"/>
        <w:rPr>
          <w:rFonts w:ascii="Times New Roman" w:hAnsi="Times New Roman" w:cs="Times New Roman"/>
          <w:bCs/>
          <w:lang w:eastAsia="en-GB"/>
        </w:rPr>
      </w:pPr>
      <w:r w:rsidRPr="00B5597A">
        <w:rPr>
          <w:rFonts w:ascii="Times New Roman" w:hAnsi="Times New Roman" w:cs="Times New Roman"/>
          <w:bCs/>
          <w:lang w:eastAsia="en-GB"/>
        </w:rPr>
        <w:t>What are the key strategic and policy advisory contributions that UNDP has made/is making in outcome areas, if any?</w:t>
      </w:r>
    </w:p>
    <w:p w14:paraId="5A074DFB"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Is UNDP utilizing innovative techniques and best practices in its programming initiatives and processes?</w:t>
      </w:r>
    </w:p>
    <w:p w14:paraId="65477052"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Taking into account the technical capacity and institutional arrangements of the UNDP Malawi CO, is UNDP well suited to providing the respective thematic support in the country?</w:t>
      </w:r>
    </w:p>
    <w:p w14:paraId="00ACE757"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What/How is the quality of expertise provided to the partner government institutions?</w:t>
      </w:r>
    </w:p>
    <w:p w14:paraId="04339727"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To what extent have UN reforms influenced UNDP Malawi’s support in the country and in what sectors?</w:t>
      </w:r>
    </w:p>
    <w:p w14:paraId="4A3A5C87"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What contributing factors and impediments are enhancing or impeding UNDP performance in various areas of the CP? </w:t>
      </w:r>
    </w:p>
    <w:p w14:paraId="3BFC9692" w14:textId="77777777"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How useful has the knowledge and skills transfer proven to be so far?</w:t>
      </w:r>
    </w:p>
    <w:p w14:paraId="64292C5D" w14:textId="4C80B90D" w:rsidR="00554F23" w:rsidRPr="00B5597A" w:rsidRDefault="00554F23" w:rsidP="001F165F">
      <w:pPr>
        <w:pStyle w:val="CommentText"/>
        <w:numPr>
          <w:ilvl w:val="0"/>
          <w:numId w:val="5"/>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How can the effectiveness of support to the CP be strengthened in remaining period?</w:t>
      </w:r>
    </w:p>
    <w:p w14:paraId="1A97D703"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
          <w:bCs/>
          <w:sz w:val="22"/>
          <w:szCs w:val="22"/>
        </w:rPr>
        <w:t>Efficiency:</w:t>
      </w:r>
      <w:r w:rsidRPr="00B5597A">
        <w:rPr>
          <w:rFonts w:ascii="Times New Roman" w:hAnsi="Times New Roman" w:cs="Times New Roman"/>
          <w:bCs/>
          <w:sz w:val="22"/>
          <w:szCs w:val="22"/>
        </w:rPr>
        <w:t xml:space="preserve"> measurement of the outputs in relation to the inputs.</w:t>
      </w:r>
    </w:p>
    <w:p w14:paraId="4E203ECB" w14:textId="77777777" w:rsidR="00554F23" w:rsidRPr="00B5597A" w:rsidRDefault="00554F23" w:rsidP="001F165F">
      <w:pPr>
        <w:pStyle w:val="CommentText"/>
        <w:numPr>
          <w:ilvl w:val="0"/>
          <w:numId w:val="7"/>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Are UNDP approaches, resources, models, conceptual framework relevant to achieve the planned outcomes? Are they sufficiently sensitive to the political and development constraints of the country?</w:t>
      </w:r>
    </w:p>
    <w:p w14:paraId="4615CE22" w14:textId="77777777" w:rsidR="00554F23" w:rsidRPr="00B5597A" w:rsidRDefault="00554F23" w:rsidP="001F165F">
      <w:pPr>
        <w:pStyle w:val="CommentText"/>
        <w:numPr>
          <w:ilvl w:val="0"/>
          <w:numId w:val="7"/>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 Are the results being delivered in a reasonable proportion to the operational and other costs?</w:t>
      </w:r>
    </w:p>
    <w:p w14:paraId="4D91C6C4" w14:textId="77777777" w:rsidR="00554F23" w:rsidRPr="00B5597A" w:rsidRDefault="00554F23" w:rsidP="001F165F">
      <w:pPr>
        <w:pStyle w:val="CommentText"/>
        <w:numPr>
          <w:ilvl w:val="0"/>
          <w:numId w:val="7"/>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Has there been an economical use of financial and human resources? Could a different type of intervention lead to similar results at a lower cost? How?</w:t>
      </w:r>
    </w:p>
    <w:p w14:paraId="6C8333ED" w14:textId="77777777" w:rsidR="00554F23" w:rsidRPr="00B5597A" w:rsidRDefault="00554F23" w:rsidP="001F165F">
      <w:pPr>
        <w:pStyle w:val="CommentText"/>
        <w:numPr>
          <w:ilvl w:val="0"/>
          <w:numId w:val="7"/>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Are the monitoring and evaluation systems that UNDP Malawi CO has in place helping to ensure that programmes are managed efficiently and effectively for proper accountability of results?</w:t>
      </w:r>
    </w:p>
    <w:p w14:paraId="006C0C6E" w14:textId="77777777" w:rsidR="00554F23" w:rsidRPr="00B5597A" w:rsidRDefault="00554F23" w:rsidP="001F165F">
      <w:pPr>
        <w:pStyle w:val="CommentText"/>
        <w:numPr>
          <w:ilvl w:val="0"/>
          <w:numId w:val="7"/>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To what extent has UNDP applied portfolio management, taking advantage of opportunities? </w:t>
      </w:r>
    </w:p>
    <w:p w14:paraId="4C2578DB" w14:textId="77777777" w:rsidR="00554F23" w:rsidRPr="00B5597A" w:rsidRDefault="00554F23" w:rsidP="00554F23">
      <w:pPr>
        <w:pStyle w:val="CommentText"/>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 xml:space="preserve">Sustainability: </w:t>
      </w:r>
    </w:p>
    <w:p w14:paraId="549A396F"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What is the likelihood that UNDP’s interventions are sustainable?</w:t>
      </w:r>
    </w:p>
    <w:p w14:paraId="3B9A2E64"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Are there exit strategies in place for different programmes and projects?</w:t>
      </w:r>
    </w:p>
    <w:p w14:paraId="24F28EB7"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What mechanisms have been put in place by UNDP Malawi to support the government/ institutional partners to sustain improvements made through these CP interventions?</w:t>
      </w:r>
    </w:p>
    <w:p w14:paraId="0859DAE6"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What changes should be made in the current set of partnerships in order to promote long term sustainability?</w:t>
      </w:r>
    </w:p>
    <w:p w14:paraId="7A2F69EA" w14:textId="77777777" w:rsidR="00554F23" w:rsidRPr="00B5597A" w:rsidRDefault="00554F23" w:rsidP="00554F23">
      <w:pPr>
        <w:pStyle w:val="CommentText"/>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Partnership strategy</w:t>
      </w:r>
    </w:p>
    <w:p w14:paraId="07FF3756"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Has the partnership strategy as indicated in the CPD and projects been appropriate and effective?</w:t>
      </w:r>
    </w:p>
    <w:p w14:paraId="64FAA57F"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Are there current or potential complementarities or overlaps with existing regional partners’ programmes?</w:t>
      </w:r>
    </w:p>
    <w:p w14:paraId="7EABEF5F"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How have partnerships affected the progress towards achieving the outputs/outcomes? </w:t>
      </w:r>
    </w:p>
    <w:p w14:paraId="250B017B"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Has UNDP worked effectively with donors to deliver on the CP initiatives?</w:t>
      </w:r>
    </w:p>
    <w:p w14:paraId="324489CD"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How effective has UNDP been in partnering with civil society (where applicable) and the private sector to promote its initiatives in the Country?</w:t>
      </w:r>
    </w:p>
    <w:p w14:paraId="0A674735"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The evaluation should also include an assessment of the extent to which programme design, implementation and monitoring have taken the following cross cutting issues into consideration: </w:t>
      </w:r>
    </w:p>
    <w:p w14:paraId="3723658A" w14:textId="77777777" w:rsidR="00554F23" w:rsidRPr="00B5597A" w:rsidRDefault="00554F23" w:rsidP="00554F23">
      <w:pPr>
        <w:pStyle w:val="CommentText"/>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Human rights – Leaving no-one behind.</w:t>
      </w:r>
    </w:p>
    <w:p w14:paraId="63FB3C31"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To what extent have poor and physically challenged and other disadvantaged and marginalized groups benefitted from UNDP CPD interventions?</w:t>
      </w:r>
    </w:p>
    <w:p w14:paraId="38411492" w14:textId="77777777" w:rsidR="00554F23" w:rsidRPr="00B5597A" w:rsidRDefault="00554F23" w:rsidP="00554F23">
      <w:pPr>
        <w:pStyle w:val="CommentText"/>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Gender Equality and Women Empowerment</w:t>
      </w:r>
    </w:p>
    <w:p w14:paraId="33BEE6AD"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To what extent has gender been addressed in the design, implementation and monitoring of CPD interventions? Is gender marker data assigned the projects representative of reality </w:t>
      </w:r>
    </w:p>
    <w:p w14:paraId="3DA4592F" w14:textId="77777777" w:rsidR="00554F23" w:rsidRPr="00B5597A" w:rsidRDefault="00554F23" w:rsidP="001F165F">
      <w:pPr>
        <w:pStyle w:val="CommentText"/>
        <w:numPr>
          <w:ilvl w:val="0"/>
          <w:numId w:val="8"/>
        </w:numPr>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To what extent has UNDP promoted positive changes in gender equality? Were there any unintended effects?   </w:t>
      </w:r>
    </w:p>
    <w:p w14:paraId="64FE2DD9" w14:textId="77777777" w:rsidR="00554F23" w:rsidRPr="00B5597A" w:rsidRDefault="00554F23" w:rsidP="00554F23">
      <w:pPr>
        <w:pStyle w:val="CommentText"/>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
          <w:bCs/>
          <w:sz w:val="22"/>
          <w:szCs w:val="22"/>
        </w:rPr>
        <w:t>Capacity Building</w:t>
      </w:r>
    </w:p>
    <w:p w14:paraId="0631CC81" w14:textId="77777777" w:rsidR="00554F23" w:rsidRPr="00B5597A" w:rsidRDefault="00554F23" w:rsidP="00554F23">
      <w:pPr>
        <w:pStyle w:val="CommentText"/>
        <w:spacing w:before="100" w:beforeAutospacing="1" w:after="100" w:afterAutospacing="1"/>
        <w:ind w:left="720"/>
        <w:jc w:val="both"/>
        <w:rPr>
          <w:rFonts w:ascii="Times New Roman" w:hAnsi="Times New Roman" w:cs="Times New Roman"/>
          <w:bCs/>
          <w:sz w:val="22"/>
          <w:szCs w:val="22"/>
        </w:rPr>
      </w:pPr>
      <w:r w:rsidRPr="00B5597A">
        <w:rPr>
          <w:rFonts w:ascii="Times New Roman" w:hAnsi="Times New Roman" w:cs="Times New Roman"/>
          <w:bCs/>
          <w:sz w:val="22"/>
          <w:szCs w:val="22"/>
        </w:rPr>
        <w:t>•</w:t>
      </w:r>
      <w:r w:rsidRPr="00B5597A">
        <w:rPr>
          <w:rFonts w:ascii="Times New Roman" w:hAnsi="Times New Roman" w:cs="Times New Roman"/>
          <w:bCs/>
          <w:sz w:val="22"/>
          <w:szCs w:val="22"/>
        </w:rPr>
        <w:tab/>
        <w:t>Did the CPD adequately invest in, and focus on, national capacity development to ensure sustainability and promote efficiency?</w:t>
      </w:r>
    </w:p>
    <w:p w14:paraId="3F7F2F34" w14:textId="77777777" w:rsidR="00554F23" w:rsidRPr="00B5597A" w:rsidRDefault="00554F23" w:rsidP="00554F23">
      <w:pPr>
        <w:pStyle w:val="CommentText"/>
        <w:spacing w:before="100" w:beforeAutospacing="1" w:after="100" w:afterAutospacing="1"/>
        <w:ind w:left="720"/>
        <w:jc w:val="both"/>
        <w:rPr>
          <w:rFonts w:ascii="Times New Roman" w:hAnsi="Times New Roman" w:cs="Times New Roman"/>
          <w:bCs/>
          <w:sz w:val="22"/>
          <w:szCs w:val="22"/>
        </w:rPr>
      </w:pPr>
      <w:r w:rsidRPr="00B5597A">
        <w:rPr>
          <w:rFonts w:ascii="Times New Roman" w:hAnsi="Times New Roman" w:cs="Times New Roman"/>
          <w:bCs/>
          <w:sz w:val="22"/>
          <w:szCs w:val="22"/>
        </w:rPr>
        <w:t>•</w:t>
      </w:r>
      <w:r w:rsidRPr="00B5597A">
        <w:rPr>
          <w:rFonts w:ascii="Times New Roman" w:hAnsi="Times New Roman" w:cs="Times New Roman"/>
          <w:bCs/>
          <w:sz w:val="22"/>
          <w:szCs w:val="22"/>
        </w:rPr>
        <w:tab/>
        <w:t xml:space="preserve">Are the knowledge products (reports, studies, etc. where applicable) delivered by different interventions adapted to country needs? </w:t>
      </w:r>
    </w:p>
    <w:p w14:paraId="0D42BC87" w14:textId="77777777" w:rsidR="00554F23" w:rsidRPr="00B5597A" w:rsidRDefault="00554F23" w:rsidP="00554F23">
      <w:pPr>
        <w:pStyle w:val="CommentText"/>
        <w:spacing w:before="100" w:beforeAutospacing="1" w:after="100" w:afterAutospacing="1"/>
        <w:jc w:val="both"/>
        <w:rPr>
          <w:rFonts w:ascii="Times New Roman" w:hAnsi="Times New Roman" w:cs="Times New Roman"/>
          <w:bCs/>
          <w:sz w:val="22"/>
          <w:szCs w:val="22"/>
        </w:rPr>
      </w:pPr>
      <w:r w:rsidRPr="00B5597A">
        <w:rPr>
          <w:rFonts w:ascii="Times New Roman" w:hAnsi="Times New Roman" w:cs="Times New Roman"/>
          <w:bCs/>
          <w:sz w:val="22"/>
          <w:szCs w:val="22"/>
        </w:rPr>
        <w:t xml:space="preserve">Based on the above analysis, the evaluator is expected to provide overarching conclusions on UNDP Malawi CO results in this areas of support, as well as recommendations on how the UNDP could adjust its programming, partnership arrangements, resource mobilization strategies, and capacities to ensure that the CPD portfolio fully achieves current planned outcomes and is positioned for sustainable results in the future.  The evaluation is additionally expected to offer lessons for UNDP support in country and elsewhere based on this analysis. </w:t>
      </w:r>
    </w:p>
    <w:p w14:paraId="54474A54" w14:textId="737DB1F0" w:rsidR="00554F23" w:rsidRPr="00B5597A" w:rsidRDefault="00554F23" w:rsidP="00B5597A">
      <w:pPr>
        <w:pStyle w:val="CommentText"/>
        <w:numPr>
          <w:ilvl w:val="0"/>
          <w:numId w:val="3"/>
        </w:numPr>
        <w:spacing w:before="100" w:beforeAutospacing="1" w:after="100" w:afterAutospacing="1"/>
        <w:jc w:val="both"/>
        <w:rPr>
          <w:rFonts w:ascii="Times New Roman" w:hAnsi="Times New Roman" w:cs="Times New Roman"/>
          <w:b/>
          <w:bCs/>
          <w:sz w:val="22"/>
          <w:szCs w:val="22"/>
        </w:rPr>
      </w:pPr>
      <w:r w:rsidRPr="00B5597A">
        <w:rPr>
          <w:rFonts w:ascii="Times New Roman" w:hAnsi="Times New Roman" w:cs="Times New Roman"/>
          <w:bCs/>
          <w:sz w:val="22"/>
          <w:szCs w:val="22"/>
        </w:rPr>
        <w:t xml:space="preserve"> </w:t>
      </w:r>
      <w:r w:rsidRPr="00B5597A">
        <w:rPr>
          <w:rFonts w:ascii="Times New Roman" w:hAnsi="Times New Roman" w:cs="Times New Roman"/>
          <w:b/>
          <w:bCs/>
          <w:sz w:val="22"/>
          <w:szCs w:val="22"/>
        </w:rPr>
        <w:t xml:space="preserve">Methodology and approach </w:t>
      </w:r>
    </w:p>
    <w:p w14:paraId="4DFB56B3" w14:textId="77777777" w:rsidR="00554F23" w:rsidRPr="00B5597A" w:rsidRDefault="00554F23" w:rsidP="00554F23">
      <w:pPr>
        <w:spacing w:before="100" w:beforeAutospacing="1" w:after="100" w:afterAutospacing="1" w:line="240" w:lineRule="auto"/>
        <w:jc w:val="both"/>
        <w:rPr>
          <w:rFonts w:ascii="Times New Roman" w:hAnsi="Times New Roman" w:cs="Times New Roman"/>
          <w:b/>
          <w:bCs/>
        </w:rPr>
      </w:pPr>
      <w:r w:rsidRPr="00B5597A">
        <w:rPr>
          <w:rFonts w:ascii="Times New Roman" w:hAnsi="Times New Roman" w:cs="Times New Roman"/>
        </w:rPr>
        <w:t xml:space="preserve">The evaluation is taking place during a COVID 19 pandemic and the evaluation will be expected to fully comply with measures instituted by government authorities to contain and prevent its spread.  The government has imposed restrictions on the number people who can gather, mandatory wearing of face masks in all public places and other measures concerning public transport.  </w:t>
      </w:r>
      <w:r w:rsidRPr="00B5597A">
        <w:rPr>
          <w:rFonts w:ascii="Times New Roman" w:hAnsi="Times New Roman" w:cs="Times New Roman"/>
          <w:b/>
          <w:bCs/>
        </w:rPr>
        <w:t>No stakeholders, evaluators or UNDP staff should be put in harm’s way and safety is the key priority.</w:t>
      </w:r>
    </w:p>
    <w:p w14:paraId="3E39F73B" w14:textId="77777777"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 xml:space="preserve">The steps in data collection will include but not limited to the following: </w:t>
      </w:r>
    </w:p>
    <w:p w14:paraId="50CE62FB" w14:textId="77777777"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b/>
          <w:bCs/>
          <w:u w:val="single"/>
        </w:rPr>
        <w:t>Desk reviews</w:t>
      </w:r>
      <w:r w:rsidRPr="00B5597A">
        <w:rPr>
          <w:rFonts w:ascii="Times New Roman" w:hAnsi="Times New Roman" w:cs="Times New Roman"/>
          <w:u w:val="single"/>
        </w:rPr>
        <w:t>:</w:t>
      </w:r>
      <w:r w:rsidRPr="00B5597A">
        <w:rPr>
          <w:rFonts w:ascii="Times New Roman" w:hAnsi="Times New Roman" w:cs="Times New Roman"/>
        </w:rPr>
        <w:t xml:space="preserve"> Evaluators will collect and review all relevant documentation, including the following: i) national programme documents; ii) project documents and activity reports; iii) past evaluation/ self-assessment reports; iv) client surveys on support services provided to institutions if any; v) country office reports; vi) UNDP’s corporate strategies and reports; and viii) government, media, academic publications.  Annex 2 has a list of some of the documents which will be available for review.</w:t>
      </w:r>
    </w:p>
    <w:p w14:paraId="18B81B24" w14:textId="77777777"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b/>
          <w:bCs/>
          <w:u w:val="single"/>
        </w:rPr>
        <w:t>Interviews and focus group discussions</w:t>
      </w:r>
      <w:r w:rsidRPr="00B5597A">
        <w:rPr>
          <w:rFonts w:ascii="Times New Roman" w:hAnsi="Times New Roman" w:cs="Times New Roman"/>
        </w:rPr>
        <w:t xml:space="preserve">: In view of COVID 19 restrictions, it is expected that as far as possible interviews will be conducted virtually.   Only in exceptional cases and under strict COVID 19 preventive measures are observed will evaluators be allowed to conduct face-to-face interviews.   </w:t>
      </w:r>
    </w:p>
    <w:p w14:paraId="69F5F364" w14:textId="17AC7EE8"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 xml:space="preserve">The evaluation team will be comprised of international and </w:t>
      </w:r>
      <w:r w:rsidR="00502CE6">
        <w:rPr>
          <w:rFonts w:ascii="Times New Roman" w:hAnsi="Times New Roman" w:cs="Times New Roman"/>
        </w:rPr>
        <w:t xml:space="preserve">two </w:t>
      </w:r>
      <w:r w:rsidRPr="00B5597A">
        <w:rPr>
          <w:rFonts w:ascii="Times New Roman" w:hAnsi="Times New Roman" w:cs="Times New Roman"/>
        </w:rPr>
        <w:t xml:space="preserve">national consultants.  </w:t>
      </w:r>
      <w:r w:rsidR="00502CE6">
        <w:rPr>
          <w:rFonts w:ascii="Times New Roman" w:hAnsi="Times New Roman" w:cs="Times New Roman"/>
        </w:rPr>
        <w:t xml:space="preserve">COVID 19 preventive measures permitting, </w:t>
      </w:r>
      <w:r w:rsidRPr="00B5597A">
        <w:rPr>
          <w:rFonts w:ascii="Times New Roman" w:hAnsi="Times New Roman" w:cs="Times New Roman"/>
        </w:rPr>
        <w:t>national consultants will conduct data collection</w:t>
      </w:r>
      <w:r w:rsidR="00502CE6">
        <w:rPr>
          <w:rFonts w:ascii="Times New Roman" w:hAnsi="Times New Roman" w:cs="Times New Roman"/>
        </w:rPr>
        <w:t xml:space="preserve"> </w:t>
      </w:r>
      <w:r w:rsidRPr="00B5597A">
        <w:rPr>
          <w:rFonts w:ascii="Times New Roman" w:hAnsi="Times New Roman" w:cs="Times New Roman"/>
        </w:rPr>
        <w:t>fiel</w:t>
      </w:r>
      <w:r w:rsidR="00502CE6">
        <w:rPr>
          <w:rFonts w:ascii="Times New Roman" w:hAnsi="Times New Roman" w:cs="Times New Roman"/>
        </w:rPr>
        <w:t>d visit</w:t>
      </w:r>
      <w:r w:rsidRPr="00B5597A">
        <w:rPr>
          <w:rFonts w:ascii="Times New Roman" w:hAnsi="Times New Roman" w:cs="Times New Roman"/>
        </w:rPr>
        <w:t xml:space="preserve">s.  In case of travel restrictions even for local experts options for remote interviews such as through telephone or online (skype, zoom etc.) will be explored. The international consultant will work remotely with national evaluators.  Stakeholders to be interviewed by the evaluators will include: i) UNDP staff (managers and programme/project officers) at the Country Office; and ii) programme coordinators, policy makers, beneficiary and target groups; iii) donors/development partners and iv) UN agency staff.  Focus groups may be organized as appropriate. Annex </w:t>
      </w:r>
      <w:r w:rsidR="00C3747F">
        <w:rPr>
          <w:rFonts w:ascii="Times New Roman" w:hAnsi="Times New Roman" w:cs="Times New Roman"/>
        </w:rPr>
        <w:t>3</w:t>
      </w:r>
      <w:r w:rsidRPr="00B5597A">
        <w:rPr>
          <w:rFonts w:ascii="Times New Roman" w:hAnsi="Times New Roman" w:cs="Times New Roman"/>
        </w:rPr>
        <w:t xml:space="preserve"> provides a preliminary list of stakeholders. </w:t>
      </w:r>
    </w:p>
    <w:p w14:paraId="1B872FD4" w14:textId="0C0142C3" w:rsidR="00554F23" w:rsidRPr="00B5597A" w:rsidRDefault="00554F23" w:rsidP="00554F23">
      <w:p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b/>
          <w:bCs/>
          <w:u w:val="single"/>
        </w:rPr>
        <w:t>Field visits</w:t>
      </w:r>
      <w:r w:rsidRPr="00B5597A">
        <w:rPr>
          <w:rFonts w:ascii="Times New Roman" w:hAnsi="Times New Roman" w:cs="Times New Roman"/>
          <w:u w:val="single"/>
        </w:rPr>
        <w:t>:</w:t>
      </w:r>
      <w:r w:rsidRPr="00B5597A">
        <w:rPr>
          <w:rFonts w:ascii="Times New Roman" w:hAnsi="Times New Roman" w:cs="Times New Roman"/>
        </w:rPr>
        <w:t xml:space="preserve"> COVID 19 preventive measures permitting, the evaluator will visit selected programme sites to observe first-hand progress and achievements made to date and to collect best practices/ lessons learned. A case study approach may be used, as appropriate, to identify and highlight issues that can be further investigated across the programme. The evaluation team will determine the approach best suitable to conduct the evaluation.</w:t>
      </w:r>
    </w:p>
    <w:p w14:paraId="26D3F161" w14:textId="77777777" w:rsidR="000B7079" w:rsidRPr="00B5597A" w:rsidRDefault="000B7079" w:rsidP="001F165F">
      <w:pPr>
        <w:pStyle w:val="ListParagraph"/>
        <w:numPr>
          <w:ilvl w:val="0"/>
          <w:numId w:val="11"/>
        </w:numPr>
        <w:spacing w:before="100" w:beforeAutospacing="1" w:after="100" w:afterAutospacing="1" w:line="240" w:lineRule="auto"/>
        <w:rPr>
          <w:rFonts w:ascii="Times New Roman" w:hAnsi="Times New Roman" w:cs="Times New Roman"/>
          <w:b/>
          <w:lang w:val="en-ZW"/>
        </w:rPr>
      </w:pPr>
      <w:r w:rsidRPr="00B5597A">
        <w:rPr>
          <w:rFonts w:ascii="Times New Roman" w:hAnsi="Times New Roman" w:cs="Times New Roman"/>
          <w:b/>
          <w:lang w:val="en-ZW"/>
        </w:rPr>
        <w:t xml:space="preserve">Deliverables </w:t>
      </w:r>
    </w:p>
    <w:p w14:paraId="2BDFD1A8" w14:textId="77777777" w:rsidR="000B7079" w:rsidRPr="00B5597A" w:rsidRDefault="000B7079" w:rsidP="000B7079">
      <w:pPr>
        <w:spacing w:before="100" w:beforeAutospacing="1" w:after="100" w:afterAutospacing="1" w:line="240" w:lineRule="auto"/>
        <w:rPr>
          <w:rFonts w:ascii="Times New Roman" w:hAnsi="Times New Roman" w:cs="Times New Roman"/>
          <w:lang w:val="en-ZW"/>
        </w:rPr>
      </w:pPr>
      <w:r w:rsidRPr="00B5597A">
        <w:rPr>
          <w:rFonts w:ascii="Times New Roman" w:hAnsi="Times New Roman" w:cs="Times New Roman"/>
          <w:lang w:val="en-ZW"/>
        </w:rPr>
        <w:t>The following reports and deliverables are required for the evaluation:</w:t>
      </w:r>
    </w:p>
    <w:p w14:paraId="3C26E0F8" w14:textId="77777777" w:rsidR="000B7079" w:rsidRPr="00B5597A" w:rsidRDefault="000B7079" w:rsidP="001F165F">
      <w:pPr>
        <w:numPr>
          <w:ilvl w:val="0"/>
          <w:numId w:val="10"/>
        </w:numPr>
        <w:spacing w:before="100" w:beforeAutospacing="1" w:after="100" w:afterAutospacing="1" w:line="240" w:lineRule="auto"/>
        <w:contextualSpacing/>
        <w:rPr>
          <w:rFonts w:ascii="Times New Roman" w:hAnsi="Times New Roman" w:cs="Times New Roman"/>
          <w:lang w:val="en-ZW"/>
        </w:rPr>
      </w:pPr>
      <w:r w:rsidRPr="00B5597A">
        <w:rPr>
          <w:rFonts w:ascii="Times New Roman" w:hAnsi="Times New Roman" w:cs="Times New Roman"/>
          <w:lang w:val="en-ZW"/>
        </w:rPr>
        <w:t>Draft CP Evaluation Report</w:t>
      </w:r>
    </w:p>
    <w:p w14:paraId="3A9159AB" w14:textId="77777777" w:rsidR="000B7079" w:rsidRPr="00B5597A" w:rsidRDefault="000B7079" w:rsidP="001F165F">
      <w:pPr>
        <w:numPr>
          <w:ilvl w:val="0"/>
          <w:numId w:val="10"/>
        </w:numPr>
        <w:spacing w:before="100" w:beforeAutospacing="1" w:after="100" w:afterAutospacing="1" w:line="240" w:lineRule="auto"/>
        <w:contextualSpacing/>
        <w:rPr>
          <w:rFonts w:ascii="Times New Roman" w:hAnsi="Times New Roman" w:cs="Times New Roman"/>
          <w:lang w:val="en-ZW"/>
        </w:rPr>
      </w:pPr>
      <w:r w:rsidRPr="00B5597A">
        <w:rPr>
          <w:rFonts w:ascii="Times New Roman" w:hAnsi="Times New Roman" w:cs="Times New Roman"/>
          <w:lang w:val="en-ZW"/>
        </w:rPr>
        <w:t>Presentation at virtual validation workshop with key stakeholders, (partners and beneficiaries)</w:t>
      </w:r>
    </w:p>
    <w:p w14:paraId="7529CB36" w14:textId="77777777" w:rsidR="000B7079" w:rsidRPr="00B5597A" w:rsidRDefault="000B7079" w:rsidP="001F165F">
      <w:pPr>
        <w:numPr>
          <w:ilvl w:val="0"/>
          <w:numId w:val="10"/>
        </w:numPr>
        <w:spacing w:before="100" w:beforeAutospacing="1" w:after="100" w:afterAutospacing="1" w:line="240" w:lineRule="auto"/>
        <w:contextualSpacing/>
        <w:rPr>
          <w:rFonts w:ascii="Times New Roman" w:hAnsi="Times New Roman" w:cs="Times New Roman"/>
          <w:lang w:val="en-ZW"/>
        </w:rPr>
      </w:pPr>
      <w:r w:rsidRPr="00B5597A">
        <w:rPr>
          <w:rFonts w:ascii="Times New Roman" w:hAnsi="Times New Roman" w:cs="Times New Roman"/>
          <w:lang w:val="en-ZW"/>
        </w:rPr>
        <w:t>Lessons Learned report</w:t>
      </w:r>
    </w:p>
    <w:p w14:paraId="5F65CB81" w14:textId="77777777" w:rsidR="000B7079" w:rsidRPr="00B5597A" w:rsidRDefault="000B7079" w:rsidP="001F165F">
      <w:pPr>
        <w:numPr>
          <w:ilvl w:val="0"/>
          <w:numId w:val="10"/>
        </w:numPr>
        <w:spacing w:before="100" w:beforeAutospacing="1" w:after="100" w:afterAutospacing="1" w:line="240" w:lineRule="auto"/>
        <w:contextualSpacing/>
        <w:rPr>
          <w:rFonts w:ascii="Times New Roman" w:hAnsi="Times New Roman" w:cs="Times New Roman"/>
          <w:lang w:val="en-ZW"/>
        </w:rPr>
      </w:pPr>
      <w:r w:rsidRPr="00B5597A">
        <w:rPr>
          <w:rFonts w:ascii="Times New Roman" w:hAnsi="Times New Roman" w:cs="Times New Roman"/>
          <w:lang w:val="en-ZW"/>
        </w:rPr>
        <w:t>Final report on the CP Evaluation</w:t>
      </w:r>
    </w:p>
    <w:p w14:paraId="5F3CFB7D" w14:textId="77777777" w:rsidR="000B7079" w:rsidRPr="00B5597A" w:rsidRDefault="000B7079" w:rsidP="001F165F">
      <w:pPr>
        <w:numPr>
          <w:ilvl w:val="0"/>
          <w:numId w:val="10"/>
        </w:numPr>
        <w:spacing w:before="100" w:beforeAutospacing="1" w:after="100" w:afterAutospacing="1" w:line="240" w:lineRule="auto"/>
        <w:contextualSpacing/>
        <w:rPr>
          <w:rFonts w:ascii="Times New Roman" w:hAnsi="Times New Roman" w:cs="Times New Roman"/>
          <w:lang w:val="en-ZW"/>
        </w:rPr>
      </w:pPr>
      <w:r w:rsidRPr="00B5597A">
        <w:rPr>
          <w:rFonts w:ascii="Times New Roman" w:hAnsi="Times New Roman" w:cs="Times New Roman"/>
          <w:lang w:val="en-ZW"/>
        </w:rPr>
        <w:t xml:space="preserve">Evaluation audit trail </w:t>
      </w:r>
      <w:r w:rsidRPr="00B5597A">
        <w:rPr>
          <w:rFonts w:ascii="Times New Roman" w:hAnsi="Times New Roman" w:cs="Times New Roman"/>
        </w:rPr>
        <w:t>detailing how comments, questions and clarifications have been addressed.</w:t>
      </w:r>
    </w:p>
    <w:p w14:paraId="4188CC44" w14:textId="77777777" w:rsidR="000B7079" w:rsidRPr="00B5597A" w:rsidRDefault="000B7079" w:rsidP="000B7079">
      <w:pPr>
        <w:spacing w:before="100" w:beforeAutospacing="1" w:after="100" w:afterAutospacing="1" w:line="240" w:lineRule="auto"/>
        <w:ind w:left="720"/>
        <w:contextualSpacing/>
        <w:rPr>
          <w:rFonts w:ascii="Times New Roman" w:hAnsi="Times New Roman" w:cs="Times New Roman"/>
          <w:lang w:val="en-ZW"/>
        </w:rPr>
      </w:pPr>
    </w:p>
    <w:p w14:paraId="152C4B6F" w14:textId="7A36C12E" w:rsidR="000B7079" w:rsidRDefault="000B7079" w:rsidP="000B7079">
      <w:pPr>
        <w:spacing w:before="100" w:beforeAutospacing="1" w:after="100" w:afterAutospacing="1" w:line="240" w:lineRule="auto"/>
        <w:jc w:val="both"/>
        <w:rPr>
          <w:rFonts w:ascii="Times New Roman" w:hAnsi="Times New Roman" w:cs="Times New Roman"/>
          <w:lang w:val="en-ZW"/>
        </w:rPr>
      </w:pPr>
    </w:p>
    <w:p w14:paraId="5F569B3E" w14:textId="0943E10F" w:rsidR="000B7079" w:rsidRPr="00B5597A" w:rsidRDefault="00573218" w:rsidP="000B7079">
      <w:pPr>
        <w:spacing w:before="100" w:beforeAutospacing="1" w:after="100" w:afterAutospacing="1" w:line="240" w:lineRule="auto"/>
        <w:jc w:val="both"/>
        <w:rPr>
          <w:rFonts w:ascii="Times New Roman" w:hAnsi="Times New Roman" w:cs="Times New Roman"/>
          <w:lang w:val="en-ZW"/>
        </w:rPr>
      </w:pPr>
      <w:r>
        <w:rPr>
          <w:rFonts w:ascii="Times New Roman" w:hAnsi="Times New Roman" w:cs="Times New Roman"/>
          <w:lang w:val="en-ZW"/>
        </w:rPr>
        <w:t xml:space="preserve">The consultant will submit a draft evaluation report which will take into account the approved inception report and original evaluation terms of reference.  </w:t>
      </w:r>
      <w:r w:rsidR="000B7079" w:rsidRPr="00B5597A">
        <w:rPr>
          <w:rFonts w:ascii="Times New Roman" w:hAnsi="Times New Roman" w:cs="Times New Roman"/>
          <w:lang w:val="en-ZW"/>
        </w:rPr>
        <w:t xml:space="preserve">The </w:t>
      </w:r>
      <w:r w:rsidR="000B7079" w:rsidRPr="00B5597A">
        <w:rPr>
          <w:rFonts w:ascii="Times New Roman" w:hAnsi="Times New Roman" w:cs="Times New Roman"/>
          <w:b/>
          <w:lang w:val="en-ZW"/>
        </w:rPr>
        <w:t>draft evaluation report</w:t>
      </w:r>
      <w:r w:rsidR="000B7079" w:rsidRPr="00B5597A">
        <w:rPr>
          <w:rFonts w:ascii="Times New Roman" w:hAnsi="Times New Roman" w:cs="Times New Roman"/>
          <w:lang w:val="en-ZW"/>
        </w:rPr>
        <w:t xml:space="preserve"> will be shared with stakeholders/reference group members and presented in a validation workshop (if applicable). Feedback received from these sessions should be taken into account when preparing the final report. The evaluator will produce an ‘audit trail’ indicating whether and how each comment received was addressed in revisions to the </w:t>
      </w:r>
      <w:r w:rsidR="000B7079" w:rsidRPr="00B5597A">
        <w:rPr>
          <w:rFonts w:ascii="Times New Roman" w:hAnsi="Times New Roman" w:cs="Times New Roman"/>
          <w:b/>
          <w:lang w:val="en-ZW"/>
        </w:rPr>
        <w:t>final report</w:t>
      </w:r>
      <w:r w:rsidR="000B7079" w:rsidRPr="00B5597A">
        <w:rPr>
          <w:rFonts w:ascii="Times New Roman" w:hAnsi="Times New Roman" w:cs="Times New Roman"/>
          <w:lang w:val="en-ZW"/>
        </w:rPr>
        <w:t xml:space="preserve">. </w:t>
      </w:r>
    </w:p>
    <w:p w14:paraId="75ACECFA" w14:textId="48E6F31E" w:rsidR="000B7079" w:rsidRPr="00B5597A" w:rsidRDefault="000B7079" w:rsidP="000B7079">
      <w:pPr>
        <w:spacing w:before="100" w:beforeAutospacing="1" w:after="100" w:afterAutospacing="1" w:line="240" w:lineRule="auto"/>
        <w:jc w:val="both"/>
        <w:rPr>
          <w:rFonts w:ascii="Times New Roman" w:hAnsi="Times New Roman" w:cs="Times New Roman"/>
          <w:lang w:val="en-ZW"/>
        </w:rPr>
      </w:pPr>
      <w:r w:rsidRPr="00B5597A">
        <w:rPr>
          <w:rFonts w:ascii="Times New Roman" w:hAnsi="Times New Roman" w:cs="Times New Roman"/>
          <w:lang w:val="en-ZW"/>
        </w:rPr>
        <w:t xml:space="preserve">A </w:t>
      </w:r>
      <w:r w:rsidRPr="00B5597A">
        <w:rPr>
          <w:rFonts w:ascii="Times New Roman" w:hAnsi="Times New Roman" w:cs="Times New Roman"/>
          <w:b/>
          <w:lang w:val="en-ZW"/>
        </w:rPr>
        <w:t>lessons learnt report</w:t>
      </w:r>
      <w:r w:rsidRPr="00B5597A">
        <w:rPr>
          <w:rFonts w:ascii="Times New Roman" w:hAnsi="Times New Roman" w:cs="Times New Roman"/>
          <w:lang w:val="en-ZW"/>
        </w:rPr>
        <w:t xml:space="preserve"> will also be produced and discussed during the validation workshop. Feedback received should be taken into consideration when preparing the lessons learned report. The lessons learned report should cover the different facets country programme implemented by the CO.  This reports should be annexed in the main evaluation report. </w:t>
      </w:r>
    </w:p>
    <w:p w14:paraId="4D00454A" w14:textId="77777777" w:rsidR="000B7079" w:rsidRPr="00F516B9" w:rsidRDefault="000B7079" w:rsidP="000B7079">
      <w:pPr>
        <w:jc w:val="both"/>
        <w:rPr>
          <w:rFonts w:ascii="Times New Roman" w:eastAsia="Calibri" w:hAnsi="Times New Roman" w:cs="Times New Roman"/>
        </w:rPr>
      </w:pPr>
      <w:r w:rsidRPr="00F516B9">
        <w:rPr>
          <w:rFonts w:ascii="Times New Roman" w:eastAsia="Calibri" w:hAnsi="Times New Roman" w:cs="Times New Roman"/>
        </w:rPr>
        <w:t>A lump sum amount payable modality is envisaged upon submission of deliverables and acceptance/approval by UNDP CO for each identified deliverable.</w:t>
      </w:r>
    </w:p>
    <w:p w14:paraId="1E6EFB6E" w14:textId="77777777" w:rsidR="000B7079" w:rsidRPr="00F516B9" w:rsidRDefault="000B7079" w:rsidP="000B7079">
      <w:pPr>
        <w:jc w:val="both"/>
        <w:rPr>
          <w:rFonts w:ascii="Times New Roman" w:eastAsia="Calibri" w:hAnsi="Times New Roman" w:cs="Times New Roman"/>
        </w:rPr>
      </w:pPr>
      <w:r w:rsidRPr="00F516B9">
        <w:rPr>
          <w:rFonts w:ascii="Times New Roman" w:eastAsia="Calibri" w:hAnsi="Times New Roman" w:cs="Times New Roman"/>
        </w:rPr>
        <w:t xml:space="preserve">The lump sum amount is inclusive of all the costs related to the assignment. </w:t>
      </w:r>
    </w:p>
    <w:tbl>
      <w:tblPr>
        <w:tblStyle w:val="TableGrid"/>
        <w:tblW w:w="9209" w:type="dxa"/>
        <w:tblLook w:val="04A0" w:firstRow="1" w:lastRow="0" w:firstColumn="1" w:lastColumn="0" w:noHBand="0" w:noVBand="1"/>
      </w:tblPr>
      <w:tblGrid>
        <w:gridCol w:w="7650"/>
        <w:gridCol w:w="1559"/>
      </w:tblGrid>
      <w:tr w:rsidR="00B5597A" w:rsidRPr="00F516B9" w14:paraId="72947521" w14:textId="77777777" w:rsidTr="00B5597A">
        <w:tc>
          <w:tcPr>
            <w:tcW w:w="7650" w:type="dxa"/>
            <w:shd w:val="clear" w:color="auto" w:fill="D9D9D9" w:themeFill="background1" w:themeFillShade="D9"/>
          </w:tcPr>
          <w:p w14:paraId="22B072BF" w14:textId="77777777" w:rsidR="00B5597A" w:rsidRPr="00B5597A" w:rsidRDefault="00B5597A" w:rsidP="001A7BD2">
            <w:pPr>
              <w:jc w:val="center"/>
              <w:rPr>
                <w:rFonts w:ascii="Times New Roman" w:eastAsia="Calibri" w:hAnsi="Times New Roman" w:cs="Times New Roman"/>
              </w:rPr>
            </w:pPr>
            <w:r w:rsidRPr="00B5597A">
              <w:rPr>
                <w:rFonts w:ascii="Times New Roman" w:eastAsia="Calibri" w:hAnsi="Times New Roman" w:cs="Times New Roman"/>
                <w:b/>
                <w:bCs/>
                <w:iCs/>
              </w:rPr>
              <w:t>Deliverable/ activities</w:t>
            </w:r>
          </w:p>
        </w:tc>
        <w:tc>
          <w:tcPr>
            <w:tcW w:w="1559" w:type="dxa"/>
            <w:shd w:val="clear" w:color="auto" w:fill="D9D9D9" w:themeFill="background1" w:themeFillShade="D9"/>
          </w:tcPr>
          <w:p w14:paraId="2A217B2F" w14:textId="77777777" w:rsidR="00B5597A" w:rsidRPr="00B5597A" w:rsidRDefault="00B5597A" w:rsidP="001A7BD2">
            <w:pPr>
              <w:jc w:val="center"/>
              <w:rPr>
                <w:rFonts w:ascii="Times New Roman" w:eastAsia="Calibri" w:hAnsi="Times New Roman" w:cs="Times New Roman"/>
              </w:rPr>
            </w:pPr>
            <w:r w:rsidRPr="00B5597A">
              <w:rPr>
                <w:rFonts w:ascii="Times New Roman" w:eastAsia="Calibri" w:hAnsi="Times New Roman" w:cs="Times New Roman"/>
                <w:b/>
                <w:bCs/>
              </w:rPr>
              <w:t>Proposed Payment (%)</w:t>
            </w:r>
          </w:p>
        </w:tc>
      </w:tr>
      <w:tr w:rsidR="00B5597A" w:rsidRPr="00F516B9" w14:paraId="01668CF9" w14:textId="77777777" w:rsidTr="00B5597A">
        <w:tc>
          <w:tcPr>
            <w:tcW w:w="7650" w:type="dxa"/>
            <w:vAlign w:val="center"/>
          </w:tcPr>
          <w:p w14:paraId="5862DE59" w14:textId="6B32F666" w:rsidR="00B5597A" w:rsidRPr="00B5597A" w:rsidRDefault="00B5597A" w:rsidP="000B7079">
            <w:pPr>
              <w:jc w:val="both"/>
              <w:rPr>
                <w:rFonts w:ascii="Times New Roman" w:eastAsia="Calibri" w:hAnsi="Times New Roman" w:cs="Times New Roman"/>
                <w:b/>
                <w:bCs/>
              </w:rPr>
            </w:pPr>
            <w:r w:rsidRPr="00B5597A">
              <w:rPr>
                <w:rFonts w:ascii="Times New Roman" w:hAnsi="Times New Roman" w:cs="Times New Roman"/>
                <w:color w:val="333333"/>
                <w:lang w:val="en-GB" w:eastAsia="en-GB"/>
              </w:rPr>
              <w:t xml:space="preserve">Payment upon submission and acceptances of </w:t>
            </w:r>
            <w:r w:rsidRPr="00B5597A">
              <w:rPr>
                <w:rFonts w:ascii="Times New Roman" w:eastAsia="Times New Roman" w:hAnsi="Times New Roman" w:cs="Times New Roman"/>
                <w:lang w:val="en-ZA" w:eastAsia="ja-JP"/>
              </w:rPr>
              <w:t>draft report.</w:t>
            </w:r>
          </w:p>
        </w:tc>
        <w:tc>
          <w:tcPr>
            <w:tcW w:w="1559" w:type="dxa"/>
          </w:tcPr>
          <w:p w14:paraId="5FEBFD3C" w14:textId="44CBEC37" w:rsidR="00B5597A" w:rsidRPr="00B5597A" w:rsidRDefault="00573218" w:rsidP="001A7BD2">
            <w:pPr>
              <w:jc w:val="center"/>
              <w:rPr>
                <w:rFonts w:ascii="Times New Roman" w:eastAsia="Calibri" w:hAnsi="Times New Roman" w:cs="Times New Roman"/>
              </w:rPr>
            </w:pPr>
            <w:r>
              <w:rPr>
                <w:rFonts w:ascii="Times New Roman" w:eastAsia="Calibri" w:hAnsi="Times New Roman" w:cs="Times New Roman"/>
              </w:rPr>
              <w:t>5</w:t>
            </w:r>
            <w:r w:rsidR="00B5597A" w:rsidRPr="00B5597A">
              <w:rPr>
                <w:rFonts w:ascii="Times New Roman" w:eastAsia="Calibri" w:hAnsi="Times New Roman" w:cs="Times New Roman"/>
              </w:rPr>
              <w:t>0%</w:t>
            </w:r>
          </w:p>
        </w:tc>
      </w:tr>
      <w:tr w:rsidR="00B5597A" w:rsidRPr="00F516B9" w14:paraId="2AA64D0F" w14:textId="77777777" w:rsidTr="00B5597A">
        <w:tc>
          <w:tcPr>
            <w:tcW w:w="7650" w:type="dxa"/>
            <w:vAlign w:val="center"/>
          </w:tcPr>
          <w:p w14:paraId="563ACDA6" w14:textId="5AD7E69D" w:rsidR="00B5597A" w:rsidRPr="00B5597A" w:rsidRDefault="00B5597A" w:rsidP="001A7BD2">
            <w:pPr>
              <w:shd w:val="clear" w:color="auto" w:fill="FFFFFF"/>
              <w:spacing w:before="100" w:beforeAutospacing="1" w:after="100" w:afterAutospacing="1"/>
              <w:contextualSpacing/>
              <w:rPr>
                <w:rFonts w:ascii="Times New Roman" w:eastAsia="Times New Roman" w:hAnsi="Times New Roman" w:cs="Times New Roman"/>
                <w:lang w:val="en-ZA" w:eastAsia="ja-JP"/>
              </w:rPr>
            </w:pPr>
            <w:r w:rsidRPr="00B5597A">
              <w:rPr>
                <w:rFonts w:ascii="Times New Roman" w:hAnsi="Times New Roman" w:cs="Times New Roman"/>
                <w:color w:val="333333"/>
                <w:lang w:val="en-GB" w:eastAsia="en-GB"/>
              </w:rPr>
              <w:t xml:space="preserve">Payment upon submission of an acceptable </w:t>
            </w:r>
            <w:r w:rsidRPr="00B5597A">
              <w:rPr>
                <w:rFonts w:ascii="Times New Roman" w:eastAsia="Times New Roman" w:hAnsi="Times New Roman" w:cs="Times New Roman"/>
                <w:lang w:val="en-ZA" w:eastAsia="ja-JP"/>
              </w:rPr>
              <w:t xml:space="preserve">of </w:t>
            </w:r>
            <w:r w:rsidRPr="00F516B9">
              <w:rPr>
                <w:rFonts w:ascii="Times New Roman" w:hAnsi="Times New Roman" w:cs="Times New Roman"/>
              </w:rPr>
              <w:t>assignment and endorsement of the evaluation report by UNDP Country Office</w:t>
            </w:r>
            <w:r w:rsidRPr="00B5597A">
              <w:rPr>
                <w:rFonts w:ascii="Times New Roman" w:eastAsia="Times New Roman" w:hAnsi="Times New Roman" w:cs="Times New Roman"/>
                <w:lang w:val="en-ZA" w:eastAsia="ja-JP"/>
              </w:rPr>
              <w:t xml:space="preserve"> </w:t>
            </w:r>
          </w:p>
        </w:tc>
        <w:tc>
          <w:tcPr>
            <w:tcW w:w="1559" w:type="dxa"/>
          </w:tcPr>
          <w:p w14:paraId="2495F0AC" w14:textId="3B413250" w:rsidR="00B5597A" w:rsidRPr="00B5597A" w:rsidRDefault="00573218" w:rsidP="001A7BD2">
            <w:pPr>
              <w:jc w:val="center"/>
              <w:rPr>
                <w:rFonts w:ascii="Times New Roman" w:eastAsia="Calibri" w:hAnsi="Times New Roman" w:cs="Times New Roman"/>
                <w:lang w:val="en-AU"/>
              </w:rPr>
            </w:pPr>
            <w:r>
              <w:rPr>
                <w:rFonts w:ascii="Times New Roman" w:eastAsia="Calibri" w:hAnsi="Times New Roman" w:cs="Times New Roman"/>
                <w:lang w:val="en-AU"/>
              </w:rPr>
              <w:t>5</w:t>
            </w:r>
            <w:r w:rsidR="00B5597A" w:rsidRPr="00B5597A">
              <w:rPr>
                <w:rFonts w:ascii="Times New Roman" w:eastAsia="Calibri" w:hAnsi="Times New Roman" w:cs="Times New Roman"/>
                <w:lang w:val="en-AU"/>
              </w:rPr>
              <w:t>0%</w:t>
            </w:r>
          </w:p>
        </w:tc>
      </w:tr>
    </w:tbl>
    <w:p w14:paraId="56A7AA0D" w14:textId="20EF1B72" w:rsidR="000B7079" w:rsidRPr="00F516B9" w:rsidRDefault="000B7079" w:rsidP="00B5597A">
      <w:pPr>
        <w:pStyle w:val="Default"/>
        <w:numPr>
          <w:ilvl w:val="0"/>
          <w:numId w:val="11"/>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b/>
          <w:bCs/>
          <w:color w:val="auto"/>
          <w:sz w:val="22"/>
          <w:szCs w:val="22"/>
        </w:rPr>
        <w:t xml:space="preserve">Proposed Work Plan and Indicative Timeline </w:t>
      </w:r>
    </w:p>
    <w:p w14:paraId="7933A63C" w14:textId="64D15732"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It is planned that the evaluation starts </w:t>
      </w:r>
      <w:r w:rsidR="004923FE">
        <w:rPr>
          <w:rFonts w:ascii="Times New Roman" w:hAnsi="Times New Roman" w:cs="Times New Roman"/>
          <w:color w:val="auto"/>
          <w:sz w:val="22"/>
          <w:szCs w:val="22"/>
        </w:rPr>
        <w:t>in</w:t>
      </w:r>
      <w:r w:rsidRPr="00F516B9">
        <w:rPr>
          <w:rFonts w:ascii="Times New Roman" w:hAnsi="Times New Roman" w:cs="Times New Roman"/>
          <w:color w:val="auto"/>
          <w:sz w:val="22"/>
          <w:szCs w:val="22"/>
        </w:rPr>
        <w:t xml:space="preserve"> </w:t>
      </w:r>
      <w:r w:rsidR="00A27DD8">
        <w:rPr>
          <w:rFonts w:ascii="Times New Roman" w:hAnsi="Times New Roman" w:cs="Times New Roman"/>
          <w:color w:val="auto"/>
          <w:sz w:val="22"/>
          <w:szCs w:val="22"/>
        </w:rPr>
        <w:t>1 February</w:t>
      </w:r>
      <w:r w:rsidRPr="00F516B9">
        <w:rPr>
          <w:rFonts w:ascii="Times New Roman" w:hAnsi="Times New Roman" w:cs="Times New Roman"/>
          <w:color w:val="auto"/>
          <w:sz w:val="22"/>
          <w:szCs w:val="22"/>
        </w:rPr>
        <w:t>, 202</w:t>
      </w:r>
      <w:r w:rsidR="00A27DD8">
        <w:rPr>
          <w:rFonts w:ascii="Times New Roman" w:hAnsi="Times New Roman" w:cs="Times New Roman"/>
          <w:color w:val="auto"/>
          <w:sz w:val="22"/>
          <w:szCs w:val="22"/>
        </w:rPr>
        <w:t>2</w:t>
      </w:r>
      <w:r w:rsidRPr="00F516B9">
        <w:rPr>
          <w:rFonts w:ascii="Times New Roman" w:hAnsi="Times New Roman" w:cs="Times New Roman"/>
          <w:color w:val="auto"/>
          <w:sz w:val="22"/>
          <w:szCs w:val="22"/>
        </w:rPr>
        <w:t xml:space="preserve"> and shall expire on the satisfactory completion of the services of the services described above by </w:t>
      </w:r>
      <w:r w:rsidR="00A27DD8">
        <w:rPr>
          <w:rFonts w:ascii="Times New Roman" w:hAnsi="Times New Roman" w:cs="Times New Roman"/>
          <w:color w:val="auto"/>
          <w:sz w:val="22"/>
          <w:szCs w:val="22"/>
        </w:rPr>
        <w:t>3</w:t>
      </w:r>
      <w:r w:rsidR="00F912CB">
        <w:rPr>
          <w:rFonts w:ascii="Times New Roman" w:hAnsi="Times New Roman" w:cs="Times New Roman"/>
          <w:color w:val="auto"/>
          <w:sz w:val="22"/>
          <w:szCs w:val="22"/>
        </w:rPr>
        <w:t>0 April</w:t>
      </w:r>
      <w:r w:rsidRPr="00F516B9">
        <w:rPr>
          <w:rFonts w:ascii="Times New Roman" w:hAnsi="Times New Roman" w:cs="Times New Roman"/>
          <w:color w:val="auto"/>
          <w:sz w:val="22"/>
          <w:szCs w:val="22"/>
        </w:rPr>
        <w:t>, 202</w:t>
      </w:r>
      <w:r w:rsidR="00CF69A3">
        <w:rPr>
          <w:rFonts w:ascii="Times New Roman" w:hAnsi="Times New Roman" w:cs="Times New Roman"/>
          <w:color w:val="auto"/>
          <w:sz w:val="22"/>
          <w:szCs w:val="22"/>
        </w:rPr>
        <w:t>2</w:t>
      </w:r>
      <w:r w:rsidRPr="00F516B9">
        <w:rPr>
          <w:rFonts w:ascii="Times New Roman" w:hAnsi="Times New Roman" w:cs="Times New Roman"/>
          <w:color w:val="auto"/>
          <w:sz w:val="22"/>
          <w:szCs w:val="22"/>
        </w:rPr>
        <w:t>.</w:t>
      </w:r>
    </w:p>
    <w:p w14:paraId="6AF5ABB4" w14:textId="77777777" w:rsidR="00A45941" w:rsidRPr="00F516B9" w:rsidRDefault="000B7079" w:rsidP="00A45941">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The following schedule of activities is only illustrative, and a final timeline will need to be refined and presented by the evaluator to the Reference Group: </w:t>
      </w:r>
    </w:p>
    <w:tbl>
      <w:tblPr>
        <w:tblStyle w:val="TableGrid"/>
        <w:tblW w:w="0" w:type="auto"/>
        <w:tblLook w:val="04A0" w:firstRow="1" w:lastRow="0" w:firstColumn="1" w:lastColumn="0" w:noHBand="0" w:noVBand="1"/>
      </w:tblPr>
      <w:tblGrid>
        <w:gridCol w:w="4674"/>
        <w:gridCol w:w="4676"/>
      </w:tblGrid>
      <w:tr w:rsidR="00A45941" w:rsidRPr="00F516B9" w14:paraId="37BB7375" w14:textId="77777777" w:rsidTr="00B338F3">
        <w:tc>
          <w:tcPr>
            <w:tcW w:w="4674" w:type="dxa"/>
          </w:tcPr>
          <w:p w14:paraId="6DC9179E" w14:textId="77777777" w:rsidR="00A45941" w:rsidRPr="00F516B9" w:rsidRDefault="00A45941" w:rsidP="00B338F3">
            <w:pPr>
              <w:pStyle w:val="Default"/>
              <w:spacing w:before="100" w:beforeAutospacing="1" w:after="100" w:afterAutospacing="1"/>
              <w:jc w:val="both"/>
              <w:rPr>
                <w:rFonts w:ascii="Times New Roman" w:hAnsi="Times New Roman" w:cs="Times New Roman"/>
                <w:b/>
                <w:color w:val="auto"/>
                <w:sz w:val="22"/>
                <w:szCs w:val="22"/>
              </w:rPr>
            </w:pPr>
            <w:r w:rsidRPr="00F516B9">
              <w:rPr>
                <w:rFonts w:ascii="Times New Roman" w:hAnsi="Times New Roman" w:cs="Times New Roman"/>
                <w:b/>
                <w:color w:val="auto"/>
                <w:sz w:val="22"/>
                <w:szCs w:val="22"/>
              </w:rPr>
              <w:t>TIMELINE - Tentative</w:t>
            </w:r>
          </w:p>
        </w:tc>
        <w:tc>
          <w:tcPr>
            <w:tcW w:w="4676" w:type="dxa"/>
          </w:tcPr>
          <w:p w14:paraId="569BF2B8" w14:textId="77777777" w:rsidR="00A45941" w:rsidRPr="00F516B9" w:rsidRDefault="00A45941" w:rsidP="00B338F3">
            <w:pPr>
              <w:pStyle w:val="Default"/>
              <w:spacing w:before="100" w:beforeAutospacing="1" w:after="100" w:afterAutospacing="1"/>
              <w:jc w:val="both"/>
              <w:rPr>
                <w:rFonts w:ascii="Times New Roman" w:hAnsi="Times New Roman" w:cs="Times New Roman"/>
                <w:b/>
                <w:color w:val="auto"/>
                <w:sz w:val="22"/>
                <w:szCs w:val="22"/>
              </w:rPr>
            </w:pPr>
            <w:r w:rsidRPr="00F516B9">
              <w:rPr>
                <w:rFonts w:ascii="Times New Roman" w:hAnsi="Times New Roman" w:cs="Times New Roman"/>
                <w:b/>
                <w:color w:val="auto"/>
                <w:sz w:val="22"/>
                <w:szCs w:val="22"/>
              </w:rPr>
              <w:t>ACTIVITY</w:t>
            </w:r>
          </w:p>
        </w:tc>
      </w:tr>
      <w:tr w:rsidR="00A45941" w:rsidRPr="00F516B9" w14:paraId="6143F2E1" w14:textId="77777777" w:rsidTr="00B338F3">
        <w:tc>
          <w:tcPr>
            <w:tcW w:w="4674" w:type="dxa"/>
          </w:tcPr>
          <w:p w14:paraId="2D491796"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9A5AA4">
              <w:rPr>
                <w:rFonts w:ascii="Times New Roman" w:hAnsi="Times New Roman" w:cs="Times New Roman"/>
                <w:color w:val="auto"/>
                <w:sz w:val="22"/>
                <w:szCs w:val="22"/>
                <w:vertAlign w:val="superscript"/>
              </w:rPr>
              <w:t>rd</w:t>
            </w:r>
            <w:r>
              <w:rPr>
                <w:rFonts w:ascii="Times New Roman" w:hAnsi="Times New Roman" w:cs="Times New Roman"/>
                <w:color w:val="auto"/>
                <w:sz w:val="22"/>
                <w:szCs w:val="22"/>
              </w:rPr>
              <w:t xml:space="preserve">  </w:t>
            </w:r>
            <w:r w:rsidRPr="00F516B9">
              <w:rPr>
                <w:rFonts w:ascii="Times New Roman" w:hAnsi="Times New Roman" w:cs="Times New Roman"/>
                <w:color w:val="auto"/>
                <w:sz w:val="22"/>
                <w:szCs w:val="22"/>
              </w:rPr>
              <w:t>week</w:t>
            </w:r>
            <w:r>
              <w:rPr>
                <w:rFonts w:ascii="Times New Roman" w:hAnsi="Times New Roman" w:cs="Times New Roman"/>
                <w:color w:val="auto"/>
                <w:sz w:val="22"/>
                <w:szCs w:val="22"/>
              </w:rPr>
              <w:t xml:space="preserve"> of February</w:t>
            </w:r>
          </w:p>
        </w:tc>
        <w:tc>
          <w:tcPr>
            <w:tcW w:w="4676" w:type="dxa"/>
          </w:tcPr>
          <w:p w14:paraId="681AA54A"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Preparation and Submission of Draft report </w:t>
            </w:r>
          </w:p>
        </w:tc>
      </w:tr>
      <w:tr w:rsidR="00A45941" w:rsidRPr="00F516B9" w14:paraId="6F97EAA5" w14:textId="77777777" w:rsidTr="00B338F3">
        <w:tc>
          <w:tcPr>
            <w:tcW w:w="4674" w:type="dxa"/>
          </w:tcPr>
          <w:p w14:paraId="06C98A44"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Pr="009A5AA4">
              <w:rPr>
                <w:rFonts w:ascii="Times New Roman" w:hAnsi="Times New Roman" w:cs="Times New Roman"/>
                <w:color w:val="auto"/>
                <w:sz w:val="22"/>
                <w:szCs w:val="22"/>
                <w:vertAlign w:val="superscript"/>
              </w:rPr>
              <w:t>nd</w:t>
            </w:r>
            <w:r>
              <w:rPr>
                <w:rFonts w:ascii="Times New Roman" w:hAnsi="Times New Roman" w:cs="Times New Roman"/>
                <w:color w:val="auto"/>
                <w:sz w:val="22"/>
                <w:szCs w:val="22"/>
              </w:rPr>
              <w:t xml:space="preserve">  </w:t>
            </w:r>
            <w:r w:rsidRPr="00F516B9">
              <w:rPr>
                <w:rFonts w:ascii="Times New Roman" w:hAnsi="Times New Roman" w:cs="Times New Roman"/>
                <w:color w:val="auto"/>
                <w:sz w:val="22"/>
                <w:szCs w:val="22"/>
              </w:rPr>
              <w:t xml:space="preserve">week </w:t>
            </w:r>
            <w:r>
              <w:rPr>
                <w:rFonts w:ascii="Times New Roman" w:hAnsi="Times New Roman" w:cs="Times New Roman"/>
                <w:color w:val="auto"/>
                <w:sz w:val="22"/>
                <w:szCs w:val="22"/>
              </w:rPr>
              <w:t>of March</w:t>
            </w:r>
          </w:p>
        </w:tc>
        <w:tc>
          <w:tcPr>
            <w:tcW w:w="4676" w:type="dxa"/>
          </w:tcPr>
          <w:p w14:paraId="7CCA1516"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Review of draft report and comments</w:t>
            </w:r>
          </w:p>
        </w:tc>
      </w:tr>
      <w:tr w:rsidR="00A45941" w:rsidRPr="00F516B9" w14:paraId="0BD09073" w14:textId="77777777" w:rsidTr="00B338F3">
        <w:tc>
          <w:tcPr>
            <w:tcW w:w="4674" w:type="dxa"/>
          </w:tcPr>
          <w:p w14:paraId="3211AD4F"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9A5AA4">
              <w:rPr>
                <w:rFonts w:ascii="Times New Roman" w:hAnsi="Times New Roman" w:cs="Times New Roman"/>
                <w:color w:val="auto"/>
                <w:sz w:val="22"/>
                <w:szCs w:val="22"/>
                <w:vertAlign w:val="superscript"/>
              </w:rPr>
              <w:t>th</w:t>
            </w:r>
            <w:r>
              <w:rPr>
                <w:rFonts w:ascii="Times New Roman" w:hAnsi="Times New Roman" w:cs="Times New Roman"/>
                <w:color w:val="auto"/>
                <w:sz w:val="22"/>
                <w:szCs w:val="22"/>
              </w:rPr>
              <w:t xml:space="preserve"> week March</w:t>
            </w:r>
          </w:p>
        </w:tc>
        <w:tc>
          <w:tcPr>
            <w:tcW w:w="4676" w:type="dxa"/>
          </w:tcPr>
          <w:p w14:paraId="6B3282CB"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Stakeholders’workshop (optional)</w:t>
            </w:r>
          </w:p>
        </w:tc>
      </w:tr>
      <w:tr w:rsidR="00A45941" w:rsidRPr="00F516B9" w14:paraId="0BA16728" w14:textId="77777777" w:rsidTr="00B338F3">
        <w:tc>
          <w:tcPr>
            <w:tcW w:w="4674" w:type="dxa"/>
          </w:tcPr>
          <w:p w14:paraId="5B423210"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April</w:t>
            </w:r>
          </w:p>
        </w:tc>
        <w:tc>
          <w:tcPr>
            <w:tcW w:w="4676" w:type="dxa"/>
          </w:tcPr>
          <w:p w14:paraId="1587890D" w14:textId="77777777" w:rsidR="00A45941" w:rsidRPr="00F516B9" w:rsidRDefault="00A45941" w:rsidP="00B338F3">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Submission of final report</w:t>
            </w:r>
          </w:p>
        </w:tc>
      </w:tr>
    </w:tbl>
    <w:p w14:paraId="2E454D6E" w14:textId="3F24BE6B" w:rsidR="000B7079" w:rsidRPr="00B5597A" w:rsidRDefault="000B7079" w:rsidP="00A45941">
      <w:pPr>
        <w:pStyle w:val="Default"/>
        <w:numPr>
          <w:ilvl w:val="0"/>
          <w:numId w:val="11"/>
        </w:numPr>
        <w:spacing w:before="100" w:beforeAutospacing="1" w:after="100" w:afterAutospacing="1"/>
        <w:jc w:val="both"/>
        <w:rPr>
          <w:rFonts w:ascii="Times New Roman" w:hAnsi="Times New Roman" w:cs="Times New Roman"/>
          <w:b/>
          <w:lang w:val="en-ZW"/>
        </w:rPr>
      </w:pPr>
      <w:r w:rsidRPr="00B5597A">
        <w:rPr>
          <w:rFonts w:ascii="Times New Roman" w:hAnsi="Times New Roman" w:cs="Times New Roman"/>
          <w:b/>
          <w:lang w:val="en-ZW"/>
        </w:rPr>
        <w:t>Evaluation Required Competencies</w:t>
      </w:r>
    </w:p>
    <w:p w14:paraId="02BD4AFD" w14:textId="1237FA25" w:rsidR="000B7079" w:rsidRPr="00B5597A" w:rsidRDefault="000B7079" w:rsidP="000B7079">
      <w:pPr>
        <w:spacing w:before="100" w:beforeAutospacing="1" w:after="100" w:afterAutospacing="1" w:line="240" w:lineRule="auto"/>
        <w:jc w:val="both"/>
        <w:rPr>
          <w:rFonts w:ascii="Times New Roman" w:eastAsiaTheme="minorEastAsia" w:hAnsi="Times New Roman" w:cs="Times New Roman"/>
        </w:rPr>
      </w:pPr>
      <w:r w:rsidRPr="00B5597A">
        <w:rPr>
          <w:rFonts w:ascii="Times New Roman" w:hAnsi="Times New Roman" w:cs="Times New Roman"/>
          <w:lang w:val="en-ZW"/>
        </w:rPr>
        <w:t xml:space="preserve">The evaluation will be conducted by three evaluators: a principal evaluator who will be team leader and team members who will focus on aspects </w:t>
      </w:r>
      <w:r w:rsidR="00FB60A5">
        <w:rPr>
          <w:rFonts w:ascii="Times New Roman" w:hAnsi="Times New Roman" w:cs="Times New Roman"/>
          <w:lang w:val="en-ZW"/>
        </w:rPr>
        <w:t xml:space="preserve">of the Country Programme as follows, Team Member I: </w:t>
      </w:r>
      <w:r w:rsidR="00FB60A5" w:rsidRPr="00140CC6">
        <w:rPr>
          <w:rFonts w:ascii="Times New Roman" w:hAnsi="Times New Roman" w:cs="Times New Roman"/>
          <w:lang w:eastAsia="en-ZA"/>
        </w:rPr>
        <w:t>Inclusive business, access to clean energy and climate adaptation and resilience to shocks</w:t>
      </w:r>
      <w:r w:rsidR="00FB60A5">
        <w:rPr>
          <w:rFonts w:ascii="Times New Roman" w:hAnsi="Times New Roman" w:cs="Times New Roman"/>
          <w:lang w:eastAsia="en-ZA"/>
        </w:rPr>
        <w:t>, and Team Member</w:t>
      </w:r>
      <w:r w:rsidR="00FB60A5">
        <w:rPr>
          <w:rFonts w:ascii="Times New Roman" w:hAnsi="Times New Roman" w:cs="Times New Roman"/>
          <w:lang w:val="en-ZW"/>
        </w:rPr>
        <w:t xml:space="preserve"> II: </w:t>
      </w:r>
      <w:r w:rsidR="00FB60A5" w:rsidRPr="005A2C04">
        <w:rPr>
          <w:rFonts w:ascii="Times New Roman" w:hAnsi="Times New Roman" w:cs="Times New Roman"/>
          <w:lang w:eastAsia="en-ZA"/>
        </w:rPr>
        <w:t>inclusive governance, accountable institutions and civic engagement</w:t>
      </w:r>
      <w:r w:rsidRPr="005A2C04">
        <w:rPr>
          <w:rFonts w:ascii="Times New Roman" w:eastAsiaTheme="minorEastAsia" w:hAnsi="Times New Roman" w:cs="Times New Roman"/>
          <w:i/>
          <w:iCs/>
        </w:rPr>
        <w:t>.</w:t>
      </w:r>
      <w:r w:rsidRPr="00B5597A">
        <w:rPr>
          <w:rFonts w:ascii="Times New Roman" w:eastAsiaTheme="minorEastAsia" w:hAnsi="Times New Roman" w:cs="Times New Roman"/>
          <w:i/>
          <w:iCs/>
        </w:rPr>
        <w:t xml:space="preserve"> </w:t>
      </w:r>
      <w:r w:rsidRPr="00B5597A">
        <w:rPr>
          <w:rFonts w:ascii="Times New Roman" w:eastAsiaTheme="minorEastAsia" w:hAnsi="Times New Roman" w:cs="Times New Roman"/>
        </w:rPr>
        <w:t xml:space="preserve">The </w:t>
      </w:r>
      <w:r w:rsidR="00FB60A5">
        <w:rPr>
          <w:rFonts w:ascii="Times New Roman" w:eastAsiaTheme="minorEastAsia" w:hAnsi="Times New Roman" w:cs="Times New Roman"/>
        </w:rPr>
        <w:t>team members</w:t>
      </w:r>
      <w:r w:rsidRPr="00B5597A">
        <w:rPr>
          <w:rFonts w:ascii="Times New Roman" w:eastAsiaTheme="minorEastAsia" w:hAnsi="Times New Roman" w:cs="Times New Roman"/>
        </w:rPr>
        <w:t xml:space="preserve"> will be national experts while the team leader will be searched globally.</w:t>
      </w:r>
    </w:p>
    <w:p w14:paraId="5069123F" w14:textId="356A7FA7" w:rsidR="000B7079" w:rsidRPr="00B5597A" w:rsidRDefault="00B21C2A" w:rsidP="000B7079">
      <w:pPr>
        <w:spacing w:before="100" w:beforeAutospacing="1" w:after="100" w:afterAutospacing="1" w:line="240" w:lineRule="auto"/>
        <w:jc w:val="both"/>
        <w:rPr>
          <w:rFonts w:ascii="Times New Roman" w:hAnsi="Times New Roman" w:cs="Times New Roman"/>
          <w:b/>
          <w:lang w:val="en-ZW"/>
        </w:rPr>
      </w:pPr>
      <w:r>
        <w:rPr>
          <w:rFonts w:ascii="Times New Roman" w:hAnsi="Times New Roman" w:cs="Times New Roman"/>
          <w:b/>
        </w:rPr>
        <w:t xml:space="preserve">9.1 </w:t>
      </w:r>
      <w:r w:rsidR="000B7079" w:rsidRPr="00B5597A">
        <w:rPr>
          <w:rFonts w:ascii="Times New Roman" w:hAnsi="Times New Roman" w:cs="Times New Roman"/>
          <w:b/>
          <w:lang w:val="en-ZW"/>
        </w:rPr>
        <w:t>Required Qualifications and Experience of the Principal Evaluator/Team leader</w:t>
      </w:r>
    </w:p>
    <w:p w14:paraId="69EDC8CF" w14:textId="77777777" w:rsidR="000B7079" w:rsidRPr="00B5597A" w:rsidRDefault="000B7079" w:rsidP="001F165F">
      <w:pPr>
        <w:numPr>
          <w:ilvl w:val="0"/>
          <w:numId w:val="13"/>
        </w:numPr>
        <w:spacing w:before="100" w:beforeAutospacing="1" w:after="100" w:afterAutospacing="1" w:line="240" w:lineRule="auto"/>
        <w:contextualSpacing/>
        <w:jc w:val="both"/>
        <w:rPr>
          <w:rFonts w:ascii="Times New Roman" w:hAnsi="Times New Roman" w:cs="Times New Roman"/>
          <w:lang w:val="en-ZW"/>
        </w:rPr>
      </w:pPr>
      <w:r w:rsidRPr="00B5597A">
        <w:rPr>
          <w:rFonts w:ascii="Times New Roman" w:hAnsi="Times New Roman" w:cs="Times New Roman"/>
          <w:lang w:val="en-ZW"/>
        </w:rPr>
        <w:t>Minimum Master’s degree in economics, political science, public administration, development studies, international relations or other related social sciences;</w:t>
      </w:r>
    </w:p>
    <w:p w14:paraId="623DA9CE" w14:textId="521E49C9" w:rsidR="000B7079" w:rsidRPr="00B5597A" w:rsidRDefault="000B7079" w:rsidP="001F165F">
      <w:pPr>
        <w:numPr>
          <w:ilvl w:val="0"/>
          <w:numId w:val="13"/>
        </w:numPr>
        <w:spacing w:before="100" w:beforeAutospacing="1" w:after="100" w:afterAutospacing="1" w:line="240" w:lineRule="auto"/>
        <w:contextualSpacing/>
        <w:jc w:val="both"/>
        <w:rPr>
          <w:rFonts w:ascii="Times New Roman" w:hAnsi="Times New Roman" w:cs="Times New Roman"/>
          <w:lang w:val="en-ZW"/>
        </w:rPr>
      </w:pPr>
      <w:r w:rsidRPr="00B5597A">
        <w:rPr>
          <w:rFonts w:ascii="Times New Roman" w:hAnsi="Times New Roman" w:cs="Times New Roman"/>
          <w:lang w:val="en-ZW"/>
        </w:rPr>
        <w:t xml:space="preserve">Minimum </w:t>
      </w:r>
      <w:r w:rsidR="002909EF">
        <w:rPr>
          <w:rFonts w:ascii="Times New Roman" w:hAnsi="Times New Roman" w:cs="Times New Roman"/>
          <w:lang w:val="en-ZW"/>
        </w:rPr>
        <w:t>10</w:t>
      </w:r>
      <w:r w:rsidRPr="00B5597A">
        <w:rPr>
          <w:rFonts w:ascii="Times New Roman" w:hAnsi="Times New Roman" w:cs="Times New Roman"/>
          <w:lang w:val="en-ZW"/>
        </w:rPr>
        <w:t xml:space="preserve"> years of professional experience in at least t</w:t>
      </w:r>
      <w:r w:rsidR="005A2C04">
        <w:rPr>
          <w:rFonts w:ascii="Times New Roman" w:hAnsi="Times New Roman" w:cs="Times New Roman"/>
          <w:lang w:val="en-ZW"/>
        </w:rPr>
        <w:t>hree</w:t>
      </w:r>
      <w:r w:rsidRPr="00B5597A">
        <w:rPr>
          <w:rFonts w:ascii="Times New Roman" w:hAnsi="Times New Roman" w:cs="Times New Roman"/>
          <w:lang w:val="en-ZW"/>
        </w:rPr>
        <w:t xml:space="preserve"> subject areas of UNDP Malawi’s work: </w:t>
      </w:r>
      <w:r w:rsidR="005A2C04">
        <w:rPr>
          <w:rFonts w:ascii="Times New Roman" w:hAnsi="Times New Roman" w:cs="Times New Roman"/>
          <w:lang w:val="en-ZW"/>
        </w:rPr>
        <w:t xml:space="preserve">i) inclusive </w:t>
      </w:r>
      <w:r w:rsidRPr="00B5597A">
        <w:rPr>
          <w:rFonts w:ascii="Times New Roman" w:hAnsi="Times New Roman" w:cs="Times New Roman"/>
          <w:lang w:val="en-ZW"/>
        </w:rPr>
        <w:t>governance and public sector management;</w:t>
      </w:r>
      <w:r w:rsidR="005A2C04">
        <w:rPr>
          <w:rFonts w:ascii="Times New Roman" w:hAnsi="Times New Roman" w:cs="Times New Roman"/>
          <w:lang w:val="en-ZW"/>
        </w:rPr>
        <w:t xml:space="preserve"> ii) civic engagement;</w:t>
      </w:r>
      <w:r w:rsidRPr="00B5597A">
        <w:rPr>
          <w:rFonts w:ascii="Times New Roman" w:hAnsi="Times New Roman" w:cs="Times New Roman"/>
          <w:lang w:val="en-ZW"/>
        </w:rPr>
        <w:t xml:space="preserve"> </w:t>
      </w:r>
      <w:r w:rsidR="005A2C04">
        <w:rPr>
          <w:rFonts w:ascii="Times New Roman" w:hAnsi="Times New Roman" w:cs="Times New Roman"/>
          <w:lang w:val="en-ZW"/>
        </w:rPr>
        <w:t xml:space="preserve">iii) </w:t>
      </w:r>
      <w:r w:rsidR="007E23C2">
        <w:rPr>
          <w:rFonts w:ascii="Times New Roman" w:hAnsi="Times New Roman" w:cs="Times New Roman"/>
          <w:lang w:val="en-ZW"/>
        </w:rPr>
        <w:t>inclusive business models</w:t>
      </w:r>
      <w:r w:rsidR="005A2C04">
        <w:rPr>
          <w:rFonts w:ascii="Times New Roman" w:hAnsi="Times New Roman" w:cs="Times New Roman"/>
          <w:lang w:val="en-ZW"/>
        </w:rPr>
        <w:t xml:space="preserve"> and private sector development</w:t>
      </w:r>
      <w:r w:rsidR="007E23C2">
        <w:rPr>
          <w:rFonts w:ascii="Times New Roman" w:hAnsi="Times New Roman" w:cs="Times New Roman"/>
          <w:lang w:val="en-ZW"/>
        </w:rPr>
        <w:t xml:space="preserve">, </w:t>
      </w:r>
      <w:r w:rsidR="005A2C04">
        <w:rPr>
          <w:rFonts w:ascii="Times New Roman" w:hAnsi="Times New Roman" w:cs="Times New Roman"/>
          <w:lang w:val="en-ZW"/>
        </w:rPr>
        <w:t xml:space="preserve">iv) </w:t>
      </w:r>
      <w:r w:rsidR="007E23C2">
        <w:rPr>
          <w:rFonts w:ascii="Times New Roman" w:hAnsi="Times New Roman" w:cs="Times New Roman"/>
          <w:lang w:val="en-ZW"/>
        </w:rPr>
        <w:t>climate resilience and adaptation</w:t>
      </w:r>
      <w:r w:rsidR="005A2C04">
        <w:rPr>
          <w:rFonts w:ascii="Times New Roman" w:hAnsi="Times New Roman" w:cs="Times New Roman"/>
          <w:lang w:val="en-ZW"/>
        </w:rPr>
        <w:t xml:space="preserve"> to shocks</w:t>
      </w:r>
      <w:r w:rsidRPr="00B5597A">
        <w:rPr>
          <w:rFonts w:ascii="Times New Roman" w:hAnsi="Times New Roman" w:cs="Times New Roman"/>
          <w:lang w:val="en-ZW"/>
        </w:rPr>
        <w:t xml:space="preserve">; </w:t>
      </w:r>
      <w:r w:rsidR="007E23C2">
        <w:rPr>
          <w:rFonts w:ascii="Times New Roman" w:hAnsi="Times New Roman" w:cs="Times New Roman"/>
          <w:lang w:val="en-ZW"/>
        </w:rPr>
        <w:t xml:space="preserve">and </w:t>
      </w:r>
      <w:r w:rsidR="005A2C04">
        <w:rPr>
          <w:rFonts w:ascii="Times New Roman" w:hAnsi="Times New Roman" w:cs="Times New Roman"/>
          <w:lang w:val="en-ZW"/>
        </w:rPr>
        <w:t xml:space="preserve">v) </w:t>
      </w:r>
      <w:r w:rsidR="007E23C2">
        <w:rPr>
          <w:rFonts w:ascii="Times New Roman" w:hAnsi="Times New Roman" w:cs="Times New Roman"/>
          <w:lang w:val="en-ZW"/>
        </w:rPr>
        <w:t>access to clean energy</w:t>
      </w:r>
      <w:r w:rsidRPr="00B5597A">
        <w:rPr>
          <w:rFonts w:ascii="Times New Roman" w:hAnsi="Times New Roman" w:cs="Times New Roman"/>
          <w:lang w:val="en-ZW"/>
        </w:rPr>
        <w:t>;</w:t>
      </w:r>
    </w:p>
    <w:p w14:paraId="13629650" w14:textId="3A7FF0AE" w:rsidR="003E2CC4" w:rsidRPr="00B5597A" w:rsidRDefault="007A5777" w:rsidP="001F165F">
      <w:pPr>
        <w:pStyle w:val="ListParagraph"/>
        <w:numPr>
          <w:ilvl w:val="0"/>
          <w:numId w:val="13"/>
        </w:numPr>
        <w:spacing w:before="100" w:beforeAutospacing="1" w:after="100" w:afterAutospacing="1" w:line="240" w:lineRule="auto"/>
        <w:jc w:val="both"/>
        <w:rPr>
          <w:rFonts w:ascii="Times New Roman" w:hAnsi="Times New Roman" w:cs="Times New Roman"/>
          <w:lang w:val="en-ZW"/>
        </w:rPr>
      </w:pPr>
      <w:r>
        <w:rPr>
          <w:rFonts w:ascii="Times New Roman" w:hAnsi="Times New Roman" w:cs="Times New Roman"/>
          <w:lang w:val="en-ZW"/>
        </w:rPr>
        <w:t>Pr</w:t>
      </w:r>
      <w:r w:rsidR="003E2CC4" w:rsidRPr="00B5597A">
        <w:rPr>
          <w:rFonts w:ascii="Times New Roman" w:hAnsi="Times New Roman" w:cs="Times New Roman"/>
          <w:lang w:val="en-ZW"/>
        </w:rPr>
        <w:t xml:space="preserve">oven experience in </w:t>
      </w:r>
      <w:r>
        <w:rPr>
          <w:rFonts w:ascii="Times New Roman" w:hAnsi="Times New Roman" w:cs="Times New Roman"/>
          <w:lang w:val="en-ZW"/>
        </w:rPr>
        <w:t xml:space="preserve">conducting </w:t>
      </w:r>
      <w:r w:rsidR="003E2CC4" w:rsidRPr="00B5597A">
        <w:rPr>
          <w:rFonts w:ascii="Times New Roman" w:hAnsi="Times New Roman" w:cs="Times New Roman"/>
          <w:lang w:val="en-ZW"/>
        </w:rPr>
        <w:t>evaluations of national policies, strategies or programmes of government and international aid organisations</w:t>
      </w:r>
      <w:r>
        <w:rPr>
          <w:rFonts w:ascii="Times New Roman" w:hAnsi="Times New Roman" w:cs="Times New Roman"/>
          <w:lang w:val="en-ZW"/>
        </w:rPr>
        <w:t xml:space="preserve"> with a </w:t>
      </w:r>
      <w:r w:rsidRPr="00B5597A">
        <w:rPr>
          <w:rFonts w:ascii="Times New Roman" w:hAnsi="Times New Roman" w:cs="Times New Roman"/>
          <w:b/>
          <w:bCs/>
          <w:lang w:val="en-ZW"/>
        </w:rPr>
        <w:t>minimum of three of those evaluations in a leading role</w:t>
      </w:r>
      <w:r>
        <w:rPr>
          <w:rFonts w:ascii="Times New Roman" w:hAnsi="Times New Roman" w:cs="Times New Roman"/>
          <w:lang w:val="en-ZW"/>
        </w:rPr>
        <w:t>.</w:t>
      </w:r>
    </w:p>
    <w:p w14:paraId="04A9374F" w14:textId="59410F30" w:rsidR="003E2CC4" w:rsidRPr="007A5777" w:rsidRDefault="003E2CC4" w:rsidP="001F165F">
      <w:pPr>
        <w:pStyle w:val="ListParagraph"/>
        <w:numPr>
          <w:ilvl w:val="0"/>
          <w:numId w:val="13"/>
        </w:numPr>
        <w:spacing w:before="100" w:beforeAutospacing="1" w:after="100" w:afterAutospacing="1" w:line="240" w:lineRule="auto"/>
        <w:jc w:val="both"/>
        <w:rPr>
          <w:rFonts w:ascii="Times New Roman" w:hAnsi="Times New Roman" w:cs="Times New Roman"/>
          <w:lang w:val="en-ZW"/>
        </w:rPr>
      </w:pPr>
      <w:r w:rsidRPr="00B5597A">
        <w:rPr>
          <w:rFonts w:ascii="Times New Roman" w:hAnsi="Times New Roman" w:cs="Times New Roman"/>
          <w:lang w:val="en-ZW"/>
        </w:rPr>
        <w:t>At</w:t>
      </w:r>
      <w:r w:rsidR="007A5777">
        <w:rPr>
          <w:rFonts w:ascii="Times New Roman" w:hAnsi="Times New Roman" w:cs="Times New Roman"/>
          <w:lang w:val="en-ZW"/>
        </w:rPr>
        <w:t xml:space="preserve"> </w:t>
      </w:r>
      <w:r w:rsidRPr="00B5597A">
        <w:rPr>
          <w:rFonts w:ascii="Times New Roman" w:hAnsi="Times New Roman" w:cs="Times New Roman"/>
          <w:lang w:val="en-ZW"/>
        </w:rPr>
        <w:t xml:space="preserve">least </w:t>
      </w:r>
      <w:r w:rsidR="007A5777">
        <w:rPr>
          <w:rFonts w:ascii="Times New Roman" w:hAnsi="Times New Roman" w:cs="Times New Roman"/>
          <w:lang w:val="en-ZW"/>
        </w:rPr>
        <w:t>3</w:t>
      </w:r>
      <w:r w:rsidRPr="00B5597A">
        <w:rPr>
          <w:rFonts w:ascii="Times New Roman" w:hAnsi="Times New Roman" w:cs="Times New Roman"/>
          <w:lang w:val="en-ZW"/>
        </w:rPr>
        <w:t xml:space="preserve"> years of knowledge and experience in gender mainstreaming</w:t>
      </w:r>
    </w:p>
    <w:p w14:paraId="12700CF5" w14:textId="77777777" w:rsidR="000B7079" w:rsidRPr="00B5597A" w:rsidRDefault="000B7079" w:rsidP="001F165F">
      <w:pPr>
        <w:numPr>
          <w:ilvl w:val="0"/>
          <w:numId w:val="13"/>
        </w:numPr>
        <w:spacing w:before="100" w:beforeAutospacing="1" w:after="100" w:afterAutospacing="1" w:line="240" w:lineRule="auto"/>
        <w:contextualSpacing/>
        <w:jc w:val="both"/>
        <w:rPr>
          <w:rFonts w:ascii="Times New Roman" w:hAnsi="Times New Roman" w:cs="Times New Roman"/>
        </w:rPr>
      </w:pPr>
      <w:r w:rsidRPr="00B5597A">
        <w:rPr>
          <w:rFonts w:ascii="Times New Roman" w:hAnsi="Times New Roman" w:cs="Times New Roman"/>
          <w:lang w:val="en-ZW"/>
        </w:rPr>
        <w:t xml:space="preserve">Fluent in written and spoken English. </w:t>
      </w:r>
    </w:p>
    <w:p w14:paraId="6FADCEF2" w14:textId="77777777" w:rsidR="000B7079" w:rsidRPr="00B5597A" w:rsidRDefault="000B7079" w:rsidP="000B7079">
      <w:pPr>
        <w:spacing w:before="100" w:beforeAutospacing="1" w:after="100" w:afterAutospacing="1" w:line="240" w:lineRule="auto"/>
        <w:ind w:left="720"/>
        <w:contextualSpacing/>
        <w:jc w:val="both"/>
        <w:rPr>
          <w:rFonts w:ascii="Times New Roman" w:hAnsi="Times New Roman" w:cs="Times New Roman"/>
        </w:rPr>
      </w:pPr>
    </w:p>
    <w:p w14:paraId="79E8FFBD" w14:textId="77777777" w:rsidR="000B7079" w:rsidRPr="00B5597A" w:rsidRDefault="000B7079" w:rsidP="000B7079">
      <w:pPr>
        <w:spacing w:before="100" w:beforeAutospacing="1" w:after="100" w:afterAutospacing="1" w:line="240" w:lineRule="auto"/>
        <w:ind w:left="360"/>
        <w:contextualSpacing/>
        <w:jc w:val="both"/>
        <w:rPr>
          <w:rFonts w:ascii="Times New Roman" w:hAnsi="Times New Roman" w:cs="Times New Roman"/>
          <w:lang w:val="en-ZW"/>
        </w:rPr>
      </w:pPr>
      <w:r w:rsidRPr="00B5597A">
        <w:rPr>
          <w:rFonts w:ascii="Times New Roman" w:hAnsi="Times New Roman" w:cs="Times New Roman"/>
        </w:rPr>
        <w:t xml:space="preserve">The evaluator will have overall responsibility for the quality and timely submission of the draft and final evaluation report. </w:t>
      </w:r>
    </w:p>
    <w:p w14:paraId="7AA7F02A" w14:textId="77777777" w:rsidR="000B7079" w:rsidRPr="00B5597A" w:rsidRDefault="000B7079" w:rsidP="000B7079">
      <w:pPr>
        <w:spacing w:before="100" w:beforeAutospacing="1" w:after="100" w:afterAutospacing="1" w:line="240" w:lineRule="auto"/>
        <w:jc w:val="both"/>
        <w:rPr>
          <w:rFonts w:ascii="Times New Roman" w:hAnsi="Times New Roman" w:cs="Times New Roman"/>
          <w:b/>
          <w:lang w:val="en-ZW"/>
        </w:rPr>
      </w:pPr>
    </w:p>
    <w:p w14:paraId="17B57ADD" w14:textId="4964A392" w:rsidR="000B7079" w:rsidRPr="00B5597A" w:rsidRDefault="00B21C2A" w:rsidP="000B7079">
      <w:pPr>
        <w:spacing w:before="100" w:beforeAutospacing="1" w:after="100" w:afterAutospacing="1" w:line="240" w:lineRule="auto"/>
        <w:jc w:val="both"/>
        <w:rPr>
          <w:rFonts w:ascii="Times New Roman" w:hAnsi="Times New Roman" w:cs="Times New Roman"/>
          <w:b/>
          <w:lang w:val="en-ZW"/>
        </w:rPr>
      </w:pPr>
      <w:r>
        <w:rPr>
          <w:rFonts w:ascii="Times New Roman" w:hAnsi="Times New Roman" w:cs="Times New Roman"/>
          <w:b/>
          <w:lang w:val="en-ZW"/>
        </w:rPr>
        <w:t xml:space="preserve">9.2 </w:t>
      </w:r>
      <w:r w:rsidR="000B7079" w:rsidRPr="00B5597A">
        <w:rPr>
          <w:rFonts w:ascii="Times New Roman" w:hAnsi="Times New Roman" w:cs="Times New Roman"/>
          <w:b/>
          <w:lang w:val="en-ZW"/>
        </w:rPr>
        <w:t>Required qualifications and experience of team members:</w:t>
      </w:r>
    </w:p>
    <w:p w14:paraId="283730A6" w14:textId="77777777" w:rsidR="000B7079" w:rsidRPr="00B5597A" w:rsidRDefault="000B7079" w:rsidP="000B7079">
      <w:pPr>
        <w:spacing w:before="100" w:beforeAutospacing="1" w:after="100" w:afterAutospacing="1" w:line="240" w:lineRule="auto"/>
        <w:jc w:val="both"/>
        <w:rPr>
          <w:rFonts w:ascii="Times New Roman" w:hAnsi="Times New Roman" w:cs="Times New Roman"/>
          <w:b/>
          <w:lang w:val="en-ZW"/>
        </w:rPr>
      </w:pPr>
      <w:r w:rsidRPr="00B5597A">
        <w:rPr>
          <w:rFonts w:ascii="Times New Roman" w:hAnsi="Times New Roman" w:cs="Times New Roman"/>
          <w:b/>
          <w:lang w:val="en-ZW"/>
        </w:rPr>
        <w:t xml:space="preserve">Team member 1 – inclusive and sustainable growth: </w:t>
      </w:r>
    </w:p>
    <w:p w14:paraId="68522B44" w14:textId="77777777" w:rsidR="000B7079" w:rsidRPr="00B5597A" w:rsidRDefault="000B7079" w:rsidP="001F165F">
      <w:pPr>
        <w:pStyle w:val="ListParagraph"/>
        <w:numPr>
          <w:ilvl w:val="0"/>
          <w:numId w:val="17"/>
        </w:numPr>
        <w:spacing w:before="100" w:beforeAutospacing="1" w:after="100" w:afterAutospacing="1" w:line="240" w:lineRule="auto"/>
        <w:jc w:val="both"/>
        <w:rPr>
          <w:rFonts w:ascii="Times New Roman" w:hAnsi="Times New Roman" w:cs="Times New Roman"/>
          <w:bCs/>
          <w:lang w:val="en-ZW"/>
        </w:rPr>
      </w:pPr>
      <w:r w:rsidRPr="00B5597A">
        <w:rPr>
          <w:rFonts w:ascii="Times New Roman" w:hAnsi="Times New Roman" w:cs="Times New Roman"/>
          <w:bCs/>
          <w:lang w:val="en-ZW"/>
        </w:rPr>
        <w:t>Minimum of Master’s degree natural, applied sciences or social science.</w:t>
      </w:r>
    </w:p>
    <w:p w14:paraId="3352BD2D" w14:textId="57039742" w:rsidR="000B7079" w:rsidRPr="00B5597A" w:rsidRDefault="000B7079" w:rsidP="001F165F">
      <w:pPr>
        <w:pStyle w:val="ListParagraph"/>
        <w:numPr>
          <w:ilvl w:val="0"/>
          <w:numId w:val="17"/>
        </w:numPr>
        <w:spacing w:before="100" w:beforeAutospacing="1" w:after="100" w:afterAutospacing="1" w:line="240" w:lineRule="auto"/>
        <w:jc w:val="both"/>
        <w:rPr>
          <w:rFonts w:ascii="Times New Roman" w:hAnsi="Times New Roman" w:cs="Times New Roman"/>
          <w:b/>
          <w:lang w:val="en-ZW"/>
        </w:rPr>
      </w:pPr>
      <w:r w:rsidRPr="00B5597A">
        <w:rPr>
          <w:rFonts w:ascii="Times New Roman" w:hAnsi="Times New Roman" w:cs="Times New Roman"/>
          <w:bCs/>
          <w:lang w:val="en-ZW"/>
        </w:rPr>
        <w:t xml:space="preserve">Minimum of </w:t>
      </w:r>
      <w:r w:rsidR="00D36CDD">
        <w:rPr>
          <w:rFonts w:ascii="Times New Roman" w:hAnsi="Times New Roman" w:cs="Times New Roman"/>
          <w:bCs/>
          <w:lang w:val="en-ZW"/>
        </w:rPr>
        <w:t>7</w:t>
      </w:r>
      <w:r w:rsidRPr="00B5597A">
        <w:rPr>
          <w:rFonts w:ascii="Times New Roman" w:hAnsi="Times New Roman" w:cs="Times New Roman"/>
          <w:bCs/>
          <w:lang w:val="en-ZW"/>
        </w:rPr>
        <w:t xml:space="preserve"> years’ experience in any two of the following fields: resilience building, entrepreneurship development, renewable energy.</w:t>
      </w:r>
    </w:p>
    <w:p w14:paraId="0830294A" w14:textId="67435039" w:rsidR="000B7079" w:rsidRPr="00B5597A" w:rsidRDefault="000B7079" w:rsidP="000B7079">
      <w:pPr>
        <w:spacing w:before="100" w:beforeAutospacing="1" w:after="100" w:afterAutospacing="1" w:line="240" w:lineRule="auto"/>
        <w:jc w:val="both"/>
        <w:rPr>
          <w:rFonts w:ascii="Times New Roman" w:hAnsi="Times New Roman" w:cs="Times New Roman"/>
          <w:b/>
          <w:lang w:val="en-ZW"/>
        </w:rPr>
      </w:pPr>
      <w:r w:rsidRPr="00B5597A">
        <w:rPr>
          <w:rFonts w:ascii="Times New Roman" w:hAnsi="Times New Roman" w:cs="Times New Roman"/>
          <w:b/>
          <w:lang w:val="en-ZW"/>
        </w:rPr>
        <w:t xml:space="preserve">Team member 2 – Inclusive governance, citizen engagement and </w:t>
      </w:r>
      <w:r w:rsidR="00502CE6">
        <w:rPr>
          <w:rFonts w:ascii="Times New Roman" w:hAnsi="Times New Roman" w:cs="Times New Roman"/>
          <w:b/>
          <w:lang w:val="en-ZW"/>
        </w:rPr>
        <w:t>effective institutions</w:t>
      </w:r>
      <w:r w:rsidRPr="00B5597A">
        <w:rPr>
          <w:rFonts w:ascii="Times New Roman" w:hAnsi="Times New Roman" w:cs="Times New Roman"/>
          <w:b/>
          <w:lang w:val="en-ZW"/>
        </w:rPr>
        <w:t xml:space="preserve">: </w:t>
      </w:r>
    </w:p>
    <w:p w14:paraId="3AACA95D" w14:textId="7B4E3266" w:rsidR="000B7079" w:rsidRPr="00B5597A" w:rsidRDefault="000B7079" w:rsidP="001F165F">
      <w:pPr>
        <w:pStyle w:val="ListParagraph"/>
        <w:numPr>
          <w:ilvl w:val="0"/>
          <w:numId w:val="18"/>
        </w:numPr>
        <w:spacing w:before="100" w:beforeAutospacing="1" w:after="100" w:afterAutospacing="1" w:line="240" w:lineRule="auto"/>
        <w:jc w:val="both"/>
        <w:rPr>
          <w:rFonts w:ascii="Times New Roman" w:hAnsi="Times New Roman" w:cs="Times New Roman"/>
          <w:lang w:val="en-ZW"/>
        </w:rPr>
      </w:pPr>
      <w:bookmarkStart w:id="0" w:name="_Hlk79746530"/>
      <w:r w:rsidRPr="00B5597A">
        <w:rPr>
          <w:rFonts w:ascii="Times New Roman" w:hAnsi="Times New Roman" w:cs="Times New Roman"/>
          <w:bCs/>
          <w:lang w:val="en-ZW"/>
        </w:rPr>
        <w:t>Minim</w:t>
      </w:r>
      <w:r w:rsidR="00C82A83">
        <w:rPr>
          <w:rFonts w:ascii="Times New Roman" w:hAnsi="Times New Roman" w:cs="Times New Roman"/>
          <w:bCs/>
          <w:lang w:val="en-ZW"/>
        </w:rPr>
        <w:t>u</w:t>
      </w:r>
      <w:r w:rsidRPr="00B5597A">
        <w:rPr>
          <w:rFonts w:ascii="Times New Roman" w:hAnsi="Times New Roman" w:cs="Times New Roman"/>
          <w:bCs/>
          <w:lang w:val="en-ZW"/>
        </w:rPr>
        <w:t>m of Masters’degree</w:t>
      </w:r>
      <w:r w:rsidRPr="00B5597A">
        <w:rPr>
          <w:rFonts w:ascii="Times New Roman" w:hAnsi="Times New Roman" w:cs="Times New Roman"/>
          <w:lang w:val="en-ZW"/>
        </w:rPr>
        <w:t xml:space="preserve"> in political science, public administration, </w:t>
      </w:r>
      <w:r w:rsidR="00D36CDD">
        <w:rPr>
          <w:rFonts w:ascii="Times New Roman" w:hAnsi="Times New Roman" w:cs="Times New Roman"/>
          <w:lang w:val="en-ZW"/>
        </w:rPr>
        <w:t xml:space="preserve">law, </w:t>
      </w:r>
      <w:r w:rsidRPr="00B5597A">
        <w:rPr>
          <w:rFonts w:ascii="Times New Roman" w:hAnsi="Times New Roman" w:cs="Times New Roman"/>
          <w:lang w:val="en-ZW"/>
        </w:rPr>
        <w:t>development studies, international relations or other related social sciences.</w:t>
      </w:r>
    </w:p>
    <w:p w14:paraId="0CEA3871" w14:textId="0811F254" w:rsidR="000B7079" w:rsidRPr="00B5597A" w:rsidRDefault="000B7079" w:rsidP="001F165F">
      <w:pPr>
        <w:pStyle w:val="ListParagraph"/>
        <w:numPr>
          <w:ilvl w:val="0"/>
          <w:numId w:val="18"/>
        </w:numPr>
        <w:spacing w:before="100" w:beforeAutospacing="1" w:after="100" w:afterAutospacing="1" w:line="240" w:lineRule="auto"/>
        <w:jc w:val="both"/>
        <w:rPr>
          <w:rFonts w:ascii="Times New Roman" w:hAnsi="Times New Roman" w:cs="Times New Roman"/>
          <w:b/>
          <w:lang w:val="en-ZW"/>
        </w:rPr>
      </w:pPr>
      <w:r w:rsidRPr="00B5597A">
        <w:rPr>
          <w:rFonts w:ascii="Times New Roman" w:hAnsi="Times New Roman" w:cs="Times New Roman"/>
          <w:lang w:val="en-ZW"/>
        </w:rPr>
        <w:t xml:space="preserve">Minimum of </w:t>
      </w:r>
      <w:r w:rsidR="00D36CDD">
        <w:rPr>
          <w:rFonts w:ascii="Times New Roman" w:hAnsi="Times New Roman" w:cs="Times New Roman"/>
          <w:lang w:val="en-ZW"/>
        </w:rPr>
        <w:t>7</w:t>
      </w:r>
      <w:r w:rsidRPr="00B5597A">
        <w:rPr>
          <w:rFonts w:ascii="Times New Roman" w:hAnsi="Times New Roman" w:cs="Times New Roman"/>
          <w:lang w:val="en-ZW"/>
        </w:rPr>
        <w:t xml:space="preserve"> year’s experience in the following areas: democratic governance and human rights, </w:t>
      </w:r>
      <w:r w:rsidR="00D36CDD">
        <w:rPr>
          <w:rFonts w:ascii="Times New Roman" w:hAnsi="Times New Roman" w:cs="Times New Roman"/>
          <w:lang w:val="en-ZW"/>
        </w:rPr>
        <w:t>accountable institutions and civic engagement.</w:t>
      </w:r>
    </w:p>
    <w:bookmarkEnd w:id="0"/>
    <w:p w14:paraId="108410DC" w14:textId="55E81BD5" w:rsidR="000B7079" w:rsidRPr="00B5597A" w:rsidRDefault="00B21C2A" w:rsidP="000B7079">
      <w:pPr>
        <w:spacing w:before="100" w:beforeAutospacing="1" w:after="100" w:afterAutospacing="1" w:line="240" w:lineRule="auto"/>
        <w:jc w:val="both"/>
        <w:rPr>
          <w:rFonts w:ascii="Times New Roman" w:hAnsi="Times New Roman" w:cs="Times New Roman"/>
          <w:b/>
        </w:rPr>
      </w:pPr>
      <w:r>
        <w:rPr>
          <w:rFonts w:ascii="Times New Roman" w:hAnsi="Times New Roman" w:cs="Times New Roman"/>
          <w:b/>
        </w:rPr>
        <w:t xml:space="preserve">9.3 </w:t>
      </w:r>
      <w:r w:rsidR="000B7079" w:rsidRPr="00B5597A">
        <w:rPr>
          <w:rFonts w:ascii="Times New Roman" w:hAnsi="Times New Roman" w:cs="Times New Roman"/>
          <w:b/>
        </w:rPr>
        <w:t xml:space="preserve"> Evaluator’s competencies:</w:t>
      </w:r>
    </w:p>
    <w:p w14:paraId="3587782D" w14:textId="77777777" w:rsidR="000B7079" w:rsidRPr="00B5597A" w:rsidRDefault="000B7079" w:rsidP="001F165F">
      <w:pPr>
        <w:pStyle w:val="ListParagraph"/>
        <w:numPr>
          <w:ilvl w:val="0"/>
          <w:numId w:val="12"/>
        </w:num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Team work skills</w:t>
      </w:r>
    </w:p>
    <w:p w14:paraId="291A2F4A" w14:textId="77777777" w:rsidR="000B7079" w:rsidRPr="00B5597A" w:rsidRDefault="000B7079" w:rsidP="001F165F">
      <w:pPr>
        <w:pStyle w:val="ListParagraph"/>
        <w:numPr>
          <w:ilvl w:val="0"/>
          <w:numId w:val="12"/>
        </w:num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Work planning skills</w:t>
      </w:r>
    </w:p>
    <w:p w14:paraId="6C94F4A9" w14:textId="77777777" w:rsidR="000B7079" w:rsidRPr="00B5597A" w:rsidRDefault="000B7079" w:rsidP="001F165F">
      <w:pPr>
        <w:pStyle w:val="ListParagraph"/>
        <w:numPr>
          <w:ilvl w:val="0"/>
          <w:numId w:val="12"/>
        </w:num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Strategic thinking</w:t>
      </w:r>
    </w:p>
    <w:p w14:paraId="297ADBE0" w14:textId="77777777" w:rsidR="000B7079" w:rsidRPr="00B5597A" w:rsidRDefault="000B7079" w:rsidP="001F165F">
      <w:pPr>
        <w:pStyle w:val="ListParagraph"/>
        <w:numPr>
          <w:ilvl w:val="0"/>
          <w:numId w:val="12"/>
        </w:num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Strong analytical, reporting and communication skills</w:t>
      </w:r>
    </w:p>
    <w:p w14:paraId="6951EA2D" w14:textId="77777777" w:rsidR="000B7079" w:rsidRPr="00B5597A" w:rsidRDefault="000B7079" w:rsidP="001F165F">
      <w:pPr>
        <w:pStyle w:val="ListParagraph"/>
        <w:numPr>
          <w:ilvl w:val="0"/>
          <w:numId w:val="12"/>
        </w:numPr>
        <w:spacing w:before="100" w:beforeAutospacing="1" w:after="100" w:afterAutospacing="1" w:line="240" w:lineRule="auto"/>
        <w:jc w:val="both"/>
        <w:rPr>
          <w:rFonts w:ascii="Times New Roman" w:hAnsi="Times New Roman" w:cs="Times New Roman"/>
        </w:rPr>
      </w:pPr>
      <w:r w:rsidRPr="00B5597A">
        <w:rPr>
          <w:rFonts w:ascii="Times New Roman" w:hAnsi="Times New Roman" w:cs="Times New Roman"/>
        </w:rPr>
        <w:t>Result oriented</w:t>
      </w:r>
    </w:p>
    <w:p w14:paraId="0691BD55" w14:textId="77777777" w:rsidR="000B7079" w:rsidRPr="00B5597A" w:rsidRDefault="000B7079" w:rsidP="001F165F">
      <w:pPr>
        <w:numPr>
          <w:ilvl w:val="0"/>
          <w:numId w:val="11"/>
        </w:numPr>
        <w:spacing w:before="100" w:beforeAutospacing="1" w:after="100" w:afterAutospacing="1" w:line="240" w:lineRule="auto"/>
        <w:contextualSpacing/>
        <w:rPr>
          <w:rFonts w:ascii="Times New Roman" w:hAnsi="Times New Roman" w:cs="Times New Roman"/>
          <w:b/>
          <w:lang w:val="en-ZW"/>
        </w:rPr>
      </w:pPr>
      <w:r w:rsidRPr="00B5597A">
        <w:rPr>
          <w:rFonts w:ascii="Times New Roman" w:hAnsi="Times New Roman" w:cs="Times New Roman"/>
          <w:b/>
          <w:lang w:val="en-ZW"/>
        </w:rPr>
        <w:t>Evaluation Ethics</w:t>
      </w:r>
    </w:p>
    <w:p w14:paraId="20191875" w14:textId="77777777"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lang w:val="en-ZW"/>
        </w:rPr>
      </w:pPr>
      <w:r w:rsidRPr="00F516B9">
        <w:rPr>
          <w:rFonts w:ascii="Times New Roman" w:hAnsi="Times New Roman" w:cs="Times New Roman"/>
          <w:color w:val="auto"/>
          <w:sz w:val="22"/>
          <w:szCs w:val="22"/>
          <w:lang w:val="en-ZW"/>
        </w:rPr>
        <w:t>The evaluation must be carried out in accordance with the principles outlined in the UNEG ‘Ethical Guidelines for Evaluation’ and sign the Ethical Code of Conduct for UNDP Evaluations. In particular, evaluators must be free and clear of perceived conflicts of interest. To this end, interested consultants will not be considered if they were directly and substantively involved, as an employee or consultant, in the formulation of UNDP programme documents relating to the outcomes under review.  The code of conduct and an agreement form to be signed by each consultant</w:t>
      </w:r>
    </w:p>
    <w:p w14:paraId="7DCC0B47" w14:textId="2FF08552" w:rsidR="000B7079" w:rsidRPr="00F516B9" w:rsidRDefault="000B7079" w:rsidP="00B5597A">
      <w:pPr>
        <w:pStyle w:val="Default"/>
        <w:numPr>
          <w:ilvl w:val="0"/>
          <w:numId w:val="11"/>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b/>
          <w:bCs/>
          <w:color w:val="auto"/>
          <w:sz w:val="22"/>
          <w:szCs w:val="22"/>
        </w:rPr>
        <w:t xml:space="preserve">Management and conduct of evaluation: </w:t>
      </w:r>
    </w:p>
    <w:p w14:paraId="17D9ADA3" w14:textId="77777777"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The UNDP CO will select the evaluator through an open process, and will be responsible for the management of the evaluation exercise.  The UNDP M&amp;E Specialist will be the evaluation manager.  He will work closely with two Programme Portfolio Managers.   Each programme portfolio will assign a Programme Analyst to support the M&amp;E Specialist including:   </w:t>
      </w:r>
    </w:p>
    <w:p w14:paraId="14E71006" w14:textId="77777777" w:rsidR="000B7079" w:rsidRPr="00F516B9" w:rsidRDefault="000B7079" w:rsidP="001F165F">
      <w:pPr>
        <w:pStyle w:val="Default"/>
        <w:numPr>
          <w:ilvl w:val="0"/>
          <w:numId w:val="15"/>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Compilation of documents and background materials for the review team;</w:t>
      </w:r>
    </w:p>
    <w:p w14:paraId="7F5E666E" w14:textId="77777777" w:rsidR="000B7079" w:rsidRPr="00F516B9" w:rsidRDefault="000B7079" w:rsidP="001F165F">
      <w:pPr>
        <w:pStyle w:val="Default"/>
        <w:numPr>
          <w:ilvl w:val="0"/>
          <w:numId w:val="14"/>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Stakeholder mapping of the main partners;</w:t>
      </w:r>
    </w:p>
    <w:p w14:paraId="638C8943" w14:textId="77777777" w:rsidR="000B7079" w:rsidRPr="00F516B9" w:rsidRDefault="000B7079" w:rsidP="001F165F">
      <w:pPr>
        <w:pStyle w:val="Default"/>
        <w:numPr>
          <w:ilvl w:val="0"/>
          <w:numId w:val="14"/>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Preliminary Itinerary of field visit;</w:t>
      </w:r>
    </w:p>
    <w:p w14:paraId="217AC08F" w14:textId="77777777" w:rsidR="000B7079" w:rsidRPr="00F516B9" w:rsidRDefault="000B7079" w:rsidP="001F165F">
      <w:pPr>
        <w:pStyle w:val="Default"/>
        <w:numPr>
          <w:ilvl w:val="0"/>
          <w:numId w:val="14"/>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 Linking and liaising within UNDP CO as well as with Implementing Partners and other stakeholders.</w:t>
      </w:r>
    </w:p>
    <w:p w14:paraId="7D39F308" w14:textId="77777777"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The M&amp;E Specialist will arrange introductory meetings within CO and the two Programme Portfolio Managers and will establish initial contacts with partners and project staff. The evaluators</w:t>
      </w:r>
      <w:r w:rsidRPr="00F516B9">
        <w:rPr>
          <w:rFonts w:ascii="Times New Roman" w:hAnsi="Times New Roman" w:cs="Times New Roman"/>
          <w:sz w:val="22"/>
          <w:szCs w:val="22"/>
          <w:lang w:val="en-ZW"/>
        </w:rPr>
        <w:t xml:space="preserve"> </w:t>
      </w:r>
      <w:r w:rsidRPr="00F516B9">
        <w:rPr>
          <w:rFonts w:ascii="Times New Roman" w:hAnsi="Times New Roman" w:cs="Times New Roman"/>
          <w:color w:val="auto"/>
          <w:sz w:val="22"/>
          <w:szCs w:val="22"/>
        </w:rPr>
        <w:t xml:space="preserve">will take responsibility for setting up meetings and conducting the evaluation, subject to advanced approval of the methodology submitted in the inception report. The Management of the CO will develop a management response to the evaluation recommendations within two weeks of report finalization. The evaluation mission will be facilitated by Operations and Programme Sections for other logistical support along the process. </w:t>
      </w:r>
    </w:p>
    <w:p w14:paraId="332D65E1" w14:textId="77777777"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An evaluation Reference Group will be set up in order to ensure a quality evaluation report.  Specific tasks of the Reference Group will be to review and provide guidance to the evaluation process, review and comment on draft inception and evaluation reports, facilitate access to information, among others.  The evaluation Reference Group will also advise on the conformity of evaluation processes to the UNEG standards. The evaluator is required to address all comments of the reference group completely and comprehensively using an audit trail matrix. The Evaluator will provide a detail rationale for any comment that remain unaddressed.  </w:t>
      </w:r>
    </w:p>
    <w:p w14:paraId="6FAA38D6" w14:textId="77777777"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The composition of the Reference Group:</w:t>
      </w:r>
    </w:p>
    <w:p w14:paraId="70534A3F"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Debt and Aid Management Division, Ministry of Finance, Economic Planning and Development</w:t>
      </w:r>
    </w:p>
    <w:p w14:paraId="4654514A"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Ministry of Economic Planning and Development  </w:t>
      </w:r>
    </w:p>
    <w:p w14:paraId="2BBF6E35"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Ministry of Natural Resources, Energy and Mining;</w:t>
      </w:r>
    </w:p>
    <w:p w14:paraId="69F3B76D"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Ministry of Local Government and Rural Development </w:t>
      </w:r>
    </w:p>
    <w:p w14:paraId="45D0B813"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Ministries of Industry, Trade and Tourism Development</w:t>
      </w:r>
    </w:p>
    <w:p w14:paraId="733284D2"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Ministry of Gender, Child Welfare and People with Disabilities</w:t>
      </w:r>
    </w:p>
    <w:p w14:paraId="741E56E9"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Ministry of Justice and Constitutional Affairs</w:t>
      </w:r>
    </w:p>
    <w:p w14:paraId="4AF914C4" w14:textId="7C9C6F2D"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Public Sector Reforms Management Unit, Office of the President and Cabinet</w:t>
      </w:r>
    </w:p>
    <w:p w14:paraId="509E813D" w14:textId="21C31154" w:rsidR="000B707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National Statistics Office</w:t>
      </w:r>
    </w:p>
    <w:p w14:paraId="537C7CE9" w14:textId="550D6527" w:rsidR="001B02AE" w:rsidRPr="00F516B9" w:rsidRDefault="001B02AE"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National Planning Commission (NPC)</w:t>
      </w:r>
    </w:p>
    <w:p w14:paraId="6BD0D96C"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UNRCO</w:t>
      </w:r>
    </w:p>
    <w:p w14:paraId="46320363" w14:textId="38594CAA" w:rsidR="000B7079" w:rsidRPr="00F516B9" w:rsidRDefault="001B02AE"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At least three </w:t>
      </w:r>
      <w:r w:rsidR="000B7079" w:rsidRPr="00F516B9">
        <w:rPr>
          <w:rFonts w:ascii="Times New Roman" w:hAnsi="Times New Roman" w:cs="Times New Roman"/>
          <w:color w:val="auto"/>
          <w:sz w:val="22"/>
          <w:szCs w:val="22"/>
        </w:rPr>
        <w:t>UN Agencies</w:t>
      </w:r>
    </w:p>
    <w:p w14:paraId="1EAAE3DD" w14:textId="77777777" w:rsidR="005B3193" w:rsidRPr="00034F7C" w:rsidRDefault="005B3193" w:rsidP="005B3193">
      <w:pPr>
        <w:pStyle w:val="Default"/>
        <w:numPr>
          <w:ilvl w:val="0"/>
          <w:numId w:val="16"/>
        </w:numPr>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At least three development partners (two bi-lateral and 1 multi-lateral partner)</w:t>
      </w:r>
    </w:p>
    <w:p w14:paraId="1CF46456" w14:textId="77777777" w:rsidR="005B3193" w:rsidRDefault="005B3193" w:rsidP="005B3193">
      <w:pPr>
        <w:pStyle w:val="Default"/>
        <w:numPr>
          <w:ilvl w:val="0"/>
          <w:numId w:val="16"/>
        </w:numPr>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Civil Society Organization (CSO)</w:t>
      </w:r>
    </w:p>
    <w:p w14:paraId="66BA02EB" w14:textId="77777777" w:rsidR="005B3193" w:rsidRPr="00F516B9" w:rsidRDefault="005B3193" w:rsidP="005B3193">
      <w:pPr>
        <w:pStyle w:val="Default"/>
        <w:numPr>
          <w:ilvl w:val="0"/>
          <w:numId w:val="16"/>
        </w:numPr>
        <w:spacing w:before="100" w:beforeAutospacing="1" w:after="100" w:afterAutospacing="1"/>
        <w:jc w:val="both"/>
        <w:rPr>
          <w:rFonts w:ascii="Times New Roman" w:hAnsi="Times New Roman" w:cs="Times New Roman"/>
          <w:color w:val="auto"/>
          <w:sz w:val="22"/>
          <w:szCs w:val="22"/>
        </w:rPr>
      </w:pPr>
      <w:r>
        <w:rPr>
          <w:rFonts w:ascii="Times New Roman" w:hAnsi="Times New Roman" w:cs="Times New Roman"/>
          <w:color w:val="auto"/>
          <w:sz w:val="22"/>
          <w:szCs w:val="22"/>
        </w:rPr>
        <w:t>Academic institution</w:t>
      </w:r>
    </w:p>
    <w:p w14:paraId="7B73872B" w14:textId="77777777" w:rsidR="000B7079" w:rsidRPr="00F516B9" w:rsidRDefault="000B7079" w:rsidP="001F165F">
      <w:pPr>
        <w:pStyle w:val="Default"/>
        <w:numPr>
          <w:ilvl w:val="0"/>
          <w:numId w:val="16"/>
        </w:numPr>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Malawi Confederation of Chambers of Commerce and Industry (MCCCI).</w:t>
      </w:r>
    </w:p>
    <w:p w14:paraId="1A157F86" w14:textId="4EF0CA2E" w:rsidR="000B7079" w:rsidRPr="00F516B9" w:rsidRDefault="000B7079" w:rsidP="000B7079">
      <w:pPr>
        <w:pStyle w:val="Default"/>
        <w:spacing w:before="100" w:beforeAutospacing="1" w:after="100" w:afterAutospacing="1"/>
        <w:jc w:val="both"/>
        <w:rPr>
          <w:rFonts w:ascii="Times New Roman" w:hAnsi="Times New Roman" w:cs="Times New Roman"/>
          <w:color w:val="auto"/>
          <w:sz w:val="22"/>
          <w:szCs w:val="22"/>
        </w:rPr>
      </w:pPr>
      <w:r w:rsidRPr="00F516B9">
        <w:rPr>
          <w:rFonts w:ascii="Times New Roman" w:hAnsi="Times New Roman" w:cs="Times New Roman"/>
          <w:color w:val="auto"/>
          <w:sz w:val="22"/>
          <w:szCs w:val="22"/>
        </w:rPr>
        <w:t xml:space="preserve">Availability:  The consultant should be available between </w:t>
      </w:r>
      <w:r w:rsidR="00DA0FD4">
        <w:rPr>
          <w:rFonts w:ascii="Times New Roman" w:hAnsi="Times New Roman" w:cs="Times New Roman"/>
          <w:color w:val="auto"/>
          <w:sz w:val="22"/>
          <w:szCs w:val="22"/>
        </w:rPr>
        <w:t>1</w:t>
      </w:r>
      <w:r w:rsidR="00A2622E">
        <w:rPr>
          <w:rFonts w:ascii="Times New Roman" w:hAnsi="Times New Roman" w:cs="Times New Roman"/>
          <w:color w:val="auto"/>
          <w:sz w:val="22"/>
          <w:szCs w:val="22"/>
        </w:rPr>
        <w:t xml:space="preserve"> February</w:t>
      </w:r>
      <w:r w:rsidRPr="00F516B9">
        <w:rPr>
          <w:rFonts w:ascii="Times New Roman" w:hAnsi="Times New Roman" w:cs="Times New Roman"/>
          <w:color w:val="auto"/>
          <w:sz w:val="22"/>
          <w:szCs w:val="22"/>
        </w:rPr>
        <w:t xml:space="preserve"> and </w:t>
      </w:r>
      <w:r w:rsidR="00DE3958">
        <w:rPr>
          <w:rFonts w:ascii="Times New Roman" w:hAnsi="Times New Roman" w:cs="Times New Roman"/>
          <w:color w:val="auto"/>
          <w:sz w:val="22"/>
          <w:szCs w:val="22"/>
        </w:rPr>
        <w:t>3</w:t>
      </w:r>
      <w:r w:rsidR="00F912CB">
        <w:rPr>
          <w:rFonts w:ascii="Times New Roman" w:hAnsi="Times New Roman" w:cs="Times New Roman"/>
          <w:color w:val="auto"/>
          <w:sz w:val="22"/>
          <w:szCs w:val="22"/>
        </w:rPr>
        <w:t>0 April</w:t>
      </w:r>
      <w:r w:rsidRPr="00F516B9">
        <w:rPr>
          <w:rFonts w:ascii="Times New Roman" w:hAnsi="Times New Roman" w:cs="Times New Roman"/>
          <w:color w:val="auto"/>
          <w:sz w:val="22"/>
          <w:szCs w:val="22"/>
        </w:rPr>
        <w:t>, 202</w:t>
      </w:r>
      <w:r w:rsidR="00DE3958">
        <w:rPr>
          <w:rFonts w:ascii="Times New Roman" w:hAnsi="Times New Roman" w:cs="Times New Roman"/>
          <w:color w:val="auto"/>
          <w:sz w:val="22"/>
          <w:szCs w:val="22"/>
        </w:rPr>
        <w:t>2</w:t>
      </w:r>
      <w:r w:rsidRPr="00F516B9">
        <w:rPr>
          <w:rFonts w:ascii="Times New Roman" w:hAnsi="Times New Roman" w:cs="Times New Roman"/>
          <w:color w:val="auto"/>
          <w:sz w:val="22"/>
          <w:szCs w:val="22"/>
        </w:rPr>
        <w:t>.</w:t>
      </w:r>
    </w:p>
    <w:p w14:paraId="03CDE8BA" w14:textId="77777777" w:rsidR="001A7BD2" w:rsidRPr="006F3C5E" w:rsidRDefault="001A7BD2" w:rsidP="001A7BD2">
      <w:pPr>
        <w:spacing w:before="100" w:beforeAutospacing="1" w:after="100" w:afterAutospacing="1" w:line="240" w:lineRule="auto"/>
        <w:jc w:val="both"/>
        <w:rPr>
          <w:rFonts w:ascii="Times New Roman" w:hAnsi="Times New Roman"/>
        </w:rPr>
        <w:sectPr w:rsidR="001A7BD2" w:rsidRPr="006F3C5E" w:rsidSect="001A7BD2">
          <w:footerReference w:type="default" r:id="rId9"/>
          <w:pgSz w:w="12240" w:h="15840"/>
          <w:pgMar w:top="1440" w:right="1440" w:bottom="1440" w:left="1440" w:header="720" w:footer="720" w:gutter="0"/>
          <w:cols w:space="720"/>
          <w:docGrid w:linePitch="360"/>
        </w:sectPr>
      </w:pPr>
    </w:p>
    <w:p w14:paraId="32821999" w14:textId="206595D0" w:rsidR="007808EB" w:rsidRPr="00335702" w:rsidRDefault="007808EB" w:rsidP="007808EB">
      <w:pPr>
        <w:spacing w:before="100" w:beforeAutospacing="1" w:after="100" w:afterAutospacing="1" w:line="240" w:lineRule="auto"/>
        <w:jc w:val="both"/>
        <w:outlineLvl w:val="5"/>
        <w:rPr>
          <w:rFonts w:ascii="Times New Roman" w:hAnsi="Times New Roman" w:cs="Times New Roman"/>
          <w:b/>
          <w:sz w:val="20"/>
          <w:szCs w:val="20"/>
          <w:lang w:val="en-ZW" w:eastAsia="ru-RU"/>
        </w:rPr>
      </w:pPr>
      <w:r w:rsidRPr="00CB6D80">
        <w:rPr>
          <w:rFonts w:ascii="Times New Roman" w:hAnsi="Times New Roman" w:cs="Times New Roman"/>
          <w:b/>
          <w:lang w:val="en-ZW" w:eastAsia="ru-RU"/>
        </w:rPr>
        <w:t>Annexes</w:t>
      </w:r>
    </w:p>
    <w:p w14:paraId="0D65CC83" w14:textId="47E8D2CD" w:rsidR="001A7BD2" w:rsidRPr="00335702" w:rsidRDefault="001A7BD2" w:rsidP="001A7BD2">
      <w:pPr>
        <w:keepNext/>
        <w:spacing w:before="100" w:beforeAutospacing="1" w:after="100" w:afterAutospacing="1" w:line="240" w:lineRule="auto"/>
        <w:outlineLvl w:val="3"/>
        <w:rPr>
          <w:rFonts w:ascii="Times New Roman" w:hAnsi="Times New Roman"/>
          <w:b/>
          <w:color w:val="0000FF"/>
          <w:sz w:val="20"/>
          <w:szCs w:val="20"/>
        </w:rPr>
      </w:pPr>
      <w:r w:rsidRPr="00335702">
        <w:rPr>
          <w:rFonts w:ascii="Times New Roman" w:hAnsi="Times New Roman"/>
          <w:b/>
          <w:bCs/>
          <w:color w:val="000000"/>
          <w:sz w:val="20"/>
          <w:szCs w:val="20"/>
        </w:rPr>
        <w:t xml:space="preserve">Annex </w:t>
      </w:r>
      <w:r w:rsidR="007808EB" w:rsidRPr="00335702">
        <w:rPr>
          <w:rFonts w:ascii="Times New Roman" w:hAnsi="Times New Roman"/>
          <w:b/>
          <w:bCs/>
          <w:color w:val="000000"/>
          <w:sz w:val="20"/>
          <w:szCs w:val="20"/>
        </w:rPr>
        <w:t>1</w:t>
      </w:r>
      <w:r w:rsidRPr="00335702">
        <w:rPr>
          <w:rFonts w:ascii="Times New Roman" w:hAnsi="Times New Roman"/>
          <w:b/>
          <w:bCs/>
          <w:color w:val="000000"/>
          <w:sz w:val="20"/>
          <w:szCs w:val="20"/>
        </w:rPr>
        <w:t>. Results and resources framework for Malawi (2019-2023)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2950"/>
      </w:tblGrid>
      <w:tr w:rsidR="001A7BD2" w:rsidRPr="00335702" w14:paraId="261D2682" w14:textId="77777777" w:rsidTr="001A7BD2">
        <w:trPr>
          <w:trHeight w:val="25"/>
        </w:trPr>
        <w:tc>
          <w:tcPr>
            <w:tcW w:w="5000" w:type="pct"/>
            <w:shd w:val="clear" w:color="auto" w:fill="auto"/>
            <w:tcMar>
              <w:top w:w="72" w:type="dxa"/>
              <w:left w:w="144" w:type="dxa"/>
              <w:bottom w:w="72" w:type="dxa"/>
              <w:right w:w="144" w:type="dxa"/>
            </w:tcMar>
          </w:tcPr>
          <w:p w14:paraId="15638620" w14:textId="77777777" w:rsidR="001A7BD2" w:rsidRPr="00335702" w:rsidRDefault="001A7BD2" w:rsidP="001A7BD2">
            <w:pPr>
              <w:spacing w:before="100" w:beforeAutospacing="1" w:after="100" w:afterAutospacing="1" w:line="240" w:lineRule="auto"/>
              <w:rPr>
                <w:rFonts w:ascii="Times New Roman" w:hAnsi="Times New Roman"/>
                <w:color w:val="000000"/>
                <w:sz w:val="20"/>
                <w:szCs w:val="20"/>
              </w:rPr>
            </w:pPr>
            <w:r w:rsidRPr="00335702">
              <w:rPr>
                <w:rFonts w:ascii="Times New Roman" w:hAnsi="Times New Roman"/>
                <w:b/>
                <w:bCs/>
                <w:color w:val="000000"/>
                <w:sz w:val="20"/>
                <w:szCs w:val="20"/>
                <w:lang w:val="en-GB"/>
              </w:rPr>
              <w:t xml:space="preserve">NATIONAL PRIORITY OR GOAL: </w:t>
            </w:r>
            <w:r w:rsidRPr="00335702">
              <w:rPr>
                <w:rFonts w:ascii="Times New Roman" w:hAnsi="Times New Roman"/>
                <w:b/>
                <w:bCs/>
                <w:color w:val="000000" w:themeColor="text1"/>
                <w:sz w:val="20"/>
                <w:szCs w:val="20"/>
                <w:lang w:val="en-GB" w:eastAsia="en-GB"/>
              </w:rPr>
              <w:t>Transition of Malawi to a productive, competitive and resilient nation.</w:t>
            </w:r>
          </w:p>
        </w:tc>
      </w:tr>
      <w:tr w:rsidR="001A7BD2" w:rsidRPr="00335702" w14:paraId="0D3AC1EA" w14:textId="77777777" w:rsidTr="001A7BD2">
        <w:trPr>
          <w:trHeight w:val="125"/>
        </w:trPr>
        <w:tc>
          <w:tcPr>
            <w:tcW w:w="5000" w:type="pct"/>
            <w:shd w:val="clear" w:color="auto" w:fill="auto"/>
            <w:tcMar>
              <w:top w:w="72" w:type="dxa"/>
              <w:left w:w="144" w:type="dxa"/>
              <w:bottom w:w="72" w:type="dxa"/>
              <w:right w:w="144" w:type="dxa"/>
            </w:tcMar>
          </w:tcPr>
          <w:p w14:paraId="475B1B7F" w14:textId="77777777" w:rsidR="001A7BD2" w:rsidRPr="00335702" w:rsidRDefault="001A7BD2" w:rsidP="001A7BD2">
            <w:pPr>
              <w:spacing w:before="100" w:beforeAutospacing="1" w:after="100" w:afterAutospacing="1" w:line="240" w:lineRule="auto"/>
              <w:rPr>
                <w:rFonts w:ascii="Times New Roman" w:hAnsi="Times New Roman"/>
                <w:sz w:val="20"/>
                <w:szCs w:val="20"/>
              </w:rPr>
            </w:pPr>
            <w:r w:rsidRPr="00335702">
              <w:rPr>
                <w:rFonts w:ascii="Times New Roman" w:hAnsi="Times New Roman"/>
                <w:b/>
                <w:bCs/>
                <w:sz w:val="20"/>
                <w:szCs w:val="20"/>
                <w:lang w:val="en-GB"/>
              </w:rPr>
              <w:t>UNDAF OUTCOME INVOLVING UNDP #1:</w:t>
            </w:r>
            <w:r w:rsidRPr="00335702">
              <w:rPr>
                <w:rFonts w:ascii="Times New Roman" w:hAnsi="Times New Roman"/>
                <w:sz w:val="20"/>
                <w:szCs w:val="20"/>
                <w:lang w:val="en-GB"/>
              </w:rPr>
              <w:t xml:space="preserve"> By 2023, Malawi has strengthened economic diversification, inclusive business, entrepreneurship, and access to clean energy</w:t>
            </w:r>
          </w:p>
        </w:tc>
      </w:tr>
      <w:tr w:rsidR="001A7BD2" w:rsidRPr="00335702" w14:paraId="54418E74" w14:textId="77777777" w:rsidTr="001A7BD2">
        <w:trPr>
          <w:trHeight w:val="125"/>
        </w:trPr>
        <w:tc>
          <w:tcPr>
            <w:tcW w:w="5000" w:type="pct"/>
            <w:shd w:val="clear" w:color="auto" w:fill="auto"/>
            <w:tcMar>
              <w:top w:w="72" w:type="dxa"/>
              <w:left w:w="144" w:type="dxa"/>
              <w:bottom w:w="72" w:type="dxa"/>
              <w:right w:w="144" w:type="dxa"/>
            </w:tcMar>
          </w:tcPr>
          <w:p w14:paraId="222DDB44" w14:textId="77777777" w:rsidR="001A7BD2" w:rsidRPr="00335702" w:rsidRDefault="001A7BD2" w:rsidP="001A7BD2">
            <w:pPr>
              <w:spacing w:before="100" w:beforeAutospacing="1" w:after="100" w:afterAutospacing="1" w:line="240" w:lineRule="auto"/>
              <w:rPr>
                <w:rFonts w:ascii="Times New Roman" w:hAnsi="Times New Roman"/>
                <w:b/>
                <w:bCs/>
                <w:color w:val="000000"/>
                <w:sz w:val="20"/>
                <w:szCs w:val="20"/>
              </w:rPr>
            </w:pPr>
            <w:r w:rsidRPr="00335702">
              <w:rPr>
                <w:rFonts w:ascii="Times New Roman" w:hAnsi="Times New Roman"/>
                <w:b/>
                <w:bCs/>
                <w:color w:val="000000"/>
                <w:sz w:val="20"/>
                <w:szCs w:val="20"/>
                <w:lang w:val="en-GB"/>
              </w:rPr>
              <w:t xml:space="preserve">RELATED STRATEGIC PLAN OUTCOME </w:t>
            </w:r>
            <w:r w:rsidRPr="00335702">
              <w:rPr>
                <w:rStyle w:val="apple-converted-space"/>
                <w:rFonts w:ascii="Times New Roman" w:hAnsi="Times New Roman"/>
                <w:sz w:val="20"/>
                <w:szCs w:val="20"/>
              </w:rPr>
              <w:t>  </w:t>
            </w:r>
            <w:r w:rsidRPr="00335702">
              <w:rPr>
                <w:rFonts w:ascii="Times New Roman" w:hAnsi="Times New Roman"/>
                <w:sz w:val="20"/>
                <w:szCs w:val="20"/>
              </w:rPr>
              <w:t xml:space="preserve"> </w:t>
            </w:r>
            <w:r w:rsidRPr="00335702">
              <w:rPr>
                <w:rFonts w:ascii="Times New Roman" w:hAnsi="Times New Roman"/>
                <w:b/>
                <w:bCs/>
                <w:sz w:val="20"/>
                <w:szCs w:val="20"/>
                <w:lang w:val="en-GB"/>
              </w:rPr>
              <w:t xml:space="preserve">Outcome 1: </w:t>
            </w:r>
            <w:r w:rsidRPr="00335702">
              <w:rPr>
                <w:rFonts w:ascii="Times New Roman" w:hAnsi="Times New Roman"/>
                <w:bCs/>
                <w:sz w:val="20"/>
                <w:szCs w:val="20"/>
                <w:lang w:val="en-GB"/>
              </w:rPr>
              <w:t>Advance poverty reduction in all its forms and dimensions</w:t>
            </w:r>
          </w:p>
        </w:tc>
      </w:tr>
    </w:tbl>
    <w:tbl>
      <w:tblPr>
        <w:tblStyle w:val="TableGrid"/>
        <w:tblW w:w="13500" w:type="dxa"/>
        <w:tblLayout w:type="fixed"/>
        <w:tblLook w:val="04A0" w:firstRow="1" w:lastRow="0" w:firstColumn="1" w:lastColumn="0" w:noHBand="0" w:noVBand="1"/>
      </w:tblPr>
      <w:tblGrid>
        <w:gridCol w:w="2245"/>
        <w:gridCol w:w="1800"/>
        <w:gridCol w:w="5850"/>
        <w:gridCol w:w="2149"/>
        <w:gridCol w:w="1456"/>
      </w:tblGrid>
      <w:tr w:rsidR="001A7BD2" w:rsidRPr="00335702" w14:paraId="347EDD0A" w14:textId="77777777" w:rsidTr="00B5597A">
        <w:trPr>
          <w:trHeight w:val="998"/>
        </w:trPr>
        <w:tc>
          <w:tcPr>
            <w:tcW w:w="2245" w:type="dxa"/>
            <w:tcBorders>
              <w:top w:val="single" w:sz="4" w:space="0" w:color="auto"/>
              <w:left w:val="single" w:sz="4" w:space="0" w:color="auto"/>
              <w:bottom w:val="single" w:sz="4" w:space="0" w:color="auto"/>
              <w:right w:val="single" w:sz="6" w:space="0" w:color="auto"/>
            </w:tcBorders>
            <w:shd w:val="clear" w:color="auto" w:fill="auto"/>
            <w:vAlign w:val="center"/>
          </w:tcPr>
          <w:p w14:paraId="7202CE4E" w14:textId="77777777" w:rsidR="001A7BD2" w:rsidRPr="00335702" w:rsidRDefault="001A7BD2" w:rsidP="001A7BD2">
            <w:pPr>
              <w:tabs>
                <w:tab w:val="left" w:pos="1620"/>
              </w:tabs>
              <w:spacing w:before="100" w:beforeAutospacing="1" w:after="100" w:afterAutospacing="1"/>
              <w:contextualSpacing/>
              <w:jc w:val="center"/>
              <w:rPr>
                <w:rFonts w:ascii="Times New Roman" w:hAnsi="Times New Roman"/>
                <w:b/>
                <w:bCs/>
                <w:color w:val="000000"/>
                <w:sz w:val="20"/>
                <w:szCs w:val="20"/>
                <w:lang w:val="en-GB" w:eastAsia="fr-FR"/>
              </w:rPr>
            </w:pPr>
            <w:r w:rsidRPr="00335702">
              <w:rPr>
                <w:rFonts w:ascii="Times New Roman" w:hAnsi="Times New Roman"/>
                <w:b/>
                <w:bCs/>
                <w:color w:val="000000"/>
                <w:sz w:val="20"/>
                <w:szCs w:val="20"/>
                <w:lang w:val="en-GB" w:eastAsia="fr-FR"/>
              </w:rPr>
              <w:t>UNDAF outcome indicators,</w:t>
            </w:r>
          </w:p>
          <w:p w14:paraId="70B18231" w14:textId="77777777" w:rsidR="001A7BD2" w:rsidRPr="00335702" w:rsidRDefault="001A7BD2" w:rsidP="001A7BD2">
            <w:pPr>
              <w:spacing w:before="100" w:beforeAutospacing="1" w:after="100" w:afterAutospacing="1"/>
              <w:jc w:val="center"/>
              <w:rPr>
                <w:rFonts w:ascii="Times New Roman" w:hAnsi="Times New Roman"/>
                <w:b/>
                <w:sz w:val="20"/>
                <w:szCs w:val="20"/>
              </w:rPr>
            </w:pPr>
            <w:r w:rsidRPr="00335702">
              <w:rPr>
                <w:rFonts w:ascii="Times New Roman" w:hAnsi="Times New Roman"/>
                <w:b/>
                <w:bCs/>
                <w:color w:val="000000"/>
                <w:sz w:val="20"/>
                <w:szCs w:val="20"/>
                <w:lang w:val="en-GB" w:eastAsia="fr-FR"/>
              </w:rPr>
              <w:t>baselines and targets</w:t>
            </w:r>
          </w:p>
        </w:tc>
        <w:tc>
          <w:tcPr>
            <w:tcW w:w="1800" w:type="dxa"/>
            <w:tcBorders>
              <w:top w:val="single" w:sz="4" w:space="0" w:color="auto"/>
              <w:left w:val="single" w:sz="6" w:space="0" w:color="auto"/>
              <w:bottom w:val="single" w:sz="4" w:space="0" w:color="auto"/>
              <w:right w:val="single" w:sz="6" w:space="0" w:color="auto"/>
            </w:tcBorders>
            <w:shd w:val="clear" w:color="auto" w:fill="auto"/>
            <w:vAlign w:val="center"/>
          </w:tcPr>
          <w:p w14:paraId="64DC7561" w14:textId="77777777" w:rsidR="001A7BD2" w:rsidRPr="00335702" w:rsidRDefault="001A7BD2" w:rsidP="001A7BD2">
            <w:pPr>
              <w:spacing w:before="100" w:beforeAutospacing="1" w:after="100" w:afterAutospacing="1"/>
              <w:jc w:val="center"/>
              <w:rPr>
                <w:rFonts w:ascii="Times New Roman" w:hAnsi="Times New Roman"/>
                <w:b/>
                <w:sz w:val="20"/>
                <w:szCs w:val="20"/>
              </w:rPr>
            </w:pPr>
            <w:r w:rsidRPr="00335702">
              <w:rPr>
                <w:rFonts w:ascii="Times New Roman" w:hAnsi="Times New Roman"/>
                <w:b/>
                <w:bCs/>
                <w:color w:val="000000"/>
                <w:sz w:val="20"/>
                <w:szCs w:val="20"/>
                <w:lang w:val="en-GB" w:eastAsia="fr-FR"/>
              </w:rPr>
              <w:t>Data source and frequency of data collection, and responsibilities</w:t>
            </w:r>
          </w:p>
        </w:tc>
        <w:tc>
          <w:tcPr>
            <w:tcW w:w="5850" w:type="dxa"/>
            <w:tcBorders>
              <w:top w:val="single" w:sz="4" w:space="0" w:color="auto"/>
              <w:left w:val="single" w:sz="6" w:space="0" w:color="auto"/>
              <w:bottom w:val="single" w:sz="4" w:space="0" w:color="auto"/>
              <w:right w:val="single" w:sz="6" w:space="0" w:color="auto"/>
            </w:tcBorders>
            <w:shd w:val="clear" w:color="auto" w:fill="auto"/>
            <w:vAlign w:val="center"/>
          </w:tcPr>
          <w:p w14:paraId="788FF382"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Indicative country programme outputs (including indicators, baselines targets)</w:t>
            </w:r>
          </w:p>
        </w:tc>
        <w:tc>
          <w:tcPr>
            <w:tcW w:w="2149" w:type="dxa"/>
            <w:tcBorders>
              <w:top w:val="single" w:sz="4" w:space="0" w:color="auto"/>
              <w:left w:val="single" w:sz="6" w:space="0" w:color="auto"/>
              <w:bottom w:val="single" w:sz="4" w:space="0" w:color="auto"/>
              <w:right w:val="single" w:sz="6" w:space="0" w:color="auto"/>
            </w:tcBorders>
            <w:shd w:val="clear" w:color="auto" w:fill="auto"/>
            <w:vAlign w:val="center"/>
          </w:tcPr>
          <w:p w14:paraId="457DCA4C" w14:textId="77777777" w:rsidR="001A7BD2" w:rsidRPr="00335702" w:rsidRDefault="001A7BD2" w:rsidP="001A7BD2">
            <w:pPr>
              <w:tabs>
                <w:tab w:val="left" w:pos="1620"/>
              </w:tabs>
              <w:spacing w:before="100" w:beforeAutospacing="1" w:after="100" w:afterAutospacing="1"/>
              <w:contextualSpacing/>
              <w:jc w:val="center"/>
              <w:rPr>
                <w:rFonts w:ascii="Times New Roman" w:hAnsi="Times New Roman"/>
                <w:b/>
                <w:bCs/>
                <w:color w:val="000000"/>
                <w:sz w:val="20"/>
                <w:szCs w:val="20"/>
                <w:lang w:val="en-GB" w:eastAsia="fr-FR"/>
              </w:rPr>
            </w:pPr>
            <w:r w:rsidRPr="00335702">
              <w:rPr>
                <w:rFonts w:ascii="Times New Roman" w:hAnsi="Times New Roman"/>
                <w:b/>
                <w:bCs/>
                <w:color w:val="000000"/>
                <w:sz w:val="20"/>
                <w:szCs w:val="20"/>
                <w:lang w:val="en-GB" w:eastAsia="fr-FR"/>
              </w:rPr>
              <w:t>Major partners/</w:t>
            </w:r>
          </w:p>
          <w:p w14:paraId="05C69A0F" w14:textId="77777777" w:rsidR="001A7BD2" w:rsidRPr="00335702" w:rsidRDefault="001A7BD2" w:rsidP="001A7BD2">
            <w:pPr>
              <w:spacing w:before="100" w:beforeAutospacing="1" w:after="100" w:afterAutospacing="1"/>
              <w:jc w:val="center"/>
              <w:rPr>
                <w:rFonts w:ascii="Times New Roman" w:hAnsi="Times New Roman"/>
                <w:b/>
                <w:sz w:val="20"/>
                <w:szCs w:val="20"/>
              </w:rPr>
            </w:pPr>
            <w:r w:rsidRPr="00335702">
              <w:rPr>
                <w:rFonts w:ascii="Times New Roman" w:hAnsi="Times New Roman"/>
                <w:b/>
                <w:bCs/>
                <w:color w:val="000000"/>
                <w:sz w:val="20"/>
                <w:szCs w:val="20"/>
                <w:lang w:val="en-GB" w:eastAsia="fr-FR"/>
              </w:rPr>
              <w:t>Partnerships frameworks</w:t>
            </w:r>
          </w:p>
        </w:tc>
        <w:tc>
          <w:tcPr>
            <w:tcW w:w="1456" w:type="dxa"/>
            <w:tcBorders>
              <w:top w:val="single" w:sz="4" w:space="0" w:color="auto"/>
              <w:left w:val="single" w:sz="6" w:space="0" w:color="auto"/>
              <w:bottom w:val="single" w:sz="4" w:space="0" w:color="auto"/>
              <w:right w:val="single" w:sz="4" w:space="0" w:color="auto"/>
            </w:tcBorders>
            <w:shd w:val="clear" w:color="auto" w:fill="auto"/>
            <w:vAlign w:val="center"/>
          </w:tcPr>
          <w:p w14:paraId="2F10D9C3" w14:textId="77777777" w:rsidR="001A7BD2" w:rsidRPr="00335702" w:rsidRDefault="001A7BD2" w:rsidP="001A7BD2">
            <w:pPr>
              <w:spacing w:before="100" w:beforeAutospacing="1" w:after="100" w:afterAutospacing="1"/>
              <w:ind w:right="-109"/>
              <w:rPr>
                <w:rFonts w:ascii="Times New Roman" w:hAnsi="Times New Roman"/>
                <w:b/>
                <w:sz w:val="20"/>
                <w:szCs w:val="20"/>
              </w:rPr>
            </w:pPr>
            <w:r w:rsidRPr="00335702">
              <w:rPr>
                <w:rFonts w:ascii="Times New Roman" w:hAnsi="Times New Roman"/>
                <w:b/>
                <w:bCs/>
                <w:color w:val="000000"/>
                <w:sz w:val="20"/>
                <w:szCs w:val="20"/>
                <w:lang w:val="en-GB" w:eastAsia="fr-FR"/>
              </w:rPr>
              <w:t>Indicative resources by outcome (in $)</w:t>
            </w:r>
          </w:p>
        </w:tc>
      </w:tr>
      <w:tr w:rsidR="001A7BD2" w:rsidRPr="00335702" w14:paraId="213B13CE" w14:textId="77777777" w:rsidTr="00B5597A">
        <w:trPr>
          <w:trHeight w:val="2078"/>
        </w:trPr>
        <w:tc>
          <w:tcPr>
            <w:tcW w:w="2245" w:type="dxa"/>
            <w:tcBorders>
              <w:top w:val="single" w:sz="4" w:space="0" w:color="auto"/>
              <w:left w:val="single" w:sz="4" w:space="0" w:color="auto"/>
            </w:tcBorders>
            <w:vAlign w:val="center"/>
          </w:tcPr>
          <w:p w14:paraId="01F2A240"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bCs/>
                <w:sz w:val="20"/>
                <w:szCs w:val="20"/>
              </w:rPr>
              <w:t>1.1</w:t>
            </w:r>
            <w:r w:rsidRPr="00335702">
              <w:rPr>
                <w:rFonts w:ascii="Times New Roman" w:hAnsi="Times New Roman"/>
                <w:b/>
                <w:sz w:val="20"/>
                <w:szCs w:val="20"/>
              </w:rPr>
              <w:t> The employment rate by sex, age, mother tongue.</w:t>
            </w:r>
          </w:p>
          <w:p w14:paraId="54472E04"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80% (National Statistics Office (NSO) 2013)</w:t>
            </w:r>
          </w:p>
          <w:p w14:paraId="49BD3535"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(F: 74 %; M: 86 %)</w:t>
            </w:r>
          </w:p>
          <w:p w14:paraId="7AAF165B"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Target:</w:t>
            </w:r>
            <w:r w:rsidRPr="00335702">
              <w:rPr>
                <w:rFonts w:ascii="Times New Roman" w:hAnsi="Times New Roman"/>
                <w:sz w:val="20"/>
                <w:szCs w:val="20"/>
              </w:rPr>
              <w:t xml:space="preserve"> TBD % </w:t>
            </w:r>
          </w:p>
          <w:p w14:paraId="29F994AD"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(F: TBD %; M: TBD %)</w:t>
            </w:r>
          </w:p>
          <w:p w14:paraId="66C96ED0" w14:textId="77777777" w:rsidR="001A7BD2" w:rsidRPr="00335702" w:rsidRDefault="001A7BD2" w:rsidP="001A7BD2">
            <w:pPr>
              <w:spacing w:before="100" w:beforeAutospacing="1" w:after="100" w:afterAutospacing="1"/>
              <w:rPr>
                <w:rFonts w:ascii="Times New Roman" w:hAnsi="Times New Roman"/>
                <w:sz w:val="20"/>
                <w:szCs w:val="20"/>
              </w:rPr>
            </w:pPr>
          </w:p>
        </w:tc>
        <w:tc>
          <w:tcPr>
            <w:tcW w:w="1800" w:type="dxa"/>
            <w:vMerge w:val="restart"/>
            <w:tcBorders>
              <w:top w:val="single" w:sz="4" w:space="0" w:color="auto"/>
            </w:tcBorders>
            <w:vAlign w:val="center"/>
          </w:tcPr>
          <w:p w14:paraId="58AD03B8"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color w:val="000000"/>
                <w:sz w:val="20"/>
                <w:szCs w:val="20"/>
              </w:rPr>
            </w:pPr>
          </w:p>
          <w:p w14:paraId="007481BD"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color w:val="000000"/>
                <w:sz w:val="20"/>
                <w:szCs w:val="20"/>
              </w:rPr>
            </w:pPr>
          </w:p>
          <w:p w14:paraId="10A1E59D"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color w:val="000000"/>
                <w:sz w:val="20"/>
                <w:szCs w:val="20"/>
              </w:rPr>
            </w:pPr>
          </w:p>
          <w:p w14:paraId="2DF2631F"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color w:val="000000"/>
                <w:sz w:val="20"/>
                <w:szCs w:val="20"/>
              </w:rPr>
            </w:pPr>
          </w:p>
          <w:p w14:paraId="46D16C3F" w14:textId="77777777" w:rsidR="001A7BD2" w:rsidRPr="00335702" w:rsidRDefault="001A7BD2" w:rsidP="001F165F">
            <w:pPr>
              <w:pStyle w:val="ListParagraph"/>
              <w:numPr>
                <w:ilvl w:val="0"/>
                <w:numId w:val="20"/>
              </w:numPr>
              <w:spacing w:before="100" w:beforeAutospacing="1" w:after="100" w:afterAutospacing="1"/>
              <w:ind w:left="0"/>
              <w:contextualSpacing w:val="0"/>
              <w:rPr>
                <w:rFonts w:ascii="Times New Roman" w:hAnsi="Times New Roman"/>
                <w:color w:val="000000"/>
                <w:sz w:val="20"/>
                <w:szCs w:val="20"/>
              </w:rPr>
            </w:pPr>
            <w:r w:rsidRPr="00335702">
              <w:rPr>
                <w:rFonts w:ascii="Times New Roman" w:hAnsi="Times New Roman"/>
                <w:color w:val="000000"/>
                <w:sz w:val="20"/>
                <w:szCs w:val="20"/>
              </w:rPr>
              <w:t xml:space="preserve">NSO annual report </w:t>
            </w:r>
          </w:p>
          <w:p w14:paraId="6B32961F" w14:textId="77777777" w:rsidR="001A7BD2" w:rsidRPr="00335702" w:rsidRDefault="001A7BD2" w:rsidP="001F165F">
            <w:pPr>
              <w:pStyle w:val="ListParagraph"/>
              <w:numPr>
                <w:ilvl w:val="0"/>
                <w:numId w:val="20"/>
              </w:numPr>
              <w:spacing w:before="100" w:beforeAutospacing="1" w:after="100" w:afterAutospacing="1"/>
              <w:ind w:left="0"/>
              <w:contextualSpacing w:val="0"/>
              <w:rPr>
                <w:rFonts w:ascii="Times New Roman" w:hAnsi="Times New Roman"/>
                <w:color w:val="000000"/>
                <w:sz w:val="20"/>
                <w:szCs w:val="20"/>
              </w:rPr>
            </w:pPr>
            <w:r w:rsidRPr="00335702">
              <w:rPr>
                <w:rFonts w:ascii="Times New Roman" w:hAnsi="Times New Roman"/>
                <w:color w:val="000000"/>
                <w:sz w:val="20"/>
                <w:szCs w:val="20"/>
              </w:rPr>
              <w:t>Independent assessment of annual sector strategy reports</w:t>
            </w:r>
          </w:p>
          <w:p w14:paraId="0EB614B5" w14:textId="77777777" w:rsidR="001A7BD2" w:rsidRPr="00335702" w:rsidRDefault="001A7BD2" w:rsidP="001F165F">
            <w:pPr>
              <w:pStyle w:val="ListParagraph"/>
              <w:numPr>
                <w:ilvl w:val="0"/>
                <w:numId w:val="20"/>
              </w:numPr>
              <w:spacing w:before="100" w:beforeAutospacing="1" w:after="100" w:afterAutospacing="1"/>
              <w:ind w:left="0"/>
              <w:contextualSpacing w:val="0"/>
              <w:rPr>
                <w:rFonts w:ascii="Times New Roman" w:hAnsi="Times New Roman"/>
                <w:color w:val="000000"/>
                <w:sz w:val="20"/>
                <w:szCs w:val="20"/>
              </w:rPr>
            </w:pPr>
            <w:r w:rsidRPr="00335702">
              <w:rPr>
                <w:rFonts w:ascii="Times New Roman" w:hAnsi="Times New Roman"/>
                <w:color w:val="000000"/>
                <w:sz w:val="20"/>
                <w:szCs w:val="20"/>
              </w:rPr>
              <w:t xml:space="preserve"> </w:t>
            </w:r>
          </w:p>
          <w:p w14:paraId="7A451787" w14:textId="77777777" w:rsidR="001A7BD2" w:rsidRPr="00335702" w:rsidRDefault="001A7BD2" w:rsidP="001F165F">
            <w:pPr>
              <w:pStyle w:val="ListParagraph"/>
              <w:numPr>
                <w:ilvl w:val="0"/>
                <w:numId w:val="20"/>
              </w:numPr>
              <w:spacing w:before="100" w:beforeAutospacing="1" w:after="100" w:afterAutospacing="1"/>
              <w:ind w:left="0"/>
              <w:contextualSpacing w:val="0"/>
              <w:rPr>
                <w:rFonts w:ascii="Times New Roman" w:hAnsi="Times New Roman"/>
                <w:color w:val="000000"/>
                <w:sz w:val="20"/>
                <w:szCs w:val="20"/>
              </w:rPr>
            </w:pPr>
            <w:r w:rsidRPr="00335702">
              <w:rPr>
                <w:rFonts w:ascii="Times New Roman" w:hAnsi="Times New Roman"/>
                <w:color w:val="000000"/>
                <w:sz w:val="20"/>
                <w:szCs w:val="20"/>
              </w:rPr>
              <w:t>Sustainable Energy for All country assessment (every four years)</w:t>
            </w:r>
          </w:p>
          <w:p w14:paraId="47A48397" w14:textId="77777777" w:rsidR="001A7BD2" w:rsidRPr="00335702" w:rsidRDefault="001A7BD2" w:rsidP="001F165F">
            <w:pPr>
              <w:pStyle w:val="ListParagraph"/>
              <w:numPr>
                <w:ilvl w:val="0"/>
                <w:numId w:val="20"/>
              </w:numPr>
              <w:spacing w:before="100" w:beforeAutospacing="1" w:after="100" w:afterAutospacing="1"/>
              <w:ind w:left="0"/>
              <w:contextualSpacing w:val="0"/>
              <w:rPr>
                <w:rFonts w:ascii="Times New Roman" w:hAnsi="Times New Roman"/>
                <w:iCs/>
                <w:color w:val="000000"/>
                <w:sz w:val="20"/>
                <w:szCs w:val="20"/>
              </w:rPr>
            </w:pPr>
            <w:r w:rsidRPr="00335702">
              <w:rPr>
                <w:rFonts w:ascii="Times New Roman" w:hAnsi="Times New Roman"/>
                <w:color w:val="000000"/>
                <w:sz w:val="20"/>
                <w:szCs w:val="20"/>
              </w:rPr>
              <w:t>Independent assessment of energy access (triannual</w:t>
            </w:r>
            <w:r w:rsidRPr="00335702">
              <w:rPr>
                <w:rFonts w:ascii="Times New Roman" w:hAnsi="Times New Roman"/>
                <w:iCs/>
                <w:color w:val="000000"/>
                <w:sz w:val="20"/>
                <w:szCs w:val="20"/>
              </w:rPr>
              <w:t>)</w:t>
            </w:r>
          </w:p>
          <w:p w14:paraId="0D5900EA" w14:textId="77777777" w:rsidR="001A7BD2" w:rsidRPr="00335702" w:rsidRDefault="001A7BD2" w:rsidP="001A7BD2">
            <w:pPr>
              <w:spacing w:before="100" w:beforeAutospacing="1" w:after="100" w:afterAutospacing="1"/>
              <w:jc w:val="both"/>
              <w:rPr>
                <w:rFonts w:ascii="Times New Roman" w:hAnsi="Times New Roman"/>
                <w:sz w:val="20"/>
                <w:szCs w:val="20"/>
              </w:rPr>
            </w:pPr>
          </w:p>
        </w:tc>
        <w:tc>
          <w:tcPr>
            <w:tcW w:w="5850" w:type="dxa"/>
            <w:tcBorders>
              <w:top w:val="single" w:sz="4" w:space="0" w:color="auto"/>
            </w:tcBorders>
          </w:tcPr>
          <w:p w14:paraId="2A84C84E"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Output 1.1:</w:t>
            </w:r>
            <w:r w:rsidRPr="00335702">
              <w:rPr>
                <w:rFonts w:ascii="Times New Roman" w:hAnsi="Times New Roman"/>
                <w:sz w:val="20"/>
                <w:szCs w:val="20"/>
              </w:rPr>
              <w:t xml:space="preserve"> Women and youth in targeted areas have access to employment opportunities.</w:t>
            </w:r>
          </w:p>
          <w:p w14:paraId="43053420" w14:textId="77777777" w:rsidR="001A7BD2" w:rsidRPr="00335702" w:rsidRDefault="001A7BD2" w:rsidP="001A7BD2">
            <w:pPr>
              <w:spacing w:before="100" w:beforeAutospacing="1" w:after="100" w:afterAutospacing="1"/>
              <w:rPr>
                <w:rFonts w:ascii="Times New Roman" w:hAnsi="Times New Roman"/>
                <w:b/>
                <w:bCs/>
                <w:sz w:val="20"/>
                <w:szCs w:val="20"/>
              </w:rPr>
            </w:pPr>
          </w:p>
          <w:p w14:paraId="39AD76A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 xml:space="preserve">Indicator 1.1.1: </w:t>
            </w:r>
            <w:r w:rsidRPr="00335702">
              <w:rPr>
                <w:rFonts w:ascii="Times New Roman" w:hAnsi="Times New Roman"/>
                <w:sz w:val="20"/>
                <w:szCs w:val="20"/>
              </w:rPr>
              <w:t>Number of new jobs generated by firms participating in the Malawi Innovation Challenge Fund (MICF)</w:t>
            </w:r>
          </w:p>
          <w:p w14:paraId="4EADEC5D"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sz w:val="20"/>
                <w:szCs w:val="20"/>
              </w:rPr>
              <w:t xml:space="preserve">: 0; </w:t>
            </w:r>
            <w:r w:rsidRPr="00335702">
              <w:rPr>
                <w:rFonts w:ascii="Times New Roman" w:hAnsi="Times New Roman"/>
                <w:b/>
                <w:bCs/>
                <w:sz w:val="20"/>
                <w:szCs w:val="20"/>
              </w:rPr>
              <w:t>Target</w:t>
            </w:r>
            <w:r w:rsidRPr="00335702">
              <w:rPr>
                <w:rFonts w:ascii="Times New Roman" w:hAnsi="Times New Roman"/>
                <w:sz w:val="20"/>
                <w:szCs w:val="20"/>
              </w:rPr>
              <w:t>: 650, 30% females</w:t>
            </w:r>
          </w:p>
          <w:p w14:paraId="015183C1"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MICF reports</w:t>
            </w:r>
          </w:p>
        </w:tc>
        <w:tc>
          <w:tcPr>
            <w:tcW w:w="2149" w:type="dxa"/>
            <w:vMerge w:val="restart"/>
            <w:tcBorders>
              <w:top w:val="single" w:sz="4" w:space="0" w:color="auto"/>
            </w:tcBorders>
            <w:vAlign w:val="center"/>
          </w:tcPr>
          <w:p w14:paraId="2F384008"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Ministry of Industry, Trade and Tourism</w:t>
            </w:r>
          </w:p>
          <w:p w14:paraId="1BFD403C"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DfID, GDC</w:t>
            </w:r>
          </w:p>
          <w:p w14:paraId="5D960E2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iCs/>
                <w:color w:val="000000"/>
                <w:sz w:val="20"/>
                <w:szCs w:val="20"/>
              </w:rPr>
              <w:t xml:space="preserve">UNIDO, IFAD. Government of Norway </w:t>
            </w:r>
          </w:p>
        </w:tc>
        <w:tc>
          <w:tcPr>
            <w:tcW w:w="1456" w:type="dxa"/>
            <w:vMerge w:val="restart"/>
            <w:tcBorders>
              <w:top w:val="single" w:sz="4" w:space="0" w:color="auto"/>
              <w:right w:val="single" w:sz="4" w:space="0" w:color="auto"/>
            </w:tcBorders>
            <w:vAlign w:val="center"/>
          </w:tcPr>
          <w:p w14:paraId="60A9FA3F"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Regular</w:t>
            </w:r>
          </w:p>
          <w:p w14:paraId="73F21FA5"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 xml:space="preserve"> $21,000,000</w:t>
            </w:r>
          </w:p>
          <w:p w14:paraId="2AB4F833"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p>
          <w:p w14:paraId="7BA28EB8" w14:textId="77777777" w:rsidR="001A7BD2" w:rsidRPr="00335702" w:rsidRDefault="001A7BD2" w:rsidP="001A7BD2">
            <w:pPr>
              <w:spacing w:before="100" w:beforeAutospacing="1" w:after="100" w:afterAutospacing="1"/>
              <w:rPr>
                <w:rFonts w:ascii="Times New Roman" w:hAnsi="Times New Roman"/>
                <w:b/>
                <w:color w:val="000000"/>
                <w:sz w:val="20"/>
                <w:szCs w:val="20"/>
              </w:rPr>
            </w:pPr>
            <w:r w:rsidRPr="00335702">
              <w:rPr>
                <w:rFonts w:ascii="Times New Roman" w:hAnsi="Times New Roman"/>
                <w:b/>
                <w:color w:val="000000"/>
                <w:sz w:val="20"/>
                <w:szCs w:val="20"/>
              </w:rPr>
              <w:t>Other</w:t>
            </w:r>
          </w:p>
          <w:p w14:paraId="264A3303"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$48,500,000</w:t>
            </w:r>
          </w:p>
          <w:p w14:paraId="0793D1D6" w14:textId="77777777" w:rsidR="001A7BD2" w:rsidRPr="00335702" w:rsidRDefault="001A7BD2" w:rsidP="001A7BD2">
            <w:pPr>
              <w:spacing w:before="100" w:beforeAutospacing="1" w:after="100" w:afterAutospacing="1"/>
              <w:rPr>
                <w:rFonts w:ascii="Times New Roman" w:hAnsi="Times New Roman"/>
                <w:b/>
                <w:color w:val="000000"/>
                <w:sz w:val="20"/>
                <w:szCs w:val="20"/>
              </w:rPr>
            </w:pPr>
          </w:p>
          <w:p w14:paraId="4CE5A6C1" w14:textId="77777777" w:rsidR="001A7BD2" w:rsidRPr="00335702" w:rsidRDefault="001A7BD2" w:rsidP="001A7BD2">
            <w:pPr>
              <w:spacing w:before="100" w:beforeAutospacing="1" w:after="100" w:afterAutospacing="1"/>
              <w:rPr>
                <w:rFonts w:ascii="Times New Roman" w:hAnsi="Times New Roman"/>
                <w:sz w:val="20"/>
                <w:szCs w:val="20"/>
              </w:rPr>
            </w:pPr>
          </w:p>
        </w:tc>
      </w:tr>
      <w:tr w:rsidR="001A7BD2" w:rsidRPr="00335702" w14:paraId="2D7F98F2" w14:textId="77777777" w:rsidTr="00B5597A">
        <w:tc>
          <w:tcPr>
            <w:tcW w:w="2245" w:type="dxa"/>
            <w:tcBorders>
              <w:left w:val="single" w:sz="4" w:space="0" w:color="auto"/>
            </w:tcBorders>
            <w:vAlign w:val="center"/>
          </w:tcPr>
          <w:p w14:paraId="72738992"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bCs/>
                <w:sz w:val="20"/>
                <w:szCs w:val="20"/>
              </w:rPr>
              <w:t>1.2</w:t>
            </w:r>
            <w:r w:rsidRPr="00335702">
              <w:rPr>
                <w:rFonts w:ascii="Times New Roman" w:hAnsi="Times New Roman"/>
                <w:b/>
                <w:sz w:val="20"/>
                <w:szCs w:val="20"/>
              </w:rPr>
              <w:t xml:space="preserve"> Share of renewable energy in the mix</w:t>
            </w:r>
          </w:p>
          <w:p w14:paraId="557187AB"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7% (2017)</w:t>
            </w:r>
          </w:p>
          <w:p w14:paraId="7F6E9F0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Target:</w:t>
            </w:r>
            <w:r w:rsidRPr="00335702">
              <w:rPr>
                <w:rFonts w:ascii="Times New Roman" w:hAnsi="Times New Roman"/>
                <w:sz w:val="20"/>
                <w:szCs w:val="20"/>
              </w:rPr>
              <w:t xml:space="preserve"> 15% (2022)</w:t>
            </w:r>
          </w:p>
          <w:p w14:paraId="51D7F608" w14:textId="77777777" w:rsidR="001A7BD2" w:rsidRPr="00335702" w:rsidRDefault="001A7BD2" w:rsidP="001A7BD2">
            <w:pPr>
              <w:spacing w:before="100" w:beforeAutospacing="1" w:after="100" w:afterAutospacing="1"/>
              <w:rPr>
                <w:rFonts w:ascii="Times New Roman" w:hAnsi="Times New Roman"/>
                <w:b/>
                <w:bCs/>
                <w:sz w:val="20"/>
                <w:szCs w:val="20"/>
              </w:rPr>
            </w:pPr>
          </w:p>
        </w:tc>
        <w:tc>
          <w:tcPr>
            <w:tcW w:w="1800" w:type="dxa"/>
            <w:vMerge/>
            <w:vAlign w:val="center"/>
          </w:tcPr>
          <w:p w14:paraId="6506821F" w14:textId="77777777" w:rsidR="001A7BD2" w:rsidRPr="00335702" w:rsidRDefault="001A7BD2" w:rsidP="001A7BD2">
            <w:pPr>
              <w:spacing w:before="100" w:beforeAutospacing="1" w:after="100" w:afterAutospacing="1"/>
              <w:jc w:val="both"/>
              <w:rPr>
                <w:rFonts w:ascii="Times New Roman" w:hAnsi="Times New Roman"/>
                <w:sz w:val="20"/>
                <w:szCs w:val="20"/>
              </w:rPr>
            </w:pPr>
          </w:p>
        </w:tc>
        <w:tc>
          <w:tcPr>
            <w:tcW w:w="5850" w:type="dxa"/>
          </w:tcPr>
          <w:p w14:paraId="45BACAB5"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Output 1.2:</w:t>
            </w:r>
            <w:r w:rsidRPr="00335702">
              <w:rPr>
                <w:rFonts w:ascii="Times New Roman" w:hAnsi="Times New Roman"/>
                <w:sz w:val="20"/>
                <w:szCs w:val="20"/>
              </w:rPr>
              <w:t xml:space="preserve">  Public and private sector institutions enabled to develop and implement policies and practices that enhance innovation, productivity and entrepreneurship.</w:t>
            </w:r>
          </w:p>
          <w:p w14:paraId="29FF6DBA" w14:textId="77777777" w:rsidR="001A7BD2" w:rsidRPr="00335702" w:rsidRDefault="001A7BD2" w:rsidP="001A7BD2">
            <w:pPr>
              <w:spacing w:before="100" w:beforeAutospacing="1" w:after="100" w:afterAutospacing="1"/>
              <w:rPr>
                <w:rFonts w:ascii="Times New Roman" w:hAnsi="Times New Roman"/>
                <w:sz w:val="20"/>
                <w:szCs w:val="20"/>
              </w:rPr>
            </w:pPr>
          </w:p>
          <w:p w14:paraId="4721489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Indicator 1.2.1:</w:t>
            </w:r>
            <w:r w:rsidRPr="00335702">
              <w:rPr>
                <w:rFonts w:ascii="Times New Roman" w:hAnsi="Times New Roman"/>
                <w:sz w:val="20"/>
                <w:szCs w:val="20"/>
              </w:rPr>
              <w:t xml:space="preserve"> Number of private sector entrepreneurs enabled to access regional and international markets, including access to affordable capital to de-risk investment and business growth.</w:t>
            </w:r>
          </w:p>
          <w:p w14:paraId="62EAC8C2" w14:textId="77777777" w:rsidR="001A7BD2" w:rsidRPr="00335702" w:rsidRDefault="001A7BD2" w:rsidP="001A7BD2">
            <w:pPr>
              <w:spacing w:before="100" w:beforeAutospacing="1" w:after="100" w:afterAutospacing="1"/>
              <w:rPr>
                <w:rFonts w:ascii="Times New Roman" w:hAnsi="Times New Roman"/>
                <w:b/>
                <w:bCs/>
                <w:sz w:val="20"/>
                <w:szCs w:val="20"/>
              </w:rPr>
            </w:pPr>
            <w:r w:rsidRPr="00335702">
              <w:rPr>
                <w:rFonts w:ascii="Times New Roman" w:hAnsi="Times New Roman"/>
                <w:b/>
                <w:bCs/>
                <w:sz w:val="20"/>
                <w:szCs w:val="20"/>
              </w:rPr>
              <w:t xml:space="preserve">Baseline: 0; Target: TBD </w:t>
            </w:r>
          </w:p>
          <w:p w14:paraId="642496A3"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bCs/>
                <w:sz w:val="20"/>
                <w:szCs w:val="20"/>
              </w:rPr>
              <w:t xml:space="preserve">Data Source: </w:t>
            </w:r>
            <w:r w:rsidRPr="00335702">
              <w:rPr>
                <w:rFonts w:ascii="Times New Roman" w:hAnsi="Times New Roman"/>
                <w:bCs/>
                <w:sz w:val="20"/>
                <w:szCs w:val="20"/>
              </w:rPr>
              <w:t>Ministry of Industry, Trade and Tourism</w:t>
            </w:r>
          </w:p>
          <w:p w14:paraId="6AB3D516" w14:textId="77777777" w:rsidR="001A7BD2" w:rsidRPr="00335702" w:rsidRDefault="001A7BD2" w:rsidP="001A7BD2">
            <w:pPr>
              <w:spacing w:before="100" w:beforeAutospacing="1" w:after="100" w:afterAutospacing="1"/>
              <w:rPr>
                <w:rFonts w:ascii="Times New Roman" w:hAnsi="Times New Roman"/>
                <w:b/>
                <w:sz w:val="20"/>
                <w:szCs w:val="20"/>
              </w:rPr>
            </w:pPr>
          </w:p>
          <w:p w14:paraId="1002A016"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Indicator 1.2.2:</w:t>
            </w:r>
            <w:r w:rsidRPr="00335702">
              <w:rPr>
                <w:rFonts w:ascii="Times New Roman" w:hAnsi="Times New Roman"/>
                <w:sz w:val="20"/>
                <w:szCs w:val="20"/>
              </w:rPr>
              <w:t xml:space="preserve"> Number of product certifications granted by an accredited national product certification body.</w:t>
            </w:r>
          </w:p>
          <w:p w14:paraId="4FC41F7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sz w:val="20"/>
                <w:szCs w:val="20"/>
              </w:rPr>
              <w:t xml:space="preserve">: 0; </w:t>
            </w:r>
            <w:r w:rsidRPr="00335702">
              <w:rPr>
                <w:rFonts w:ascii="Times New Roman" w:hAnsi="Times New Roman"/>
                <w:b/>
                <w:bCs/>
                <w:sz w:val="20"/>
                <w:szCs w:val="20"/>
              </w:rPr>
              <w:t>Target</w:t>
            </w:r>
            <w:r w:rsidRPr="00335702">
              <w:rPr>
                <w:rFonts w:ascii="Times New Roman" w:hAnsi="Times New Roman"/>
                <w:sz w:val="20"/>
                <w:szCs w:val="20"/>
              </w:rPr>
              <w:t>: 10; Data source: Bureau of Standards annual report</w:t>
            </w:r>
          </w:p>
        </w:tc>
        <w:tc>
          <w:tcPr>
            <w:tcW w:w="2149" w:type="dxa"/>
            <w:vMerge/>
            <w:vAlign w:val="center"/>
          </w:tcPr>
          <w:p w14:paraId="31F81044" w14:textId="77777777" w:rsidR="001A7BD2" w:rsidRPr="00335702" w:rsidRDefault="001A7BD2" w:rsidP="001A7BD2">
            <w:pPr>
              <w:spacing w:before="100" w:beforeAutospacing="1" w:after="100" w:afterAutospacing="1"/>
              <w:rPr>
                <w:rFonts w:ascii="Times New Roman" w:hAnsi="Times New Roman"/>
                <w:iCs/>
                <w:color w:val="000000"/>
                <w:sz w:val="20"/>
                <w:szCs w:val="20"/>
              </w:rPr>
            </w:pPr>
          </w:p>
        </w:tc>
        <w:tc>
          <w:tcPr>
            <w:tcW w:w="1456" w:type="dxa"/>
            <w:vMerge/>
            <w:tcBorders>
              <w:bottom w:val="single" w:sz="4" w:space="0" w:color="auto"/>
              <w:right w:val="single" w:sz="4" w:space="0" w:color="auto"/>
            </w:tcBorders>
            <w:vAlign w:val="center"/>
          </w:tcPr>
          <w:p w14:paraId="1494DA18" w14:textId="77777777" w:rsidR="001A7BD2" w:rsidRPr="00335702" w:rsidRDefault="001A7BD2" w:rsidP="001A7BD2">
            <w:pPr>
              <w:spacing w:before="100" w:beforeAutospacing="1" w:after="100" w:afterAutospacing="1"/>
              <w:jc w:val="both"/>
              <w:rPr>
                <w:rFonts w:ascii="Times New Roman" w:hAnsi="Times New Roman"/>
                <w:sz w:val="20"/>
                <w:szCs w:val="20"/>
              </w:rPr>
            </w:pPr>
          </w:p>
        </w:tc>
      </w:tr>
      <w:tr w:rsidR="001A7BD2" w:rsidRPr="00335702" w14:paraId="514A3E01" w14:textId="77777777" w:rsidTr="00B5597A">
        <w:tc>
          <w:tcPr>
            <w:tcW w:w="2245" w:type="dxa"/>
            <w:tcBorders>
              <w:left w:val="single" w:sz="4" w:space="0" w:color="auto"/>
            </w:tcBorders>
            <w:vAlign w:val="center"/>
          </w:tcPr>
          <w:p w14:paraId="131B47AB"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bCs/>
                <w:sz w:val="20"/>
                <w:szCs w:val="20"/>
              </w:rPr>
              <w:t>1.3</w:t>
            </w:r>
            <w:r w:rsidRPr="00335702">
              <w:rPr>
                <w:rFonts w:ascii="Times New Roman" w:hAnsi="Times New Roman"/>
                <w:b/>
                <w:sz w:val="20"/>
                <w:szCs w:val="20"/>
              </w:rPr>
              <w:t xml:space="preserve"> Number of rural population with access to clean energy</w:t>
            </w:r>
          </w:p>
          <w:p w14:paraId="1899371A"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color w:val="00B0F0"/>
                <w:sz w:val="20"/>
                <w:szCs w:val="20"/>
              </w:rPr>
              <w:t>.</w:t>
            </w:r>
          </w:p>
          <w:p w14:paraId="48E39AF7"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0~1,300,500 people (2017)</w:t>
            </w:r>
          </w:p>
          <w:p w14:paraId="5EBCCA3F"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 xml:space="preserve">Target: </w:t>
            </w:r>
            <w:r w:rsidRPr="00335702">
              <w:rPr>
                <w:rFonts w:ascii="Times New Roman" w:hAnsi="Times New Roman"/>
                <w:sz w:val="20"/>
                <w:szCs w:val="20"/>
              </w:rPr>
              <w:t>1,335,700 people, of whom 30% women)</w:t>
            </w:r>
          </w:p>
        </w:tc>
        <w:tc>
          <w:tcPr>
            <w:tcW w:w="1800" w:type="dxa"/>
            <w:vMerge/>
            <w:vAlign w:val="center"/>
          </w:tcPr>
          <w:p w14:paraId="0BA7CEE6" w14:textId="77777777" w:rsidR="001A7BD2" w:rsidRPr="00335702" w:rsidRDefault="001A7BD2" w:rsidP="001A7BD2">
            <w:pPr>
              <w:spacing w:before="100" w:beforeAutospacing="1" w:after="100" w:afterAutospacing="1"/>
              <w:jc w:val="both"/>
              <w:rPr>
                <w:rFonts w:ascii="Times New Roman" w:hAnsi="Times New Roman"/>
                <w:sz w:val="20"/>
                <w:szCs w:val="20"/>
              </w:rPr>
            </w:pPr>
          </w:p>
        </w:tc>
        <w:tc>
          <w:tcPr>
            <w:tcW w:w="5850" w:type="dxa"/>
          </w:tcPr>
          <w:p w14:paraId="3FB8F245"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Output 1.3:</w:t>
            </w:r>
            <w:r w:rsidRPr="00335702">
              <w:rPr>
                <w:rFonts w:ascii="Times New Roman" w:hAnsi="Times New Roman"/>
                <w:sz w:val="20"/>
                <w:szCs w:val="20"/>
              </w:rPr>
              <w:t xml:space="preserve"> Inclusive and sustainable solutions adopted at the national and subnational levels to achieve increased energy efficiency and universal modern energy access (especially off-grid sources of renewable energy).</w:t>
            </w:r>
          </w:p>
          <w:p w14:paraId="35331B0E" w14:textId="77777777" w:rsidR="001A7BD2" w:rsidRPr="00335702" w:rsidRDefault="001A7BD2" w:rsidP="001A7BD2">
            <w:pPr>
              <w:spacing w:before="100" w:beforeAutospacing="1" w:after="100" w:afterAutospacing="1"/>
              <w:rPr>
                <w:rFonts w:ascii="Times New Roman" w:hAnsi="Times New Roman"/>
                <w:sz w:val="20"/>
                <w:szCs w:val="20"/>
              </w:rPr>
            </w:pPr>
          </w:p>
          <w:p w14:paraId="04A1C7B3"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Indicator 1.3.1:</w:t>
            </w:r>
            <w:r w:rsidRPr="00335702">
              <w:rPr>
                <w:rFonts w:ascii="Times New Roman" w:hAnsi="Times New Roman"/>
                <w:sz w:val="20"/>
                <w:szCs w:val="20"/>
              </w:rPr>
              <w:t xml:space="preserve"> proportion of households benefiting from clean, affordable and sustainable energy access.</w:t>
            </w:r>
          </w:p>
          <w:p w14:paraId="4D76C8D0"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7%; </w:t>
            </w:r>
            <w:r w:rsidRPr="00335702">
              <w:rPr>
                <w:rFonts w:ascii="Times New Roman" w:hAnsi="Times New Roman"/>
                <w:b/>
                <w:sz w:val="20"/>
                <w:szCs w:val="20"/>
              </w:rPr>
              <w:t>Target:</w:t>
            </w:r>
            <w:r w:rsidRPr="00335702">
              <w:rPr>
                <w:rFonts w:ascii="Times New Roman" w:hAnsi="Times New Roman"/>
                <w:sz w:val="20"/>
                <w:szCs w:val="20"/>
              </w:rPr>
              <w:t xml:space="preserve"> 15% (30% female-headed, 40% coverage of households with persons with disabilities)</w:t>
            </w:r>
          </w:p>
          <w:p w14:paraId="6102A289"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xml:space="preserve"> Department of Energy Services</w:t>
            </w:r>
          </w:p>
          <w:p w14:paraId="3D224CD8" w14:textId="77777777" w:rsidR="001A7BD2" w:rsidRPr="00335702" w:rsidRDefault="001A7BD2" w:rsidP="001A7BD2">
            <w:pPr>
              <w:spacing w:before="100" w:beforeAutospacing="1" w:after="100" w:afterAutospacing="1"/>
              <w:rPr>
                <w:rFonts w:ascii="Times New Roman" w:hAnsi="Times New Roman"/>
                <w:bCs/>
                <w:sz w:val="20"/>
                <w:szCs w:val="20"/>
              </w:rPr>
            </w:pPr>
          </w:p>
          <w:p w14:paraId="67EAC399" w14:textId="77777777" w:rsidR="001A7BD2" w:rsidRPr="00335702" w:rsidRDefault="001A7BD2" w:rsidP="001A7BD2">
            <w:pPr>
              <w:spacing w:before="100" w:beforeAutospacing="1" w:after="100" w:afterAutospacing="1"/>
              <w:rPr>
                <w:rFonts w:ascii="Times New Roman" w:hAnsi="Times New Roman"/>
                <w:b/>
                <w:bCs/>
                <w:sz w:val="20"/>
                <w:szCs w:val="20"/>
              </w:rPr>
            </w:pPr>
            <w:r w:rsidRPr="00335702">
              <w:rPr>
                <w:rFonts w:ascii="Times New Roman" w:hAnsi="Times New Roman"/>
                <w:b/>
                <w:bCs/>
                <w:sz w:val="20"/>
                <w:szCs w:val="20"/>
              </w:rPr>
              <w:t xml:space="preserve">Indicator 1.3.2: </w:t>
            </w:r>
            <w:r w:rsidRPr="00335702">
              <w:rPr>
                <w:rFonts w:ascii="Times New Roman" w:hAnsi="Times New Roman"/>
                <w:sz w:val="20"/>
                <w:szCs w:val="20"/>
              </w:rPr>
              <w:t xml:space="preserve">Cumulative installed generation capacity for rural populations through mini-grids </w:t>
            </w:r>
          </w:p>
          <w:p w14:paraId="345EA936"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bCs/>
                <w:sz w:val="20"/>
                <w:szCs w:val="20"/>
              </w:rPr>
              <w:t>Baseline</w:t>
            </w:r>
            <w:r w:rsidRPr="00335702">
              <w:rPr>
                <w:rFonts w:ascii="Times New Roman" w:hAnsi="Times New Roman"/>
                <w:sz w:val="20"/>
                <w:szCs w:val="20"/>
              </w:rPr>
              <w:t xml:space="preserve">:  56 kW; </w:t>
            </w:r>
            <w:r w:rsidRPr="00335702">
              <w:rPr>
                <w:rFonts w:ascii="Times New Roman" w:hAnsi="Times New Roman"/>
                <w:b/>
                <w:bCs/>
                <w:sz w:val="20"/>
                <w:szCs w:val="20"/>
              </w:rPr>
              <w:t>Target</w:t>
            </w:r>
            <w:r w:rsidRPr="00335702">
              <w:rPr>
                <w:rFonts w:ascii="Times New Roman" w:hAnsi="Times New Roman"/>
                <w:sz w:val="20"/>
                <w:szCs w:val="20"/>
              </w:rPr>
              <w:t>: 2,000 kW</w:t>
            </w:r>
          </w:p>
          <w:p w14:paraId="2E8E5449"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Department of Energy Services</w:t>
            </w:r>
          </w:p>
        </w:tc>
        <w:tc>
          <w:tcPr>
            <w:tcW w:w="2149" w:type="dxa"/>
            <w:vAlign w:val="center"/>
          </w:tcPr>
          <w:p w14:paraId="25443BEE"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Ministry of Natural Resources, Energy, and Mining (Depts. of Energy, of Environmental Affairs, of Forestry, and of Climate Change), GEF, bilateral donors.</w:t>
            </w:r>
          </w:p>
        </w:tc>
        <w:tc>
          <w:tcPr>
            <w:tcW w:w="1456" w:type="dxa"/>
            <w:vMerge/>
            <w:tcBorders>
              <w:right w:val="single" w:sz="4" w:space="0" w:color="auto"/>
            </w:tcBorders>
            <w:vAlign w:val="center"/>
          </w:tcPr>
          <w:p w14:paraId="45BBD0E8" w14:textId="77777777" w:rsidR="001A7BD2" w:rsidRPr="00335702" w:rsidRDefault="001A7BD2" w:rsidP="001A7BD2">
            <w:pPr>
              <w:spacing w:before="100" w:beforeAutospacing="1" w:after="100" w:afterAutospacing="1"/>
              <w:rPr>
                <w:rFonts w:ascii="Times New Roman" w:hAnsi="Times New Roman"/>
                <w:sz w:val="20"/>
                <w:szCs w:val="20"/>
              </w:rPr>
            </w:pP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2924"/>
      </w:tblGrid>
      <w:tr w:rsidR="001A7BD2" w:rsidRPr="00335702" w14:paraId="43905709" w14:textId="77777777" w:rsidTr="001A7BD2">
        <w:trPr>
          <w:trHeight w:val="25"/>
        </w:trPr>
        <w:tc>
          <w:tcPr>
            <w:tcW w:w="5000" w:type="pct"/>
            <w:shd w:val="clear" w:color="auto" w:fill="auto"/>
            <w:tcMar>
              <w:top w:w="72" w:type="dxa"/>
              <w:left w:w="144" w:type="dxa"/>
              <w:bottom w:w="72" w:type="dxa"/>
              <w:right w:w="144" w:type="dxa"/>
            </w:tcMar>
          </w:tcPr>
          <w:p w14:paraId="28399185" w14:textId="77777777" w:rsidR="001A7BD2" w:rsidRPr="00335702" w:rsidRDefault="001A7BD2" w:rsidP="001A7BD2">
            <w:pPr>
              <w:spacing w:before="100" w:beforeAutospacing="1" w:after="100" w:afterAutospacing="1" w:line="240" w:lineRule="auto"/>
              <w:rPr>
                <w:rFonts w:ascii="Times New Roman" w:hAnsi="Times New Roman"/>
                <w:color w:val="000000"/>
                <w:sz w:val="20"/>
                <w:szCs w:val="20"/>
              </w:rPr>
            </w:pPr>
            <w:r w:rsidRPr="00335702">
              <w:rPr>
                <w:rFonts w:ascii="Times New Roman" w:hAnsi="Times New Roman"/>
                <w:b/>
                <w:bCs/>
                <w:color w:val="000000"/>
                <w:sz w:val="20"/>
                <w:szCs w:val="20"/>
                <w:lang w:val="en-GB"/>
              </w:rPr>
              <w:t xml:space="preserve">NATIONAL PRIORITY OR GOAL: </w:t>
            </w:r>
            <w:r w:rsidRPr="00335702">
              <w:rPr>
                <w:rFonts w:ascii="Times New Roman" w:hAnsi="Times New Roman"/>
                <w:b/>
                <w:bCs/>
                <w:color w:val="000000" w:themeColor="text1"/>
                <w:sz w:val="20"/>
                <w:szCs w:val="20"/>
                <w:lang w:val="en-GB" w:eastAsia="en-GB"/>
              </w:rPr>
              <w:t>Actively respond to climate change, prevent disasters, strengthen sustainable natural resource management and environmental protection</w:t>
            </w:r>
            <w:r w:rsidRPr="00335702">
              <w:rPr>
                <w:rFonts w:ascii="Times New Roman" w:hAnsi="Times New Roman"/>
                <w:color w:val="000000" w:themeColor="text1"/>
                <w:sz w:val="20"/>
                <w:szCs w:val="20"/>
              </w:rPr>
              <w:t xml:space="preserve"> </w:t>
            </w:r>
          </w:p>
        </w:tc>
      </w:tr>
      <w:tr w:rsidR="001A7BD2" w:rsidRPr="00335702" w14:paraId="0F04C93D" w14:textId="77777777" w:rsidTr="001A7BD2">
        <w:trPr>
          <w:trHeight w:val="127"/>
        </w:trPr>
        <w:tc>
          <w:tcPr>
            <w:tcW w:w="5000" w:type="pct"/>
            <w:shd w:val="clear" w:color="auto" w:fill="auto"/>
            <w:tcMar>
              <w:top w:w="72" w:type="dxa"/>
              <w:left w:w="144" w:type="dxa"/>
              <w:bottom w:w="72" w:type="dxa"/>
              <w:right w:w="144" w:type="dxa"/>
            </w:tcMar>
          </w:tcPr>
          <w:p w14:paraId="1367C532" w14:textId="77777777" w:rsidR="001A7BD2" w:rsidRPr="00335702" w:rsidRDefault="001A7BD2" w:rsidP="001A7BD2">
            <w:pPr>
              <w:tabs>
                <w:tab w:val="left" w:pos="3429"/>
              </w:tabs>
              <w:spacing w:before="100" w:beforeAutospacing="1" w:after="100" w:afterAutospacing="1" w:line="240" w:lineRule="auto"/>
              <w:contextualSpacing/>
              <w:rPr>
                <w:rFonts w:ascii="Times New Roman" w:eastAsiaTheme="minorEastAsia" w:hAnsi="Times New Roman"/>
                <w:sz w:val="20"/>
                <w:szCs w:val="20"/>
              </w:rPr>
            </w:pPr>
            <w:r w:rsidRPr="00335702">
              <w:rPr>
                <w:rFonts w:ascii="Times New Roman" w:hAnsi="Times New Roman"/>
                <w:b/>
                <w:bCs/>
                <w:color w:val="000000"/>
                <w:sz w:val="20"/>
                <w:szCs w:val="20"/>
                <w:lang w:val="en-GB"/>
              </w:rPr>
              <w:t>UNDAF OUTCOME INVOLVING UNDP #2:</w:t>
            </w:r>
            <w:r w:rsidRPr="00335702">
              <w:rPr>
                <w:rFonts w:ascii="Times New Roman" w:hAnsi="Times New Roman"/>
                <w:color w:val="000000"/>
                <w:sz w:val="20"/>
                <w:szCs w:val="20"/>
                <w:lang w:val="en-GB"/>
              </w:rPr>
              <w:t xml:space="preserve"> </w:t>
            </w:r>
            <w:r w:rsidRPr="00335702">
              <w:rPr>
                <w:rFonts w:ascii="Times New Roman" w:hAnsi="Times New Roman"/>
                <w:sz w:val="20"/>
                <w:szCs w:val="20"/>
                <w:lang w:val="en-GB"/>
              </w:rPr>
              <w:t>By 2023, households have increased food and nutrition security, equitable access to healthy ecosystems and resilient livelihoods.</w:t>
            </w:r>
          </w:p>
        </w:tc>
      </w:tr>
      <w:tr w:rsidR="001A7BD2" w:rsidRPr="00335702" w14:paraId="78D4DA04" w14:textId="77777777" w:rsidTr="001A7BD2">
        <w:trPr>
          <w:trHeight w:val="127"/>
        </w:trPr>
        <w:tc>
          <w:tcPr>
            <w:tcW w:w="5000" w:type="pct"/>
            <w:shd w:val="clear" w:color="auto" w:fill="auto"/>
            <w:tcMar>
              <w:top w:w="72" w:type="dxa"/>
              <w:left w:w="144" w:type="dxa"/>
              <w:bottom w:w="72" w:type="dxa"/>
              <w:right w:w="144" w:type="dxa"/>
            </w:tcMar>
          </w:tcPr>
          <w:p w14:paraId="45A8D3DF" w14:textId="77777777" w:rsidR="001A7BD2" w:rsidRPr="00335702" w:rsidRDefault="001A7BD2" w:rsidP="001A7BD2">
            <w:pPr>
              <w:spacing w:before="100" w:beforeAutospacing="1" w:after="100" w:afterAutospacing="1" w:line="240" w:lineRule="auto"/>
              <w:rPr>
                <w:rFonts w:ascii="Times New Roman" w:hAnsi="Times New Roman"/>
                <w:sz w:val="20"/>
                <w:szCs w:val="20"/>
              </w:rPr>
            </w:pPr>
            <w:r w:rsidRPr="00335702">
              <w:rPr>
                <w:rFonts w:ascii="Times New Roman" w:hAnsi="Times New Roman"/>
                <w:b/>
                <w:bCs/>
                <w:color w:val="000000"/>
                <w:sz w:val="20"/>
                <w:szCs w:val="20"/>
                <w:lang w:val="en-GB"/>
              </w:rPr>
              <w:t xml:space="preserve">RELATED STRATEGIC PLAN OUTCOMES:  </w:t>
            </w:r>
            <w:r w:rsidRPr="00335702">
              <w:rPr>
                <w:rFonts w:ascii="Times New Roman" w:hAnsi="Times New Roman"/>
                <w:b/>
                <w:bCs/>
                <w:sz w:val="20"/>
                <w:szCs w:val="20"/>
                <w:lang w:val="en-GB"/>
              </w:rPr>
              <w:t xml:space="preserve">Outcome 3: </w:t>
            </w:r>
            <w:r w:rsidRPr="00335702">
              <w:rPr>
                <w:rFonts w:ascii="Times New Roman" w:hAnsi="Times New Roman"/>
                <w:bCs/>
                <w:sz w:val="20"/>
                <w:szCs w:val="20"/>
                <w:lang w:val="en-GB"/>
              </w:rPr>
              <w:t>Strengthening resilience and shocks to crises</w:t>
            </w:r>
          </w:p>
        </w:tc>
      </w:tr>
    </w:tbl>
    <w:tbl>
      <w:tblPr>
        <w:tblStyle w:val="TableGrid"/>
        <w:tblW w:w="13495" w:type="dxa"/>
        <w:tblLayout w:type="fixed"/>
        <w:tblLook w:val="04A0" w:firstRow="1" w:lastRow="0" w:firstColumn="1" w:lastColumn="0" w:noHBand="0" w:noVBand="1"/>
      </w:tblPr>
      <w:tblGrid>
        <w:gridCol w:w="2246"/>
        <w:gridCol w:w="1801"/>
        <w:gridCol w:w="5852"/>
        <w:gridCol w:w="2145"/>
        <w:gridCol w:w="1451"/>
      </w:tblGrid>
      <w:tr w:rsidR="001A7BD2" w:rsidRPr="00335702" w14:paraId="204E2A3E" w14:textId="77777777" w:rsidTr="00B5597A">
        <w:tc>
          <w:tcPr>
            <w:tcW w:w="2246" w:type="dxa"/>
            <w:vMerge w:val="restart"/>
            <w:vAlign w:val="center"/>
          </w:tcPr>
          <w:p w14:paraId="18BCBAA6"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bCs/>
                <w:sz w:val="20"/>
                <w:szCs w:val="20"/>
              </w:rPr>
              <w:t xml:space="preserve">2.1 </w:t>
            </w:r>
            <w:r w:rsidRPr="00335702">
              <w:rPr>
                <w:rFonts w:ascii="Times New Roman" w:hAnsi="Times New Roman"/>
                <w:bCs/>
                <w:sz w:val="20"/>
                <w:szCs w:val="20"/>
              </w:rPr>
              <w:t>Multi-dimensional poverty rates (by sex, location, income, age)</w:t>
            </w:r>
          </w:p>
          <w:p w14:paraId="1B513B10" w14:textId="77777777" w:rsidR="001A7BD2" w:rsidRPr="00335702" w:rsidRDefault="001A7BD2" w:rsidP="001A7BD2">
            <w:pPr>
              <w:spacing w:before="100" w:beforeAutospacing="1" w:after="100" w:afterAutospacing="1"/>
              <w:rPr>
                <w:rFonts w:ascii="Times New Roman" w:hAnsi="Times New Roman"/>
                <w:b/>
                <w:bCs/>
                <w:sz w:val="20"/>
                <w:szCs w:val="20"/>
              </w:rPr>
            </w:pPr>
          </w:p>
          <w:p w14:paraId="1653969A"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bCs/>
                <w:sz w:val="20"/>
                <w:szCs w:val="20"/>
              </w:rPr>
              <w:t xml:space="preserve">Baseline: </w:t>
            </w:r>
            <w:r w:rsidRPr="00335702">
              <w:rPr>
                <w:rFonts w:ascii="Times New Roman" w:hAnsi="Times New Roman"/>
                <w:bCs/>
                <w:sz w:val="20"/>
                <w:szCs w:val="20"/>
              </w:rPr>
              <w:t>0.273 (Human Development Report (HDR), 2016)</w:t>
            </w:r>
          </w:p>
          <w:p w14:paraId="1FC557DB" w14:textId="77777777" w:rsidR="001A7BD2" w:rsidRPr="00335702" w:rsidRDefault="001A7BD2" w:rsidP="001A7BD2">
            <w:pPr>
              <w:spacing w:before="100" w:beforeAutospacing="1" w:after="100" w:afterAutospacing="1"/>
              <w:rPr>
                <w:rFonts w:ascii="Times New Roman" w:hAnsi="Times New Roman"/>
                <w:b/>
                <w:bCs/>
                <w:sz w:val="20"/>
                <w:szCs w:val="20"/>
              </w:rPr>
            </w:pPr>
            <w:r w:rsidRPr="00335702">
              <w:rPr>
                <w:rFonts w:ascii="Times New Roman" w:hAnsi="Times New Roman"/>
                <w:b/>
                <w:bCs/>
                <w:sz w:val="20"/>
                <w:szCs w:val="20"/>
              </w:rPr>
              <w:t xml:space="preserve">Target: </w:t>
            </w:r>
            <w:r w:rsidRPr="00335702">
              <w:rPr>
                <w:rFonts w:ascii="Times New Roman" w:hAnsi="Times New Roman"/>
                <w:bCs/>
                <w:sz w:val="20"/>
                <w:szCs w:val="20"/>
              </w:rPr>
              <w:t>0.260 (HDR, 2023)</w:t>
            </w:r>
          </w:p>
          <w:p w14:paraId="70C83217" w14:textId="77777777" w:rsidR="001A7BD2" w:rsidRPr="00335702" w:rsidRDefault="001A7BD2" w:rsidP="001A7BD2">
            <w:pPr>
              <w:spacing w:before="100" w:beforeAutospacing="1" w:after="100" w:afterAutospacing="1"/>
              <w:rPr>
                <w:rFonts w:ascii="Times New Roman" w:hAnsi="Times New Roman"/>
                <w:b/>
                <w:bCs/>
                <w:sz w:val="20"/>
                <w:szCs w:val="20"/>
              </w:rPr>
            </w:pPr>
          </w:p>
          <w:p w14:paraId="4B368BC6"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bCs/>
                <w:sz w:val="20"/>
                <w:szCs w:val="20"/>
              </w:rPr>
              <w:t>2.2</w:t>
            </w:r>
            <w:r w:rsidRPr="00335702">
              <w:rPr>
                <w:rFonts w:ascii="Times New Roman" w:hAnsi="Times New Roman"/>
                <w:sz w:val="20"/>
                <w:szCs w:val="20"/>
              </w:rPr>
              <w:t xml:space="preserve"> Gini index   </w:t>
            </w:r>
          </w:p>
          <w:p w14:paraId="069D08AB"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46.1 </w:t>
            </w:r>
          </w:p>
          <w:p w14:paraId="51624483"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sz w:val="20"/>
                <w:szCs w:val="20"/>
              </w:rPr>
              <w:t>(HDR, 2016)</w:t>
            </w:r>
          </w:p>
          <w:p w14:paraId="41EB3EDD"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Target</w:t>
            </w:r>
            <w:r w:rsidRPr="00335702">
              <w:rPr>
                <w:rFonts w:ascii="Times New Roman" w:hAnsi="Times New Roman"/>
                <w:sz w:val="20"/>
                <w:szCs w:val="20"/>
              </w:rPr>
              <w:t>: 40.0 [2005 range]</w:t>
            </w:r>
          </w:p>
          <w:p w14:paraId="78D785FD" w14:textId="77777777" w:rsidR="001A7BD2" w:rsidRPr="00335702" w:rsidRDefault="001A7BD2" w:rsidP="001A7BD2">
            <w:pPr>
              <w:spacing w:before="100" w:beforeAutospacing="1" w:after="100" w:afterAutospacing="1"/>
              <w:rPr>
                <w:rFonts w:ascii="Times New Roman" w:hAnsi="Times New Roman"/>
                <w:sz w:val="20"/>
                <w:szCs w:val="20"/>
              </w:rPr>
            </w:pPr>
          </w:p>
          <w:p w14:paraId="7F3C35B7" w14:textId="77777777" w:rsidR="001A7BD2" w:rsidRPr="00335702" w:rsidRDefault="001A7BD2" w:rsidP="001A7BD2">
            <w:pPr>
              <w:spacing w:before="100" w:beforeAutospacing="1" w:after="100" w:afterAutospacing="1"/>
              <w:rPr>
                <w:rFonts w:ascii="Times New Roman" w:hAnsi="Times New Roman"/>
                <w:sz w:val="20"/>
                <w:szCs w:val="20"/>
              </w:rPr>
            </w:pPr>
          </w:p>
          <w:p w14:paraId="43E5A29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sz w:val="20"/>
                <w:szCs w:val="20"/>
              </w:rPr>
              <w:t>2.3</w:t>
            </w:r>
            <w:r w:rsidRPr="00335702">
              <w:rPr>
                <w:rFonts w:ascii="Times New Roman" w:hAnsi="Times New Roman"/>
                <w:sz w:val="20"/>
                <w:szCs w:val="20"/>
              </w:rPr>
              <w:t xml:space="preserve"> Economic loss from natural hazards (e.g. geophysical and climate-induced hazards) as a proportion of GDP</w:t>
            </w:r>
          </w:p>
          <w:p w14:paraId="5B9B7776"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sz w:val="20"/>
                <w:szCs w:val="20"/>
              </w:rPr>
              <w:t>Baseline</w:t>
            </w:r>
            <w:r w:rsidRPr="00335702">
              <w:rPr>
                <w:rFonts w:ascii="Times New Roman" w:hAnsi="Times New Roman"/>
                <w:sz w:val="20"/>
                <w:szCs w:val="20"/>
              </w:rPr>
              <w:t>: 12.74% (2016) (Sustainable Development Goal indicators, 2016 report)</w:t>
            </w:r>
          </w:p>
          <w:p w14:paraId="7642C653" w14:textId="77777777" w:rsidR="001A7BD2" w:rsidRPr="00335702" w:rsidRDefault="001A7BD2" w:rsidP="001A7BD2">
            <w:pPr>
              <w:spacing w:before="100" w:beforeAutospacing="1" w:after="100" w:afterAutospacing="1"/>
              <w:rPr>
                <w:rFonts w:ascii="Times New Roman" w:hAnsi="Times New Roman"/>
                <w:bCs/>
                <w:sz w:val="20"/>
                <w:szCs w:val="20"/>
              </w:rPr>
            </w:pPr>
            <w:r w:rsidRPr="00335702">
              <w:rPr>
                <w:rFonts w:ascii="Times New Roman" w:hAnsi="Times New Roman"/>
                <w:b/>
                <w:sz w:val="20"/>
                <w:szCs w:val="20"/>
              </w:rPr>
              <w:t>Target</w:t>
            </w:r>
            <w:r w:rsidRPr="00335702">
              <w:rPr>
                <w:rFonts w:ascii="Times New Roman" w:hAnsi="Times New Roman"/>
                <w:sz w:val="20"/>
                <w:szCs w:val="20"/>
              </w:rPr>
              <w:t>: below 10%. (2023)</w:t>
            </w:r>
          </w:p>
        </w:tc>
        <w:tc>
          <w:tcPr>
            <w:tcW w:w="1801" w:type="dxa"/>
            <w:vMerge w:val="restart"/>
            <w:vAlign w:val="center"/>
          </w:tcPr>
          <w:p w14:paraId="7ABF63E5" w14:textId="77777777" w:rsidR="001A7BD2" w:rsidRPr="00335702" w:rsidRDefault="001A7BD2" w:rsidP="001F165F">
            <w:pPr>
              <w:pStyle w:val="ListParagraph"/>
              <w:numPr>
                <w:ilvl w:val="0"/>
                <w:numId w:val="21"/>
              </w:numPr>
              <w:spacing w:before="100" w:beforeAutospacing="1" w:after="100" w:afterAutospacing="1"/>
              <w:ind w:left="0"/>
              <w:contextualSpacing w:val="0"/>
              <w:rPr>
                <w:rFonts w:ascii="Times New Roman" w:hAnsi="Times New Roman"/>
                <w:color w:val="000000"/>
                <w:sz w:val="20"/>
                <w:szCs w:val="20"/>
              </w:rPr>
            </w:pPr>
          </w:p>
          <w:p w14:paraId="1B68513D" w14:textId="77777777" w:rsidR="001A7BD2" w:rsidRPr="00335702" w:rsidRDefault="001A7BD2" w:rsidP="001F165F">
            <w:pPr>
              <w:pStyle w:val="ListParagraph"/>
              <w:numPr>
                <w:ilvl w:val="0"/>
                <w:numId w:val="21"/>
              </w:numPr>
              <w:spacing w:before="100" w:beforeAutospacing="1" w:after="100" w:afterAutospacing="1"/>
              <w:ind w:left="0"/>
              <w:contextualSpacing w:val="0"/>
              <w:rPr>
                <w:rFonts w:ascii="Times New Roman" w:hAnsi="Times New Roman"/>
                <w:color w:val="000000"/>
                <w:sz w:val="20"/>
                <w:szCs w:val="20"/>
              </w:rPr>
            </w:pPr>
          </w:p>
          <w:p w14:paraId="0C014D2E" w14:textId="77777777" w:rsidR="001A7BD2" w:rsidRPr="00335702" w:rsidRDefault="001A7BD2" w:rsidP="001F165F">
            <w:pPr>
              <w:pStyle w:val="ListParagraph"/>
              <w:numPr>
                <w:ilvl w:val="0"/>
                <w:numId w:val="21"/>
              </w:numPr>
              <w:spacing w:before="100" w:beforeAutospacing="1" w:after="100" w:afterAutospacing="1"/>
              <w:ind w:left="0"/>
              <w:contextualSpacing w:val="0"/>
              <w:rPr>
                <w:rFonts w:ascii="Times New Roman" w:hAnsi="Times New Roman"/>
                <w:color w:val="000000"/>
                <w:sz w:val="20"/>
                <w:szCs w:val="20"/>
              </w:rPr>
            </w:pPr>
            <w:r w:rsidRPr="00335702">
              <w:rPr>
                <w:rFonts w:ascii="Times New Roman" w:hAnsi="Times New Roman"/>
                <w:color w:val="000000"/>
                <w:sz w:val="20"/>
                <w:szCs w:val="20"/>
              </w:rPr>
              <w:t>Integrated Household Survey Report</w:t>
            </w:r>
          </w:p>
          <w:p w14:paraId="28FAA425" w14:textId="77777777" w:rsidR="001A7BD2" w:rsidRPr="00335702" w:rsidRDefault="001A7BD2" w:rsidP="001A7BD2">
            <w:pPr>
              <w:spacing w:before="100" w:beforeAutospacing="1" w:after="100" w:afterAutospacing="1"/>
              <w:rPr>
                <w:rFonts w:ascii="Times New Roman" w:hAnsi="Times New Roman"/>
                <w:bCs/>
                <w:color w:val="000000"/>
                <w:sz w:val="20"/>
                <w:szCs w:val="20"/>
              </w:rPr>
            </w:pPr>
          </w:p>
          <w:p w14:paraId="3277EF64"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r w:rsidRPr="00335702">
              <w:rPr>
                <w:rFonts w:ascii="Times New Roman" w:hAnsi="Times New Roman"/>
                <w:color w:val="000000"/>
                <w:sz w:val="20"/>
                <w:szCs w:val="20"/>
              </w:rPr>
              <w:t>Human Development Report</w:t>
            </w:r>
          </w:p>
          <w:p w14:paraId="3E27A1E6" w14:textId="77777777" w:rsidR="001A7BD2" w:rsidRPr="00335702" w:rsidRDefault="001A7BD2" w:rsidP="001A7BD2">
            <w:pPr>
              <w:pStyle w:val="ListParagraph"/>
              <w:spacing w:before="100" w:beforeAutospacing="1" w:after="100" w:afterAutospacing="1"/>
              <w:ind w:left="0"/>
              <w:rPr>
                <w:rFonts w:ascii="Times New Roman" w:hAnsi="Times New Roman"/>
                <w:bCs/>
                <w:color w:val="000000"/>
                <w:sz w:val="20"/>
                <w:szCs w:val="20"/>
              </w:rPr>
            </w:pPr>
          </w:p>
          <w:p w14:paraId="117AD4D7"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sz w:val="20"/>
                <w:szCs w:val="20"/>
              </w:rPr>
              <w:t>Independent reviews</w:t>
            </w:r>
          </w:p>
        </w:tc>
        <w:tc>
          <w:tcPr>
            <w:tcW w:w="5852" w:type="dxa"/>
          </w:tcPr>
          <w:p w14:paraId="3043FF3E"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Output 2.1</w:t>
            </w:r>
            <w:r w:rsidRPr="00335702">
              <w:rPr>
                <w:rFonts w:ascii="Times New Roman" w:hAnsi="Times New Roman"/>
                <w:sz w:val="20"/>
                <w:szCs w:val="20"/>
              </w:rPr>
              <w:t>: Scaled-up action, finance and partnerships for climate change adaptation, mitigation and disaster risk management across sectors.</w:t>
            </w:r>
          </w:p>
          <w:p w14:paraId="3BA3BDC6"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13B41D04"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 xml:space="preserve">Indicator 2.1.1: </w:t>
            </w:r>
            <w:r w:rsidRPr="00335702">
              <w:rPr>
                <w:rFonts w:ascii="Times New Roman" w:hAnsi="Times New Roman"/>
                <w:sz w:val="20"/>
                <w:szCs w:val="20"/>
              </w:rPr>
              <w:t>Proportion of local governments that adopt and implement climate adaptation, mitigation and disaster risk reduction (DRR) strategies, including through South-South and trilateral cooperation.</w:t>
            </w:r>
          </w:p>
          <w:p w14:paraId="7FC9CBE3"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sz w:val="20"/>
                <w:szCs w:val="20"/>
              </w:rPr>
              <w:t>:</w:t>
            </w:r>
            <w:r w:rsidRPr="00335702">
              <w:rPr>
                <w:rFonts w:ascii="Times New Roman" w:hAnsi="Times New Roman"/>
                <w:color w:val="FF0000"/>
                <w:sz w:val="20"/>
                <w:szCs w:val="20"/>
              </w:rPr>
              <w:t xml:space="preserve"> </w:t>
            </w:r>
            <w:r w:rsidRPr="00335702">
              <w:rPr>
                <w:rFonts w:ascii="Times New Roman" w:hAnsi="Times New Roman"/>
                <w:sz w:val="20"/>
                <w:szCs w:val="20"/>
              </w:rPr>
              <w:t xml:space="preserve">5; </w:t>
            </w:r>
            <w:r w:rsidRPr="00335702">
              <w:rPr>
                <w:rFonts w:ascii="Times New Roman" w:hAnsi="Times New Roman"/>
                <w:b/>
                <w:bCs/>
                <w:sz w:val="20"/>
                <w:szCs w:val="20"/>
              </w:rPr>
              <w:t>Target</w:t>
            </w:r>
            <w:r w:rsidRPr="00335702">
              <w:rPr>
                <w:rFonts w:ascii="Times New Roman" w:hAnsi="Times New Roman"/>
                <w:sz w:val="20"/>
                <w:szCs w:val="20"/>
              </w:rPr>
              <w:t>: 21</w:t>
            </w:r>
          </w:p>
          <w:p w14:paraId="7B9FAE76"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xml:space="preserve">: Dept. of Disaster Management Affairs </w:t>
            </w:r>
          </w:p>
          <w:p w14:paraId="37F4CD65" w14:textId="77777777" w:rsidR="001A7BD2" w:rsidRPr="00335702" w:rsidRDefault="001A7BD2" w:rsidP="001A7BD2">
            <w:pPr>
              <w:spacing w:before="100" w:beforeAutospacing="1" w:after="100" w:afterAutospacing="1"/>
              <w:rPr>
                <w:rFonts w:ascii="Times New Roman" w:hAnsi="Times New Roman"/>
                <w:sz w:val="20"/>
                <w:szCs w:val="20"/>
              </w:rPr>
            </w:pPr>
          </w:p>
          <w:p w14:paraId="45785E27"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Indicator 2.1.2:</w:t>
            </w:r>
            <w:r w:rsidRPr="00335702">
              <w:rPr>
                <w:rFonts w:ascii="Times New Roman" w:hAnsi="Times New Roman"/>
                <w:sz w:val="20"/>
                <w:szCs w:val="20"/>
              </w:rPr>
              <w:t xml:space="preserve"> Percentage of public expenditure on climate change adaptation and mitigation.</w:t>
            </w:r>
          </w:p>
          <w:p w14:paraId="35C0DC6E"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sz w:val="20"/>
                <w:szCs w:val="20"/>
              </w:rPr>
              <w:t xml:space="preserve">: 3.5%; </w:t>
            </w:r>
            <w:r w:rsidRPr="00335702">
              <w:rPr>
                <w:rFonts w:ascii="Times New Roman" w:hAnsi="Times New Roman"/>
                <w:b/>
                <w:bCs/>
                <w:sz w:val="20"/>
                <w:szCs w:val="20"/>
              </w:rPr>
              <w:t>Target</w:t>
            </w:r>
            <w:r w:rsidRPr="00335702">
              <w:rPr>
                <w:rFonts w:ascii="Times New Roman" w:hAnsi="Times New Roman"/>
                <w:sz w:val="20"/>
                <w:szCs w:val="20"/>
              </w:rPr>
              <w:t xml:space="preserve">:  7%; </w:t>
            </w:r>
            <w:r w:rsidRPr="00335702">
              <w:rPr>
                <w:rFonts w:ascii="Times New Roman" w:hAnsi="Times New Roman"/>
                <w:b/>
                <w:sz w:val="20"/>
                <w:szCs w:val="20"/>
              </w:rPr>
              <w:t>Data source:</w:t>
            </w:r>
            <w:r w:rsidRPr="00335702">
              <w:rPr>
                <w:rFonts w:ascii="Times New Roman" w:hAnsi="Times New Roman"/>
                <w:sz w:val="20"/>
                <w:szCs w:val="20"/>
              </w:rPr>
              <w:t xml:space="preserve"> independent climate and DRR public expenditure review reports 2014, 2018, 2021</w:t>
            </w:r>
          </w:p>
          <w:p w14:paraId="42D52EC5"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077007FF"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Indicator 2.1.3</w:t>
            </w:r>
            <w:r w:rsidRPr="00335702">
              <w:rPr>
                <w:rFonts w:ascii="Times New Roman" w:hAnsi="Times New Roman"/>
                <w:sz w:val="20"/>
                <w:szCs w:val="20"/>
              </w:rPr>
              <w:t>:  % of sectoral plans that mainstream climate risk and adaptation</w:t>
            </w:r>
          </w:p>
          <w:p w14:paraId="6FEF7F9A"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20%; </w:t>
            </w:r>
            <w:r w:rsidRPr="00335702">
              <w:rPr>
                <w:rFonts w:ascii="Times New Roman" w:hAnsi="Times New Roman"/>
                <w:b/>
                <w:sz w:val="20"/>
                <w:szCs w:val="20"/>
              </w:rPr>
              <w:t>Target</w:t>
            </w:r>
            <w:r w:rsidRPr="00335702">
              <w:rPr>
                <w:rFonts w:ascii="Times New Roman" w:hAnsi="Times New Roman"/>
                <w:sz w:val="20"/>
                <w:szCs w:val="20"/>
              </w:rPr>
              <w:t xml:space="preserve">:  70%; </w:t>
            </w:r>
          </w:p>
          <w:p w14:paraId="51FF191A"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independent climate and DRR public expenditure review reports 2014, 2018, 2021</w:t>
            </w:r>
          </w:p>
        </w:tc>
        <w:tc>
          <w:tcPr>
            <w:tcW w:w="2145" w:type="dxa"/>
            <w:vMerge w:val="restart"/>
            <w:vAlign w:val="center"/>
          </w:tcPr>
          <w:p w14:paraId="4272D27C"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 xml:space="preserve">Ministry of Natural Resources, Energy, and Mining; Department of Disaster Management Affairs; </w:t>
            </w:r>
          </w:p>
          <w:p w14:paraId="4A01C94B"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 xml:space="preserve">UNICEF; WFP; World Bank; GEF; Green Climate Fund; </w:t>
            </w:r>
          </w:p>
          <w:p w14:paraId="419431D1" w14:textId="77777777" w:rsidR="001A7BD2" w:rsidRPr="00335702" w:rsidRDefault="001A7BD2" w:rsidP="001A7BD2">
            <w:pPr>
              <w:spacing w:before="100" w:beforeAutospacing="1" w:after="100" w:afterAutospacing="1"/>
              <w:rPr>
                <w:rFonts w:ascii="Times New Roman" w:hAnsi="Times New Roman"/>
                <w:iCs/>
                <w:color w:val="000000"/>
                <w:sz w:val="20"/>
                <w:szCs w:val="20"/>
              </w:rPr>
            </w:pPr>
            <w:r w:rsidRPr="00335702">
              <w:rPr>
                <w:rFonts w:ascii="Times New Roman" w:hAnsi="Times New Roman"/>
                <w:iCs/>
                <w:color w:val="000000"/>
                <w:sz w:val="20"/>
                <w:szCs w:val="20"/>
              </w:rPr>
              <w:t>Government of China</w:t>
            </w:r>
          </w:p>
          <w:p w14:paraId="6D47E428" w14:textId="77777777" w:rsidR="001A7BD2" w:rsidRPr="00335702" w:rsidRDefault="001A7BD2" w:rsidP="001A7BD2">
            <w:pPr>
              <w:spacing w:before="100" w:beforeAutospacing="1" w:after="100" w:afterAutospacing="1"/>
              <w:rPr>
                <w:rFonts w:ascii="Times New Roman" w:hAnsi="Times New Roman"/>
                <w:sz w:val="20"/>
                <w:szCs w:val="20"/>
              </w:rPr>
            </w:pPr>
          </w:p>
        </w:tc>
        <w:tc>
          <w:tcPr>
            <w:tcW w:w="1451" w:type="dxa"/>
            <w:vMerge w:val="restart"/>
            <w:vAlign w:val="center"/>
          </w:tcPr>
          <w:p w14:paraId="7A08CC70"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r w:rsidRPr="00335702">
              <w:rPr>
                <w:rFonts w:ascii="Times New Roman" w:hAnsi="Times New Roman"/>
                <w:b/>
                <w:bCs/>
                <w:color w:val="000000"/>
                <w:sz w:val="20"/>
                <w:szCs w:val="20"/>
              </w:rPr>
              <w:t xml:space="preserve">Regular </w:t>
            </w:r>
          </w:p>
          <w:p w14:paraId="3E97D2E8" w14:textId="77777777" w:rsidR="001A7BD2" w:rsidRPr="00335702" w:rsidRDefault="001A7BD2" w:rsidP="001A7BD2">
            <w:pPr>
              <w:spacing w:before="100" w:beforeAutospacing="1" w:after="100" w:afterAutospacing="1"/>
              <w:jc w:val="both"/>
              <w:rPr>
                <w:rFonts w:ascii="Times New Roman" w:hAnsi="Times New Roman"/>
                <w:b/>
                <w:color w:val="000000"/>
                <w:sz w:val="20"/>
                <w:szCs w:val="20"/>
              </w:rPr>
            </w:pPr>
            <w:r w:rsidRPr="00335702">
              <w:rPr>
                <w:rFonts w:ascii="Times New Roman" w:hAnsi="Times New Roman"/>
                <w:b/>
                <w:color w:val="000000"/>
                <w:sz w:val="20"/>
                <w:szCs w:val="20"/>
              </w:rPr>
              <w:t>$26,000,000</w:t>
            </w:r>
          </w:p>
          <w:p w14:paraId="6182EF9D" w14:textId="77777777" w:rsidR="001A7BD2" w:rsidRPr="00335702" w:rsidRDefault="001A7BD2" w:rsidP="001A7BD2">
            <w:pPr>
              <w:spacing w:before="100" w:beforeAutospacing="1" w:after="100" w:afterAutospacing="1"/>
              <w:jc w:val="both"/>
              <w:rPr>
                <w:rFonts w:ascii="Times New Roman" w:hAnsi="Times New Roman"/>
                <w:b/>
                <w:color w:val="000000"/>
                <w:sz w:val="20"/>
                <w:szCs w:val="20"/>
              </w:rPr>
            </w:pPr>
          </w:p>
          <w:p w14:paraId="772F31FF"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r w:rsidRPr="00335702">
              <w:rPr>
                <w:rFonts w:ascii="Times New Roman" w:hAnsi="Times New Roman"/>
                <w:b/>
                <w:bCs/>
                <w:color w:val="000000"/>
                <w:sz w:val="20"/>
                <w:szCs w:val="20"/>
              </w:rPr>
              <w:t>Other:</w:t>
            </w:r>
          </w:p>
          <w:p w14:paraId="689E0D47" w14:textId="77777777" w:rsidR="001A7BD2" w:rsidRPr="00335702" w:rsidRDefault="001A7BD2" w:rsidP="001A7BD2">
            <w:pPr>
              <w:spacing w:before="100" w:beforeAutospacing="1" w:after="100" w:afterAutospacing="1"/>
              <w:jc w:val="both"/>
              <w:rPr>
                <w:rFonts w:ascii="Times New Roman" w:hAnsi="Times New Roman"/>
                <w:b/>
                <w:color w:val="000000"/>
                <w:sz w:val="20"/>
                <w:szCs w:val="20"/>
              </w:rPr>
            </w:pPr>
            <w:r w:rsidRPr="00335702">
              <w:rPr>
                <w:rFonts w:ascii="Times New Roman" w:hAnsi="Times New Roman"/>
                <w:b/>
                <w:color w:val="000000"/>
                <w:sz w:val="20"/>
                <w:szCs w:val="20"/>
              </w:rPr>
              <w:t>$15,000,000</w:t>
            </w:r>
          </w:p>
          <w:p w14:paraId="1270508F"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79CF49C6" w14:textId="77777777" w:rsidR="001A7BD2" w:rsidRPr="00335702" w:rsidRDefault="001A7BD2" w:rsidP="001A7BD2">
            <w:pPr>
              <w:spacing w:before="100" w:beforeAutospacing="1" w:after="100" w:afterAutospacing="1"/>
              <w:rPr>
                <w:rFonts w:ascii="Times New Roman" w:hAnsi="Times New Roman"/>
                <w:sz w:val="20"/>
                <w:szCs w:val="20"/>
              </w:rPr>
            </w:pPr>
          </w:p>
        </w:tc>
      </w:tr>
      <w:tr w:rsidR="001A7BD2" w:rsidRPr="00335702" w14:paraId="0BB84154" w14:textId="77777777" w:rsidTr="00B5597A">
        <w:trPr>
          <w:trHeight w:val="2024"/>
        </w:trPr>
        <w:tc>
          <w:tcPr>
            <w:tcW w:w="2246" w:type="dxa"/>
            <w:vMerge/>
            <w:vAlign w:val="center"/>
          </w:tcPr>
          <w:p w14:paraId="71B742FE" w14:textId="77777777" w:rsidR="001A7BD2" w:rsidRPr="00335702" w:rsidRDefault="001A7BD2" w:rsidP="001A7BD2">
            <w:pPr>
              <w:spacing w:before="100" w:beforeAutospacing="1" w:after="100" w:afterAutospacing="1"/>
              <w:rPr>
                <w:rFonts w:ascii="Times New Roman" w:hAnsi="Times New Roman"/>
                <w:sz w:val="20"/>
                <w:szCs w:val="20"/>
              </w:rPr>
            </w:pPr>
          </w:p>
        </w:tc>
        <w:tc>
          <w:tcPr>
            <w:tcW w:w="1801" w:type="dxa"/>
            <w:vMerge/>
            <w:vAlign w:val="center"/>
          </w:tcPr>
          <w:p w14:paraId="1E920C80" w14:textId="77777777" w:rsidR="001A7BD2" w:rsidRPr="00335702" w:rsidRDefault="001A7BD2" w:rsidP="001A7BD2">
            <w:pPr>
              <w:spacing w:before="100" w:beforeAutospacing="1" w:after="100" w:afterAutospacing="1"/>
              <w:jc w:val="both"/>
              <w:rPr>
                <w:rFonts w:ascii="Times New Roman" w:hAnsi="Times New Roman"/>
                <w:sz w:val="20"/>
                <w:szCs w:val="20"/>
              </w:rPr>
            </w:pPr>
          </w:p>
        </w:tc>
        <w:tc>
          <w:tcPr>
            <w:tcW w:w="5852" w:type="dxa"/>
          </w:tcPr>
          <w:p w14:paraId="63F658A6"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Output 2.2:</w:t>
            </w:r>
            <w:r w:rsidRPr="00335702">
              <w:rPr>
                <w:rFonts w:ascii="Times New Roman" w:hAnsi="Times New Roman"/>
                <w:sz w:val="20"/>
                <w:szCs w:val="20"/>
              </w:rPr>
              <w:t xml:space="preserve"> Adaptive capacity of rural households and reduced exposure to climate risks strengthened</w:t>
            </w:r>
          </w:p>
          <w:p w14:paraId="7CB3C373" w14:textId="77777777" w:rsidR="001A7BD2" w:rsidRPr="00335702" w:rsidRDefault="001A7BD2" w:rsidP="001A7BD2">
            <w:pPr>
              <w:spacing w:before="100" w:beforeAutospacing="1" w:after="100" w:afterAutospacing="1"/>
              <w:rPr>
                <w:rFonts w:ascii="Times New Roman" w:hAnsi="Times New Roman"/>
                <w:sz w:val="20"/>
                <w:szCs w:val="20"/>
              </w:rPr>
            </w:pPr>
          </w:p>
          <w:p w14:paraId="175E093E"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Indicator 2.2.1</w:t>
            </w:r>
            <w:r w:rsidRPr="00335702">
              <w:rPr>
                <w:rFonts w:ascii="Times New Roman" w:hAnsi="Times New Roman"/>
                <w:sz w:val="20"/>
                <w:szCs w:val="20"/>
              </w:rPr>
              <w:t>: Percentage of population in targeted areas with access to tailored climate information and early warnings</w:t>
            </w:r>
          </w:p>
          <w:p w14:paraId="0D9549BF"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sz w:val="20"/>
                <w:szCs w:val="20"/>
              </w:rPr>
              <w:t>: 10% of population in target areas (Male: 628,620; Female: 663,136; 60% of persons with disabilities)</w:t>
            </w:r>
          </w:p>
          <w:p w14:paraId="333ADD09"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Target</w:t>
            </w:r>
            <w:r w:rsidRPr="00335702">
              <w:rPr>
                <w:rFonts w:ascii="Times New Roman" w:hAnsi="Times New Roman"/>
                <w:sz w:val="20"/>
                <w:szCs w:val="20"/>
              </w:rPr>
              <w:t>: 17% population in target areas (Male: 1,093,242; Female: 1,154,912). Target to be confirmed during modernized climate information and early warning systems project inception phase</w:t>
            </w:r>
          </w:p>
          <w:p w14:paraId="743E620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color w:val="000000"/>
                <w:sz w:val="20"/>
                <w:szCs w:val="20"/>
              </w:rPr>
              <w:t>Data source</w:t>
            </w:r>
            <w:r w:rsidRPr="00335702">
              <w:rPr>
                <w:rFonts w:ascii="Times New Roman" w:hAnsi="Times New Roman"/>
                <w:color w:val="000000"/>
                <w:sz w:val="20"/>
                <w:szCs w:val="20"/>
              </w:rPr>
              <w:t>:</w:t>
            </w:r>
            <w:r w:rsidRPr="00335702">
              <w:rPr>
                <w:rFonts w:ascii="Times New Roman" w:hAnsi="Times New Roman"/>
                <w:sz w:val="20"/>
                <w:szCs w:val="20"/>
              </w:rPr>
              <w:t xml:space="preserve"> Independent reviews</w:t>
            </w:r>
          </w:p>
        </w:tc>
        <w:tc>
          <w:tcPr>
            <w:tcW w:w="2145" w:type="dxa"/>
            <w:vMerge/>
            <w:vAlign w:val="center"/>
          </w:tcPr>
          <w:p w14:paraId="1843BCDA" w14:textId="77777777" w:rsidR="001A7BD2" w:rsidRPr="00335702" w:rsidRDefault="001A7BD2" w:rsidP="001A7BD2">
            <w:pPr>
              <w:spacing w:before="100" w:beforeAutospacing="1" w:after="100" w:afterAutospacing="1"/>
              <w:rPr>
                <w:rFonts w:ascii="Times New Roman" w:hAnsi="Times New Roman"/>
                <w:sz w:val="20"/>
                <w:szCs w:val="20"/>
              </w:rPr>
            </w:pPr>
          </w:p>
        </w:tc>
        <w:tc>
          <w:tcPr>
            <w:tcW w:w="1451" w:type="dxa"/>
            <w:vMerge/>
            <w:vAlign w:val="center"/>
          </w:tcPr>
          <w:p w14:paraId="79B0B90E" w14:textId="77777777" w:rsidR="001A7BD2" w:rsidRPr="00335702" w:rsidRDefault="001A7BD2" w:rsidP="001A7BD2">
            <w:pPr>
              <w:spacing w:before="100" w:beforeAutospacing="1" w:after="100" w:afterAutospacing="1"/>
              <w:rPr>
                <w:rFonts w:ascii="Times New Roman" w:hAnsi="Times New Roman"/>
                <w:sz w:val="20"/>
                <w:szCs w:val="20"/>
              </w:rPr>
            </w:pPr>
          </w:p>
        </w:tc>
      </w:tr>
    </w:tbl>
    <w:p w14:paraId="36AEF514" w14:textId="77777777" w:rsidR="001A7BD2" w:rsidRPr="00335702" w:rsidRDefault="001A7BD2" w:rsidP="001A7BD2">
      <w:pPr>
        <w:spacing w:before="100" w:beforeAutospacing="1" w:after="100" w:afterAutospacing="1" w:line="240" w:lineRule="auto"/>
        <w:rPr>
          <w:rFonts w:ascii="Times New Roman" w:hAnsi="Times New Roman"/>
          <w:sz w:val="20"/>
          <w:szCs w:val="20"/>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2924"/>
      </w:tblGrid>
      <w:tr w:rsidR="001A7BD2" w:rsidRPr="00335702" w14:paraId="2EE933C0" w14:textId="77777777" w:rsidTr="001A7BD2">
        <w:trPr>
          <w:trHeight w:val="20"/>
        </w:trPr>
        <w:tc>
          <w:tcPr>
            <w:tcW w:w="5000" w:type="pct"/>
            <w:shd w:val="clear" w:color="auto" w:fill="auto"/>
            <w:tcMar>
              <w:top w:w="72" w:type="dxa"/>
              <w:left w:w="144" w:type="dxa"/>
              <w:bottom w:w="72" w:type="dxa"/>
              <w:right w:w="144" w:type="dxa"/>
            </w:tcMar>
          </w:tcPr>
          <w:p w14:paraId="70FCD7A1" w14:textId="77777777" w:rsidR="001A7BD2" w:rsidRPr="00335702" w:rsidRDefault="001A7BD2" w:rsidP="001A7BD2">
            <w:pPr>
              <w:spacing w:before="100" w:beforeAutospacing="1" w:after="100" w:afterAutospacing="1" w:line="240" w:lineRule="auto"/>
              <w:rPr>
                <w:rFonts w:ascii="Times New Roman" w:hAnsi="Times New Roman"/>
                <w:color w:val="000000"/>
                <w:sz w:val="20"/>
                <w:szCs w:val="20"/>
              </w:rPr>
            </w:pPr>
            <w:r w:rsidRPr="00335702">
              <w:rPr>
                <w:rFonts w:ascii="Times New Roman" w:hAnsi="Times New Roman"/>
                <w:b/>
                <w:bCs/>
                <w:color w:val="000000"/>
                <w:sz w:val="20"/>
                <w:szCs w:val="20"/>
              </w:rPr>
              <w:t xml:space="preserve">NATIONAL PRIORITY OR GOAL: </w:t>
            </w:r>
            <w:r w:rsidRPr="00335702">
              <w:rPr>
                <w:rFonts w:ascii="Times New Roman" w:hAnsi="Times New Roman"/>
                <w:b/>
                <w:bCs/>
                <w:color w:val="000000"/>
                <w:sz w:val="20"/>
                <w:szCs w:val="20"/>
                <w:lang w:val="en-GB"/>
              </w:rPr>
              <w:t>Good governance</w:t>
            </w:r>
          </w:p>
        </w:tc>
      </w:tr>
      <w:tr w:rsidR="001A7BD2" w:rsidRPr="00335702" w14:paraId="30F01F4F" w14:textId="77777777" w:rsidTr="001A7BD2">
        <w:trPr>
          <w:trHeight w:val="136"/>
        </w:trPr>
        <w:tc>
          <w:tcPr>
            <w:tcW w:w="5000" w:type="pct"/>
            <w:shd w:val="clear" w:color="auto" w:fill="auto"/>
            <w:tcMar>
              <w:top w:w="72" w:type="dxa"/>
              <w:left w:w="144" w:type="dxa"/>
              <w:bottom w:w="72" w:type="dxa"/>
              <w:right w:w="144" w:type="dxa"/>
            </w:tcMar>
          </w:tcPr>
          <w:p w14:paraId="437314C2" w14:textId="77777777" w:rsidR="001A7BD2" w:rsidRPr="00335702" w:rsidRDefault="001A7BD2" w:rsidP="001A7BD2">
            <w:pPr>
              <w:tabs>
                <w:tab w:val="left" w:pos="3429"/>
              </w:tabs>
              <w:spacing w:before="100" w:beforeAutospacing="1" w:after="100" w:afterAutospacing="1" w:line="240" w:lineRule="auto"/>
              <w:contextualSpacing/>
              <w:rPr>
                <w:rFonts w:ascii="Times New Roman" w:eastAsiaTheme="minorEastAsia" w:hAnsi="Times New Roman"/>
                <w:sz w:val="20"/>
                <w:szCs w:val="20"/>
              </w:rPr>
            </w:pPr>
            <w:r w:rsidRPr="00335702">
              <w:rPr>
                <w:rFonts w:ascii="Times New Roman" w:hAnsi="Times New Roman"/>
                <w:sz w:val="20"/>
                <w:szCs w:val="20"/>
                <w:lang w:val="en-GB"/>
              </w:rPr>
              <w:t xml:space="preserve"> </w:t>
            </w:r>
            <w:r w:rsidRPr="00335702">
              <w:rPr>
                <w:rFonts w:ascii="Times New Roman" w:hAnsi="Times New Roman"/>
                <w:b/>
                <w:bCs/>
                <w:color w:val="000000"/>
                <w:sz w:val="20"/>
                <w:szCs w:val="20"/>
              </w:rPr>
              <w:t xml:space="preserve">UNDAF (OR OUTCOME INVOLVING UNDP #3: </w:t>
            </w:r>
            <w:r w:rsidRPr="00335702">
              <w:rPr>
                <w:rFonts w:ascii="Times New Roman" w:hAnsi="Times New Roman"/>
                <w:sz w:val="20"/>
                <w:szCs w:val="20"/>
              </w:rPr>
              <w:t>By 2023, rights holders in Malawi access more accountable and effective institutions at the central and decentralized levels that use quality disaggregated data, offer integrated service delivery and promote civic engagement, respect for human rights and rule of law.</w:t>
            </w:r>
          </w:p>
        </w:tc>
      </w:tr>
      <w:tr w:rsidR="001A7BD2" w:rsidRPr="00335702" w14:paraId="6F15644A" w14:textId="77777777" w:rsidTr="001A7BD2">
        <w:trPr>
          <w:trHeight w:val="136"/>
        </w:trPr>
        <w:tc>
          <w:tcPr>
            <w:tcW w:w="5000" w:type="pct"/>
            <w:shd w:val="clear" w:color="auto" w:fill="auto"/>
            <w:tcMar>
              <w:top w:w="72" w:type="dxa"/>
              <w:left w:w="144" w:type="dxa"/>
              <w:bottom w:w="72" w:type="dxa"/>
              <w:right w:w="144" w:type="dxa"/>
            </w:tcMar>
          </w:tcPr>
          <w:p w14:paraId="06EDE275" w14:textId="77777777" w:rsidR="001A7BD2" w:rsidRPr="00335702" w:rsidRDefault="001A7BD2" w:rsidP="001A7BD2">
            <w:pPr>
              <w:spacing w:before="100" w:beforeAutospacing="1" w:after="100" w:afterAutospacing="1" w:line="240" w:lineRule="auto"/>
              <w:rPr>
                <w:rFonts w:ascii="Times New Roman" w:hAnsi="Times New Roman"/>
                <w:b/>
                <w:bCs/>
                <w:color w:val="000000"/>
                <w:sz w:val="20"/>
                <w:szCs w:val="20"/>
              </w:rPr>
            </w:pPr>
            <w:r w:rsidRPr="00335702">
              <w:rPr>
                <w:rFonts w:ascii="Times New Roman" w:hAnsi="Times New Roman"/>
                <w:b/>
                <w:bCs/>
                <w:color w:val="000000"/>
                <w:sz w:val="20"/>
                <w:szCs w:val="20"/>
              </w:rPr>
              <w:t xml:space="preserve">RELATED STRATEGIC PLAN OUTCOME: </w:t>
            </w:r>
            <w:r w:rsidRPr="00335702">
              <w:rPr>
                <w:rFonts w:ascii="Times New Roman" w:hAnsi="Times New Roman"/>
                <w:b/>
                <w:bCs/>
                <w:sz w:val="20"/>
                <w:szCs w:val="20"/>
              </w:rPr>
              <w:t>Outcome 2:</w:t>
            </w:r>
            <w:r w:rsidRPr="00335702">
              <w:rPr>
                <w:rFonts w:ascii="Times New Roman" w:hAnsi="Times New Roman"/>
                <w:sz w:val="20"/>
                <w:szCs w:val="20"/>
              </w:rPr>
              <w:t xml:space="preserve"> Accelerate structural transformation for sustainable development</w:t>
            </w:r>
          </w:p>
        </w:tc>
      </w:tr>
    </w:tbl>
    <w:tbl>
      <w:tblPr>
        <w:tblStyle w:val="TableGrid"/>
        <w:tblW w:w="13510" w:type="dxa"/>
        <w:tblLayout w:type="fixed"/>
        <w:tblLook w:val="04A0" w:firstRow="1" w:lastRow="0" w:firstColumn="1" w:lastColumn="0" w:noHBand="0" w:noVBand="1"/>
      </w:tblPr>
      <w:tblGrid>
        <w:gridCol w:w="2247"/>
        <w:gridCol w:w="1802"/>
        <w:gridCol w:w="5854"/>
        <w:gridCol w:w="2342"/>
        <w:gridCol w:w="1265"/>
      </w:tblGrid>
      <w:tr w:rsidR="001A7BD2" w:rsidRPr="00335702" w14:paraId="79CA61EE" w14:textId="77777777" w:rsidTr="001A7BD2">
        <w:tc>
          <w:tcPr>
            <w:tcW w:w="2247" w:type="dxa"/>
            <w:vMerge w:val="restart"/>
            <w:vAlign w:val="center"/>
          </w:tcPr>
          <w:p w14:paraId="22B55728" w14:textId="77777777" w:rsidR="001A7BD2" w:rsidRPr="00335702" w:rsidRDefault="001A7BD2" w:rsidP="001A7BD2">
            <w:pPr>
              <w:spacing w:before="100" w:beforeAutospacing="1" w:after="100" w:afterAutospacing="1"/>
              <w:jc w:val="both"/>
              <w:rPr>
                <w:rFonts w:ascii="Times New Roman" w:hAnsi="Times New Roman"/>
                <w:b/>
                <w:sz w:val="20"/>
                <w:szCs w:val="20"/>
              </w:rPr>
            </w:pPr>
            <w:r w:rsidRPr="00335702">
              <w:rPr>
                <w:rFonts w:ascii="Times New Roman" w:hAnsi="Times New Roman"/>
                <w:b/>
                <w:sz w:val="20"/>
                <w:szCs w:val="20"/>
              </w:rPr>
              <w:t xml:space="preserve">3.1 </w:t>
            </w:r>
            <w:r w:rsidRPr="00335702">
              <w:rPr>
                <w:rFonts w:ascii="Times New Roman" w:hAnsi="Times New Roman"/>
                <w:sz w:val="20"/>
                <w:szCs w:val="20"/>
              </w:rPr>
              <w:t>Percentage of governance institutions perceived as of high integrity and performance.</w:t>
            </w:r>
          </w:p>
          <w:p w14:paraId="21DD5F24"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4497B81A"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59.5% (2017); </w:t>
            </w:r>
            <w:r w:rsidRPr="00335702">
              <w:rPr>
                <w:rFonts w:ascii="Times New Roman" w:hAnsi="Times New Roman"/>
                <w:b/>
                <w:sz w:val="20"/>
                <w:szCs w:val="20"/>
              </w:rPr>
              <w:t>Target:</w:t>
            </w:r>
            <w:r w:rsidRPr="00335702">
              <w:rPr>
                <w:rFonts w:ascii="Times New Roman" w:hAnsi="Times New Roman"/>
                <w:sz w:val="20"/>
                <w:szCs w:val="20"/>
              </w:rPr>
              <w:t xml:space="preserve"> 62% (2023)</w:t>
            </w:r>
          </w:p>
        </w:tc>
        <w:tc>
          <w:tcPr>
            <w:tcW w:w="1802" w:type="dxa"/>
            <w:vMerge w:val="restart"/>
            <w:vAlign w:val="center"/>
          </w:tcPr>
          <w:p w14:paraId="0B7E96FD" w14:textId="77777777" w:rsidR="001A7BD2" w:rsidRPr="00335702" w:rsidRDefault="001A7BD2" w:rsidP="001A7BD2">
            <w:pPr>
              <w:spacing w:before="100" w:beforeAutospacing="1" w:after="100" w:afterAutospacing="1"/>
              <w:rPr>
                <w:rFonts w:ascii="Times New Roman" w:eastAsiaTheme="minorEastAsia" w:hAnsi="Times New Roman"/>
                <w:sz w:val="20"/>
                <w:szCs w:val="20"/>
              </w:rPr>
            </w:pPr>
            <w:r w:rsidRPr="00335702">
              <w:rPr>
                <w:rFonts w:ascii="Times New Roman" w:eastAsiaTheme="minorEastAsia" w:hAnsi="Times New Roman"/>
                <w:sz w:val="20"/>
                <w:szCs w:val="20"/>
              </w:rPr>
              <w:t>Mo Ibrahim Index of Africa and Governance, Annual Report</w:t>
            </w:r>
          </w:p>
        </w:tc>
        <w:tc>
          <w:tcPr>
            <w:tcW w:w="5854" w:type="dxa"/>
          </w:tcPr>
          <w:p w14:paraId="12731DB6" w14:textId="77777777" w:rsidR="001A7BD2" w:rsidRPr="00335702" w:rsidRDefault="001A7BD2" w:rsidP="001A7BD2">
            <w:pPr>
              <w:spacing w:before="100" w:beforeAutospacing="1" w:after="100" w:afterAutospacing="1"/>
              <w:jc w:val="both"/>
              <w:rPr>
                <w:rFonts w:ascii="Times New Roman" w:eastAsiaTheme="minorEastAsia" w:hAnsi="Times New Roman"/>
                <w:iCs/>
                <w:sz w:val="20"/>
                <w:szCs w:val="20"/>
              </w:rPr>
            </w:pPr>
            <w:r w:rsidRPr="00335702">
              <w:rPr>
                <w:rFonts w:ascii="Times New Roman" w:eastAsiaTheme="minorEastAsia" w:hAnsi="Times New Roman"/>
                <w:b/>
                <w:sz w:val="20"/>
                <w:szCs w:val="20"/>
              </w:rPr>
              <w:t>Output 3.1:</w:t>
            </w:r>
            <w:r w:rsidRPr="00335702">
              <w:rPr>
                <w:rFonts w:ascii="Times New Roman" w:eastAsiaTheme="minorEastAsia" w:hAnsi="Times New Roman"/>
                <w:sz w:val="20"/>
                <w:szCs w:val="20"/>
              </w:rPr>
              <w:t xml:space="preserve"> </w:t>
            </w:r>
            <w:r w:rsidRPr="00335702">
              <w:rPr>
                <w:rFonts w:ascii="Times New Roman" w:eastAsiaTheme="minorEastAsia" w:hAnsi="Times New Roman"/>
                <w:iCs/>
                <w:sz w:val="20"/>
                <w:szCs w:val="20"/>
              </w:rPr>
              <w:t xml:space="preserve">Ministry of </w:t>
            </w:r>
            <w:r w:rsidRPr="00335702">
              <w:rPr>
                <w:rFonts w:ascii="Times New Roman" w:hAnsi="Times New Roman"/>
                <w:iCs/>
                <w:sz w:val="20"/>
                <w:szCs w:val="20"/>
              </w:rPr>
              <w:t>Justice and Constitutional Affairs (MoJCA), Malawi Human Rights Commission (MHRC), Police Services, Prison Services, Judiciary, Legal Aid Services and Paralegal Advisory Service Institute (PASI) are enabled to implement and monitor policies, laws and strategies for equitable access to justice.</w:t>
            </w:r>
          </w:p>
          <w:p w14:paraId="654792A0" w14:textId="77777777" w:rsidR="001A7BD2" w:rsidRPr="00335702" w:rsidRDefault="001A7BD2" w:rsidP="001A7BD2">
            <w:pPr>
              <w:spacing w:before="100" w:beforeAutospacing="1" w:after="100" w:afterAutospacing="1"/>
              <w:jc w:val="both"/>
              <w:rPr>
                <w:rFonts w:ascii="Times New Roman" w:hAnsi="Times New Roman"/>
                <w:b/>
                <w:sz w:val="20"/>
                <w:szCs w:val="20"/>
                <w:u w:val="single"/>
              </w:rPr>
            </w:pPr>
          </w:p>
          <w:p w14:paraId="05D0F738" w14:textId="77777777" w:rsidR="001A7BD2" w:rsidRPr="00335702" w:rsidRDefault="001A7BD2" w:rsidP="001A7BD2">
            <w:pPr>
              <w:pStyle w:val="CommentText"/>
              <w:spacing w:before="100" w:beforeAutospacing="1" w:after="100" w:afterAutospacing="1"/>
              <w:rPr>
                <w:rFonts w:eastAsia="Calibri"/>
              </w:rPr>
            </w:pPr>
            <w:r w:rsidRPr="00335702">
              <w:rPr>
                <w:rFonts w:eastAsiaTheme="minorEastAsia"/>
                <w:b/>
              </w:rPr>
              <w:t>Indicator 3.1.1</w:t>
            </w:r>
            <w:r w:rsidRPr="00335702">
              <w:rPr>
                <w:rFonts w:eastAsiaTheme="minorEastAsia"/>
              </w:rPr>
              <w:t xml:space="preserve">: </w:t>
            </w:r>
            <w:r w:rsidRPr="00335702">
              <w:rPr>
                <w:rFonts w:eastAsia="Calibri"/>
              </w:rPr>
              <w:t xml:space="preserve">Number of detainee releases facilitated by paralegal officers at police, court, prisons and juvenile centres. </w:t>
            </w:r>
          </w:p>
          <w:p w14:paraId="3CA8D2D2" w14:textId="77777777" w:rsidR="001A7BD2" w:rsidRPr="00335702" w:rsidRDefault="001A7BD2" w:rsidP="001A7BD2">
            <w:pPr>
              <w:pStyle w:val="CommentText"/>
              <w:spacing w:before="100" w:beforeAutospacing="1" w:after="100" w:afterAutospacing="1"/>
              <w:rPr>
                <w:rFonts w:eastAsia="Calibri"/>
                <w:color w:val="000000"/>
              </w:rPr>
            </w:pPr>
            <w:r w:rsidRPr="00335702">
              <w:rPr>
                <w:rFonts w:eastAsia="Calibri"/>
                <w:b/>
              </w:rPr>
              <w:t>Baseline</w:t>
            </w:r>
            <w:r w:rsidRPr="00335702">
              <w:rPr>
                <w:rFonts w:eastAsia="Calibri"/>
              </w:rPr>
              <w:t xml:space="preserve">: </w:t>
            </w:r>
            <w:r w:rsidRPr="00335702">
              <w:rPr>
                <w:rFonts w:eastAsia="Arial Unicode MS"/>
              </w:rPr>
              <w:t xml:space="preserve">73, 389 (2017); </w:t>
            </w:r>
            <w:r w:rsidRPr="00335702">
              <w:rPr>
                <w:rFonts w:eastAsia="Arial Unicode MS"/>
                <w:b/>
              </w:rPr>
              <w:t>Target:</w:t>
            </w:r>
            <w:r w:rsidRPr="00335702">
              <w:rPr>
                <w:rFonts w:eastAsia="Arial Unicode MS"/>
              </w:rPr>
              <w:t xml:space="preserve"> </w:t>
            </w:r>
            <w:r w:rsidRPr="00335702">
              <w:rPr>
                <w:rFonts w:eastAsia="Calibri"/>
                <w:color w:val="000000"/>
              </w:rPr>
              <w:t xml:space="preserve">81,789 (2023). </w:t>
            </w:r>
          </w:p>
          <w:p w14:paraId="33AC93F6" w14:textId="77777777" w:rsidR="001A7BD2" w:rsidRPr="00335702" w:rsidRDefault="001A7BD2" w:rsidP="001A7BD2">
            <w:pPr>
              <w:pStyle w:val="CommentText"/>
              <w:spacing w:before="100" w:beforeAutospacing="1" w:after="100" w:afterAutospacing="1"/>
            </w:pPr>
            <w:r w:rsidRPr="00335702">
              <w:rPr>
                <w:rFonts w:eastAsia="Calibri"/>
                <w:b/>
                <w:color w:val="000000"/>
              </w:rPr>
              <w:t>Data Source</w:t>
            </w:r>
            <w:r w:rsidRPr="00335702">
              <w:rPr>
                <w:rFonts w:eastAsia="Calibri"/>
                <w:color w:val="000000"/>
              </w:rPr>
              <w:t>: MoJCA</w:t>
            </w:r>
          </w:p>
          <w:p w14:paraId="7EB51DC1" w14:textId="77777777" w:rsidR="001A7BD2" w:rsidRPr="00335702" w:rsidRDefault="001A7BD2" w:rsidP="001A7BD2">
            <w:pPr>
              <w:spacing w:before="100" w:beforeAutospacing="1" w:after="100" w:afterAutospacing="1"/>
              <w:jc w:val="both"/>
              <w:rPr>
                <w:rFonts w:ascii="Times New Roman" w:hAnsi="Times New Roman"/>
                <w:b/>
                <w:sz w:val="20"/>
                <w:szCs w:val="20"/>
              </w:rPr>
            </w:pPr>
          </w:p>
          <w:p w14:paraId="054369B5"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Indicator 3.1.2:</w:t>
            </w:r>
            <w:r w:rsidRPr="00335702">
              <w:rPr>
                <w:rFonts w:ascii="Times New Roman" w:hAnsi="Times New Roman"/>
                <w:sz w:val="20"/>
                <w:szCs w:val="20"/>
              </w:rPr>
              <w:t xml:space="preserve"> Percentage of human rights cases/complaints investigated and resolved by MHRC within 12 months of submission</w:t>
            </w:r>
          </w:p>
          <w:p w14:paraId="063AEA26"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 xml:space="preserve">Baseline: </w:t>
            </w:r>
            <w:r w:rsidRPr="00335702">
              <w:rPr>
                <w:rFonts w:ascii="Times New Roman" w:hAnsi="Times New Roman"/>
                <w:sz w:val="20"/>
                <w:szCs w:val="20"/>
              </w:rPr>
              <w:t xml:space="preserve">59% (2016, MHRC); </w:t>
            </w:r>
            <w:r w:rsidRPr="00335702">
              <w:rPr>
                <w:rFonts w:ascii="Times New Roman" w:hAnsi="Times New Roman"/>
                <w:b/>
                <w:sz w:val="20"/>
                <w:szCs w:val="20"/>
              </w:rPr>
              <w:t xml:space="preserve">Target: </w:t>
            </w:r>
            <w:r w:rsidRPr="00335702">
              <w:rPr>
                <w:rFonts w:ascii="Times New Roman" w:hAnsi="Times New Roman"/>
                <w:sz w:val="20"/>
                <w:szCs w:val="20"/>
              </w:rPr>
              <w:t>60%</w:t>
            </w:r>
          </w:p>
          <w:p w14:paraId="1D35596C"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Data Source:</w:t>
            </w:r>
            <w:r w:rsidRPr="00335702">
              <w:rPr>
                <w:rFonts w:ascii="Times New Roman" w:hAnsi="Times New Roman"/>
                <w:sz w:val="20"/>
                <w:szCs w:val="20"/>
              </w:rPr>
              <w:t xml:space="preserve"> MHRC reports</w:t>
            </w:r>
          </w:p>
          <w:p w14:paraId="22B43EC1"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77D846A1" w14:textId="77777777" w:rsidR="001A7BD2" w:rsidRPr="00335702" w:rsidRDefault="001A7BD2" w:rsidP="001A7BD2">
            <w:pPr>
              <w:pStyle w:val="CommentText"/>
              <w:spacing w:before="100" w:beforeAutospacing="1" w:after="100" w:afterAutospacing="1"/>
            </w:pPr>
            <w:r w:rsidRPr="00335702">
              <w:rPr>
                <w:b/>
              </w:rPr>
              <w:t>Indicator 3.1.3</w:t>
            </w:r>
            <w:r w:rsidRPr="00335702">
              <w:t xml:space="preserve">: Mechanism for promoting and protecting the rights of marginalized women, children, people with disabilities, people with albinism and LGBTI persons in place. </w:t>
            </w:r>
          </w:p>
          <w:p w14:paraId="3F1A8A7F" w14:textId="77777777" w:rsidR="001A7BD2" w:rsidRPr="00335702" w:rsidRDefault="001A7BD2" w:rsidP="001A7BD2">
            <w:pPr>
              <w:pStyle w:val="CommentText"/>
              <w:spacing w:before="100" w:beforeAutospacing="1" w:after="100" w:afterAutospacing="1"/>
            </w:pPr>
            <w:r w:rsidRPr="00335702">
              <w:rPr>
                <w:b/>
              </w:rPr>
              <w:t>Baseline</w:t>
            </w:r>
            <w:r w:rsidRPr="00335702">
              <w:t>: No (2017); Yes (2023)</w:t>
            </w:r>
          </w:p>
          <w:p w14:paraId="783FF549" w14:textId="77777777" w:rsidR="001A7BD2" w:rsidRPr="00335702" w:rsidRDefault="001A7BD2" w:rsidP="001A7BD2">
            <w:pPr>
              <w:pStyle w:val="CommentText"/>
              <w:spacing w:before="100" w:beforeAutospacing="1" w:after="100" w:afterAutospacing="1"/>
            </w:pPr>
            <w:r w:rsidRPr="00335702">
              <w:rPr>
                <w:b/>
              </w:rPr>
              <w:t>Source of Data</w:t>
            </w:r>
            <w:r w:rsidRPr="00335702">
              <w:t>: MHRC</w:t>
            </w:r>
          </w:p>
        </w:tc>
        <w:tc>
          <w:tcPr>
            <w:tcW w:w="2342" w:type="dxa"/>
            <w:vAlign w:val="center"/>
          </w:tcPr>
          <w:p w14:paraId="48B1F8D7"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MoJCA, PASI, Judiciary, Prisons, Police Service; Ministry of Gender, Community Dept and Social Welfare, UN-Women, UNICEF, EU, USAID, GDC, DfID, Irish Aid, Royal Norwegian Embassy, Law Society of Malawi, Office of the President and Cabinet (OPC); Parliament; Ministries, Departments and Agencies; Anti-Corruption Bureau; Accountant Generals Office; Auditor General’s Office; Office of Asset Declaration; Office of the Director of Public Procurement; MHRC; Law Commissions; Office of Ombudsman; Media, Legal Aid Bureau</w:t>
            </w:r>
          </w:p>
        </w:tc>
        <w:tc>
          <w:tcPr>
            <w:tcW w:w="1265" w:type="dxa"/>
            <w:vAlign w:val="center"/>
          </w:tcPr>
          <w:p w14:paraId="6EA42BBE" w14:textId="77777777" w:rsidR="001A7BD2" w:rsidRPr="00335702" w:rsidRDefault="001A7BD2" w:rsidP="001A7BD2">
            <w:pPr>
              <w:spacing w:before="100" w:beforeAutospacing="1" w:after="100" w:afterAutospacing="1"/>
              <w:jc w:val="both"/>
              <w:rPr>
                <w:rFonts w:ascii="Times New Roman" w:hAnsi="Times New Roman"/>
                <w:b/>
                <w:sz w:val="20"/>
                <w:szCs w:val="20"/>
              </w:rPr>
            </w:pPr>
            <w:r w:rsidRPr="00335702">
              <w:rPr>
                <w:rFonts w:ascii="Times New Roman" w:hAnsi="Times New Roman"/>
                <w:b/>
                <w:sz w:val="20"/>
                <w:szCs w:val="20"/>
              </w:rPr>
              <w:t>Regular:                $5,100,000</w:t>
            </w:r>
          </w:p>
          <w:p w14:paraId="2B2EF77C" w14:textId="77777777" w:rsidR="001A7BD2" w:rsidRPr="00335702" w:rsidRDefault="001A7BD2" w:rsidP="001A7BD2">
            <w:pPr>
              <w:spacing w:before="100" w:beforeAutospacing="1" w:after="100" w:afterAutospacing="1"/>
              <w:jc w:val="both"/>
              <w:rPr>
                <w:rFonts w:ascii="Times New Roman" w:hAnsi="Times New Roman"/>
                <w:b/>
                <w:sz w:val="20"/>
                <w:szCs w:val="20"/>
              </w:rPr>
            </w:pPr>
          </w:p>
          <w:p w14:paraId="43D91368"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sz w:val="20"/>
                <w:szCs w:val="20"/>
              </w:rPr>
              <w:t>Other:                           $5,470,588</w:t>
            </w:r>
          </w:p>
        </w:tc>
      </w:tr>
      <w:tr w:rsidR="001A7BD2" w:rsidRPr="00335702" w14:paraId="0662EA9D" w14:textId="77777777" w:rsidTr="001A7BD2">
        <w:tc>
          <w:tcPr>
            <w:tcW w:w="2247" w:type="dxa"/>
            <w:vMerge/>
            <w:vAlign w:val="center"/>
          </w:tcPr>
          <w:p w14:paraId="641BEFE7" w14:textId="77777777" w:rsidR="001A7BD2" w:rsidRPr="00335702" w:rsidRDefault="001A7BD2" w:rsidP="001A7BD2">
            <w:pPr>
              <w:spacing w:before="100" w:beforeAutospacing="1" w:after="100" w:afterAutospacing="1"/>
              <w:rPr>
                <w:rFonts w:ascii="Times New Roman" w:hAnsi="Times New Roman"/>
                <w:b/>
                <w:bCs/>
                <w:sz w:val="20"/>
                <w:szCs w:val="20"/>
              </w:rPr>
            </w:pPr>
          </w:p>
        </w:tc>
        <w:tc>
          <w:tcPr>
            <w:tcW w:w="1802" w:type="dxa"/>
            <w:vMerge/>
            <w:vAlign w:val="center"/>
          </w:tcPr>
          <w:p w14:paraId="1ECF6848"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color w:val="000000"/>
                <w:sz w:val="20"/>
                <w:szCs w:val="20"/>
              </w:rPr>
            </w:pPr>
          </w:p>
        </w:tc>
        <w:tc>
          <w:tcPr>
            <w:tcW w:w="5854" w:type="dxa"/>
            <w:vAlign w:val="center"/>
          </w:tcPr>
          <w:p w14:paraId="15E05332"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Output 3.2:</w:t>
            </w:r>
            <w:r w:rsidRPr="00335702">
              <w:rPr>
                <w:rFonts w:ascii="Times New Roman" w:hAnsi="Times New Roman"/>
                <w:sz w:val="20"/>
                <w:szCs w:val="20"/>
              </w:rPr>
              <w:t xml:space="preserve"> Selected g</w:t>
            </w:r>
            <w:r w:rsidRPr="00335702">
              <w:rPr>
                <w:rFonts w:ascii="Times New Roman" w:hAnsi="Times New Roman"/>
                <w:iCs/>
                <w:sz w:val="20"/>
                <w:szCs w:val="20"/>
              </w:rPr>
              <w:t>overnance institutions</w:t>
            </w:r>
            <w:r w:rsidRPr="00335702">
              <w:rPr>
                <w:rFonts w:ascii="Times New Roman" w:hAnsi="Times New Roman"/>
                <w:sz w:val="20"/>
                <w:szCs w:val="20"/>
              </w:rPr>
              <w:t xml:space="preserve"> </w:t>
            </w:r>
            <w:r w:rsidRPr="00335702">
              <w:rPr>
                <w:rFonts w:ascii="Times New Roman" w:hAnsi="Times New Roman"/>
                <w:iCs/>
                <w:sz w:val="20"/>
                <w:szCs w:val="20"/>
              </w:rPr>
              <w:t>are enabled to perform core functions for improved transparency and accountability</w:t>
            </w:r>
          </w:p>
          <w:p w14:paraId="59E4721D" w14:textId="77777777" w:rsidR="001A7BD2" w:rsidRPr="00335702" w:rsidRDefault="001A7BD2" w:rsidP="001A7BD2">
            <w:pPr>
              <w:spacing w:before="100" w:beforeAutospacing="1" w:after="100" w:afterAutospacing="1"/>
              <w:jc w:val="both"/>
              <w:rPr>
                <w:rFonts w:ascii="Times New Roman" w:hAnsi="Times New Roman"/>
                <w:iCs/>
                <w:sz w:val="20"/>
                <w:szCs w:val="20"/>
              </w:rPr>
            </w:pPr>
          </w:p>
          <w:p w14:paraId="2BFAB148"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Indicator 3.2.2</w:t>
            </w:r>
            <w:r w:rsidRPr="00335702">
              <w:rPr>
                <w:rFonts w:ascii="Times New Roman" w:hAnsi="Times New Roman"/>
                <w:sz w:val="20"/>
                <w:szCs w:val="20"/>
              </w:rPr>
              <w:t>: Number of reforms enforcing transparency and accountability in public institutions</w:t>
            </w:r>
          </w:p>
          <w:p w14:paraId="4B6FDC77"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Baseline</w:t>
            </w:r>
            <w:r w:rsidRPr="00335702">
              <w:rPr>
                <w:rFonts w:ascii="Times New Roman" w:hAnsi="Times New Roman"/>
                <w:sz w:val="20"/>
                <w:szCs w:val="20"/>
              </w:rPr>
              <w:t xml:space="preserve">: TBD; </w:t>
            </w:r>
            <w:r w:rsidRPr="00335702">
              <w:rPr>
                <w:rFonts w:ascii="Times New Roman" w:hAnsi="Times New Roman"/>
                <w:b/>
                <w:sz w:val="20"/>
                <w:szCs w:val="20"/>
              </w:rPr>
              <w:t>Target</w:t>
            </w:r>
            <w:r w:rsidRPr="00335702">
              <w:rPr>
                <w:rFonts w:ascii="Times New Roman" w:hAnsi="Times New Roman"/>
                <w:sz w:val="20"/>
                <w:szCs w:val="20"/>
              </w:rPr>
              <w:t>: TBD</w:t>
            </w:r>
          </w:p>
          <w:p w14:paraId="1D699BBF" w14:textId="77777777" w:rsidR="001A7BD2" w:rsidRPr="00335702" w:rsidRDefault="001A7BD2" w:rsidP="001A7BD2">
            <w:pPr>
              <w:spacing w:before="100" w:beforeAutospacing="1" w:after="100" w:afterAutospacing="1"/>
              <w:jc w:val="both"/>
              <w:rPr>
                <w:rFonts w:ascii="Times New Roman" w:hAnsi="Times New Roman"/>
                <w:iCs/>
                <w:sz w:val="20"/>
                <w:szCs w:val="20"/>
              </w:rPr>
            </w:pPr>
            <w:r w:rsidRPr="00335702">
              <w:rPr>
                <w:rFonts w:ascii="Times New Roman" w:hAnsi="Times New Roman"/>
                <w:b/>
                <w:sz w:val="20"/>
                <w:szCs w:val="20"/>
              </w:rPr>
              <w:t>Source of Data</w:t>
            </w:r>
            <w:r w:rsidRPr="00335702">
              <w:rPr>
                <w:rFonts w:ascii="Times New Roman" w:hAnsi="Times New Roman"/>
                <w:sz w:val="20"/>
                <w:szCs w:val="20"/>
              </w:rPr>
              <w:t>: MoJCA</w:t>
            </w:r>
          </w:p>
        </w:tc>
        <w:tc>
          <w:tcPr>
            <w:tcW w:w="2342" w:type="dxa"/>
            <w:vAlign w:val="center"/>
          </w:tcPr>
          <w:p w14:paraId="7788B20B"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OPC – Performance Enforcement Department; Ministry of Finance, Economic Planning and Development; MoJCA, Office of the Ombudsman</w:t>
            </w:r>
            <w:r w:rsidRPr="00335702">
              <w:rPr>
                <w:rFonts w:ascii="Times New Roman" w:hAnsi="Times New Roman"/>
                <w:sz w:val="20"/>
                <w:szCs w:val="20"/>
                <w:u w:val="single"/>
              </w:rPr>
              <w:t>,</w:t>
            </w:r>
            <w:r w:rsidRPr="00335702">
              <w:rPr>
                <w:rFonts w:ascii="Times New Roman" w:hAnsi="Times New Roman"/>
                <w:sz w:val="20"/>
                <w:szCs w:val="20"/>
              </w:rPr>
              <w:t xml:space="preserve"> Parliament, Anti-Corruption Bureau, UN-Women, UNICEF, EU, USAID, DfID, Irish Aid, Royal Norwegian Embassy.</w:t>
            </w:r>
          </w:p>
        </w:tc>
        <w:tc>
          <w:tcPr>
            <w:tcW w:w="1265" w:type="dxa"/>
            <w:vAlign w:val="center"/>
          </w:tcPr>
          <w:p w14:paraId="52235106"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Regular:               $5,560,000</w:t>
            </w:r>
          </w:p>
          <w:p w14:paraId="2FE824EE" w14:textId="77777777" w:rsidR="001A7BD2" w:rsidRPr="00335702" w:rsidRDefault="001A7BD2" w:rsidP="001A7BD2">
            <w:pPr>
              <w:spacing w:before="100" w:beforeAutospacing="1" w:after="100" w:afterAutospacing="1"/>
              <w:rPr>
                <w:rFonts w:ascii="Times New Roman" w:hAnsi="Times New Roman"/>
                <w:b/>
                <w:sz w:val="20"/>
                <w:szCs w:val="20"/>
              </w:rPr>
            </w:pPr>
          </w:p>
          <w:p w14:paraId="77DD7874"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sz w:val="20"/>
                <w:szCs w:val="20"/>
              </w:rPr>
              <w:t>Other:                    $5,500,000</w:t>
            </w:r>
          </w:p>
        </w:tc>
      </w:tr>
      <w:tr w:rsidR="001A7BD2" w:rsidRPr="00335702" w14:paraId="04AB1F27" w14:textId="77777777" w:rsidTr="001A7BD2">
        <w:tc>
          <w:tcPr>
            <w:tcW w:w="2247" w:type="dxa"/>
            <w:vMerge/>
            <w:vAlign w:val="center"/>
          </w:tcPr>
          <w:p w14:paraId="1BCF2EE0" w14:textId="77777777" w:rsidR="001A7BD2" w:rsidRPr="00335702" w:rsidRDefault="001A7BD2" w:rsidP="001A7BD2">
            <w:pPr>
              <w:spacing w:before="100" w:beforeAutospacing="1" w:after="100" w:afterAutospacing="1"/>
              <w:rPr>
                <w:rFonts w:ascii="Times New Roman" w:hAnsi="Times New Roman"/>
                <w:sz w:val="20"/>
                <w:szCs w:val="20"/>
              </w:rPr>
            </w:pPr>
          </w:p>
        </w:tc>
        <w:tc>
          <w:tcPr>
            <w:tcW w:w="1802" w:type="dxa"/>
            <w:vMerge/>
            <w:vAlign w:val="center"/>
          </w:tcPr>
          <w:p w14:paraId="764616CC"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sz w:val="20"/>
                <w:szCs w:val="20"/>
              </w:rPr>
            </w:pPr>
          </w:p>
        </w:tc>
        <w:tc>
          <w:tcPr>
            <w:tcW w:w="5854" w:type="dxa"/>
            <w:vAlign w:val="center"/>
          </w:tcPr>
          <w:p w14:paraId="79E57EA0"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sz w:val="20"/>
                <w:szCs w:val="20"/>
              </w:rPr>
              <w:t>Output 3.3:</w:t>
            </w:r>
            <w:r w:rsidRPr="00335702">
              <w:rPr>
                <w:rFonts w:ascii="Times New Roman" w:hAnsi="Times New Roman"/>
                <w:sz w:val="20"/>
                <w:szCs w:val="20"/>
              </w:rPr>
              <w:t xml:space="preserve"> Central and local government institutions are enabled to develop and manage evidence-based policy planning, monitoring and evaluation systems for inclusive and effective delivery of services and achievement of development results.  </w:t>
            </w:r>
          </w:p>
          <w:p w14:paraId="7437BD54" w14:textId="77777777" w:rsidR="001A7BD2" w:rsidRPr="00335702" w:rsidRDefault="001A7BD2" w:rsidP="001A7BD2">
            <w:pPr>
              <w:spacing w:before="100" w:beforeAutospacing="1" w:after="100" w:afterAutospacing="1"/>
              <w:jc w:val="both"/>
              <w:rPr>
                <w:rFonts w:ascii="Times New Roman" w:hAnsi="Times New Roman"/>
                <w:sz w:val="20"/>
                <w:szCs w:val="20"/>
                <w:u w:val="single"/>
              </w:rPr>
            </w:pPr>
          </w:p>
          <w:p w14:paraId="19672D70"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u w:val="single"/>
              </w:rPr>
            </w:pPr>
            <w:r w:rsidRPr="00335702">
              <w:rPr>
                <w:rFonts w:ascii="Times New Roman" w:hAnsi="Times New Roman"/>
                <w:b/>
                <w:bCs/>
                <w:color w:val="000000"/>
                <w:sz w:val="20"/>
                <w:szCs w:val="20"/>
              </w:rPr>
              <w:t xml:space="preserve">Indicator 3.3.1: </w:t>
            </w:r>
            <w:r w:rsidRPr="00335702">
              <w:rPr>
                <w:rFonts w:ascii="Times New Roman" w:hAnsi="Times New Roman"/>
                <w:color w:val="000000"/>
                <w:sz w:val="20"/>
                <w:szCs w:val="20"/>
              </w:rPr>
              <w:t xml:space="preserve">Sustainable financing mechanism for Sustainable Development Goal achievement at national and subnational levels in place. </w:t>
            </w:r>
          </w:p>
          <w:p w14:paraId="2646E726"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u w:val="single"/>
              </w:rPr>
            </w:pPr>
            <w:r w:rsidRPr="00335702">
              <w:rPr>
                <w:rFonts w:ascii="Times New Roman" w:hAnsi="Times New Roman"/>
                <w:b/>
                <w:bCs/>
                <w:color w:val="000000"/>
                <w:sz w:val="20"/>
                <w:szCs w:val="20"/>
              </w:rPr>
              <w:t>Baseline</w:t>
            </w:r>
            <w:r w:rsidRPr="00335702">
              <w:rPr>
                <w:rFonts w:ascii="Times New Roman" w:hAnsi="Times New Roman"/>
                <w:color w:val="000000"/>
                <w:sz w:val="20"/>
                <w:szCs w:val="20"/>
              </w:rPr>
              <w:t xml:space="preserve">: 0 (2017); </w:t>
            </w:r>
            <w:r w:rsidRPr="00335702">
              <w:rPr>
                <w:rFonts w:ascii="Times New Roman" w:hAnsi="Times New Roman"/>
                <w:b/>
                <w:bCs/>
                <w:color w:val="000000"/>
                <w:sz w:val="20"/>
                <w:szCs w:val="20"/>
              </w:rPr>
              <w:t>Target</w:t>
            </w:r>
            <w:r w:rsidRPr="00335702">
              <w:rPr>
                <w:rFonts w:ascii="Times New Roman" w:hAnsi="Times New Roman"/>
                <w:color w:val="000000"/>
                <w:sz w:val="20"/>
                <w:szCs w:val="20"/>
              </w:rPr>
              <w:t>: 1 (2023)</w:t>
            </w:r>
          </w:p>
          <w:p w14:paraId="091E5EE5"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color w:val="000000"/>
                <w:sz w:val="20"/>
                <w:szCs w:val="20"/>
              </w:rPr>
              <w:t>Data Source</w:t>
            </w:r>
            <w:r w:rsidRPr="00335702">
              <w:rPr>
                <w:rFonts w:ascii="Times New Roman" w:hAnsi="Times New Roman"/>
                <w:color w:val="000000"/>
                <w:sz w:val="20"/>
                <w:szCs w:val="20"/>
              </w:rPr>
              <w:t xml:space="preserve">: Ministry of Finance, Economic Planning and Development </w:t>
            </w:r>
          </w:p>
          <w:p w14:paraId="6D2B329B"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2D416616"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color w:val="000000"/>
                <w:sz w:val="20"/>
                <w:szCs w:val="20"/>
              </w:rPr>
              <w:t>Indicator 3.3.2</w:t>
            </w:r>
            <w:r w:rsidRPr="00335702">
              <w:rPr>
                <w:rFonts w:ascii="Times New Roman" w:hAnsi="Times New Roman"/>
                <w:color w:val="000000"/>
                <w:sz w:val="20"/>
                <w:szCs w:val="20"/>
              </w:rPr>
              <w:t>: Number of local councils with planning, monitoring and evaluation systems that incorporate development targets for marginalized groups including women, youth, children, persons with albinism and persons with disabilities.</w:t>
            </w:r>
          </w:p>
          <w:p w14:paraId="40F6248C"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color w:val="000000"/>
                <w:sz w:val="20"/>
                <w:szCs w:val="20"/>
              </w:rPr>
              <w:t>Baseline</w:t>
            </w:r>
            <w:r w:rsidRPr="00335702">
              <w:rPr>
                <w:rFonts w:ascii="Times New Roman" w:hAnsi="Times New Roman"/>
                <w:color w:val="000000"/>
                <w:sz w:val="20"/>
                <w:szCs w:val="20"/>
              </w:rPr>
              <w:t xml:space="preserve">: 0 (2017); </w:t>
            </w:r>
            <w:r w:rsidRPr="00335702">
              <w:rPr>
                <w:rFonts w:ascii="Times New Roman" w:hAnsi="Times New Roman"/>
                <w:b/>
                <w:color w:val="000000"/>
                <w:sz w:val="20"/>
                <w:szCs w:val="20"/>
              </w:rPr>
              <w:t>Target</w:t>
            </w:r>
            <w:r w:rsidRPr="00335702">
              <w:rPr>
                <w:rFonts w:ascii="Times New Roman" w:hAnsi="Times New Roman"/>
                <w:color w:val="000000"/>
                <w:sz w:val="20"/>
                <w:szCs w:val="20"/>
              </w:rPr>
              <w:t>: 25 (2023)</w:t>
            </w:r>
          </w:p>
          <w:p w14:paraId="3DE4DE6F"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color w:val="000000"/>
                <w:sz w:val="20"/>
                <w:szCs w:val="20"/>
              </w:rPr>
              <w:t>Data Source</w:t>
            </w:r>
            <w:r w:rsidRPr="00335702">
              <w:rPr>
                <w:rFonts w:ascii="Times New Roman" w:hAnsi="Times New Roman"/>
                <w:color w:val="000000"/>
                <w:sz w:val="20"/>
                <w:szCs w:val="20"/>
              </w:rPr>
              <w:t>: Ministry of Local Government and Rural Development</w:t>
            </w:r>
          </w:p>
        </w:tc>
        <w:tc>
          <w:tcPr>
            <w:tcW w:w="2342" w:type="dxa"/>
            <w:vAlign w:val="center"/>
          </w:tcPr>
          <w:p w14:paraId="10361E6C"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Ministry of Gender, Children, Disability and Social Welfare; Local Councils; Local Government Finance Committee; Environmental Affairs Department, UN-Women, UNICEF, UNCDF, EU, USAID, GDC, DfID, Irish Aid.</w:t>
            </w:r>
          </w:p>
          <w:p w14:paraId="0739BD66" w14:textId="77777777" w:rsidR="001A7BD2" w:rsidRPr="00335702" w:rsidRDefault="001A7BD2" w:rsidP="001A7BD2">
            <w:pPr>
              <w:pStyle w:val="ListParagraph"/>
              <w:tabs>
                <w:tab w:val="left" w:pos="612"/>
              </w:tabs>
              <w:spacing w:before="100" w:beforeAutospacing="1" w:after="100" w:afterAutospacing="1"/>
              <w:ind w:left="522"/>
              <w:rPr>
                <w:rFonts w:ascii="Times New Roman" w:hAnsi="Times New Roman"/>
                <w:iCs/>
                <w:sz w:val="20"/>
                <w:szCs w:val="20"/>
              </w:rPr>
            </w:pPr>
          </w:p>
        </w:tc>
        <w:tc>
          <w:tcPr>
            <w:tcW w:w="1265" w:type="dxa"/>
            <w:vAlign w:val="center"/>
          </w:tcPr>
          <w:p w14:paraId="4D23B351"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 xml:space="preserve">Regular: </w:t>
            </w:r>
          </w:p>
          <w:p w14:paraId="6DA30C48"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$2,500,000</w:t>
            </w:r>
          </w:p>
          <w:p w14:paraId="231B088A" w14:textId="77777777" w:rsidR="001A7BD2" w:rsidRPr="00335702" w:rsidRDefault="001A7BD2" w:rsidP="001A7BD2">
            <w:pPr>
              <w:spacing w:before="100" w:beforeAutospacing="1" w:after="100" w:afterAutospacing="1"/>
              <w:rPr>
                <w:rFonts w:ascii="Times New Roman" w:hAnsi="Times New Roman"/>
                <w:b/>
                <w:sz w:val="20"/>
                <w:szCs w:val="20"/>
              </w:rPr>
            </w:pPr>
          </w:p>
          <w:p w14:paraId="5F235CA4"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 xml:space="preserve">Other: </w:t>
            </w:r>
          </w:p>
          <w:p w14:paraId="6AA5D67E"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$2,500,000</w:t>
            </w:r>
          </w:p>
          <w:p w14:paraId="77229495" w14:textId="77777777" w:rsidR="001A7BD2" w:rsidRPr="00335702" w:rsidRDefault="001A7BD2" w:rsidP="001A7BD2">
            <w:pPr>
              <w:spacing w:before="100" w:beforeAutospacing="1" w:after="100" w:afterAutospacing="1"/>
              <w:rPr>
                <w:rFonts w:ascii="Times New Roman" w:hAnsi="Times New Roman"/>
                <w:b/>
                <w:sz w:val="20"/>
                <w:szCs w:val="20"/>
              </w:rPr>
            </w:pPr>
          </w:p>
        </w:tc>
      </w:tr>
      <w:tr w:rsidR="001A7BD2" w:rsidRPr="00335702" w14:paraId="1019E07D" w14:textId="77777777" w:rsidTr="001A7BD2">
        <w:tc>
          <w:tcPr>
            <w:tcW w:w="2247" w:type="dxa"/>
            <w:vMerge/>
            <w:vAlign w:val="center"/>
          </w:tcPr>
          <w:p w14:paraId="33D6DAEF" w14:textId="77777777" w:rsidR="001A7BD2" w:rsidRPr="00335702" w:rsidRDefault="001A7BD2" w:rsidP="001A7BD2">
            <w:pPr>
              <w:spacing w:before="100" w:beforeAutospacing="1" w:after="100" w:afterAutospacing="1"/>
              <w:rPr>
                <w:rFonts w:ascii="Times New Roman" w:hAnsi="Times New Roman"/>
                <w:sz w:val="20"/>
                <w:szCs w:val="20"/>
              </w:rPr>
            </w:pPr>
          </w:p>
        </w:tc>
        <w:tc>
          <w:tcPr>
            <w:tcW w:w="1802" w:type="dxa"/>
            <w:vMerge/>
            <w:vAlign w:val="center"/>
          </w:tcPr>
          <w:p w14:paraId="5499CC67" w14:textId="77777777" w:rsidR="001A7BD2" w:rsidRPr="00335702" w:rsidRDefault="001A7BD2" w:rsidP="001F165F">
            <w:pPr>
              <w:pStyle w:val="ListParagraph"/>
              <w:numPr>
                <w:ilvl w:val="0"/>
                <w:numId w:val="20"/>
              </w:numPr>
              <w:spacing w:before="100" w:beforeAutospacing="1" w:after="100" w:afterAutospacing="1"/>
              <w:ind w:left="0"/>
              <w:contextualSpacing w:val="0"/>
              <w:jc w:val="both"/>
              <w:rPr>
                <w:rFonts w:ascii="Times New Roman" w:hAnsi="Times New Roman"/>
                <w:sz w:val="20"/>
                <w:szCs w:val="20"/>
              </w:rPr>
            </w:pPr>
          </w:p>
        </w:tc>
        <w:tc>
          <w:tcPr>
            <w:tcW w:w="5854" w:type="dxa"/>
            <w:vAlign w:val="center"/>
          </w:tcPr>
          <w:p w14:paraId="2B43737F" w14:textId="77777777" w:rsidR="001A7BD2" w:rsidRPr="00335702" w:rsidRDefault="001A7BD2" w:rsidP="001A7BD2">
            <w:pPr>
              <w:spacing w:before="100" w:beforeAutospacing="1" w:after="100" w:afterAutospacing="1"/>
              <w:jc w:val="both"/>
              <w:rPr>
                <w:rFonts w:ascii="Times New Roman" w:hAnsi="Times New Roman"/>
                <w:color w:val="000000" w:themeColor="text1"/>
                <w:sz w:val="20"/>
                <w:szCs w:val="20"/>
              </w:rPr>
            </w:pPr>
            <w:r w:rsidRPr="00335702">
              <w:rPr>
                <w:rFonts w:ascii="Times New Roman" w:hAnsi="Times New Roman"/>
                <w:b/>
                <w:color w:val="000000" w:themeColor="text1"/>
                <w:sz w:val="20"/>
                <w:szCs w:val="20"/>
              </w:rPr>
              <w:t>Output 3.4</w:t>
            </w:r>
            <w:r w:rsidRPr="00335702">
              <w:rPr>
                <w:rFonts w:ascii="Times New Roman" w:hAnsi="Times New Roman"/>
                <w:color w:val="000000" w:themeColor="text1"/>
                <w:sz w:val="20"/>
                <w:szCs w:val="20"/>
              </w:rPr>
              <w:t xml:space="preserve"> Use of digital technologies and quality disaggregated data enabled for improved public services and other government functions</w:t>
            </w:r>
          </w:p>
          <w:p w14:paraId="55B28E13" w14:textId="77777777" w:rsidR="001A7BD2" w:rsidRPr="00335702" w:rsidRDefault="001A7BD2" w:rsidP="001A7BD2">
            <w:pPr>
              <w:spacing w:before="100" w:beforeAutospacing="1" w:after="100" w:afterAutospacing="1"/>
              <w:jc w:val="both"/>
              <w:rPr>
                <w:rFonts w:ascii="Times New Roman" w:hAnsi="Times New Roman"/>
                <w:color w:val="000000" w:themeColor="text1"/>
                <w:sz w:val="20"/>
                <w:szCs w:val="20"/>
              </w:rPr>
            </w:pPr>
          </w:p>
          <w:p w14:paraId="3E015EEC" w14:textId="77777777" w:rsidR="001A7BD2" w:rsidRPr="00335702" w:rsidRDefault="001A7BD2" w:rsidP="001A7BD2">
            <w:pPr>
              <w:spacing w:before="100" w:beforeAutospacing="1" w:after="100" w:afterAutospacing="1"/>
              <w:jc w:val="both"/>
              <w:rPr>
                <w:rFonts w:ascii="Times New Roman" w:hAnsi="Times New Roman"/>
                <w:color w:val="000000" w:themeColor="text1"/>
                <w:sz w:val="20"/>
                <w:szCs w:val="20"/>
              </w:rPr>
            </w:pPr>
            <w:r w:rsidRPr="00335702">
              <w:rPr>
                <w:rFonts w:ascii="Times New Roman" w:hAnsi="Times New Roman"/>
                <w:b/>
                <w:color w:val="000000" w:themeColor="text1"/>
                <w:sz w:val="20"/>
                <w:szCs w:val="20"/>
              </w:rPr>
              <w:t>Indicator 3.4.1</w:t>
            </w:r>
            <w:r w:rsidRPr="00335702">
              <w:rPr>
                <w:rFonts w:ascii="Times New Roman" w:hAnsi="Times New Roman"/>
                <w:color w:val="000000" w:themeColor="text1"/>
                <w:sz w:val="20"/>
                <w:szCs w:val="20"/>
              </w:rPr>
              <w:t>: Number of public institutions that leverage national ID card for delivery and monitoring of services.</w:t>
            </w:r>
          </w:p>
          <w:p w14:paraId="55A34C6A" w14:textId="77777777" w:rsidR="001A7BD2" w:rsidRPr="00335702" w:rsidRDefault="001A7BD2" w:rsidP="001A7BD2">
            <w:pPr>
              <w:spacing w:before="100" w:beforeAutospacing="1" w:after="100" w:afterAutospacing="1"/>
              <w:jc w:val="both"/>
              <w:rPr>
                <w:rFonts w:ascii="Times New Roman" w:hAnsi="Times New Roman"/>
                <w:color w:val="000000" w:themeColor="text1"/>
                <w:sz w:val="20"/>
                <w:szCs w:val="20"/>
              </w:rPr>
            </w:pPr>
            <w:r w:rsidRPr="00335702">
              <w:rPr>
                <w:rFonts w:ascii="Times New Roman" w:hAnsi="Times New Roman"/>
                <w:b/>
                <w:color w:val="000000" w:themeColor="text1"/>
                <w:sz w:val="20"/>
                <w:szCs w:val="20"/>
              </w:rPr>
              <w:t>Baseline</w:t>
            </w:r>
            <w:r w:rsidRPr="00335702">
              <w:rPr>
                <w:rFonts w:ascii="Times New Roman" w:hAnsi="Times New Roman"/>
                <w:color w:val="000000" w:themeColor="text1"/>
                <w:sz w:val="20"/>
                <w:szCs w:val="20"/>
              </w:rPr>
              <w:t xml:space="preserve">: 1 (2018); Target: 12 (2023); </w:t>
            </w:r>
          </w:p>
          <w:p w14:paraId="74B75FB0" w14:textId="77777777" w:rsidR="001A7BD2" w:rsidRPr="00335702" w:rsidRDefault="001A7BD2" w:rsidP="001A7BD2">
            <w:pPr>
              <w:spacing w:before="100" w:beforeAutospacing="1" w:after="100" w:afterAutospacing="1"/>
              <w:jc w:val="both"/>
              <w:rPr>
                <w:rFonts w:ascii="Times New Roman" w:hAnsi="Times New Roman"/>
                <w:color w:val="000000" w:themeColor="text1"/>
                <w:sz w:val="20"/>
                <w:szCs w:val="20"/>
              </w:rPr>
            </w:pPr>
            <w:r w:rsidRPr="00335702">
              <w:rPr>
                <w:rFonts w:ascii="Times New Roman" w:hAnsi="Times New Roman"/>
                <w:b/>
                <w:color w:val="000000" w:themeColor="text1"/>
                <w:sz w:val="20"/>
                <w:szCs w:val="20"/>
              </w:rPr>
              <w:t>Data Source</w:t>
            </w:r>
            <w:r w:rsidRPr="00335702">
              <w:rPr>
                <w:rFonts w:ascii="Times New Roman" w:hAnsi="Times New Roman"/>
                <w:color w:val="000000" w:themeColor="text1"/>
                <w:sz w:val="20"/>
                <w:szCs w:val="20"/>
              </w:rPr>
              <w:t xml:space="preserve">: National Registration Bureau </w:t>
            </w:r>
          </w:p>
          <w:p w14:paraId="39DED355"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345E290A"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Indicator 3.4.2</w:t>
            </w:r>
            <w:r w:rsidRPr="00335702">
              <w:rPr>
                <w:rFonts w:ascii="Times New Roman" w:hAnsi="Times New Roman"/>
                <w:color w:val="000000"/>
                <w:sz w:val="20"/>
                <w:szCs w:val="20"/>
              </w:rPr>
              <w:t>: Number of sectors with data collection/analysis mechanisms providing disaggregated data to monitor progress towards the Sustainable Development Goals: (a) conventional data collection methods (e.g., surveys); b) administrative reporting systems; and (c) new data sources (e.g., big data)</w:t>
            </w:r>
          </w:p>
          <w:p w14:paraId="1B593136"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Baseline:</w:t>
            </w:r>
            <w:r w:rsidRPr="00335702">
              <w:rPr>
                <w:rFonts w:ascii="Times New Roman" w:hAnsi="Times New Roman"/>
                <w:color w:val="000000"/>
                <w:sz w:val="20"/>
                <w:szCs w:val="20"/>
              </w:rPr>
              <w:t xml:space="preserve"> 0</w:t>
            </w:r>
            <w:r w:rsidRPr="00335702">
              <w:rPr>
                <w:rFonts w:ascii="Times New Roman" w:hAnsi="Times New Roman"/>
                <w:b/>
                <w:bCs/>
                <w:color w:val="000000"/>
                <w:sz w:val="20"/>
                <w:szCs w:val="20"/>
              </w:rPr>
              <w:t>; Target</w:t>
            </w:r>
            <w:r w:rsidRPr="00335702">
              <w:rPr>
                <w:rFonts w:ascii="Times New Roman" w:hAnsi="Times New Roman"/>
                <w:color w:val="000000"/>
                <w:sz w:val="20"/>
                <w:szCs w:val="20"/>
              </w:rPr>
              <w:t xml:space="preserve"> 16; </w:t>
            </w:r>
          </w:p>
          <w:p w14:paraId="47C1B085"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color w:val="000000"/>
                <w:sz w:val="20"/>
                <w:szCs w:val="20"/>
              </w:rPr>
              <w:t>Data</w:t>
            </w:r>
            <w:r w:rsidRPr="00335702">
              <w:rPr>
                <w:rFonts w:ascii="Times New Roman" w:hAnsi="Times New Roman"/>
                <w:color w:val="000000"/>
                <w:sz w:val="20"/>
                <w:szCs w:val="20"/>
              </w:rPr>
              <w:t xml:space="preserve"> </w:t>
            </w:r>
            <w:r w:rsidRPr="00335702">
              <w:rPr>
                <w:rFonts w:ascii="Times New Roman" w:hAnsi="Times New Roman"/>
                <w:b/>
                <w:bCs/>
                <w:color w:val="000000"/>
                <w:sz w:val="20"/>
                <w:szCs w:val="20"/>
              </w:rPr>
              <w:t>Source</w:t>
            </w:r>
            <w:r w:rsidRPr="00335702">
              <w:rPr>
                <w:rFonts w:ascii="Times New Roman" w:hAnsi="Times New Roman"/>
                <w:color w:val="000000"/>
                <w:sz w:val="20"/>
                <w:szCs w:val="20"/>
              </w:rPr>
              <w:t>: Ministry of Finance, Economic Planning and Development</w:t>
            </w:r>
          </w:p>
        </w:tc>
        <w:tc>
          <w:tcPr>
            <w:tcW w:w="2342" w:type="dxa"/>
            <w:vAlign w:val="center"/>
          </w:tcPr>
          <w:p w14:paraId="6C9DB83A"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sz w:val="20"/>
                <w:szCs w:val="20"/>
              </w:rPr>
              <w:t>National Registration Bureau; OPC; World Bank; United Nations agencies</w:t>
            </w:r>
          </w:p>
        </w:tc>
        <w:tc>
          <w:tcPr>
            <w:tcW w:w="1265" w:type="dxa"/>
            <w:vAlign w:val="center"/>
          </w:tcPr>
          <w:p w14:paraId="79B18812"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Regular: $1,000,000</w:t>
            </w:r>
          </w:p>
          <w:p w14:paraId="2ABE163F" w14:textId="77777777" w:rsidR="001A7BD2" w:rsidRPr="00335702" w:rsidRDefault="001A7BD2" w:rsidP="001A7BD2">
            <w:pPr>
              <w:spacing w:before="100" w:beforeAutospacing="1" w:after="100" w:afterAutospacing="1"/>
              <w:rPr>
                <w:rFonts w:ascii="Times New Roman" w:hAnsi="Times New Roman"/>
                <w:b/>
                <w:sz w:val="20"/>
                <w:szCs w:val="20"/>
              </w:rPr>
            </w:pPr>
          </w:p>
          <w:p w14:paraId="59684487" w14:textId="77777777" w:rsidR="001A7BD2" w:rsidRPr="00335702" w:rsidRDefault="001A7BD2" w:rsidP="001A7BD2">
            <w:pPr>
              <w:spacing w:before="100" w:beforeAutospacing="1" w:after="100" w:afterAutospacing="1"/>
              <w:rPr>
                <w:rFonts w:ascii="Times New Roman" w:hAnsi="Times New Roman"/>
                <w:b/>
                <w:sz w:val="20"/>
                <w:szCs w:val="20"/>
              </w:rPr>
            </w:pPr>
            <w:r w:rsidRPr="00335702">
              <w:rPr>
                <w:rFonts w:ascii="Times New Roman" w:hAnsi="Times New Roman"/>
                <w:b/>
                <w:sz w:val="20"/>
                <w:szCs w:val="20"/>
              </w:rPr>
              <w:t>Other: $1,500,000</w:t>
            </w:r>
          </w:p>
        </w:tc>
      </w:tr>
    </w:tbl>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2916"/>
      </w:tblGrid>
      <w:tr w:rsidR="001A7BD2" w:rsidRPr="00335702" w14:paraId="7EA46BE0" w14:textId="77777777" w:rsidTr="001A7BD2">
        <w:trPr>
          <w:trHeight w:val="20"/>
        </w:trPr>
        <w:tc>
          <w:tcPr>
            <w:tcW w:w="5000" w:type="pct"/>
            <w:tcBorders>
              <w:bottom w:val="single" w:sz="4" w:space="0" w:color="auto"/>
            </w:tcBorders>
            <w:shd w:val="clear" w:color="auto" w:fill="auto"/>
            <w:tcMar>
              <w:top w:w="72" w:type="dxa"/>
              <w:left w:w="144" w:type="dxa"/>
              <w:bottom w:w="72" w:type="dxa"/>
              <w:right w:w="144" w:type="dxa"/>
            </w:tcMar>
          </w:tcPr>
          <w:p w14:paraId="4BC5CF09" w14:textId="77777777" w:rsidR="001A7BD2" w:rsidRPr="00335702" w:rsidRDefault="001A7BD2" w:rsidP="001A7BD2">
            <w:pPr>
              <w:spacing w:before="100" w:beforeAutospacing="1" w:after="100" w:afterAutospacing="1" w:line="240" w:lineRule="auto"/>
              <w:rPr>
                <w:rFonts w:ascii="Times New Roman" w:hAnsi="Times New Roman"/>
                <w:color w:val="000000"/>
                <w:sz w:val="20"/>
                <w:szCs w:val="20"/>
              </w:rPr>
            </w:pPr>
            <w:r w:rsidRPr="00335702">
              <w:rPr>
                <w:rFonts w:ascii="Times New Roman" w:hAnsi="Times New Roman"/>
                <w:b/>
                <w:bCs/>
                <w:color w:val="000000"/>
                <w:sz w:val="20"/>
                <w:szCs w:val="20"/>
                <w:lang w:val="en-GB"/>
              </w:rPr>
              <w:t>NATIONAL PRIORITY OR GOAL: Good governance</w:t>
            </w:r>
          </w:p>
        </w:tc>
      </w:tr>
      <w:tr w:rsidR="001A7BD2" w:rsidRPr="00335702" w14:paraId="0A5D3E85" w14:textId="77777777" w:rsidTr="001A7BD2">
        <w:tc>
          <w:tcPr>
            <w:tcW w:w="5000" w:type="pct"/>
            <w:shd w:val="clear" w:color="auto" w:fill="auto"/>
            <w:tcMar>
              <w:top w:w="72" w:type="dxa"/>
              <w:left w:w="144" w:type="dxa"/>
              <w:bottom w:w="72" w:type="dxa"/>
              <w:right w:w="144" w:type="dxa"/>
            </w:tcMar>
          </w:tcPr>
          <w:p w14:paraId="04CB67E4" w14:textId="77777777" w:rsidR="001A7BD2" w:rsidRPr="00335702" w:rsidRDefault="001A7BD2" w:rsidP="001A7BD2">
            <w:pPr>
              <w:tabs>
                <w:tab w:val="left" w:pos="3429"/>
              </w:tabs>
              <w:spacing w:before="100" w:beforeAutospacing="1" w:after="100" w:afterAutospacing="1" w:line="240" w:lineRule="auto"/>
              <w:contextualSpacing/>
              <w:rPr>
                <w:rFonts w:ascii="Times New Roman" w:eastAsiaTheme="minorEastAsia" w:hAnsi="Times New Roman"/>
                <w:sz w:val="20"/>
                <w:szCs w:val="20"/>
              </w:rPr>
            </w:pPr>
            <w:r w:rsidRPr="00335702">
              <w:rPr>
                <w:rFonts w:ascii="Times New Roman" w:hAnsi="Times New Roman"/>
                <w:b/>
                <w:bCs/>
                <w:color w:val="000000"/>
                <w:sz w:val="20"/>
                <w:szCs w:val="20"/>
                <w:lang w:val="en-GB"/>
              </w:rPr>
              <w:t>UNDAF OUTCOME INVOLVING UNDP</w:t>
            </w:r>
            <w:r w:rsidRPr="00335702">
              <w:rPr>
                <w:rFonts w:ascii="Times New Roman" w:eastAsiaTheme="minorEastAsia" w:hAnsi="Times New Roman"/>
                <w:sz w:val="20"/>
                <w:szCs w:val="20"/>
              </w:rPr>
              <w:t xml:space="preserve"> #4: By 2023, Malawi has strengthened institutions for sustaining peace, inclusive societies and participatory democracy.</w:t>
            </w:r>
          </w:p>
        </w:tc>
      </w:tr>
      <w:tr w:rsidR="001A7BD2" w:rsidRPr="00335702" w14:paraId="07C820DD" w14:textId="77777777" w:rsidTr="001A7BD2">
        <w:tc>
          <w:tcPr>
            <w:tcW w:w="5000" w:type="pct"/>
            <w:shd w:val="clear" w:color="auto" w:fill="auto"/>
            <w:tcMar>
              <w:top w:w="72" w:type="dxa"/>
              <w:left w:w="144" w:type="dxa"/>
              <w:bottom w:w="72" w:type="dxa"/>
              <w:right w:w="144" w:type="dxa"/>
            </w:tcMar>
          </w:tcPr>
          <w:p w14:paraId="363419A2" w14:textId="77777777" w:rsidR="001A7BD2" w:rsidRPr="00335702" w:rsidRDefault="001A7BD2" w:rsidP="001A7BD2">
            <w:pPr>
              <w:tabs>
                <w:tab w:val="center" w:pos="6125"/>
              </w:tabs>
              <w:spacing w:before="100" w:beforeAutospacing="1" w:after="100" w:afterAutospacing="1" w:line="240" w:lineRule="auto"/>
              <w:rPr>
                <w:rFonts w:ascii="Times New Roman" w:hAnsi="Times New Roman"/>
                <w:sz w:val="20"/>
                <w:szCs w:val="20"/>
              </w:rPr>
            </w:pPr>
            <w:r w:rsidRPr="00335702">
              <w:rPr>
                <w:rFonts w:ascii="Times New Roman" w:hAnsi="Times New Roman"/>
                <w:b/>
                <w:bCs/>
                <w:color w:val="000000"/>
                <w:sz w:val="20"/>
                <w:szCs w:val="20"/>
                <w:lang w:val="en-GB"/>
              </w:rPr>
              <w:t xml:space="preserve">RELATED STRATEGIC PLAN OUTCOMEs: </w:t>
            </w:r>
            <w:r w:rsidRPr="00335702">
              <w:rPr>
                <w:rFonts w:ascii="Times New Roman" w:hAnsi="Times New Roman"/>
                <w:b/>
                <w:bCs/>
                <w:sz w:val="20"/>
                <w:szCs w:val="20"/>
              </w:rPr>
              <w:t>Outcome 2:</w:t>
            </w:r>
            <w:r w:rsidRPr="00335702">
              <w:rPr>
                <w:rFonts w:ascii="Times New Roman" w:hAnsi="Times New Roman"/>
                <w:sz w:val="20"/>
                <w:szCs w:val="20"/>
              </w:rPr>
              <w:t xml:space="preserve"> Accelerate structural transformation for sustainable development</w:t>
            </w:r>
          </w:p>
        </w:tc>
      </w:tr>
    </w:tbl>
    <w:tbl>
      <w:tblPr>
        <w:tblStyle w:val="TableGrid"/>
        <w:tblW w:w="13515" w:type="dxa"/>
        <w:tblLayout w:type="fixed"/>
        <w:tblLook w:val="04A0" w:firstRow="1" w:lastRow="0" w:firstColumn="1" w:lastColumn="0" w:noHBand="0" w:noVBand="1"/>
      </w:tblPr>
      <w:tblGrid>
        <w:gridCol w:w="2248"/>
        <w:gridCol w:w="1803"/>
        <w:gridCol w:w="5856"/>
        <w:gridCol w:w="2343"/>
        <w:gridCol w:w="1265"/>
      </w:tblGrid>
      <w:tr w:rsidR="001A7BD2" w:rsidRPr="00335702" w14:paraId="23EC8AEE" w14:textId="77777777" w:rsidTr="001A7BD2">
        <w:tc>
          <w:tcPr>
            <w:tcW w:w="2248" w:type="dxa"/>
            <w:vAlign w:val="center"/>
          </w:tcPr>
          <w:p w14:paraId="23A17CED"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b/>
                <w:color w:val="000000"/>
                <w:sz w:val="20"/>
                <w:szCs w:val="20"/>
              </w:rPr>
              <w:t>4.1 Proportion of seats held by women in national Parliament and local government</w:t>
            </w:r>
            <w:r w:rsidRPr="00335702">
              <w:rPr>
                <w:rFonts w:ascii="Times New Roman" w:hAnsi="Times New Roman"/>
                <w:color w:val="000000"/>
                <w:sz w:val="20"/>
                <w:szCs w:val="20"/>
              </w:rPr>
              <w:t xml:space="preserve"> (Sustainable Development Goal 5.5.1; Malawi Growth and Development Strategy)</w:t>
            </w:r>
          </w:p>
          <w:p w14:paraId="0542643F"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b/>
                <w:color w:val="000000"/>
                <w:sz w:val="20"/>
                <w:szCs w:val="20"/>
              </w:rPr>
              <w:t>Baseline</w:t>
            </w:r>
            <w:r w:rsidRPr="00335702">
              <w:rPr>
                <w:rFonts w:ascii="Times New Roman" w:hAnsi="Times New Roman"/>
                <w:color w:val="000000"/>
                <w:sz w:val="20"/>
                <w:szCs w:val="20"/>
              </w:rPr>
              <w:t xml:space="preserve">: 17% (2014); </w:t>
            </w:r>
          </w:p>
          <w:p w14:paraId="5F0C77B0"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r w:rsidRPr="00335702">
              <w:rPr>
                <w:rFonts w:ascii="Times New Roman" w:hAnsi="Times New Roman"/>
                <w:b/>
                <w:color w:val="000000"/>
                <w:sz w:val="20"/>
                <w:szCs w:val="20"/>
              </w:rPr>
              <w:t>Target</w:t>
            </w:r>
            <w:r w:rsidRPr="00335702">
              <w:rPr>
                <w:rFonts w:ascii="Times New Roman" w:hAnsi="Times New Roman"/>
                <w:color w:val="000000"/>
                <w:sz w:val="20"/>
                <w:szCs w:val="20"/>
              </w:rPr>
              <w:t>: 40% (2023)</w:t>
            </w:r>
            <w:r w:rsidRPr="00335702">
              <w:rPr>
                <w:rFonts w:ascii="Times New Roman" w:hAnsi="Times New Roman"/>
                <w:b/>
                <w:bCs/>
                <w:color w:val="000000"/>
                <w:sz w:val="20"/>
                <w:szCs w:val="20"/>
              </w:rPr>
              <w:t xml:space="preserve"> </w:t>
            </w:r>
          </w:p>
          <w:p w14:paraId="7C587A9E"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p>
          <w:p w14:paraId="6964FDE0"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4.2:</w:t>
            </w:r>
            <w:r w:rsidRPr="00335702">
              <w:rPr>
                <w:rFonts w:ascii="Times New Roman" w:hAnsi="Times New Roman"/>
                <w:iCs/>
                <w:color w:val="000000"/>
                <w:sz w:val="20"/>
                <w:szCs w:val="20"/>
              </w:rPr>
              <w:t xml:space="preserve">  </w:t>
            </w:r>
            <w:r w:rsidRPr="00335702">
              <w:rPr>
                <w:rFonts w:ascii="Times New Roman" w:hAnsi="Times New Roman"/>
                <w:color w:val="000000"/>
                <w:sz w:val="20"/>
                <w:szCs w:val="20"/>
              </w:rPr>
              <w:t xml:space="preserve">Extent to which executive and legislative elections are free and credible, including impartiality of the electoral laws and framework. </w:t>
            </w:r>
          </w:p>
          <w:p w14:paraId="626C6B97"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p>
          <w:p w14:paraId="74686B4D"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Baseline</w:t>
            </w:r>
            <w:r w:rsidRPr="00335702">
              <w:rPr>
                <w:rFonts w:ascii="Times New Roman" w:hAnsi="Times New Roman"/>
                <w:color w:val="000000"/>
                <w:sz w:val="20"/>
                <w:szCs w:val="20"/>
              </w:rPr>
              <w:t xml:space="preserve">: 19% (2015); </w:t>
            </w:r>
            <w:r w:rsidRPr="00335702">
              <w:rPr>
                <w:rFonts w:ascii="Times New Roman" w:hAnsi="Times New Roman"/>
                <w:b/>
                <w:bCs/>
                <w:color w:val="000000"/>
                <w:sz w:val="20"/>
                <w:szCs w:val="20"/>
              </w:rPr>
              <w:t>Targe</w:t>
            </w:r>
            <w:r w:rsidRPr="00335702">
              <w:rPr>
                <w:rFonts w:ascii="Times New Roman" w:hAnsi="Times New Roman"/>
                <w:color w:val="000000"/>
                <w:sz w:val="20"/>
                <w:szCs w:val="20"/>
              </w:rPr>
              <w:t>t: 60% (2023)</w:t>
            </w:r>
          </w:p>
          <w:p w14:paraId="64E954F1"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r w:rsidRPr="00335702">
              <w:rPr>
                <w:rFonts w:ascii="Times New Roman" w:hAnsi="Times New Roman"/>
                <w:b/>
                <w:bCs/>
                <w:color w:val="000000"/>
                <w:sz w:val="20"/>
                <w:szCs w:val="20"/>
              </w:rPr>
              <w:t>Key: 0-39% = Low; 40-59% =Medium; 60-79%=High; 80-100%=Very High</w:t>
            </w:r>
          </w:p>
        </w:tc>
        <w:tc>
          <w:tcPr>
            <w:tcW w:w="1803" w:type="dxa"/>
            <w:vMerge w:val="restart"/>
            <w:vAlign w:val="center"/>
          </w:tcPr>
          <w:p w14:paraId="666C9803" w14:textId="77777777" w:rsidR="001A7BD2" w:rsidRPr="00335702" w:rsidRDefault="001A7BD2" w:rsidP="001A7BD2">
            <w:pPr>
              <w:spacing w:before="100" w:beforeAutospacing="1" w:after="100" w:afterAutospacing="1"/>
              <w:jc w:val="both"/>
              <w:rPr>
                <w:rFonts w:ascii="Times New Roman" w:hAnsi="Times New Roman"/>
                <w:iCs/>
                <w:color w:val="000000"/>
                <w:sz w:val="20"/>
                <w:szCs w:val="20"/>
              </w:rPr>
            </w:pPr>
          </w:p>
          <w:p w14:paraId="6F108B98" w14:textId="77777777" w:rsidR="001A7BD2" w:rsidRPr="00335702" w:rsidRDefault="001A7BD2" w:rsidP="001A7BD2">
            <w:pPr>
              <w:spacing w:before="100" w:beforeAutospacing="1" w:after="100" w:afterAutospacing="1"/>
              <w:jc w:val="both"/>
              <w:rPr>
                <w:rFonts w:ascii="Times New Roman" w:hAnsi="Times New Roman"/>
                <w:iCs/>
                <w:color w:val="000000"/>
                <w:sz w:val="20"/>
                <w:szCs w:val="20"/>
              </w:rPr>
            </w:pPr>
          </w:p>
          <w:p w14:paraId="68C8449F"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r w:rsidRPr="00335702">
              <w:rPr>
                <w:rFonts w:ascii="Times New Roman" w:hAnsi="Times New Roman"/>
                <w:color w:val="000000"/>
                <w:sz w:val="20"/>
                <w:szCs w:val="20"/>
              </w:rPr>
              <w:t>Malawi Electoral Commission</w:t>
            </w:r>
          </w:p>
          <w:p w14:paraId="65FD7215"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470E862A"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133DE0BD"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47E36037"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78EF089A"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p>
          <w:p w14:paraId="0529E7FF" w14:textId="77777777" w:rsidR="001A7BD2" w:rsidRPr="00335702" w:rsidRDefault="001A7BD2" w:rsidP="001A7BD2">
            <w:pPr>
              <w:spacing w:before="100" w:beforeAutospacing="1" w:after="100" w:afterAutospacing="1"/>
              <w:jc w:val="both"/>
              <w:rPr>
                <w:rFonts w:ascii="Times New Roman" w:eastAsiaTheme="minorEastAsia" w:hAnsi="Times New Roman"/>
                <w:sz w:val="20"/>
                <w:szCs w:val="20"/>
              </w:rPr>
            </w:pPr>
            <w:r w:rsidRPr="00335702">
              <w:rPr>
                <w:rFonts w:ascii="Times New Roman" w:hAnsi="Times New Roman"/>
                <w:color w:val="000000"/>
                <w:sz w:val="20"/>
                <w:szCs w:val="20"/>
              </w:rPr>
              <w:t xml:space="preserve">Ibrahim Index </w:t>
            </w:r>
            <w:r w:rsidRPr="00335702">
              <w:rPr>
                <w:rFonts w:ascii="Times New Roman" w:eastAsiaTheme="minorEastAsia" w:hAnsi="Times New Roman"/>
                <w:sz w:val="20"/>
                <w:szCs w:val="20"/>
              </w:rPr>
              <w:t>of Africa and Governance, Annual Report</w:t>
            </w:r>
          </w:p>
          <w:p w14:paraId="33B5D26B"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61560FDC"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3DAB6594"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7364C5DD"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7C07AD16"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4D88244B"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7AE54276"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48339450"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7DCDAD2E"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5679C209"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1815A4B8"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115CEB55"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p>
          <w:p w14:paraId="34BCD01B" w14:textId="77777777" w:rsidR="001A7BD2" w:rsidRPr="00335702" w:rsidRDefault="001A7BD2" w:rsidP="001A7BD2">
            <w:pPr>
              <w:pStyle w:val="ListParagraph"/>
              <w:spacing w:before="100" w:beforeAutospacing="1" w:after="100" w:afterAutospacing="1"/>
              <w:ind w:left="0"/>
              <w:rPr>
                <w:rFonts w:ascii="Times New Roman" w:hAnsi="Times New Roman"/>
                <w:color w:val="000000"/>
                <w:sz w:val="20"/>
                <w:szCs w:val="20"/>
              </w:rPr>
            </w:pPr>
            <w:r w:rsidRPr="00335702">
              <w:rPr>
                <w:rFonts w:ascii="Times New Roman" w:hAnsi="Times New Roman"/>
                <w:color w:val="000000"/>
                <w:sz w:val="20"/>
                <w:szCs w:val="20"/>
              </w:rPr>
              <w:t>Malawi Electoral Commission</w:t>
            </w:r>
          </w:p>
        </w:tc>
        <w:tc>
          <w:tcPr>
            <w:tcW w:w="5856" w:type="dxa"/>
            <w:vAlign w:val="center"/>
          </w:tcPr>
          <w:p w14:paraId="4A886670" w14:textId="77777777" w:rsidR="001A7BD2" w:rsidRPr="00335702" w:rsidRDefault="001A7BD2" w:rsidP="001A7BD2">
            <w:pPr>
              <w:spacing w:before="100" w:beforeAutospacing="1" w:after="100" w:afterAutospacing="1"/>
              <w:jc w:val="both"/>
              <w:rPr>
                <w:rFonts w:ascii="Times New Roman" w:hAnsi="Times New Roman"/>
                <w:iCs/>
                <w:color w:val="000000"/>
                <w:sz w:val="20"/>
                <w:szCs w:val="20"/>
              </w:rPr>
            </w:pPr>
            <w:r w:rsidRPr="00335702">
              <w:rPr>
                <w:rFonts w:ascii="Times New Roman" w:hAnsi="Times New Roman"/>
                <w:b/>
                <w:bCs/>
                <w:color w:val="000000"/>
                <w:sz w:val="20"/>
                <w:szCs w:val="20"/>
              </w:rPr>
              <w:t>Output 4.1</w:t>
            </w:r>
            <w:r w:rsidRPr="00335702">
              <w:rPr>
                <w:rFonts w:ascii="Times New Roman" w:hAnsi="Times New Roman"/>
                <w:color w:val="000000"/>
                <w:sz w:val="20"/>
                <w:szCs w:val="20"/>
              </w:rPr>
              <w:t xml:space="preserve">: </w:t>
            </w:r>
            <w:r w:rsidRPr="00335702">
              <w:rPr>
                <w:rFonts w:ascii="Times New Roman" w:hAnsi="Times New Roman"/>
                <w:iCs/>
                <w:color w:val="000000"/>
                <w:sz w:val="20"/>
                <w:szCs w:val="20"/>
              </w:rPr>
              <w:t>Parliament, Malawi Electoral Commission, Centre for Multi-Party Democracy (CMD) and selected non-State actors are enabled to perform core functions for inclusive participation and representation</w:t>
            </w:r>
          </w:p>
          <w:p w14:paraId="6DCEAD3A" w14:textId="77777777" w:rsidR="001A7BD2" w:rsidRPr="00335702" w:rsidRDefault="001A7BD2" w:rsidP="001A7BD2">
            <w:pPr>
              <w:spacing w:before="100" w:beforeAutospacing="1" w:after="100" w:afterAutospacing="1"/>
              <w:jc w:val="both"/>
              <w:rPr>
                <w:rFonts w:ascii="Times New Roman" w:hAnsi="Times New Roman"/>
                <w:iCs/>
                <w:color w:val="000000"/>
                <w:sz w:val="20"/>
                <w:szCs w:val="20"/>
              </w:rPr>
            </w:pPr>
          </w:p>
          <w:p w14:paraId="2CD88268" w14:textId="77777777" w:rsidR="001A7BD2" w:rsidRPr="00335702" w:rsidRDefault="001A7BD2" w:rsidP="001A7BD2">
            <w:pPr>
              <w:spacing w:before="100" w:beforeAutospacing="1" w:after="100" w:afterAutospacing="1"/>
              <w:jc w:val="both"/>
              <w:rPr>
                <w:rFonts w:ascii="Times New Roman" w:hAnsi="Times New Roman"/>
                <w:b/>
                <w:bCs/>
                <w:color w:val="000000"/>
                <w:sz w:val="20"/>
                <w:szCs w:val="20"/>
              </w:rPr>
            </w:pPr>
          </w:p>
          <w:p w14:paraId="090F9ED6"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Indicator 4.1.1:</w:t>
            </w:r>
            <w:r w:rsidRPr="00335702">
              <w:rPr>
                <w:rFonts w:ascii="Times New Roman" w:hAnsi="Times New Roman"/>
                <w:color w:val="000000"/>
                <w:sz w:val="20"/>
                <w:szCs w:val="20"/>
              </w:rPr>
              <w:t xml:space="preserve">  Proportion of political parties represented in Parliament with effective gender equality policies.</w:t>
            </w:r>
          </w:p>
          <w:p w14:paraId="374D1D0F" w14:textId="77777777" w:rsidR="001A7BD2" w:rsidRPr="00335702" w:rsidRDefault="001A7BD2" w:rsidP="001A7BD2">
            <w:pPr>
              <w:spacing w:before="100" w:beforeAutospacing="1" w:after="100" w:afterAutospacing="1"/>
              <w:jc w:val="both"/>
              <w:rPr>
                <w:rFonts w:ascii="Times New Roman" w:hAnsi="Times New Roman"/>
                <w:color w:val="000000"/>
                <w:sz w:val="20"/>
                <w:szCs w:val="20"/>
              </w:rPr>
            </w:pPr>
            <w:r w:rsidRPr="00335702">
              <w:rPr>
                <w:rFonts w:ascii="Times New Roman" w:hAnsi="Times New Roman"/>
                <w:b/>
                <w:bCs/>
                <w:color w:val="000000"/>
                <w:sz w:val="20"/>
                <w:szCs w:val="20"/>
              </w:rPr>
              <w:t xml:space="preserve">Baseline: </w:t>
            </w:r>
            <w:r w:rsidRPr="00335702">
              <w:rPr>
                <w:rFonts w:ascii="Times New Roman" w:hAnsi="Times New Roman"/>
                <w:color w:val="000000"/>
                <w:sz w:val="20"/>
                <w:szCs w:val="20"/>
              </w:rPr>
              <w:t>0 (2017)</w:t>
            </w:r>
            <w:r w:rsidRPr="00335702">
              <w:rPr>
                <w:rFonts w:ascii="Times New Roman" w:hAnsi="Times New Roman"/>
                <w:b/>
                <w:bCs/>
                <w:color w:val="000000"/>
                <w:sz w:val="20"/>
                <w:szCs w:val="20"/>
              </w:rPr>
              <w:t xml:space="preserve">; Target: </w:t>
            </w:r>
            <w:r w:rsidRPr="00335702">
              <w:rPr>
                <w:rFonts w:ascii="Times New Roman" w:hAnsi="Times New Roman"/>
                <w:color w:val="000000"/>
                <w:sz w:val="20"/>
                <w:szCs w:val="20"/>
              </w:rPr>
              <w:t xml:space="preserve">75%; </w:t>
            </w:r>
          </w:p>
          <w:p w14:paraId="24608D76"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color w:val="000000"/>
                <w:sz w:val="20"/>
                <w:szCs w:val="20"/>
              </w:rPr>
              <w:t xml:space="preserve">Data Source: </w:t>
            </w:r>
            <w:r w:rsidRPr="00335702">
              <w:rPr>
                <w:rFonts w:ascii="Times New Roman" w:hAnsi="Times New Roman"/>
                <w:color w:val="000000"/>
                <w:sz w:val="20"/>
                <w:szCs w:val="20"/>
              </w:rPr>
              <w:t>CMD</w:t>
            </w:r>
          </w:p>
        </w:tc>
        <w:tc>
          <w:tcPr>
            <w:tcW w:w="2343" w:type="dxa"/>
            <w:vAlign w:val="center"/>
          </w:tcPr>
          <w:p w14:paraId="271FA682"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color w:val="000000"/>
                <w:sz w:val="20"/>
                <w:szCs w:val="20"/>
              </w:rPr>
              <w:t>Malawi Electoral Commission, CMD, CSOs, UN-Women, DfID, Royal Norwegian Embassy, European Union.</w:t>
            </w:r>
          </w:p>
        </w:tc>
        <w:tc>
          <w:tcPr>
            <w:tcW w:w="1265" w:type="dxa"/>
            <w:vAlign w:val="center"/>
          </w:tcPr>
          <w:p w14:paraId="04439D60"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 xml:space="preserve">Regular: </w:t>
            </w:r>
          </w:p>
          <w:p w14:paraId="30F91EAD"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$2,750,000</w:t>
            </w:r>
          </w:p>
          <w:p w14:paraId="601AB288"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p>
          <w:p w14:paraId="7B3FE385"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 xml:space="preserve">Other: </w:t>
            </w:r>
          </w:p>
          <w:p w14:paraId="5D085688"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color w:val="000000"/>
                <w:sz w:val="20"/>
                <w:szCs w:val="20"/>
              </w:rPr>
              <w:t>$5,440,000</w:t>
            </w:r>
          </w:p>
        </w:tc>
      </w:tr>
      <w:tr w:rsidR="001A7BD2" w:rsidRPr="00335702" w14:paraId="5E7B1593" w14:textId="77777777" w:rsidTr="001A7BD2">
        <w:tc>
          <w:tcPr>
            <w:tcW w:w="2248" w:type="dxa"/>
            <w:vAlign w:val="center"/>
          </w:tcPr>
          <w:p w14:paraId="449A990A" w14:textId="77777777" w:rsidR="001A7BD2" w:rsidRPr="00335702" w:rsidRDefault="001A7BD2" w:rsidP="001A7BD2">
            <w:pPr>
              <w:spacing w:before="100" w:beforeAutospacing="1" w:after="100" w:afterAutospacing="1"/>
              <w:rPr>
                <w:rFonts w:ascii="Times New Roman" w:hAnsi="Times New Roman"/>
                <w:sz w:val="20"/>
                <w:szCs w:val="20"/>
              </w:rPr>
            </w:pPr>
          </w:p>
          <w:p w14:paraId="79EDE088" w14:textId="77777777" w:rsidR="001A7BD2" w:rsidRPr="00335702" w:rsidRDefault="001A7BD2" w:rsidP="001A7BD2">
            <w:pPr>
              <w:spacing w:before="100" w:beforeAutospacing="1" w:after="100" w:afterAutospacing="1"/>
              <w:rPr>
                <w:rFonts w:ascii="Times New Roman" w:hAnsi="Times New Roman"/>
                <w:b/>
                <w:color w:val="000000"/>
                <w:sz w:val="20"/>
                <w:szCs w:val="20"/>
              </w:rPr>
            </w:pPr>
            <w:r w:rsidRPr="00335702">
              <w:rPr>
                <w:rFonts w:ascii="Times New Roman" w:hAnsi="Times New Roman"/>
                <w:b/>
                <w:color w:val="000000"/>
                <w:sz w:val="20"/>
                <w:szCs w:val="20"/>
              </w:rPr>
              <w:t>4.3 Voter turnout disaggregated by sex and age</w:t>
            </w:r>
          </w:p>
          <w:p w14:paraId="35CBC1AF" w14:textId="77777777" w:rsidR="001A7BD2" w:rsidRPr="00335702" w:rsidRDefault="001A7BD2" w:rsidP="001A7BD2">
            <w:pPr>
              <w:spacing w:before="100" w:beforeAutospacing="1" w:after="100" w:afterAutospacing="1"/>
              <w:rPr>
                <w:rFonts w:ascii="Times New Roman" w:hAnsi="Times New Roman"/>
                <w:sz w:val="20"/>
                <w:szCs w:val="20"/>
              </w:rPr>
            </w:pPr>
          </w:p>
          <w:p w14:paraId="64D22F36"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b/>
                <w:color w:val="000000"/>
                <w:sz w:val="20"/>
                <w:szCs w:val="20"/>
              </w:rPr>
              <w:t>Baseline</w:t>
            </w:r>
            <w:r w:rsidRPr="00335702">
              <w:rPr>
                <w:rFonts w:ascii="Times New Roman" w:hAnsi="Times New Roman"/>
                <w:color w:val="000000"/>
                <w:sz w:val="20"/>
                <w:szCs w:val="20"/>
              </w:rPr>
              <w:t>:  71% (2014)</w:t>
            </w:r>
          </w:p>
          <w:p w14:paraId="6E6A263F"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b/>
                <w:color w:val="000000"/>
                <w:sz w:val="20"/>
                <w:szCs w:val="20"/>
              </w:rPr>
              <w:t>Target</w:t>
            </w:r>
            <w:r w:rsidRPr="00335702">
              <w:rPr>
                <w:rFonts w:ascii="Times New Roman" w:hAnsi="Times New Roman"/>
                <w:color w:val="000000"/>
                <w:sz w:val="20"/>
                <w:szCs w:val="20"/>
              </w:rPr>
              <w:t xml:space="preserve">:  80% (2023) </w:t>
            </w:r>
          </w:p>
        </w:tc>
        <w:tc>
          <w:tcPr>
            <w:tcW w:w="1803" w:type="dxa"/>
            <w:vMerge/>
          </w:tcPr>
          <w:p w14:paraId="794A33D9" w14:textId="77777777" w:rsidR="001A7BD2" w:rsidRPr="00335702" w:rsidRDefault="001A7BD2" w:rsidP="001A7BD2">
            <w:pPr>
              <w:spacing w:before="100" w:beforeAutospacing="1" w:after="100" w:afterAutospacing="1"/>
              <w:rPr>
                <w:rFonts w:ascii="Times New Roman" w:hAnsi="Times New Roman"/>
                <w:sz w:val="20"/>
                <w:szCs w:val="20"/>
              </w:rPr>
            </w:pPr>
          </w:p>
        </w:tc>
        <w:tc>
          <w:tcPr>
            <w:tcW w:w="5856" w:type="dxa"/>
          </w:tcPr>
          <w:p w14:paraId="2EB3FA81" w14:textId="77777777" w:rsidR="001A7BD2" w:rsidRPr="00335702" w:rsidRDefault="001A7BD2" w:rsidP="001A7BD2">
            <w:pPr>
              <w:spacing w:before="100" w:beforeAutospacing="1" w:after="100" w:afterAutospacing="1"/>
              <w:jc w:val="both"/>
              <w:rPr>
                <w:rFonts w:ascii="Times New Roman" w:hAnsi="Times New Roman"/>
                <w:b/>
                <w:bCs/>
                <w:iCs/>
                <w:color w:val="000000"/>
                <w:sz w:val="20"/>
                <w:szCs w:val="20"/>
              </w:rPr>
            </w:pPr>
            <w:r w:rsidRPr="00335702">
              <w:rPr>
                <w:rFonts w:ascii="Times New Roman" w:hAnsi="Times New Roman"/>
                <w:b/>
                <w:bCs/>
                <w:color w:val="000000"/>
                <w:sz w:val="20"/>
                <w:szCs w:val="20"/>
              </w:rPr>
              <w:t xml:space="preserve">Output 4.2: </w:t>
            </w:r>
            <w:r w:rsidRPr="00335702">
              <w:rPr>
                <w:rFonts w:ascii="Times New Roman" w:hAnsi="Times New Roman"/>
                <w:iCs/>
                <w:sz w:val="20"/>
                <w:szCs w:val="20"/>
              </w:rPr>
              <w:t>Gender-sensitive National Peace Architecture structures with real-time conflict early warning monitoring systems at national and district level are adopted.</w:t>
            </w:r>
          </w:p>
          <w:p w14:paraId="499DE547"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4971BA65"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Indicator 4.2.1:</w:t>
            </w:r>
            <w:r w:rsidRPr="00335702">
              <w:rPr>
                <w:rFonts w:ascii="Times New Roman" w:hAnsi="Times New Roman"/>
                <w:sz w:val="20"/>
                <w:szCs w:val="20"/>
              </w:rPr>
              <w:t xml:space="preserve">  National and subnational coordination and monitoring mechanisms for conflict prevention and sustaining peace in place. </w:t>
            </w:r>
          </w:p>
          <w:p w14:paraId="2B089A39"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Baseline</w:t>
            </w:r>
            <w:r w:rsidRPr="00335702">
              <w:rPr>
                <w:rFonts w:ascii="Times New Roman" w:hAnsi="Times New Roman"/>
                <w:iCs/>
                <w:sz w:val="20"/>
                <w:szCs w:val="20"/>
              </w:rPr>
              <w:t xml:space="preserve">: </w:t>
            </w:r>
            <w:r w:rsidRPr="00335702">
              <w:rPr>
                <w:rFonts w:ascii="Times New Roman" w:hAnsi="Times New Roman"/>
                <w:sz w:val="20"/>
                <w:szCs w:val="20"/>
              </w:rPr>
              <w:t xml:space="preserve">No (2017); </w:t>
            </w:r>
            <w:r w:rsidRPr="00335702">
              <w:rPr>
                <w:rFonts w:ascii="Times New Roman" w:hAnsi="Times New Roman"/>
                <w:b/>
                <w:bCs/>
                <w:sz w:val="20"/>
                <w:szCs w:val="20"/>
              </w:rPr>
              <w:t>Target:</w:t>
            </w:r>
            <w:r w:rsidRPr="00335702">
              <w:rPr>
                <w:rFonts w:ascii="Times New Roman" w:hAnsi="Times New Roman"/>
                <w:iCs/>
                <w:sz w:val="20"/>
                <w:szCs w:val="20"/>
              </w:rPr>
              <w:t xml:space="preserve"> </w:t>
            </w:r>
            <w:r w:rsidRPr="00335702">
              <w:rPr>
                <w:rFonts w:ascii="Times New Roman" w:hAnsi="Times New Roman"/>
                <w:sz w:val="20"/>
                <w:szCs w:val="20"/>
              </w:rPr>
              <w:t>Yes (2023)</w:t>
            </w:r>
          </w:p>
          <w:p w14:paraId="041134E8" w14:textId="77777777" w:rsidR="001A7BD2" w:rsidRPr="00335702" w:rsidRDefault="001A7BD2" w:rsidP="001A7BD2">
            <w:pPr>
              <w:spacing w:before="100" w:beforeAutospacing="1" w:after="100" w:afterAutospacing="1"/>
              <w:jc w:val="both"/>
              <w:rPr>
                <w:rFonts w:ascii="Times New Roman" w:hAnsi="Times New Roman"/>
                <w:sz w:val="20"/>
                <w:szCs w:val="20"/>
              </w:rPr>
            </w:pPr>
            <w:r w:rsidRPr="00335702">
              <w:rPr>
                <w:rFonts w:ascii="Times New Roman" w:hAnsi="Times New Roman"/>
                <w:b/>
                <w:bCs/>
                <w:sz w:val="20"/>
                <w:szCs w:val="20"/>
              </w:rPr>
              <w:t>Data Source:</w:t>
            </w:r>
            <w:r w:rsidRPr="00335702">
              <w:rPr>
                <w:rFonts w:ascii="Times New Roman" w:hAnsi="Times New Roman"/>
                <w:sz w:val="20"/>
                <w:szCs w:val="20"/>
              </w:rPr>
              <w:t xml:space="preserve"> OPC Report</w:t>
            </w:r>
          </w:p>
          <w:p w14:paraId="2327649A" w14:textId="77777777" w:rsidR="001A7BD2" w:rsidRPr="00335702" w:rsidRDefault="001A7BD2" w:rsidP="001A7BD2">
            <w:pPr>
              <w:spacing w:before="100" w:beforeAutospacing="1" w:after="100" w:afterAutospacing="1"/>
              <w:jc w:val="both"/>
              <w:rPr>
                <w:rFonts w:ascii="Times New Roman" w:hAnsi="Times New Roman"/>
                <w:sz w:val="20"/>
                <w:szCs w:val="20"/>
              </w:rPr>
            </w:pPr>
          </w:p>
          <w:p w14:paraId="394B23E4" w14:textId="77777777" w:rsidR="001A7BD2" w:rsidRPr="00335702" w:rsidRDefault="001A7BD2" w:rsidP="001A7BD2">
            <w:pPr>
              <w:spacing w:before="100" w:beforeAutospacing="1" w:after="100" w:afterAutospacing="1"/>
              <w:jc w:val="both"/>
              <w:rPr>
                <w:rFonts w:ascii="Times New Roman" w:hAnsi="Times New Roman"/>
                <w:b/>
                <w:bCs/>
                <w:sz w:val="20"/>
                <w:szCs w:val="20"/>
              </w:rPr>
            </w:pPr>
            <w:r w:rsidRPr="00335702">
              <w:rPr>
                <w:rFonts w:ascii="Times New Roman" w:hAnsi="Times New Roman"/>
                <w:b/>
                <w:bCs/>
                <w:sz w:val="20"/>
                <w:szCs w:val="20"/>
              </w:rPr>
              <w:t xml:space="preserve">Indicator 4.2.2: </w:t>
            </w:r>
            <w:r w:rsidRPr="00335702">
              <w:rPr>
                <w:rFonts w:ascii="Times New Roman" w:hAnsi="Times New Roman"/>
                <w:sz w:val="20"/>
                <w:szCs w:val="20"/>
              </w:rPr>
              <w:t>Proportion of district peace committees with 40:60 female to male quota.</w:t>
            </w:r>
          </w:p>
          <w:p w14:paraId="12ACA14C" w14:textId="77777777" w:rsidR="001A7BD2" w:rsidRPr="00335702" w:rsidRDefault="001A7BD2" w:rsidP="001A7BD2">
            <w:pPr>
              <w:spacing w:before="100" w:beforeAutospacing="1" w:after="100" w:afterAutospacing="1"/>
              <w:jc w:val="both"/>
              <w:rPr>
                <w:rFonts w:ascii="Times New Roman" w:hAnsi="Times New Roman"/>
                <w:iCs/>
                <w:color w:val="000000"/>
                <w:sz w:val="20"/>
                <w:szCs w:val="20"/>
              </w:rPr>
            </w:pPr>
            <w:r w:rsidRPr="00335702">
              <w:rPr>
                <w:rFonts w:ascii="Times New Roman" w:hAnsi="Times New Roman"/>
                <w:b/>
                <w:bCs/>
                <w:color w:val="000000"/>
                <w:sz w:val="20"/>
                <w:szCs w:val="20"/>
              </w:rPr>
              <w:t>Baseline</w:t>
            </w:r>
            <w:r w:rsidRPr="00335702">
              <w:rPr>
                <w:rFonts w:ascii="Times New Roman" w:hAnsi="Times New Roman"/>
                <w:iCs/>
                <w:color w:val="000000"/>
                <w:sz w:val="20"/>
                <w:szCs w:val="20"/>
              </w:rPr>
              <w:t xml:space="preserve">: 3 </w:t>
            </w:r>
            <w:r w:rsidRPr="00335702">
              <w:rPr>
                <w:rFonts w:ascii="Times New Roman" w:hAnsi="Times New Roman"/>
                <w:b/>
                <w:bCs/>
                <w:color w:val="000000"/>
                <w:sz w:val="20"/>
                <w:szCs w:val="20"/>
              </w:rPr>
              <w:t>Target</w:t>
            </w:r>
            <w:r w:rsidRPr="00335702">
              <w:rPr>
                <w:rFonts w:ascii="Times New Roman" w:hAnsi="Times New Roman"/>
                <w:iCs/>
                <w:color w:val="000000"/>
                <w:sz w:val="20"/>
                <w:szCs w:val="20"/>
              </w:rPr>
              <w:t>: 28</w:t>
            </w:r>
          </w:p>
          <w:p w14:paraId="03B48E52" w14:textId="77777777" w:rsidR="001A7BD2" w:rsidRPr="00335702" w:rsidRDefault="001A7BD2" w:rsidP="001A7BD2">
            <w:pPr>
              <w:spacing w:before="100" w:beforeAutospacing="1" w:after="100" w:afterAutospacing="1"/>
              <w:rPr>
                <w:rFonts w:ascii="Times New Roman" w:hAnsi="Times New Roman"/>
                <w:color w:val="000000"/>
                <w:sz w:val="20"/>
                <w:szCs w:val="20"/>
              </w:rPr>
            </w:pPr>
            <w:r w:rsidRPr="00335702">
              <w:rPr>
                <w:rFonts w:ascii="Times New Roman" w:hAnsi="Times New Roman"/>
                <w:b/>
                <w:bCs/>
                <w:color w:val="000000"/>
                <w:sz w:val="20"/>
                <w:szCs w:val="20"/>
              </w:rPr>
              <w:t>Data Source:</w:t>
            </w:r>
            <w:r w:rsidRPr="00335702">
              <w:rPr>
                <w:rFonts w:ascii="Times New Roman" w:hAnsi="Times New Roman"/>
                <w:color w:val="000000"/>
                <w:sz w:val="20"/>
                <w:szCs w:val="20"/>
              </w:rPr>
              <w:t xml:space="preserve"> OPC</w:t>
            </w:r>
          </w:p>
        </w:tc>
        <w:tc>
          <w:tcPr>
            <w:tcW w:w="2343" w:type="dxa"/>
          </w:tcPr>
          <w:p w14:paraId="40C48B9F"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color w:val="000000"/>
                <w:sz w:val="20"/>
                <w:szCs w:val="20"/>
              </w:rPr>
              <w:t>OPC, Malawi Electoral Commission, Public Affairs Committee; local councils; Multi-Party Liaison Committees, UN-Women, district peace committees; CSOs.</w:t>
            </w:r>
          </w:p>
        </w:tc>
        <w:tc>
          <w:tcPr>
            <w:tcW w:w="1265" w:type="dxa"/>
            <w:vAlign w:val="center"/>
          </w:tcPr>
          <w:p w14:paraId="4F2D3691"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r w:rsidRPr="00335702">
              <w:rPr>
                <w:rFonts w:ascii="Times New Roman" w:hAnsi="Times New Roman"/>
                <w:b/>
                <w:bCs/>
                <w:color w:val="000000"/>
                <w:sz w:val="20"/>
                <w:szCs w:val="20"/>
              </w:rPr>
              <w:t>Regular: $1,000,000</w:t>
            </w:r>
          </w:p>
          <w:p w14:paraId="1493306B" w14:textId="77777777" w:rsidR="001A7BD2" w:rsidRPr="00335702" w:rsidRDefault="001A7BD2" w:rsidP="001A7BD2">
            <w:pPr>
              <w:spacing w:before="100" w:beforeAutospacing="1" w:after="100" w:afterAutospacing="1"/>
              <w:rPr>
                <w:rFonts w:ascii="Times New Roman" w:hAnsi="Times New Roman"/>
                <w:b/>
                <w:bCs/>
                <w:color w:val="000000"/>
                <w:sz w:val="20"/>
                <w:szCs w:val="20"/>
              </w:rPr>
            </w:pPr>
          </w:p>
          <w:p w14:paraId="6DB5473E" w14:textId="77777777" w:rsidR="001A7BD2" w:rsidRPr="00335702" w:rsidRDefault="001A7BD2" w:rsidP="001A7BD2">
            <w:pPr>
              <w:spacing w:before="100" w:beforeAutospacing="1" w:after="100" w:afterAutospacing="1"/>
              <w:rPr>
                <w:rFonts w:ascii="Times New Roman" w:hAnsi="Times New Roman"/>
                <w:sz w:val="20"/>
                <w:szCs w:val="20"/>
              </w:rPr>
            </w:pPr>
            <w:r w:rsidRPr="00335702">
              <w:rPr>
                <w:rFonts w:ascii="Times New Roman" w:hAnsi="Times New Roman"/>
                <w:b/>
                <w:bCs/>
                <w:color w:val="000000"/>
                <w:sz w:val="20"/>
                <w:szCs w:val="20"/>
              </w:rPr>
              <w:t xml:space="preserve">Other: </w:t>
            </w:r>
            <w:r w:rsidRPr="00335702">
              <w:rPr>
                <w:rFonts w:ascii="Times New Roman" w:hAnsi="Times New Roman"/>
                <w:b/>
                <w:color w:val="000000"/>
                <w:sz w:val="20"/>
                <w:szCs w:val="20"/>
              </w:rPr>
              <w:t>$2,859,412</w:t>
            </w:r>
          </w:p>
        </w:tc>
      </w:tr>
    </w:tbl>
    <w:p w14:paraId="379844B7" w14:textId="77777777" w:rsidR="007808EB" w:rsidRPr="00335702" w:rsidRDefault="007808EB" w:rsidP="007808EB">
      <w:pPr>
        <w:pStyle w:val="Heading1"/>
        <w:spacing w:before="100" w:beforeAutospacing="1" w:after="100" w:afterAutospacing="1"/>
        <w:rPr>
          <w:rFonts w:ascii="Times New Roman" w:eastAsia="Calibri" w:hAnsi="Times New Roman"/>
          <w:sz w:val="20"/>
          <w:szCs w:val="20"/>
        </w:rPr>
        <w:sectPr w:rsidR="007808EB" w:rsidRPr="00335702" w:rsidSect="001A7BD2">
          <w:pgSz w:w="15840" w:h="12240" w:orient="landscape"/>
          <w:pgMar w:top="1440" w:right="1440" w:bottom="1440" w:left="1440" w:header="708" w:footer="708" w:gutter="0"/>
          <w:cols w:space="708"/>
          <w:docGrid w:linePitch="360"/>
        </w:sectPr>
      </w:pPr>
    </w:p>
    <w:p w14:paraId="6B74058C" w14:textId="77777777" w:rsidR="007808EB" w:rsidRPr="00CB6D80" w:rsidRDefault="007808EB" w:rsidP="007808EB">
      <w:pPr>
        <w:spacing w:before="100" w:beforeAutospacing="1" w:after="100" w:afterAutospacing="1" w:line="240" w:lineRule="auto"/>
        <w:jc w:val="both"/>
        <w:outlineLvl w:val="5"/>
        <w:rPr>
          <w:rFonts w:ascii="Times New Roman" w:hAnsi="Times New Roman" w:cs="Times New Roman"/>
          <w:b/>
          <w:lang w:val="en-ZW" w:eastAsia="ru-RU"/>
        </w:rPr>
      </w:pPr>
      <w:r w:rsidRPr="00CB6D80">
        <w:rPr>
          <w:rFonts w:ascii="Times New Roman" w:hAnsi="Times New Roman" w:cs="Times New Roman"/>
          <w:b/>
          <w:lang w:val="en-ZW" w:eastAsia="ru-RU"/>
        </w:rPr>
        <w:t>Annex 2 - Documents to be consulted</w:t>
      </w:r>
    </w:p>
    <w:p w14:paraId="5D05B402"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Malawi UNDAF 2019-2023</w:t>
      </w:r>
    </w:p>
    <w:p w14:paraId="3ED79D26"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Country Programme Document 2019-2023</w:t>
      </w:r>
    </w:p>
    <w:p w14:paraId="70B48E46"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UNDP Strategic Plan (2018-2021)</w:t>
      </w:r>
    </w:p>
    <w:p w14:paraId="59C2FA9B"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All programme/project documents (2019-2023)</w:t>
      </w:r>
    </w:p>
    <w:p w14:paraId="2814EACC"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National Human Development Report</w:t>
      </w:r>
    </w:p>
    <w:p w14:paraId="45804975"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Malawi Growth and Development Strategy (MGDS) III</w:t>
      </w:r>
    </w:p>
    <w:p w14:paraId="658EF3EE"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Malawi 2063</w:t>
      </w:r>
    </w:p>
    <w:p w14:paraId="3830D6EA"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Malawi Growth and Development Strategy (MGDS) III Review Report, March, 2020</w:t>
      </w:r>
    </w:p>
    <w:p w14:paraId="44B1A699"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 xml:space="preserve">SDGs progress reports – </w:t>
      </w:r>
    </w:p>
    <w:p w14:paraId="6E512262"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UNSDF Annual Reports, 2019, 2020</w:t>
      </w:r>
    </w:p>
    <w:p w14:paraId="39A0EB89"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Results Oriented Analysis Reportss (2019-2020)</w:t>
      </w:r>
    </w:p>
    <w:p w14:paraId="6D78A9D4"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Project evaluation reports: Access to Justice, MECS, NRIS, PSD, MBS, Adapt Plan, Climate Proofing and SDGs Hotspots Acceleration Initiative (SHAI).</w:t>
      </w:r>
    </w:p>
    <w:p w14:paraId="491819A9"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Malawi 2063 – 10 Year Implementation Plan.</w:t>
      </w:r>
    </w:p>
    <w:p w14:paraId="3C9D34BF"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UN Country Assessment Report, 2021</w:t>
      </w:r>
    </w:p>
    <w:p w14:paraId="75FD60BF" w14:textId="77777777" w:rsidR="007808EB" w:rsidRPr="00CB6D80" w:rsidRDefault="007808EB" w:rsidP="007808EB">
      <w:pPr>
        <w:pStyle w:val="ListParagraph"/>
        <w:numPr>
          <w:ilvl w:val="0"/>
          <w:numId w:val="19"/>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COVID 19 Pandemic Socio-Economic Impact Assessment Study.</w:t>
      </w:r>
    </w:p>
    <w:p w14:paraId="147565AB" w14:textId="77777777" w:rsidR="007808EB" w:rsidRPr="00CB6D80" w:rsidRDefault="007808EB" w:rsidP="007808EB">
      <w:pPr>
        <w:pStyle w:val="ListParagraph"/>
        <w:spacing w:before="100" w:beforeAutospacing="1" w:after="100" w:afterAutospacing="1" w:line="240" w:lineRule="auto"/>
        <w:jc w:val="both"/>
        <w:outlineLvl w:val="5"/>
        <w:rPr>
          <w:rFonts w:ascii="Times New Roman" w:hAnsi="Times New Roman" w:cs="Times New Roman"/>
          <w:lang w:val="en-ZW" w:eastAsia="ru-RU"/>
        </w:rPr>
      </w:pPr>
    </w:p>
    <w:p w14:paraId="56FDEE8D" w14:textId="2816F675" w:rsidR="007808EB" w:rsidRPr="00CB6D80" w:rsidRDefault="007808EB" w:rsidP="007808EB">
      <w:pPr>
        <w:spacing w:before="100" w:beforeAutospacing="1" w:after="100" w:afterAutospacing="1" w:line="240" w:lineRule="auto"/>
        <w:jc w:val="both"/>
        <w:outlineLvl w:val="5"/>
        <w:rPr>
          <w:rFonts w:ascii="Times New Roman" w:hAnsi="Times New Roman" w:cs="Times New Roman"/>
          <w:b/>
          <w:lang w:val="en-ZW" w:eastAsia="ru-RU"/>
        </w:rPr>
      </w:pPr>
      <w:r w:rsidRPr="00CB6D80">
        <w:rPr>
          <w:rFonts w:ascii="Times New Roman" w:hAnsi="Times New Roman" w:cs="Times New Roman"/>
          <w:b/>
          <w:lang w:val="en-ZW" w:eastAsia="ru-RU"/>
        </w:rPr>
        <w:t xml:space="preserve">Annex </w:t>
      </w:r>
      <w:r w:rsidR="00C3747F">
        <w:rPr>
          <w:rFonts w:ascii="Times New Roman" w:hAnsi="Times New Roman" w:cs="Times New Roman"/>
          <w:b/>
          <w:lang w:val="en-ZW" w:eastAsia="ru-RU"/>
        </w:rPr>
        <w:t>3</w:t>
      </w:r>
      <w:r w:rsidRPr="00CB6D80">
        <w:rPr>
          <w:rFonts w:ascii="Times New Roman" w:hAnsi="Times New Roman" w:cs="Times New Roman"/>
          <w:b/>
          <w:lang w:val="en-ZW" w:eastAsia="ru-RU"/>
        </w:rPr>
        <w:t xml:space="preserve"> – Preliminary List of Key stakeholders and partners</w:t>
      </w:r>
    </w:p>
    <w:p w14:paraId="66B57196" w14:textId="77777777" w:rsidR="007808EB" w:rsidRPr="00CB6D80" w:rsidRDefault="007808EB" w:rsidP="007808EB">
      <w:pPr>
        <w:spacing w:before="100" w:beforeAutospacing="1" w:after="100" w:afterAutospacing="1" w:line="240" w:lineRule="auto"/>
        <w:jc w:val="both"/>
        <w:outlineLvl w:val="5"/>
        <w:rPr>
          <w:rFonts w:ascii="Times New Roman" w:hAnsi="Times New Roman" w:cs="Times New Roman"/>
          <w:b/>
          <w:lang w:val="en-ZW" w:eastAsia="ru-RU"/>
        </w:rPr>
      </w:pPr>
      <w:r w:rsidRPr="00CB6D80">
        <w:rPr>
          <w:rFonts w:ascii="Times New Roman" w:hAnsi="Times New Roman" w:cs="Times New Roman"/>
          <w:b/>
          <w:lang w:val="en-ZW" w:eastAsia="ru-RU"/>
        </w:rPr>
        <w:t>Government</w:t>
      </w:r>
    </w:p>
    <w:p w14:paraId="59D36394"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to the Treasury, Ministry of Finance</w:t>
      </w:r>
    </w:p>
    <w:p w14:paraId="1DA007AC"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Economic Planning and Development, Department of Economic Planning and Development, Lilongwe</w:t>
      </w:r>
    </w:p>
    <w:p w14:paraId="1F532256"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Director,  Performance Enforcement, Performance Enforcement Department, Officer of the President and Cabinet, Lilongwe.</w:t>
      </w:r>
    </w:p>
    <w:p w14:paraId="5358F058"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Principal Secretary, Office of the Vice President, Lilongwe</w:t>
      </w:r>
    </w:p>
    <w:p w14:paraId="1609352A"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Principal Secretary (Administration), Office of the President and Cabinet, Lilongwe</w:t>
      </w:r>
    </w:p>
    <w:p w14:paraId="7A4953E3"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Human Resource Development and Management, OPC, Lilongwe</w:t>
      </w:r>
    </w:p>
    <w:p w14:paraId="6A241E2E"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Natural Resources, Energy and Mining, Lilongwe 3</w:t>
      </w:r>
    </w:p>
    <w:p w14:paraId="06A6A826"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Director, Environmental Affairs Department.</w:t>
      </w:r>
    </w:p>
    <w:p w14:paraId="428D80B0"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Disaster Management Affairs, Department of Disaster Management Affairs, OPC, Lilongwe</w:t>
      </w:r>
    </w:p>
    <w:p w14:paraId="498EB355"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Local Government and Rural Development, Lilongwe</w:t>
      </w:r>
    </w:p>
    <w:p w14:paraId="0282A417"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Gender, Children, the Elderly and People with Disabilities, Lilongwe 3</w:t>
      </w:r>
    </w:p>
    <w:p w14:paraId="68DDC285"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Industry, Trade and Tourism, Lilongwe 3</w:t>
      </w:r>
    </w:p>
    <w:p w14:paraId="1E7C630E"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Health, Lilongwe 3</w:t>
      </w:r>
    </w:p>
    <w:p w14:paraId="24F0C86F"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for Justice and Constitutional Affairs, Lilongwe 3</w:t>
      </w:r>
    </w:p>
    <w:p w14:paraId="44461494"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 xml:space="preserve">Executive Secretary, Malawi Human Rights Commission, Lilongwe </w:t>
      </w:r>
    </w:p>
    <w:p w14:paraId="4F904BD4"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Ombudsman, Office of the Ombudsman, Lilongwe</w:t>
      </w:r>
    </w:p>
    <w:p w14:paraId="6DB9EA97"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Clerk of Parliament, National Assembly, Lilongwe</w:t>
      </w:r>
    </w:p>
    <w:p w14:paraId="10699640"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Commissioner,  Malawi Electoral Commission (MEC), Blantyre</w:t>
      </w:r>
    </w:p>
    <w:p w14:paraId="3DB5BE3C"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Director-General, Malawi Bureau of Standards (MBS), Blantyre</w:t>
      </w:r>
    </w:p>
    <w:p w14:paraId="004FEB5A"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General Manager, Malawi Investment and Trade Centre, Lilongwe</w:t>
      </w:r>
    </w:p>
    <w:p w14:paraId="15049039"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Secretary, Malawi Local Government Association (MALGA), Lilongwe</w:t>
      </w:r>
    </w:p>
    <w:p w14:paraId="6B1D9AD8"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Chief Executive Officer, National Aids Commission (NAC), Lilongwe</w:t>
      </w:r>
    </w:p>
    <w:p w14:paraId="69CA4B41"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Commissioner, National Statistics Office, Zomba</w:t>
      </w:r>
    </w:p>
    <w:p w14:paraId="10B5F986"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Executive Secretary, Centre for Multi-Party Democracy, Lilongwe</w:t>
      </w:r>
    </w:p>
    <w:p w14:paraId="3032354A"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National Coordinator, Gender Coordination Network, Lilongwe</w:t>
      </w:r>
    </w:p>
    <w:p w14:paraId="113326C9"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Head of FCDO, British High Commission, Lilongwe 3</w:t>
      </w:r>
    </w:p>
    <w:p w14:paraId="7263AAC2"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Head of Programmes, RNE Embassy, Lilongwe 3</w:t>
      </w:r>
    </w:p>
    <w:p w14:paraId="749AC817"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Head of Development, Irish Embassy, Lilongwe 3</w:t>
      </w:r>
    </w:p>
    <w:p w14:paraId="70FAFEAF"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Head of Economic Section, EU Delegation to Malawi, Lilongwe 3</w:t>
      </w:r>
    </w:p>
    <w:p w14:paraId="680961CE"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Head of Programmes, Flanders Government, Lilongwe 3</w:t>
      </w:r>
    </w:p>
    <w:p w14:paraId="4AF9FAC5"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Country Manager, World Bank, Lilongwe 3</w:t>
      </w:r>
    </w:p>
    <w:p w14:paraId="731636B9" w14:textId="77777777" w:rsidR="007808EB" w:rsidRPr="00CB6D80" w:rsidRDefault="007808EB" w:rsidP="007808EB">
      <w:pPr>
        <w:pStyle w:val="ListParagraph"/>
        <w:numPr>
          <w:ilvl w:val="0"/>
          <w:numId w:val="22"/>
        </w:numPr>
        <w:spacing w:before="100" w:beforeAutospacing="1" w:after="100" w:afterAutospacing="1" w:line="240" w:lineRule="auto"/>
        <w:jc w:val="both"/>
        <w:outlineLvl w:val="5"/>
        <w:rPr>
          <w:rFonts w:ascii="Times New Roman" w:hAnsi="Times New Roman" w:cs="Times New Roman"/>
          <w:lang w:val="en-ZW" w:eastAsia="ru-RU"/>
        </w:rPr>
      </w:pPr>
      <w:r w:rsidRPr="00CB6D80">
        <w:rPr>
          <w:rFonts w:ascii="Times New Roman" w:hAnsi="Times New Roman" w:cs="Times New Roman"/>
          <w:lang w:val="en-ZW" w:eastAsia="ru-RU"/>
        </w:rPr>
        <w:t>UNCT/Programme Management Team members.</w:t>
      </w:r>
    </w:p>
    <w:p w14:paraId="742D0400" w14:textId="78260222" w:rsidR="007808EB" w:rsidRPr="00CB6D80" w:rsidRDefault="007808EB" w:rsidP="007808EB">
      <w:pPr>
        <w:spacing w:before="100" w:beforeAutospacing="1" w:after="100" w:afterAutospacing="1" w:line="240" w:lineRule="auto"/>
        <w:jc w:val="both"/>
        <w:outlineLvl w:val="5"/>
        <w:rPr>
          <w:rFonts w:ascii="Times New Roman" w:hAnsi="Times New Roman" w:cs="Times New Roman"/>
          <w:b/>
          <w:lang w:val="en-ZW" w:eastAsia="ru-RU"/>
        </w:rPr>
      </w:pPr>
      <w:r w:rsidRPr="00CB6D80">
        <w:rPr>
          <w:rFonts w:ascii="Times New Roman" w:hAnsi="Times New Roman" w:cs="Times New Roman"/>
          <w:b/>
          <w:lang w:val="en-ZW" w:eastAsia="ru-RU"/>
        </w:rPr>
        <w:t xml:space="preserve">Annex </w:t>
      </w:r>
      <w:r w:rsidR="00C3747F">
        <w:rPr>
          <w:rFonts w:ascii="Times New Roman" w:hAnsi="Times New Roman" w:cs="Times New Roman"/>
          <w:b/>
          <w:lang w:val="en-ZW" w:eastAsia="ru-RU"/>
        </w:rPr>
        <w:t>4</w:t>
      </w:r>
      <w:r w:rsidRPr="00CB6D80">
        <w:rPr>
          <w:rFonts w:ascii="Times New Roman" w:hAnsi="Times New Roman" w:cs="Times New Roman"/>
          <w:b/>
          <w:lang w:val="en-ZW" w:eastAsia="ru-RU"/>
        </w:rPr>
        <w:t xml:space="preserve"> - Evaluation Matrix</w:t>
      </w:r>
    </w:p>
    <w:tbl>
      <w:tblPr>
        <w:tblStyle w:val="TableGrid1"/>
        <w:tblW w:w="0" w:type="auto"/>
        <w:tblLook w:val="04A0" w:firstRow="1" w:lastRow="0" w:firstColumn="1" w:lastColumn="0" w:noHBand="0" w:noVBand="1"/>
      </w:tblPr>
      <w:tblGrid>
        <w:gridCol w:w="1326"/>
        <w:gridCol w:w="1294"/>
        <w:gridCol w:w="1294"/>
        <w:gridCol w:w="1068"/>
        <w:gridCol w:w="1818"/>
        <w:gridCol w:w="1421"/>
        <w:gridCol w:w="1129"/>
      </w:tblGrid>
      <w:tr w:rsidR="007808EB" w:rsidRPr="00F516B9" w14:paraId="4B33CAFC" w14:textId="77777777" w:rsidTr="000A3CEE">
        <w:tc>
          <w:tcPr>
            <w:tcW w:w="9350" w:type="dxa"/>
            <w:gridSpan w:val="7"/>
          </w:tcPr>
          <w:p w14:paraId="7DFF6E34" w14:textId="77777777" w:rsidR="007808EB" w:rsidRPr="00CB6D80" w:rsidRDefault="007808EB" w:rsidP="000A3CEE">
            <w:pPr>
              <w:spacing w:before="100" w:beforeAutospacing="1" w:after="100" w:afterAutospacing="1"/>
              <w:rPr>
                <w:rFonts w:ascii="Times New Roman" w:hAnsi="Times New Roman" w:cs="Times New Roman"/>
                <w:b/>
                <w:lang w:val="en-ZW" w:eastAsia="ru-RU"/>
              </w:rPr>
            </w:pPr>
            <w:r w:rsidRPr="00CB6D80">
              <w:rPr>
                <w:rFonts w:ascii="Times New Roman" w:hAnsi="Times New Roman" w:cs="Times New Roman"/>
                <w:b/>
                <w:lang w:val="en-ZW" w:eastAsia="ru-RU"/>
              </w:rPr>
              <w:t>EVALUATION MATRIX</w:t>
            </w:r>
          </w:p>
        </w:tc>
      </w:tr>
      <w:tr w:rsidR="007808EB" w:rsidRPr="00F516B9" w14:paraId="4213062B" w14:textId="77777777" w:rsidTr="000A3CEE">
        <w:tc>
          <w:tcPr>
            <w:tcW w:w="1326" w:type="dxa"/>
            <w:shd w:val="clear" w:color="auto" w:fill="C6D9F1"/>
          </w:tcPr>
          <w:p w14:paraId="1CFEF666"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Relevant</w:t>
            </w:r>
          </w:p>
          <w:p w14:paraId="7C3F5A27"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evaluation</w:t>
            </w:r>
          </w:p>
          <w:p w14:paraId="257285BA" w14:textId="77777777" w:rsidR="007808EB" w:rsidRPr="00CB6D80" w:rsidRDefault="007808EB" w:rsidP="000A3CEE">
            <w:pPr>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criteria</w:t>
            </w:r>
          </w:p>
        </w:tc>
        <w:tc>
          <w:tcPr>
            <w:tcW w:w="1294" w:type="dxa"/>
            <w:shd w:val="clear" w:color="auto" w:fill="C6D9F1"/>
          </w:tcPr>
          <w:p w14:paraId="3580F847"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Key</w:t>
            </w:r>
          </w:p>
          <w:p w14:paraId="2FC18F1D"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Questions</w:t>
            </w:r>
          </w:p>
          <w:p w14:paraId="2F9C24C7"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p>
          <w:p w14:paraId="143BA696"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p>
        </w:tc>
        <w:tc>
          <w:tcPr>
            <w:tcW w:w="1294" w:type="dxa"/>
            <w:shd w:val="clear" w:color="auto" w:fill="C6D9F1"/>
          </w:tcPr>
          <w:p w14:paraId="4F72761F"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Specific</w:t>
            </w:r>
          </w:p>
          <w:p w14:paraId="752A74DA"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Sub-</w:t>
            </w:r>
          </w:p>
          <w:p w14:paraId="78D1B71E" w14:textId="77777777" w:rsidR="007808EB" w:rsidRPr="00CB6D80" w:rsidRDefault="007808EB" w:rsidP="000A3CEE">
            <w:pPr>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Questions</w:t>
            </w:r>
          </w:p>
        </w:tc>
        <w:tc>
          <w:tcPr>
            <w:tcW w:w="1068" w:type="dxa"/>
            <w:shd w:val="clear" w:color="auto" w:fill="C6D9F1"/>
          </w:tcPr>
          <w:p w14:paraId="206AF7B5"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Data</w:t>
            </w:r>
          </w:p>
          <w:p w14:paraId="42AD8D55"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Sources</w:t>
            </w:r>
          </w:p>
          <w:p w14:paraId="1713C0A9" w14:textId="77777777" w:rsidR="007808EB" w:rsidRPr="00CB6D80" w:rsidRDefault="007808EB" w:rsidP="000A3CEE">
            <w:pPr>
              <w:spacing w:before="100" w:beforeAutospacing="1" w:after="100" w:afterAutospacing="1"/>
              <w:jc w:val="center"/>
              <w:rPr>
                <w:rFonts w:ascii="Times New Roman" w:hAnsi="Times New Roman" w:cs="Times New Roman"/>
                <w:b/>
                <w:lang w:val="en-ZW" w:eastAsia="ru-RU"/>
              </w:rPr>
            </w:pPr>
          </w:p>
        </w:tc>
        <w:tc>
          <w:tcPr>
            <w:tcW w:w="1818" w:type="dxa"/>
            <w:shd w:val="clear" w:color="auto" w:fill="C6D9F1"/>
          </w:tcPr>
          <w:p w14:paraId="6BD2D182"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Data collection</w:t>
            </w:r>
          </w:p>
          <w:p w14:paraId="11BC5853" w14:textId="77777777" w:rsidR="007808EB" w:rsidRPr="00CB6D80" w:rsidRDefault="007808EB" w:rsidP="000A3CEE">
            <w:pPr>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Methods/Tools</w:t>
            </w:r>
          </w:p>
        </w:tc>
        <w:tc>
          <w:tcPr>
            <w:tcW w:w="1421" w:type="dxa"/>
            <w:shd w:val="clear" w:color="auto" w:fill="C6D9F1"/>
          </w:tcPr>
          <w:p w14:paraId="01951171"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Indicators/</w:t>
            </w:r>
          </w:p>
          <w:p w14:paraId="4ECAD2BF" w14:textId="77777777" w:rsidR="007808EB" w:rsidRPr="00CB6D80" w:rsidRDefault="007808EB" w:rsidP="000A3CEE">
            <w:pPr>
              <w:autoSpaceDE w:val="0"/>
              <w:autoSpaceDN w:val="0"/>
              <w:adjustRightInd w:val="0"/>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Success</w:t>
            </w:r>
          </w:p>
          <w:p w14:paraId="5603DA27" w14:textId="77777777" w:rsidR="007808EB" w:rsidRPr="00CB6D80" w:rsidRDefault="007808EB" w:rsidP="000A3CEE">
            <w:pPr>
              <w:spacing w:before="100" w:beforeAutospacing="1" w:after="100" w:afterAutospacing="1"/>
              <w:jc w:val="center"/>
              <w:rPr>
                <w:rFonts w:ascii="Times New Roman" w:hAnsi="Times New Roman" w:cs="Times New Roman"/>
                <w:b/>
                <w:lang w:val="en-ZW" w:eastAsia="ru-RU"/>
              </w:rPr>
            </w:pPr>
            <w:r w:rsidRPr="00CB6D80">
              <w:rPr>
                <w:rFonts w:ascii="Times New Roman" w:hAnsi="Times New Roman" w:cs="Times New Roman"/>
                <w:b/>
                <w:lang w:val="en-ZW" w:eastAsia="ru-RU"/>
              </w:rPr>
              <w:t>Standard</w:t>
            </w:r>
          </w:p>
        </w:tc>
        <w:tc>
          <w:tcPr>
            <w:tcW w:w="1129" w:type="dxa"/>
            <w:shd w:val="clear" w:color="auto" w:fill="C6D9F1"/>
          </w:tcPr>
          <w:p w14:paraId="6CD4FDA1" w14:textId="77777777" w:rsidR="007808EB" w:rsidRPr="00CB6D80" w:rsidRDefault="007808EB" w:rsidP="000A3CEE">
            <w:pPr>
              <w:autoSpaceDE w:val="0"/>
              <w:autoSpaceDN w:val="0"/>
              <w:adjustRightInd w:val="0"/>
              <w:spacing w:before="100" w:beforeAutospacing="1" w:after="100" w:afterAutospacing="1"/>
              <w:rPr>
                <w:rFonts w:ascii="Times New Roman" w:hAnsi="Times New Roman" w:cs="Times New Roman"/>
                <w:b/>
                <w:lang w:val="en-ZW" w:eastAsia="ru-RU"/>
              </w:rPr>
            </w:pPr>
            <w:r w:rsidRPr="00CB6D80">
              <w:rPr>
                <w:rFonts w:ascii="Times New Roman" w:hAnsi="Times New Roman" w:cs="Times New Roman"/>
                <w:b/>
                <w:lang w:val="en-ZW" w:eastAsia="ru-RU"/>
              </w:rPr>
              <w:t>Methods for Data Analysis</w:t>
            </w:r>
          </w:p>
        </w:tc>
      </w:tr>
      <w:tr w:rsidR="007808EB" w:rsidRPr="00F516B9" w14:paraId="71788A0E" w14:textId="77777777" w:rsidTr="000A3CEE">
        <w:tc>
          <w:tcPr>
            <w:tcW w:w="1326" w:type="dxa"/>
          </w:tcPr>
          <w:p w14:paraId="6EE0830C"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361064FC"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2DFEFAAE"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068" w:type="dxa"/>
          </w:tcPr>
          <w:p w14:paraId="29E3A49A"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818" w:type="dxa"/>
          </w:tcPr>
          <w:p w14:paraId="1D2E750D"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421" w:type="dxa"/>
          </w:tcPr>
          <w:p w14:paraId="1A4D23AE"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129" w:type="dxa"/>
          </w:tcPr>
          <w:p w14:paraId="1C5E8748"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r>
      <w:tr w:rsidR="007808EB" w:rsidRPr="00F516B9" w14:paraId="666D309E" w14:textId="77777777" w:rsidTr="000A3CEE">
        <w:tc>
          <w:tcPr>
            <w:tcW w:w="1326" w:type="dxa"/>
          </w:tcPr>
          <w:p w14:paraId="38551E11"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346F4A11"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2C794A7D"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068" w:type="dxa"/>
          </w:tcPr>
          <w:p w14:paraId="442B6EDB"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818" w:type="dxa"/>
          </w:tcPr>
          <w:p w14:paraId="5148B268"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421" w:type="dxa"/>
          </w:tcPr>
          <w:p w14:paraId="6CF11A5E"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129" w:type="dxa"/>
          </w:tcPr>
          <w:p w14:paraId="788D7923"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r>
      <w:tr w:rsidR="007808EB" w:rsidRPr="00F516B9" w14:paraId="1957A0C8" w14:textId="77777777" w:rsidTr="000A3CEE">
        <w:tc>
          <w:tcPr>
            <w:tcW w:w="1326" w:type="dxa"/>
          </w:tcPr>
          <w:p w14:paraId="05EF15D0"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40247C11"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294" w:type="dxa"/>
          </w:tcPr>
          <w:p w14:paraId="52B87828"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068" w:type="dxa"/>
          </w:tcPr>
          <w:p w14:paraId="09E68A86"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818" w:type="dxa"/>
          </w:tcPr>
          <w:p w14:paraId="6C5CF10C"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421" w:type="dxa"/>
          </w:tcPr>
          <w:p w14:paraId="4498464E"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c>
          <w:tcPr>
            <w:tcW w:w="1129" w:type="dxa"/>
          </w:tcPr>
          <w:p w14:paraId="20CDFC60" w14:textId="77777777" w:rsidR="007808EB" w:rsidRPr="00CB6D80" w:rsidRDefault="007808EB" w:rsidP="000A3CEE">
            <w:pPr>
              <w:spacing w:before="100" w:beforeAutospacing="1" w:after="100" w:afterAutospacing="1"/>
              <w:rPr>
                <w:rFonts w:ascii="Times New Roman" w:hAnsi="Times New Roman" w:cs="Times New Roman"/>
                <w:lang w:val="en-ZW" w:eastAsia="ru-RU"/>
              </w:rPr>
            </w:pPr>
          </w:p>
        </w:tc>
      </w:tr>
    </w:tbl>
    <w:p w14:paraId="51BFCB15" w14:textId="77777777" w:rsidR="007808EB" w:rsidRPr="00CB6D80" w:rsidRDefault="007808EB" w:rsidP="007808EB">
      <w:pPr>
        <w:spacing w:before="100" w:beforeAutospacing="1" w:after="100" w:afterAutospacing="1" w:line="240" w:lineRule="auto"/>
        <w:rPr>
          <w:rFonts w:ascii="Times New Roman" w:hAnsi="Times New Roman" w:cs="Times New Roman"/>
        </w:rPr>
      </w:pPr>
    </w:p>
    <w:p w14:paraId="45DEC7D5" w14:textId="77777777" w:rsidR="007808EB" w:rsidRPr="00CB6D80" w:rsidRDefault="007808EB" w:rsidP="007808EB">
      <w:pPr>
        <w:spacing w:before="100" w:beforeAutospacing="1" w:after="100" w:afterAutospacing="1" w:line="240" w:lineRule="auto"/>
        <w:jc w:val="both"/>
        <w:rPr>
          <w:rFonts w:ascii="Times New Roman" w:hAnsi="Times New Roman" w:cs="Times New Roman"/>
        </w:rPr>
      </w:pPr>
    </w:p>
    <w:p w14:paraId="0EA5231A" w14:textId="77777777" w:rsidR="007808EB" w:rsidRPr="00CB6D80" w:rsidRDefault="007808EB" w:rsidP="007808EB">
      <w:pPr>
        <w:spacing w:before="100" w:beforeAutospacing="1" w:after="100" w:afterAutospacing="1" w:line="240" w:lineRule="auto"/>
        <w:jc w:val="both"/>
        <w:rPr>
          <w:rFonts w:ascii="Times New Roman" w:hAnsi="Times New Roman" w:cs="Times New Roman"/>
        </w:rPr>
      </w:pPr>
    </w:p>
    <w:p w14:paraId="7040656C" w14:textId="77777777" w:rsidR="007808EB" w:rsidRPr="006F3C5E" w:rsidRDefault="007808EB" w:rsidP="007808EB">
      <w:pPr>
        <w:spacing w:before="100" w:beforeAutospacing="1" w:after="100" w:afterAutospacing="1" w:line="240" w:lineRule="auto"/>
        <w:jc w:val="both"/>
        <w:rPr>
          <w:rFonts w:ascii="Times New Roman" w:hAnsi="Times New Roman"/>
        </w:rPr>
      </w:pPr>
    </w:p>
    <w:p w14:paraId="5F89C1B7" w14:textId="0A7B4F27" w:rsidR="001A7BD2" w:rsidRPr="001A7BD2" w:rsidRDefault="001A7BD2" w:rsidP="00B5597A">
      <w:pPr>
        <w:pStyle w:val="Heading1"/>
        <w:spacing w:before="100" w:beforeAutospacing="1" w:after="100" w:afterAutospacing="1"/>
        <w:rPr>
          <w:rFonts w:ascii="Times New Roman" w:eastAsia="Calibri" w:hAnsi="Times New Roman"/>
          <w:sz w:val="22"/>
          <w:szCs w:val="22"/>
        </w:rPr>
      </w:pPr>
    </w:p>
    <w:p w14:paraId="42D98304" w14:textId="77777777" w:rsidR="001A7BD2" w:rsidRPr="006F3C5E" w:rsidRDefault="001A7BD2" w:rsidP="001A7BD2">
      <w:pPr>
        <w:spacing w:before="100" w:beforeAutospacing="1" w:after="100" w:afterAutospacing="1" w:line="240" w:lineRule="auto"/>
        <w:jc w:val="both"/>
        <w:rPr>
          <w:rFonts w:ascii="Times New Roman" w:hAnsi="Times New Roman"/>
        </w:rPr>
      </w:pPr>
    </w:p>
    <w:p w14:paraId="2D83FBC2" w14:textId="77777777" w:rsidR="001A7BD2" w:rsidRPr="006F3C5E" w:rsidRDefault="001A7BD2" w:rsidP="001A7BD2">
      <w:pPr>
        <w:spacing w:before="100" w:beforeAutospacing="1" w:after="100" w:afterAutospacing="1" w:line="240" w:lineRule="auto"/>
        <w:jc w:val="both"/>
        <w:rPr>
          <w:rFonts w:ascii="Times New Roman" w:hAnsi="Times New Roman"/>
        </w:rPr>
      </w:pPr>
    </w:p>
    <w:p w14:paraId="3B5E0A02" w14:textId="77777777" w:rsidR="001A7BD2" w:rsidRPr="006F3C5E" w:rsidRDefault="001A7BD2" w:rsidP="001A7BD2">
      <w:pPr>
        <w:spacing w:before="100" w:beforeAutospacing="1" w:after="100" w:afterAutospacing="1" w:line="240" w:lineRule="auto"/>
        <w:jc w:val="both"/>
        <w:rPr>
          <w:rFonts w:ascii="Times New Roman" w:hAnsi="Times New Roman"/>
        </w:rPr>
      </w:pPr>
    </w:p>
    <w:p w14:paraId="7B6ED0CF" w14:textId="654D89A3" w:rsidR="0035693C" w:rsidRPr="00F76785" w:rsidRDefault="0035693C" w:rsidP="00B5597A">
      <w:pPr>
        <w:rPr>
          <w:lang w:val="en-ZA" w:eastAsia="ja-JP"/>
        </w:rPr>
      </w:pPr>
    </w:p>
    <w:sectPr w:rsidR="0035693C" w:rsidRPr="00F76785" w:rsidSect="00B5597A">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697E" w14:textId="77777777" w:rsidR="00D76B71" w:rsidRDefault="00D76B71" w:rsidP="000864E4">
      <w:pPr>
        <w:spacing w:after="0" w:line="240" w:lineRule="auto"/>
      </w:pPr>
      <w:r>
        <w:separator/>
      </w:r>
    </w:p>
  </w:endnote>
  <w:endnote w:type="continuationSeparator" w:id="0">
    <w:p w14:paraId="390D0277" w14:textId="77777777" w:rsidR="00D76B71" w:rsidRDefault="00D76B71" w:rsidP="0008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837618703"/>
      <w:docPartObj>
        <w:docPartGallery w:val="Page Numbers (Bottom of Page)"/>
        <w:docPartUnique/>
      </w:docPartObj>
    </w:sdtPr>
    <w:sdtEndPr/>
    <w:sdtContent>
      <w:p w14:paraId="34FD007F" w14:textId="77777777" w:rsidR="009D55D0" w:rsidRPr="0051322E" w:rsidRDefault="009D55D0">
        <w:pPr>
          <w:pStyle w:val="Footer"/>
          <w:jc w:val="right"/>
          <w:rPr>
            <w:rFonts w:ascii="Times New Roman" w:hAnsi="Times New Roman"/>
            <w:sz w:val="18"/>
            <w:szCs w:val="18"/>
          </w:rPr>
        </w:pPr>
        <w:r w:rsidRPr="0051322E">
          <w:rPr>
            <w:rFonts w:ascii="Times New Roman" w:hAnsi="Times New Roman"/>
            <w:sz w:val="18"/>
            <w:szCs w:val="18"/>
          </w:rPr>
          <w:t xml:space="preserve">Page | </w:t>
        </w:r>
        <w:r w:rsidRPr="0051322E">
          <w:rPr>
            <w:rFonts w:ascii="Times New Roman" w:hAnsi="Times New Roman"/>
            <w:sz w:val="18"/>
            <w:szCs w:val="18"/>
          </w:rPr>
          <w:fldChar w:fldCharType="begin"/>
        </w:r>
        <w:r w:rsidRPr="0051322E">
          <w:rPr>
            <w:rFonts w:ascii="Times New Roman" w:hAnsi="Times New Roman"/>
            <w:sz w:val="18"/>
            <w:szCs w:val="18"/>
          </w:rPr>
          <w:instrText xml:space="preserve"> PAGE   \* MERGEFORMAT </w:instrText>
        </w:r>
        <w:r w:rsidRPr="0051322E">
          <w:rPr>
            <w:rFonts w:ascii="Times New Roman" w:hAnsi="Times New Roman"/>
            <w:sz w:val="18"/>
            <w:szCs w:val="18"/>
          </w:rPr>
          <w:fldChar w:fldCharType="separate"/>
        </w:r>
        <w:r>
          <w:rPr>
            <w:rFonts w:ascii="Times New Roman" w:hAnsi="Times New Roman"/>
            <w:noProof/>
            <w:sz w:val="18"/>
            <w:szCs w:val="18"/>
          </w:rPr>
          <w:t>15</w:t>
        </w:r>
        <w:r w:rsidRPr="0051322E">
          <w:rPr>
            <w:rFonts w:ascii="Times New Roman" w:hAnsi="Times New Roman"/>
            <w:noProof/>
            <w:sz w:val="18"/>
            <w:szCs w:val="18"/>
          </w:rPr>
          <w:fldChar w:fldCharType="end"/>
        </w:r>
        <w:r w:rsidRPr="0051322E">
          <w:rPr>
            <w:rFonts w:ascii="Times New Roman" w:hAnsi="Times New Roman"/>
            <w:sz w:val="18"/>
            <w:szCs w:val="18"/>
          </w:rPr>
          <w:t xml:space="preserve"> </w:t>
        </w:r>
      </w:p>
    </w:sdtContent>
  </w:sdt>
  <w:p w14:paraId="6908CA99" w14:textId="77777777" w:rsidR="009D55D0" w:rsidRDefault="009D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C74C" w14:textId="77777777" w:rsidR="00D76B71" w:rsidRDefault="00D76B71" w:rsidP="000864E4">
      <w:pPr>
        <w:spacing w:after="0" w:line="240" w:lineRule="auto"/>
      </w:pPr>
      <w:r>
        <w:separator/>
      </w:r>
    </w:p>
  </w:footnote>
  <w:footnote w:type="continuationSeparator" w:id="0">
    <w:p w14:paraId="6804AB3F" w14:textId="77777777" w:rsidR="00D76B71" w:rsidRDefault="00D76B71" w:rsidP="000864E4">
      <w:pPr>
        <w:spacing w:after="0" w:line="240" w:lineRule="auto"/>
      </w:pPr>
      <w:r>
        <w:continuationSeparator/>
      </w:r>
    </w:p>
  </w:footnote>
  <w:footnote w:id="1">
    <w:p w14:paraId="13C9F4A1" w14:textId="77777777" w:rsidR="009D55D0" w:rsidRPr="00C800B7" w:rsidRDefault="009D55D0" w:rsidP="00554F23">
      <w:pPr>
        <w:pStyle w:val="FootnoteText"/>
        <w:rPr>
          <w:rFonts w:ascii="Times New Roman" w:hAnsi="Times New Roman"/>
          <w:sz w:val="16"/>
          <w:szCs w:val="16"/>
        </w:rPr>
      </w:pPr>
      <w:r w:rsidRPr="00C800B7">
        <w:rPr>
          <w:rStyle w:val="FootnoteReference"/>
          <w:rFonts w:ascii="Times New Roman" w:hAnsi="Times New Roman"/>
          <w:sz w:val="16"/>
          <w:szCs w:val="16"/>
        </w:rPr>
        <w:footnoteRef/>
      </w:r>
      <w:r w:rsidRPr="00C800B7">
        <w:rPr>
          <w:rFonts w:ascii="Times New Roman" w:hAnsi="Times New Roman"/>
          <w:sz w:val="16"/>
          <w:szCs w:val="16"/>
        </w:rPr>
        <w:t xml:space="preserve"> The World Bank Group (2021). GDP per capita (current US$)-Malawi. </w:t>
      </w:r>
      <w:hyperlink r:id="rId1" w:history="1">
        <w:r w:rsidRPr="00C800B7">
          <w:rPr>
            <w:rStyle w:val="Hyperlink"/>
            <w:rFonts w:ascii="Times New Roman" w:hAnsi="Times New Roman"/>
            <w:sz w:val="16"/>
            <w:szCs w:val="16"/>
          </w:rPr>
          <w:t>https://data.worldbank.org/indicator/NY.GDP.PCAP.CD?end=2019&amp;locations=MW&amp;start=1960</w:t>
        </w:r>
      </w:hyperlink>
      <w:r w:rsidRPr="00C800B7">
        <w:rPr>
          <w:rFonts w:ascii="Times New Roman" w:hAnsi="Times New Roman"/>
          <w:sz w:val="16"/>
          <w:szCs w:val="16"/>
        </w:rPr>
        <w:t xml:space="preserve"> </w:t>
      </w:r>
    </w:p>
  </w:footnote>
  <w:footnote w:id="2">
    <w:p w14:paraId="45BA8D05" w14:textId="77777777" w:rsidR="009D55D0" w:rsidRPr="00C800B7" w:rsidRDefault="009D55D0" w:rsidP="00554F23">
      <w:pPr>
        <w:pStyle w:val="FootnoteText"/>
        <w:rPr>
          <w:rFonts w:ascii="Times New Roman" w:hAnsi="Times New Roman"/>
          <w:sz w:val="16"/>
          <w:szCs w:val="16"/>
        </w:rPr>
      </w:pPr>
      <w:r w:rsidRPr="00C800B7">
        <w:rPr>
          <w:rStyle w:val="FootnoteReference"/>
          <w:rFonts w:ascii="Times New Roman" w:hAnsi="Times New Roman"/>
          <w:sz w:val="16"/>
          <w:szCs w:val="16"/>
        </w:rPr>
        <w:footnoteRef/>
      </w:r>
      <w:r w:rsidRPr="00C800B7">
        <w:rPr>
          <w:rFonts w:ascii="Times New Roman" w:hAnsi="Times New Roman"/>
          <w:sz w:val="16"/>
          <w:szCs w:val="16"/>
        </w:rPr>
        <w:t xml:space="preserve"> The World Bank Group (2021). Gini index (World Bank estimate)-Malawi. </w:t>
      </w:r>
      <w:hyperlink r:id="rId2" w:history="1">
        <w:r w:rsidRPr="00C800B7">
          <w:rPr>
            <w:rStyle w:val="Hyperlink"/>
            <w:rFonts w:ascii="Times New Roman" w:hAnsi="Times New Roman"/>
            <w:sz w:val="16"/>
            <w:szCs w:val="16"/>
          </w:rPr>
          <w:t>https://data.worldbank.org/indicator/SI.POV.GINI?locations=MW</w:t>
        </w:r>
      </w:hyperlink>
      <w:r w:rsidRPr="00C800B7">
        <w:rPr>
          <w:rFonts w:ascii="Times New Roman" w:hAnsi="Times New Roman"/>
          <w:sz w:val="16"/>
          <w:szCs w:val="16"/>
        </w:rPr>
        <w:t xml:space="preserve"> </w:t>
      </w:r>
    </w:p>
  </w:footnote>
  <w:footnote w:id="3">
    <w:p w14:paraId="20C0CC10" w14:textId="77777777" w:rsidR="009D55D0" w:rsidRPr="00C800B7" w:rsidRDefault="009D55D0" w:rsidP="00554F23">
      <w:pPr>
        <w:pStyle w:val="FootnoteText"/>
        <w:rPr>
          <w:rFonts w:ascii="Times New Roman" w:hAnsi="Times New Roman"/>
          <w:sz w:val="16"/>
          <w:szCs w:val="16"/>
        </w:rPr>
      </w:pPr>
      <w:r w:rsidRPr="00C800B7">
        <w:rPr>
          <w:rStyle w:val="FootnoteReference"/>
          <w:rFonts w:ascii="Times New Roman" w:hAnsi="Times New Roman"/>
          <w:sz w:val="16"/>
          <w:szCs w:val="16"/>
        </w:rPr>
        <w:footnoteRef/>
      </w:r>
      <w:r w:rsidRPr="00C800B7">
        <w:rPr>
          <w:rFonts w:ascii="Times New Roman" w:hAnsi="Times New Roman"/>
          <w:sz w:val="16"/>
          <w:szCs w:val="16"/>
        </w:rPr>
        <w:t xml:space="preserve"> The World Bank Group 2018</w:t>
      </w:r>
    </w:p>
  </w:footnote>
  <w:footnote w:id="4">
    <w:p w14:paraId="1F615416" w14:textId="77777777" w:rsidR="009D55D0" w:rsidRPr="00C800B7" w:rsidRDefault="009D55D0" w:rsidP="00554F23">
      <w:pPr>
        <w:pStyle w:val="FootnoteText"/>
        <w:rPr>
          <w:rFonts w:ascii="Times New Roman" w:hAnsi="Times New Roman"/>
          <w:sz w:val="16"/>
          <w:szCs w:val="16"/>
        </w:rPr>
      </w:pPr>
      <w:r w:rsidRPr="00C800B7">
        <w:rPr>
          <w:rStyle w:val="FootnoteReference"/>
          <w:rFonts w:ascii="Times New Roman" w:hAnsi="Times New Roman"/>
          <w:sz w:val="16"/>
          <w:szCs w:val="16"/>
        </w:rPr>
        <w:footnoteRef/>
      </w:r>
      <w:r w:rsidRPr="00C800B7">
        <w:rPr>
          <w:rFonts w:ascii="Times New Roman" w:hAnsi="Times New Roman"/>
          <w:sz w:val="16"/>
          <w:szCs w:val="16"/>
        </w:rPr>
        <w:t xml:space="preserve"> UNDP Human Development Report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259"/>
    <w:multiLevelType w:val="hybridMultilevel"/>
    <w:tmpl w:val="3104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A48FE"/>
    <w:multiLevelType w:val="hybridMultilevel"/>
    <w:tmpl w:val="DF1C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3C7308"/>
    <w:multiLevelType w:val="hybridMultilevel"/>
    <w:tmpl w:val="7D046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24E32"/>
    <w:multiLevelType w:val="hybridMultilevel"/>
    <w:tmpl w:val="CA6C0F8C"/>
    <w:lvl w:ilvl="0" w:tplc="04090011">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80605"/>
    <w:multiLevelType w:val="hybridMultilevel"/>
    <w:tmpl w:val="3984C73C"/>
    <w:lvl w:ilvl="0" w:tplc="04090001">
      <w:start w:val="1"/>
      <w:numFmt w:val="bullet"/>
      <w:lvlText w:val=""/>
      <w:lvlJc w:val="left"/>
      <w:pPr>
        <w:ind w:left="1440" w:hanging="720"/>
      </w:pPr>
      <w:rPr>
        <w:rFonts w:ascii="Symbol" w:hAnsi="Symbol" w:hint="default"/>
      </w:rPr>
    </w:lvl>
    <w:lvl w:ilvl="1" w:tplc="D5C0C94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93F"/>
    <w:multiLevelType w:val="hybridMultilevel"/>
    <w:tmpl w:val="AC5A88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20C1"/>
    <w:multiLevelType w:val="hybridMultilevel"/>
    <w:tmpl w:val="8D1E6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BE69E0"/>
    <w:multiLevelType w:val="hybridMultilevel"/>
    <w:tmpl w:val="27B0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D6446"/>
    <w:multiLevelType w:val="hybridMultilevel"/>
    <w:tmpl w:val="25E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706A9"/>
    <w:multiLevelType w:val="hybridMultilevel"/>
    <w:tmpl w:val="25404C7A"/>
    <w:lvl w:ilvl="0" w:tplc="A002EE86">
      <w:start w:val="1"/>
      <w:numFmt w:val="decimal"/>
      <w:lvlText w:val="%1."/>
      <w:lvlJc w:val="left"/>
      <w:pPr>
        <w:ind w:left="1080" w:hanging="360"/>
      </w:pPr>
      <w:rPr>
        <w:rFonts w:eastAsia="Calibri"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37481380"/>
    <w:multiLevelType w:val="hybridMultilevel"/>
    <w:tmpl w:val="B1A2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B522BA"/>
    <w:multiLevelType w:val="hybridMultilevel"/>
    <w:tmpl w:val="F81E4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07284"/>
    <w:multiLevelType w:val="hybridMultilevel"/>
    <w:tmpl w:val="2194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874E9"/>
    <w:multiLevelType w:val="hybridMultilevel"/>
    <w:tmpl w:val="105842D4"/>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77E6D"/>
    <w:multiLevelType w:val="hybridMultilevel"/>
    <w:tmpl w:val="9D0687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5FF78F6"/>
    <w:multiLevelType w:val="hybridMultilevel"/>
    <w:tmpl w:val="5D3C4D4E"/>
    <w:lvl w:ilvl="0" w:tplc="827C3CBC">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14966"/>
    <w:multiLevelType w:val="hybridMultilevel"/>
    <w:tmpl w:val="33328BD4"/>
    <w:lvl w:ilvl="0" w:tplc="04090001">
      <w:start w:val="1"/>
      <w:numFmt w:val="bullet"/>
      <w:lvlText w:val=""/>
      <w:lvlJc w:val="left"/>
      <w:pPr>
        <w:tabs>
          <w:tab w:val="num" w:pos="540"/>
        </w:tabs>
        <w:ind w:left="540" w:hanging="360"/>
      </w:pPr>
      <w:rPr>
        <w:rFonts w:ascii="Symbol" w:hAnsi="Symbol" w:hint="default"/>
        <w:effect w:val="none"/>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53AB07C2"/>
    <w:multiLevelType w:val="hybridMultilevel"/>
    <w:tmpl w:val="7A767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CD3A02"/>
    <w:multiLevelType w:val="hybridMultilevel"/>
    <w:tmpl w:val="3586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DC4359"/>
    <w:multiLevelType w:val="hybridMultilevel"/>
    <w:tmpl w:val="FBAEDC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384DC2"/>
    <w:multiLevelType w:val="hybridMultilevel"/>
    <w:tmpl w:val="B4A8FE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186BAF"/>
    <w:multiLevelType w:val="hybridMultilevel"/>
    <w:tmpl w:val="B7FE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E7099"/>
    <w:multiLevelType w:val="hybridMultilevel"/>
    <w:tmpl w:val="DC880B3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1EE1A95"/>
    <w:multiLevelType w:val="hybridMultilevel"/>
    <w:tmpl w:val="D34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4"/>
  </w:num>
  <w:num w:numId="2">
    <w:abstractNumId w:val="2"/>
  </w:num>
  <w:num w:numId="3">
    <w:abstractNumId w:val="9"/>
  </w:num>
  <w:num w:numId="4">
    <w:abstractNumId w:val="16"/>
  </w:num>
  <w:num w:numId="5">
    <w:abstractNumId w:val="6"/>
  </w:num>
  <w:num w:numId="6">
    <w:abstractNumId w:val="4"/>
  </w:num>
  <w:num w:numId="7">
    <w:abstractNumId w:val="17"/>
  </w:num>
  <w:num w:numId="8">
    <w:abstractNumId w:val="15"/>
  </w:num>
  <w:num w:numId="9">
    <w:abstractNumId w:val="3"/>
  </w:num>
  <w:num w:numId="10">
    <w:abstractNumId w:val="0"/>
  </w:num>
  <w:num w:numId="11">
    <w:abstractNumId w:val="5"/>
  </w:num>
  <w:num w:numId="12">
    <w:abstractNumId w:val="12"/>
  </w:num>
  <w:num w:numId="13">
    <w:abstractNumId w:val="1"/>
  </w:num>
  <w:num w:numId="14">
    <w:abstractNumId w:val="19"/>
  </w:num>
  <w:num w:numId="15">
    <w:abstractNumId w:val="20"/>
  </w:num>
  <w:num w:numId="16">
    <w:abstractNumId w:val="11"/>
  </w:num>
  <w:num w:numId="17">
    <w:abstractNumId w:val="8"/>
  </w:num>
  <w:num w:numId="18">
    <w:abstractNumId w:val="23"/>
  </w:num>
  <w:num w:numId="19">
    <w:abstractNumId w:val="21"/>
  </w:num>
  <w:num w:numId="20">
    <w:abstractNumId w:val="10"/>
  </w:num>
  <w:num w:numId="21">
    <w:abstractNumId w:val="18"/>
  </w:num>
  <w:num w:numId="22">
    <w:abstractNumId w:val="7"/>
  </w:num>
  <w:num w:numId="23">
    <w:abstractNumId w:val="14"/>
  </w:num>
  <w:num w:numId="24">
    <w:abstractNumId w:val="13"/>
  </w:num>
  <w:num w:numId="2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CA"/>
    <w:rsid w:val="000053EA"/>
    <w:rsid w:val="00015DC9"/>
    <w:rsid w:val="00025CF5"/>
    <w:rsid w:val="00027E5B"/>
    <w:rsid w:val="00032FBC"/>
    <w:rsid w:val="0003554E"/>
    <w:rsid w:val="000407FB"/>
    <w:rsid w:val="0004544B"/>
    <w:rsid w:val="00071924"/>
    <w:rsid w:val="000830E4"/>
    <w:rsid w:val="0008421C"/>
    <w:rsid w:val="000864E4"/>
    <w:rsid w:val="00091213"/>
    <w:rsid w:val="000925F9"/>
    <w:rsid w:val="000A3CEE"/>
    <w:rsid w:val="000B2E82"/>
    <w:rsid w:val="000B7079"/>
    <w:rsid w:val="000E7955"/>
    <w:rsid w:val="000F29C6"/>
    <w:rsid w:val="000F7C5D"/>
    <w:rsid w:val="00100D5E"/>
    <w:rsid w:val="001152EE"/>
    <w:rsid w:val="00131E62"/>
    <w:rsid w:val="00132786"/>
    <w:rsid w:val="00135625"/>
    <w:rsid w:val="00135E83"/>
    <w:rsid w:val="00175D42"/>
    <w:rsid w:val="001A1864"/>
    <w:rsid w:val="001A7BD2"/>
    <w:rsid w:val="001B02AE"/>
    <w:rsid w:val="001B525D"/>
    <w:rsid w:val="001B7203"/>
    <w:rsid w:val="001E38BC"/>
    <w:rsid w:val="001E46FF"/>
    <w:rsid w:val="001F165F"/>
    <w:rsid w:val="001F3DD7"/>
    <w:rsid w:val="0021179B"/>
    <w:rsid w:val="002142D6"/>
    <w:rsid w:val="00224B29"/>
    <w:rsid w:val="00267B22"/>
    <w:rsid w:val="002909EF"/>
    <w:rsid w:val="00294901"/>
    <w:rsid w:val="00297784"/>
    <w:rsid w:val="002A5631"/>
    <w:rsid w:val="002C0922"/>
    <w:rsid w:val="002C6065"/>
    <w:rsid w:val="002D0397"/>
    <w:rsid w:val="002D437C"/>
    <w:rsid w:val="002D73E2"/>
    <w:rsid w:val="002F4489"/>
    <w:rsid w:val="002F7675"/>
    <w:rsid w:val="003008EC"/>
    <w:rsid w:val="00315E5D"/>
    <w:rsid w:val="00317B90"/>
    <w:rsid w:val="003329C8"/>
    <w:rsid w:val="0033566E"/>
    <w:rsid w:val="00335702"/>
    <w:rsid w:val="0035693C"/>
    <w:rsid w:val="003807BC"/>
    <w:rsid w:val="00392063"/>
    <w:rsid w:val="003A28CC"/>
    <w:rsid w:val="003A4681"/>
    <w:rsid w:val="003B3465"/>
    <w:rsid w:val="003C2F8D"/>
    <w:rsid w:val="003E2CC4"/>
    <w:rsid w:val="003E68CF"/>
    <w:rsid w:val="003E68F7"/>
    <w:rsid w:val="003F58D9"/>
    <w:rsid w:val="003F6EE2"/>
    <w:rsid w:val="003F7C53"/>
    <w:rsid w:val="00412214"/>
    <w:rsid w:val="00417D90"/>
    <w:rsid w:val="0043348E"/>
    <w:rsid w:val="00435B09"/>
    <w:rsid w:val="004666AF"/>
    <w:rsid w:val="004702BC"/>
    <w:rsid w:val="00473EAB"/>
    <w:rsid w:val="00491E58"/>
    <w:rsid w:val="004923FE"/>
    <w:rsid w:val="004A2FEB"/>
    <w:rsid w:val="004A69A0"/>
    <w:rsid w:val="004B00B9"/>
    <w:rsid w:val="004B55DB"/>
    <w:rsid w:val="004B69C2"/>
    <w:rsid w:val="004B6AC0"/>
    <w:rsid w:val="004B7281"/>
    <w:rsid w:val="004C179C"/>
    <w:rsid w:val="004C6B5C"/>
    <w:rsid w:val="004E4BF4"/>
    <w:rsid w:val="004F53B2"/>
    <w:rsid w:val="004F7757"/>
    <w:rsid w:val="00502CE6"/>
    <w:rsid w:val="0051523E"/>
    <w:rsid w:val="005162B5"/>
    <w:rsid w:val="00525AF7"/>
    <w:rsid w:val="005449E7"/>
    <w:rsid w:val="005515A2"/>
    <w:rsid w:val="00554F23"/>
    <w:rsid w:val="00573218"/>
    <w:rsid w:val="00574420"/>
    <w:rsid w:val="005A2C04"/>
    <w:rsid w:val="005A4E78"/>
    <w:rsid w:val="005B3193"/>
    <w:rsid w:val="005C0AB5"/>
    <w:rsid w:val="005D4977"/>
    <w:rsid w:val="005D6AC1"/>
    <w:rsid w:val="005E094F"/>
    <w:rsid w:val="005E1A0D"/>
    <w:rsid w:val="005F174C"/>
    <w:rsid w:val="005F6BDB"/>
    <w:rsid w:val="005F782D"/>
    <w:rsid w:val="0061017C"/>
    <w:rsid w:val="006134C0"/>
    <w:rsid w:val="00636AEE"/>
    <w:rsid w:val="00646BAB"/>
    <w:rsid w:val="00665B3B"/>
    <w:rsid w:val="00665FD7"/>
    <w:rsid w:val="00672CE0"/>
    <w:rsid w:val="00682F2F"/>
    <w:rsid w:val="00686C88"/>
    <w:rsid w:val="00695CB1"/>
    <w:rsid w:val="006969B2"/>
    <w:rsid w:val="00697632"/>
    <w:rsid w:val="006B3263"/>
    <w:rsid w:val="006B62BB"/>
    <w:rsid w:val="006E24EF"/>
    <w:rsid w:val="006E3CE7"/>
    <w:rsid w:val="006E6A81"/>
    <w:rsid w:val="006F013D"/>
    <w:rsid w:val="006F1D4D"/>
    <w:rsid w:val="00711867"/>
    <w:rsid w:val="00712B69"/>
    <w:rsid w:val="0072264C"/>
    <w:rsid w:val="00735C1B"/>
    <w:rsid w:val="00737B96"/>
    <w:rsid w:val="0074105F"/>
    <w:rsid w:val="007515CB"/>
    <w:rsid w:val="007561C2"/>
    <w:rsid w:val="00762A57"/>
    <w:rsid w:val="007808EB"/>
    <w:rsid w:val="00781CB0"/>
    <w:rsid w:val="00783DDE"/>
    <w:rsid w:val="00783F63"/>
    <w:rsid w:val="00797EC3"/>
    <w:rsid w:val="007A5777"/>
    <w:rsid w:val="007C0994"/>
    <w:rsid w:val="007D2D30"/>
    <w:rsid w:val="007D4567"/>
    <w:rsid w:val="007E23C2"/>
    <w:rsid w:val="007E395D"/>
    <w:rsid w:val="007F6D5F"/>
    <w:rsid w:val="0080287D"/>
    <w:rsid w:val="0083186E"/>
    <w:rsid w:val="0084014C"/>
    <w:rsid w:val="00841EF4"/>
    <w:rsid w:val="00870FA9"/>
    <w:rsid w:val="00872EDD"/>
    <w:rsid w:val="008855FB"/>
    <w:rsid w:val="00891EC6"/>
    <w:rsid w:val="008A79C1"/>
    <w:rsid w:val="008B7DE9"/>
    <w:rsid w:val="008C145D"/>
    <w:rsid w:val="008C1C6B"/>
    <w:rsid w:val="008C3E42"/>
    <w:rsid w:val="008D3179"/>
    <w:rsid w:val="008D51F4"/>
    <w:rsid w:val="00904398"/>
    <w:rsid w:val="00911E41"/>
    <w:rsid w:val="00912B04"/>
    <w:rsid w:val="00916637"/>
    <w:rsid w:val="009224F7"/>
    <w:rsid w:val="00944C69"/>
    <w:rsid w:val="009464D5"/>
    <w:rsid w:val="00950EEC"/>
    <w:rsid w:val="00950F56"/>
    <w:rsid w:val="00957700"/>
    <w:rsid w:val="00962B7A"/>
    <w:rsid w:val="0096451B"/>
    <w:rsid w:val="0096693D"/>
    <w:rsid w:val="00970FBE"/>
    <w:rsid w:val="009715FD"/>
    <w:rsid w:val="00972958"/>
    <w:rsid w:val="00980D58"/>
    <w:rsid w:val="009A7968"/>
    <w:rsid w:val="009A7D4F"/>
    <w:rsid w:val="009C23B6"/>
    <w:rsid w:val="009C6E75"/>
    <w:rsid w:val="009D3546"/>
    <w:rsid w:val="009D55D0"/>
    <w:rsid w:val="009E3EA9"/>
    <w:rsid w:val="00A12ECA"/>
    <w:rsid w:val="00A24549"/>
    <w:rsid w:val="00A2622E"/>
    <w:rsid w:val="00A27DD8"/>
    <w:rsid w:val="00A35B6B"/>
    <w:rsid w:val="00A45941"/>
    <w:rsid w:val="00A45C6A"/>
    <w:rsid w:val="00A55338"/>
    <w:rsid w:val="00A73921"/>
    <w:rsid w:val="00A75CC9"/>
    <w:rsid w:val="00A84B09"/>
    <w:rsid w:val="00A95B16"/>
    <w:rsid w:val="00A96581"/>
    <w:rsid w:val="00AA0D30"/>
    <w:rsid w:val="00AA1948"/>
    <w:rsid w:val="00AA2341"/>
    <w:rsid w:val="00AB15E4"/>
    <w:rsid w:val="00AB709F"/>
    <w:rsid w:val="00AE66E6"/>
    <w:rsid w:val="00AF009B"/>
    <w:rsid w:val="00B046C1"/>
    <w:rsid w:val="00B13A7A"/>
    <w:rsid w:val="00B15014"/>
    <w:rsid w:val="00B17CBB"/>
    <w:rsid w:val="00B21C2A"/>
    <w:rsid w:val="00B265DE"/>
    <w:rsid w:val="00B27151"/>
    <w:rsid w:val="00B41012"/>
    <w:rsid w:val="00B411C4"/>
    <w:rsid w:val="00B41A9B"/>
    <w:rsid w:val="00B5075C"/>
    <w:rsid w:val="00B5597A"/>
    <w:rsid w:val="00B60C31"/>
    <w:rsid w:val="00B6126D"/>
    <w:rsid w:val="00B71581"/>
    <w:rsid w:val="00B856E8"/>
    <w:rsid w:val="00B952C7"/>
    <w:rsid w:val="00BA45DD"/>
    <w:rsid w:val="00BC0B7B"/>
    <w:rsid w:val="00BD2D30"/>
    <w:rsid w:val="00BD44F2"/>
    <w:rsid w:val="00BE5473"/>
    <w:rsid w:val="00BF564B"/>
    <w:rsid w:val="00C01281"/>
    <w:rsid w:val="00C20142"/>
    <w:rsid w:val="00C33C59"/>
    <w:rsid w:val="00C3747F"/>
    <w:rsid w:val="00C37D86"/>
    <w:rsid w:val="00C459E1"/>
    <w:rsid w:val="00C5116D"/>
    <w:rsid w:val="00C82A83"/>
    <w:rsid w:val="00C86B70"/>
    <w:rsid w:val="00C919E9"/>
    <w:rsid w:val="00CA5945"/>
    <w:rsid w:val="00CB60B4"/>
    <w:rsid w:val="00CC27A9"/>
    <w:rsid w:val="00CF18A1"/>
    <w:rsid w:val="00CF69A3"/>
    <w:rsid w:val="00CF7F7E"/>
    <w:rsid w:val="00D01BCC"/>
    <w:rsid w:val="00D01E01"/>
    <w:rsid w:val="00D0211C"/>
    <w:rsid w:val="00D07D72"/>
    <w:rsid w:val="00D111D5"/>
    <w:rsid w:val="00D15616"/>
    <w:rsid w:val="00D31293"/>
    <w:rsid w:val="00D36CDD"/>
    <w:rsid w:val="00D43CFC"/>
    <w:rsid w:val="00D52B79"/>
    <w:rsid w:val="00D56836"/>
    <w:rsid w:val="00D60AB3"/>
    <w:rsid w:val="00D62329"/>
    <w:rsid w:val="00D76B71"/>
    <w:rsid w:val="00D77430"/>
    <w:rsid w:val="00D87D10"/>
    <w:rsid w:val="00D90F2D"/>
    <w:rsid w:val="00DA0FD4"/>
    <w:rsid w:val="00DC2018"/>
    <w:rsid w:val="00DC39A0"/>
    <w:rsid w:val="00DC69E4"/>
    <w:rsid w:val="00DE3958"/>
    <w:rsid w:val="00DF4B3E"/>
    <w:rsid w:val="00E01744"/>
    <w:rsid w:val="00E20304"/>
    <w:rsid w:val="00E22F7A"/>
    <w:rsid w:val="00E52F8C"/>
    <w:rsid w:val="00E648D6"/>
    <w:rsid w:val="00E66F61"/>
    <w:rsid w:val="00E90011"/>
    <w:rsid w:val="00E9441D"/>
    <w:rsid w:val="00ED28EB"/>
    <w:rsid w:val="00EF4881"/>
    <w:rsid w:val="00F01E39"/>
    <w:rsid w:val="00F16425"/>
    <w:rsid w:val="00F20AB3"/>
    <w:rsid w:val="00F23391"/>
    <w:rsid w:val="00F25BE7"/>
    <w:rsid w:val="00F51149"/>
    <w:rsid w:val="00F51197"/>
    <w:rsid w:val="00F516B9"/>
    <w:rsid w:val="00F674F2"/>
    <w:rsid w:val="00F76785"/>
    <w:rsid w:val="00F80F3D"/>
    <w:rsid w:val="00F82421"/>
    <w:rsid w:val="00F912CB"/>
    <w:rsid w:val="00F95725"/>
    <w:rsid w:val="00FB04F9"/>
    <w:rsid w:val="00FB0802"/>
    <w:rsid w:val="00FB4047"/>
    <w:rsid w:val="00FB60A5"/>
    <w:rsid w:val="00FB79C7"/>
    <w:rsid w:val="00FD597F"/>
    <w:rsid w:val="00FE40AC"/>
    <w:rsid w:val="00FE6A4D"/>
    <w:rsid w:val="00FE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8E53"/>
  <w15:chartTrackingRefBased/>
  <w15:docId w15:val="{9C5F66CB-20B6-453C-897C-7A8FE3F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7C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0E7955"/>
    <w:pPr>
      <w:keepNext/>
      <w:keepLines/>
      <w:spacing w:before="320" w:after="80" w:line="276" w:lineRule="auto"/>
      <w:outlineLvl w:val="2"/>
    </w:pPr>
    <w:rPr>
      <w:rFonts w:ascii="Arial" w:eastAsia="Arial" w:hAnsi="Arial" w:cs="Arial"/>
      <w:color w:val="434343"/>
      <w:sz w:val="28"/>
      <w:szCs w:val="28"/>
      <w:lang w:val="s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3">
    <w:name w:val="mt-3"/>
    <w:basedOn w:val="Normal"/>
    <w:rsid w:val="00A12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E7955"/>
    <w:rPr>
      <w:rFonts w:ascii="Arial" w:eastAsia="Arial" w:hAnsi="Arial" w:cs="Arial"/>
      <w:color w:val="434343"/>
      <w:sz w:val="28"/>
      <w:szCs w:val="28"/>
      <w:lang w:val="sv" w:eastAsia="en-GB"/>
    </w:rPr>
  </w:style>
  <w:style w:type="paragraph" w:styleId="Title">
    <w:name w:val="Title"/>
    <w:basedOn w:val="Normal"/>
    <w:next w:val="Normal"/>
    <w:link w:val="TitleChar"/>
    <w:qFormat/>
    <w:rsid w:val="000E7955"/>
    <w:pPr>
      <w:keepNext/>
      <w:keepLines/>
      <w:spacing w:after="60" w:line="276" w:lineRule="auto"/>
    </w:pPr>
    <w:rPr>
      <w:rFonts w:ascii="Arial" w:eastAsia="Arial" w:hAnsi="Arial" w:cs="Arial"/>
      <w:sz w:val="52"/>
      <w:szCs w:val="52"/>
      <w:lang w:val="sv" w:eastAsia="en-GB"/>
    </w:rPr>
  </w:style>
  <w:style w:type="character" w:customStyle="1" w:styleId="TitleChar">
    <w:name w:val="Title Char"/>
    <w:basedOn w:val="DefaultParagraphFont"/>
    <w:link w:val="Title"/>
    <w:rsid w:val="000E7955"/>
    <w:rPr>
      <w:rFonts w:ascii="Arial" w:eastAsia="Arial" w:hAnsi="Arial" w:cs="Arial"/>
      <w:sz w:val="52"/>
      <w:szCs w:val="52"/>
      <w:lang w:val="sv" w:eastAsia="en-GB"/>
    </w:rPr>
  </w:style>
  <w:style w:type="paragraph" w:styleId="FootnoteText">
    <w:name w:val="footnote text"/>
    <w:basedOn w:val="Normal"/>
    <w:link w:val="FootnoteTextChar"/>
    <w:uiPriority w:val="99"/>
    <w:unhideWhenUsed/>
    <w:qFormat/>
    <w:rsid w:val="000864E4"/>
    <w:pPr>
      <w:spacing w:after="0" w:line="240" w:lineRule="auto"/>
    </w:pPr>
    <w:rPr>
      <w:rFonts w:ascii="Arial" w:eastAsia="Arial" w:hAnsi="Arial" w:cs="Arial"/>
      <w:sz w:val="20"/>
      <w:szCs w:val="20"/>
      <w:lang w:val="sv" w:eastAsia="en-GB"/>
    </w:rPr>
  </w:style>
  <w:style w:type="character" w:customStyle="1" w:styleId="FootnoteTextChar">
    <w:name w:val="Footnote Text Char"/>
    <w:basedOn w:val="DefaultParagraphFont"/>
    <w:link w:val="FootnoteText"/>
    <w:uiPriority w:val="99"/>
    <w:qFormat/>
    <w:rsid w:val="000864E4"/>
    <w:rPr>
      <w:rFonts w:ascii="Arial" w:eastAsia="Arial" w:hAnsi="Arial" w:cs="Arial"/>
      <w:sz w:val="20"/>
      <w:szCs w:val="20"/>
      <w:lang w:val="sv" w:eastAsia="en-GB"/>
    </w:rPr>
  </w:style>
  <w:style w:type="character" w:styleId="FootnoteReference">
    <w:name w:val="footnote reference"/>
    <w:aliases w:val="ftref,16 Point,Superscript 6 Point,Error-Fußnotenzeichen5,Error-Fußnotenzeichen6,Error-Fußnotenzeichen3,ftref Char,Char Char Char Char Car Char Char,16 Point Char,Superscript 6 Point Char,Char Char Char1 Char Char Char Char1 Char Char"/>
    <w:basedOn w:val="DefaultParagraphFont"/>
    <w:link w:val="CharCharCharCharCarChar"/>
    <w:uiPriority w:val="99"/>
    <w:unhideWhenUsed/>
    <w:qFormat/>
    <w:rsid w:val="000864E4"/>
    <w:rPr>
      <w:vertAlign w:val="superscript"/>
    </w:rPr>
  </w:style>
  <w:style w:type="character" w:styleId="Hyperlink">
    <w:name w:val="Hyperlink"/>
    <w:basedOn w:val="DefaultParagraphFont"/>
    <w:uiPriority w:val="99"/>
    <w:unhideWhenUsed/>
    <w:rsid w:val="000864E4"/>
    <w:rPr>
      <w:color w:val="0563C1" w:themeColor="hyperlink"/>
      <w:u w:val="single"/>
    </w:rPr>
  </w:style>
  <w:style w:type="character" w:customStyle="1" w:styleId="Heading2Char">
    <w:name w:val="Heading 2 Char"/>
    <w:basedOn w:val="DefaultParagraphFont"/>
    <w:link w:val="Heading2"/>
    <w:uiPriority w:val="9"/>
    <w:semiHidden/>
    <w:rsid w:val="00B17C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D3179"/>
    <w:rPr>
      <w:rFonts w:asciiTheme="majorHAnsi" w:eastAsiaTheme="majorEastAsia" w:hAnsiTheme="majorHAnsi" w:cstheme="majorBidi"/>
      <w:color w:val="2E74B5" w:themeColor="accent1" w:themeShade="BF"/>
      <w:sz w:val="32"/>
      <w:szCs w:val="32"/>
    </w:rPr>
  </w:style>
  <w:style w:type="paragraph" w:styleId="ListParagraph">
    <w:name w:val="List Paragraph"/>
    <w:aliases w:val="Table/Figure Heading,En tête 1,List Paragraph (numbered (a)),Lapis Bulleted List,Dot pt,F5 List Paragraph,List Paragraph Char Char Char,Indicator Text,Numbered Para 1,Bullet 1,List Paragraph12,Bullet Points,L,Bullets,Body,List Paragraph1"/>
    <w:basedOn w:val="Normal"/>
    <w:link w:val="ListParagraphChar"/>
    <w:uiPriority w:val="34"/>
    <w:qFormat/>
    <w:rsid w:val="00525AF7"/>
    <w:pPr>
      <w:ind w:left="720"/>
      <w:contextualSpacing/>
    </w:pPr>
  </w:style>
  <w:style w:type="character" w:customStyle="1" w:styleId="InstructionText">
    <w:name w:val="Instruction Text"/>
    <w:rsid w:val="00A24549"/>
    <w:rPr>
      <w:i/>
      <w:iCs w:val="0"/>
      <w:color w:val="0070C0"/>
    </w:rPr>
  </w:style>
  <w:style w:type="character" w:styleId="CommentReference">
    <w:name w:val="annotation reference"/>
    <w:basedOn w:val="DefaultParagraphFont"/>
    <w:uiPriority w:val="99"/>
    <w:semiHidden/>
    <w:unhideWhenUsed/>
    <w:rsid w:val="008855FB"/>
    <w:rPr>
      <w:sz w:val="16"/>
      <w:szCs w:val="16"/>
    </w:rPr>
  </w:style>
  <w:style w:type="paragraph" w:styleId="CommentText">
    <w:name w:val="annotation text"/>
    <w:basedOn w:val="Normal"/>
    <w:link w:val="CommentTextChar"/>
    <w:uiPriority w:val="99"/>
    <w:unhideWhenUsed/>
    <w:rsid w:val="008855FB"/>
    <w:pPr>
      <w:spacing w:line="240" w:lineRule="auto"/>
    </w:pPr>
    <w:rPr>
      <w:sz w:val="20"/>
      <w:szCs w:val="20"/>
    </w:rPr>
  </w:style>
  <w:style w:type="character" w:customStyle="1" w:styleId="CommentTextChar">
    <w:name w:val="Comment Text Char"/>
    <w:basedOn w:val="DefaultParagraphFont"/>
    <w:link w:val="CommentText"/>
    <w:uiPriority w:val="99"/>
    <w:rsid w:val="008855FB"/>
    <w:rPr>
      <w:sz w:val="20"/>
      <w:szCs w:val="20"/>
    </w:rPr>
  </w:style>
  <w:style w:type="paragraph" w:styleId="CommentSubject">
    <w:name w:val="annotation subject"/>
    <w:basedOn w:val="CommentText"/>
    <w:next w:val="CommentText"/>
    <w:link w:val="CommentSubjectChar"/>
    <w:uiPriority w:val="99"/>
    <w:semiHidden/>
    <w:unhideWhenUsed/>
    <w:rsid w:val="008855FB"/>
    <w:rPr>
      <w:b/>
      <w:bCs/>
    </w:rPr>
  </w:style>
  <w:style w:type="character" w:customStyle="1" w:styleId="CommentSubjectChar">
    <w:name w:val="Comment Subject Char"/>
    <w:basedOn w:val="CommentTextChar"/>
    <w:link w:val="CommentSubject"/>
    <w:uiPriority w:val="99"/>
    <w:semiHidden/>
    <w:rsid w:val="008855FB"/>
    <w:rPr>
      <w:b/>
      <w:bCs/>
      <w:sz w:val="20"/>
      <w:szCs w:val="20"/>
    </w:rPr>
  </w:style>
  <w:style w:type="paragraph" w:styleId="BalloonText">
    <w:name w:val="Balloon Text"/>
    <w:basedOn w:val="Normal"/>
    <w:link w:val="BalloonTextChar"/>
    <w:uiPriority w:val="99"/>
    <w:semiHidden/>
    <w:unhideWhenUsed/>
    <w:rsid w:val="0088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FB"/>
    <w:rPr>
      <w:rFonts w:ascii="Segoe UI" w:hAnsi="Segoe UI" w:cs="Segoe UI"/>
      <w:sz w:val="18"/>
      <w:szCs w:val="18"/>
    </w:rPr>
  </w:style>
  <w:style w:type="character" w:customStyle="1" w:styleId="ListParagraphChar">
    <w:name w:val="List Paragraph Char"/>
    <w:aliases w:val="Table/Figure Heading Char,En tête 1 Char,List Paragraph (numbered (a)) Char,Lapis Bulleted List Char,Dot pt Char,F5 List Paragraph Char,List Paragraph Char Char Char Char,Indicator Text Char,Numbered Para 1 Char,Bullet 1 Char,L Char"/>
    <w:basedOn w:val="DefaultParagraphFont"/>
    <w:link w:val="ListParagraph"/>
    <w:uiPriority w:val="34"/>
    <w:qFormat/>
    <w:locked/>
    <w:rsid w:val="00BF564B"/>
  </w:style>
  <w:style w:type="table" w:styleId="TableGrid">
    <w:name w:val="Table Grid"/>
    <w:basedOn w:val="TableNormal"/>
    <w:rsid w:val="009E3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3EA9"/>
    <w:pPr>
      <w:spacing w:after="0" w:line="240" w:lineRule="auto"/>
    </w:pPr>
    <w:rPr>
      <w:rFonts w:ascii="Arial" w:eastAsia="Times New Roman" w:hAnsi="Arial" w:cs="Times New Roman"/>
      <w:sz w:val="20"/>
      <w:szCs w:val="24"/>
    </w:rPr>
  </w:style>
  <w:style w:type="paragraph" w:customStyle="1" w:styleId="Default">
    <w:name w:val="Default"/>
    <w:rsid w:val="00A45C6A"/>
    <w:pPr>
      <w:autoSpaceDE w:val="0"/>
      <w:autoSpaceDN w:val="0"/>
      <w:adjustRightInd w:val="0"/>
      <w:spacing w:after="0" w:line="240" w:lineRule="auto"/>
    </w:pPr>
    <w:rPr>
      <w:rFonts w:ascii="Calibri" w:eastAsia="Calibri" w:hAnsi="Calibri" w:cs="Calibri"/>
      <w:color w:val="000000"/>
      <w:sz w:val="24"/>
      <w:szCs w:val="24"/>
      <w:lang w:val="en-AU"/>
    </w:rPr>
  </w:style>
  <w:style w:type="paragraph" w:customStyle="1" w:styleId="p28">
    <w:name w:val="p28"/>
    <w:basedOn w:val="Normal"/>
    <w:rsid w:val="0035693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Revision">
    <w:name w:val="Revision"/>
    <w:hidden/>
    <w:uiPriority w:val="99"/>
    <w:semiHidden/>
    <w:rsid w:val="00D60AB3"/>
    <w:pPr>
      <w:spacing w:after="0" w:line="240" w:lineRule="auto"/>
    </w:pPr>
  </w:style>
  <w:style w:type="character" w:styleId="UnresolvedMention">
    <w:name w:val="Unresolved Mention"/>
    <w:basedOn w:val="DefaultParagraphFont"/>
    <w:uiPriority w:val="99"/>
    <w:semiHidden/>
    <w:unhideWhenUsed/>
    <w:rsid w:val="001E46FF"/>
    <w:rPr>
      <w:color w:val="605E5C"/>
      <w:shd w:val="clear" w:color="auto" w:fill="E1DFDD"/>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54F23"/>
    <w:pPr>
      <w:spacing w:line="240" w:lineRule="exact"/>
      <w:jc w:val="both"/>
    </w:pPr>
    <w:rPr>
      <w:vertAlign w:val="superscript"/>
    </w:rPr>
  </w:style>
  <w:style w:type="paragraph" w:customStyle="1" w:styleId="BodyA">
    <w:name w:val="Body A"/>
    <w:qFormat/>
    <w:rsid w:val="00554F23"/>
    <w:rPr>
      <w:rFonts w:ascii="Calibri" w:eastAsia="Arial Unicode MS" w:hAnsi="Calibri" w:cs="Arial Unicode MS"/>
      <w:color w:val="000000"/>
      <w:u w:color="000000"/>
    </w:rPr>
  </w:style>
  <w:style w:type="character" w:customStyle="1" w:styleId="SubtleEmphasis1">
    <w:name w:val="Subtle Emphasis1"/>
    <w:uiPriority w:val="99"/>
    <w:qFormat/>
    <w:rsid w:val="00554F23"/>
    <w:rPr>
      <w:i/>
      <w:iCs/>
      <w:color w:val="808080"/>
    </w:rPr>
  </w:style>
  <w:style w:type="paragraph" w:styleId="Footer">
    <w:name w:val="footer"/>
    <w:basedOn w:val="Normal"/>
    <w:link w:val="FooterChar"/>
    <w:uiPriority w:val="99"/>
    <w:unhideWhenUsed/>
    <w:rsid w:val="001A7BD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A7BD2"/>
    <w:rPr>
      <w:rFonts w:ascii="Calibri" w:eastAsia="Calibri" w:hAnsi="Calibri" w:cs="Times New Roman"/>
    </w:rPr>
  </w:style>
  <w:style w:type="table" w:customStyle="1" w:styleId="TableGrid1">
    <w:name w:val="Table Grid1"/>
    <w:basedOn w:val="TableNormal"/>
    <w:next w:val="TableGrid"/>
    <w:uiPriority w:val="59"/>
    <w:rsid w:val="001A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1A7BD2"/>
    <w:pPr>
      <w:spacing w:after="0" w:line="240" w:lineRule="auto"/>
    </w:pPr>
    <w:rPr>
      <w:sz w:val="20"/>
      <w:szCs w:val="20"/>
      <w:lang w:val="en-ZW" w:eastAsia="ru-RU"/>
    </w:rPr>
  </w:style>
  <w:style w:type="character" w:customStyle="1" w:styleId="apple-converted-space">
    <w:name w:val="apple-converted-space"/>
    <w:basedOn w:val="DefaultParagraphFont"/>
    <w:rsid w:val="001A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1546">
      <w:bodyDiv w:val="1"/>
      <w:marLeft w:val="0"/>
      <w:marRight w:val="0"/>
      <w:marTop w:val="0"/>
      <w:marBottom w:val="0"/>
      <w:divBdr>
        <w:top w:val="none" w:sz="0" w:space="0" w:color="auto"/>
        <w:left w:val="none" w:sz="0" w:space="0" w:color="auto"/>
        <w:bottom w:val="none" w:sz="0" w:space="0" w:color="auto"/>
        <w:right w:val="none" w:sz="0" w:space="0" w:color="auto"/>
      </w:divBdr>
    </w:div>
    <w:div w:id="1143348025">
      <w:bodyDiv w:val="1"/>
      <w:marLeft w:val="0"/>
      <w:marRight w:val="0"/>
      <w:marTop w:val="0"/>
      <w:marBottom w:val="0"/>
      <w:divBdr>
        <w:top w:val="none" w:sz="0" w:space="0" w:color="auto"/>
        <w:left w:val="none" w:sz="0" w:space="0" w:color="auto"/>
        <w:bottom w:val="none" w:sz="0" w:space="0" w:color="auto"/>
        <w:right w:val="none" w:sz="0" w:space="0" w:color="auto"/>
      </w:divBdr>
    </w:div>
    <w:div w:id="1570577399">
      <w:bodyDiv w:val="1"/>
      <w:marLeft w:val="0"/>
      <w:marRight w:val="0"/>
      <w:marTop w:val="0"/>
      <w:marBottom w:val="0"/>
      <w:divBdr>
        <w:top w:val="none" w:sz="0" w:space="0" w:color="auto"/>
        <w:left w:val="none" w:sz="0" w:space="0" w:color="auto"/>
        <w:bottom w:val="none" w:sz="0" w:space="0" w:color="auto"/>
        <w:right w:val="none" w:sz="0" w:space="0" w:color="auto"/>
      </w:divBdr>
    </w:div>
    <w:div w:id="15847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ata.worldbank.org/indicator/SI.POV.GINI?locations=MW" TargetMode="External"/><Relationship Id="rId1" Type="http://schemas.openxmlformats.org/officeDocument/2006/relationships/hyperlink" Target="https://data.worldbank.org/indicator/NY.GDP.PCAP.CD?end=2019&amp;locations=MW&amp;start=1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BB7F-AFB4-49D4-BC47-B77DFDE5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8465</Words>
  <Characters>48252</Characters>
  <Application>Microsoft Office Word</Application>
  <DocSecurity>0</DocSecurity>
  <Lines>402</Lines>
  <Paragraphs>113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Criteria for Selection of Best Offer</vt:lpstr>
      <vt:lpstr>Submission Instructions</vt:lpstr>
      <vt:lpstr/>
      <vt:lpstr/>
    </vt:vector>
  </TitlesOfParts>
  <Company>HP</Company>
  <LinksUpToDate>false</LinksUpToDate>
  <CharactersWithSpaces>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Gringoster</dc:creator>
  <cp:keywords/>
  <dc:description/>
  <cp:lastModifiedBy>Peter Kulemeka</cp:lastModifiedBy>
  <cp:revision>8</cp:revision>
  <cp:lastPrinted>2020-11-13T05:14:00Z</cp:lastPrinted>
  <dcterms:created xsi:type="dcterms:W3CDTF">2022-02-09T09:24:00Z</dcterms:created>
  <dcterms:modified xsi:type="dcterms:W3CDTF">2022-04-22T10:52:00Z</dcterms:modified>
</cp:coreProperties>
</file>